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color w:val="auto"/>
          <w:sz w:val="36"/>
          <w:szCs w:val="36"/>
        </w:rPr>
      </w:pPr>
    </w:p>
    <w:p>
      <w:pPr>
        <w:rPr>
          <w:rFonts w:eastAsia="仿宋_GB2312"/>
          <w:color w:val="auto"/>
          <w:sz w:val="36"/>
          <w:szCs w:val="36"/>
        </w:rPr>
      </w:pPr>
    </w:p>
    <w:p>
      <w:pPr>
        <w:rPr>
          <w:rFonts w:eastAsia="仿宋_GB2312"/>
          <w:color w:val="auto"/>
          <w:sz w:val="36"/>
          <w:szCs w:val="36"/>
        </w:rPr>
      </w:pPr>
    </w:p>
    <w:p>
      <w:pPr>
        <w:adjustRightInd w:val="0"/>
        <w:snapToGrid w:val="0"/>
        <w:jc w:val="center"/>
        <w:outlineLvl w:val="0"/>
        <w:rPr>
          <w:rFonts w:eastAsia="方正小标宋_GBK"/>
          <w:bCs/>
          <w:color w:val="auto"/>
          <w:sz w:val="72"/>
          <w:szCs w:val="72"/>
        </w:rPr>
      </w:pPr>
      <w:r>
        <w:rPr>
          <w:rFonts w:eastAsia="方正小标宋_GBK"/>
          <w:bCs/>
          <w:color w:val="auto"/>
          <w:sz w:val="72"/>
          <w:szCs w:val="72"/>
        </w:rPr>
        <w:t>建设项目环境影响报告表</w:t>
      </w:r>
    </w:p>
    <w:p>
      <w:pPr>
        <w:adjustRightInd w:val="0"/>
        <w:snapToGrid w:val="0"/>
        <w:spacing w:before="192" w:beforeLines="80"/>
        <w:jc w:val="center"/>
        <w:rPr>
          <w:rFonts w:eastAsia="楷体_GB2312"/>
          <w:bCs/>
          <w:color w:val="auto"/>
          <w:sz w:val="48"/>
          <w:szCs w:val="48"/>
        </w:rPr>
      </w:pPr>
      <w:r>
        <w:rPr>
          <w:rFonts w:eastAsia="楷体_GB2312"/>
          <w:bCs/>
          <w:color w:val="auto"/>
          <w:sz w:val="48"/>
          <w:szCs w:val="48"/>
        </w:rPr>
        <w:t>（污染影响类）</w:t>
      </w:r>
    </w:p>
    <w:p>
      <w:pPr>
        <w:jc w:val="center"/>
        <w:rPr>
          <w:rFonts w:eastAsia="仿宋"/>
          <w:color w:val="auto"/>
          <w:sz w:val="52"/>
          <w:szCs w:val="52"/>
        </w:rPr>
      </w:pPr>
    </w:p>
    <w:p>
      <w:pPr>
        <w:ind w:firstLine="1040"/>
        <w:rPr>
          <w:rFonts w:eastAsia="仿宋"/>
          <w:color w:val="auto"/>
          <w:sz w:val="44"/>
          <w:szCs w:val="44"/>
        </w:rPr>
      </w:pPr>
    </w:p>
    <w:p>
      <w:pPr>
        <w:ind w:firstLine="1040"/>
        <w:rPr>
          <w:rFonts w:eastAsia="仿宋"/>
          <w:color w:val="auto"/>
          <w:sz w:val="44"/>
          <w:szCs w:val="44"/>
        </w:rPr>
      </w:pPr>
    </w:p>
    <w:p>
      <w:pPr>
        <w:ind w:firstLine="1040"/>
        <w:rPr>
          <w:rFonts w:eastAsia="仿宋"/>
          <w:color w:val="auto"/>
          <w:sz w:val="44"/>
          <w:szCs w:val="44"/>
        </w:rPr>
      </w:pPr>
    </w:p>
    <w:p>
      <w:pPr>
        <w:ind w:firstLine="1040"/>
        <w:rPr>
          <w:rFonts w:eastAsia="仿宋"/>
          <w:color w:val="auto"/>
          <w:sz w:val="44"/>
          <w:szCs w:val="44"/>
        </w:rPr>
      </w:pPr>
    </w:p>
    <w:p>
      <w:pPr>
        <w:adjustRightInd w:val="0"/>
        <w:snapToGrid w:val="0"/>
        <w:spacing w:line="360" w:lineRule="auto"/>
        <w:rPr>
          <w:rFonts w:eastAsia="仿宋_GB2312"/>
          <w:color w:val="auto"/>
          <w:sz w:val="36"/>
          <w:szCs w:val="36"/>
        </w:rPr>
      </w:pPr>
    </w:p>
    <w:p>
      <w:pPr>
        <w:adjustRightInd w:val="0"/>
        <w:snapToGrid w:val="0"/>
        <w:spacing w:line="360" w:lineRule="auto"/>
        <w:ind w:firstLine="840" w:firstLineChars="300"/>
        <w:rPr>
          <w:rFonts w:ascii="仿宋" w:hAnsi="仿宋" w:eastAsia="仿宋" w:cs="仿宋"/>
          <w:color w:val="auto"/>
          <w:sz w:val="28"/>
          <w:szCs w:val="28"/>
          <w:u w:val="single"/>
        </w:rPr>
      </w:pPr>
      <w:r>
        <w:rPr>
          <w:rFonts w:hint="eastAsia" w:ascii="仿宋" w:hAnsi="仿宋" w:eastAsia="仿宋" w:cs="仿宋"/>
          <w:color w:val="auto"/>
          <w:sz w:val="28"/>
          <w:szCs w:val="28"/>
        </w:rPr>
        <w:t>项目名称：</w:t>
      </w:r>
      <w:r>
        <w:rPr>
          <w:rFonts w:hint="eastAsia" w:ascii="仿宋" w:hAnsi="仿宋" w:eastAsia="仿宋" w:cs="仿宋"/>
          <w:color w:val="auto"/>
          <w:sz w:val="28"/>
          <w:szCs w:val="28"/>
          <w:u w:val="single"/>
        </w:rPr>
        <w:t xml:space="preserve">昌吉市生活垃圾焚烧发电项目配套炉渣综合利用项目         </w:t>
      </w:r>
    </w:p>
    <w:p>
      <w:pPr>
        <w:adjustRightInd w:val="0"/>
        <w:snapToGrid w:val="0"/>
        <w:spacing w:line="360" w:lineRule="auto"/>
        <w:rPr>
          <w:rFonts w:hint="default" w:ascii="仿宋" w:hAnsi="仿宋" w:eastAsia="仿宋" w:cs="仿宋"/>
          <w:color w:val="auto"/>
          <w:sz w:val="28"/>
          <w:szCs w:val="28"/>
          <w:u w:val="single"/>
          <w:lang w:val="en-US" w:eastAsia="zh-CN"/>
        </w:rPr>
      </w:pPr>
      <w:r>
        <w:rPr>
          <w:rFonts w:hint="eastAsia" w:ascii="仿宋" w:hAnsi="仿宋" w:eastAsia="仿宋" w:cs="仿宋"/>
          <w:color w:val="auto"/>
          <w:sz w:val="28"/>
          <w:szCs w:val="28"/>
        </w:rPr>
        <w:t xml:space="preserve">      建设单位（盖章）：</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昌吉市明亮华丽环保科技有限公司</w:t>
      </w:r>
      <w:r>
        <w:rPr>
          <w:rFonts w:hint="eastAsia" w:ascii="仿宋" w:hAnsi="仿宋" w:eastAsia="仿宋" w:cs="仿宋"/>
          <w:color w:val="auto"/>
          <w:sz w:val="28"/>
          <w:szCs w:val="28"/>
          <w:u w:val="single"/>
          <w:lang w:val="en-US" w:eastAsia="zh-CN"/>
        </w:rPr>
        <w:t xml:space="preserve">        </w:t>
      </w:r>
    </w:p>
    <w:p>
      <w:pPr>
        <w:adjustRightInd w:val="0"/>
        <w:snapToGrid w:val="0"/>
        <w:spacing w:line="360" w:lineRule="auto"/>
        <w:ind w:firstLine="840" w:firstLineChars="300"/>
        <w:jc w:val="left"/>
        <w:rPr>
          <w:rFonts w:ascii="仿宋" w:hAnsi="仿宋" w:eastAsia="仿宋" w:cs="仿宋"/>
          <w:color w:val="auto"/>
          <w:sz w:val="28"/>
          <w:szCs w:val="28"/>
          <w:u w:val="single"/>
        </w:rPr>
      </w:pPr>
      <w:r>
        <w:rPr>
          <w:rFonts w:hint="eastAsia" w:ascii="仿宋" w:hAnsi="仿宋" w:eastAsia="仿宋" w:cs="仿宋"/>
          <w:color w:val="auto"/>
          <w:sz w:val="28"/>
          <w:szCs w:val="28"/>
        </w:rPr>
        <w:t>编制日期：</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2021年12月       </w:t>
      </w:r>
      <w:r>
        <w:rPr>
          <w:rFonts w:hint="eastAsia" w:ascii="仿宋" w:hAnsi="仿宋" w:eastAsia="仿宋" w:cs="仿宋"/>
          <w:color w:val="auto"/>
          <w:sz w:val="28"/>
          <w:szCs w:val="28"/>
          <w:u w:val="single"/>
          <w:lang w:val="en-US" w:eastAsia="zh-CN"/>
        </w:rPr>
        <w:t xml:space="preserve">            </w:t>
      </w:r>
    </w:p>
    <w:p>
      <w:pPr>
        <w:adjustRightInd w:val="0"/>
        <w:snapToGrid w:val="0"/>
        <w:spacing w:line="288" w:lineRule="auto"/>
        <w:ind w:firstLine="1040"/>
        <w:rPr>
          <w:rFonts w:eastAsia="仿宋_GB2312"/>
          <w:color w:val="auto"/>
          <w:sz w:val="36"/>
          <w:szCs w:val="36"/>
          <w:u w:val="single"/>
        </w:rPr>
      </w:pPr>
      <w:bookmarkStart w:id="0" w:name="_Hlk57884087"/>
    </w:p>
    <w:p>
      <w:pPr>
        <w:adjustRightInd w:val="0"/>
        <w:snapToGrid w:val="0"/>
        <w:spacing w:line="288" w:lineRule="auto"/>
        <w:rPr>
          <w:rFonts w:eastAsia="仿宋_GB2312"/>
          <w:color w:val="auto"/>
          <w:sz w:val="36"/>
          <w:szCs w:val="36"/>
        </w:rPr>
      </w:pPr>
    </w:p>
    <w:p>
      <w:pPr>
        <w:adjustRightInd w:val="0"/>
        <w:snapToGrid w:val="0"/>
        <w:spacing w:line="288" w:lineRule="auto"/>
        <w:ind w:firstLine="1040"/>
        <w:rPr>
          <w:rFonts w:eastAsia="仿宋_GB2312"/>
          <w:color w:val="auto"/>
          <w:sz w:val="36"/>
          <w:szCs w:val="36"/>
        </w:rPr>
      </w:pPr>
    </w:p>
    <w:p>
      <w:pPr>
        <w:adjustRightInd w:val="0"/>
        <w:snapToGrid w:val="0"/>
        <w:spacing w:line="288" w:lineRule="auto"/>
        <w:ind w:firstLine="1040"/>
        <w:rPr>
          <w:rFonts w:eastAsia="仿宋_GB2312"/>
          <w:color w:val="auto"/>
          <w:sz w:val="36"/>
          <w:szCs w:val="36"/>
        </w:rPr>
      </w:pPr>
    </w:p>
    <w:bookmarkEnd w:id="0"/>
    <w:p>
      <w:pPr>
        <w:adjustRightInd w:val="0"/>
        <w:snapToGrid w:val="0"/>
        <w:spacing w:line="288" w:lineRule="auto"/>
        <w:jc w:val="center"/>
        <w:rPr>
          <w:rFonts w:eastAsia="楷体_GB2312"/>
          <w:color w:val="auto"/>
          <w:sz w:val="36"/>
          <w:szCs w:val="36"/>
        </w:rPr>
      </w:pPr>
      <w:r>
        <w:rPr>
          <w:rFonts w:eastAsia="楷体_GB2312"/>
          <w:color w:val="auto"/>
          <w:sz w:val="36"/>
          <w:szCs w:val="36"/>
        </w:rPr>
        <w:t>中华人民共和国生态环境部制</w:t>
      </w:r>
    </w:p>
    <w:p>
      <w:pPr>
        <w:adjustRightInd w:val="0"/>
        <w:snapToGrid w:val="0"/>
        <w:spacing w:line="288" w:lineRule="auto"/>
        <w:ind w:firstLine="1040"/>
        <w:rPr>
          <w:rFonts w:eastAsia="仿宋_GB2312"/>
          <w:color w:val="auto"/>
          <w:sz w:val="36"/>
          <w:szCs w:val="36"/>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pPr>
        <w:widowControl/>
        <w:spacing w:before="100" w:beforeAutospacing="1" w:after="100" w:afterAutospacing="1"/>
        <w:jc w:val="center"/>
        <w:outlineLvl w:val="0"/>
        <w:rPr>
          <w:rFonts w:eastAsia="黑体"/>
          <w:snapToGrid w:val="0"/>
          <w:color w:val="auto"/>
          <w:kern w:val="0"/>
          <w:sz w:val="30"/>
          <w:szCs w:val="30"/>
        </w:rPr>
      </w:pPr>
      <w:r>
        <w:rPr>
          <w:rFonts w:eastAsia="黑体"/>
          <w:snapToGrid w:val="0"/>
          <w:color w:val="auto"/>
          <w:kern w:val="0"/>
          <w:sz w:val="30"/>
          <w:szCs w:val="30"/>
        </w:rPr>
        <w:t>一、建设项目基本情况</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2108"/>
        <w:gridCol w:w="2155"/>
        <w:gridCol w:w="1828"/>
        <w:gridCol w:w="27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2108" w:type="dxa"/>
            <w:tcMar>
              <w:top w:w="16" w:type="dxa"/>
              <w:left w:w="16" w:type="dxa"/>
              <w:right w:w="16" w:type="dxa"/>
            </w:tcMar>
            <w:vAlign w:val="center"/>
          </w:tcPr>
          <w:p>
            <w:pPr>
              <w:adjustRightInd w:val="0"/>
              <w:snapToGrid w:val="0"/>
              <w:spacing w:line="360" w:lineRule="exact"/>
              <w:jc w:val="center"/>
              <w:rPr>
                <w:color w:val="auto"/>
                <w:szCs w:val="21"/>
              </w:rPr>
            </w:pPr>
            <w:r>
              <w:rPr>
                <w:color w:val="auto"/>
                <w:szCs w:val="21"/>
              </w:rPr>
              <w:t>建设项目名称</w:t>
            </w:r>
          </w:p>
        </w:tc>
        <w:tc>
          <w:tcPr>
            <w:tcW w:w="6762" w:type="dxa"/>
            <w:gridSpan w:val="3"/>
            <w:vAlign w:val="center"/>
          </w:tcPr>
          <w:p>
            <w:pPr>
              <w:adjustRightInd w:val="0"/>
              <w:snapToGrid w:val="0"/>
              <w:spacing w:line="360" w:lineRule="exact"/>
              <w:jc w:val="center"/>
              <w:rPr>
                <w:color w:val="auto"/>
                <w:szCs w:val="21"/>
              </w:rPr>
            </w:pPr>
            <w:r>
              <w:rPr>
                <w:color w:val="auto"/>
                <w:szCs w:val="21"/>
              </w:rPr>
              <w:t xml:space="preserve">昌吉市生活垃圾焚烧发电项目配套炉渣综合利用项目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2108" w:type="dxa"/>
            <w:tcMar>
              <w:top w:w="16" w:type="dxa"/>
              <w:left w:w="16" w:type="dxa"/>
              <w:right w:w="16" w:type="dxa"/>
            </w:tcMar>
            <w:vAlign w:val="center"/>
          </w:tcPr>
          <w:p>
            <w:pPr>
              <w:adjustRightInd w:val="0"/>
              <w:snapToGrid w:val="0"/>
              <w:spacing w:line="360" w:lineRule="exact"/>
              <w:jc w:val="center"/>
              <w:rPr>
                <w:color w:val="auto"/>
                <w:szCs w:val="21"/>
              </w:rPr>
            </w:pPr>
            <w:r>
              <w:rPr>
                <w:color w:val="auto"/>
                <w:szCs w:val="21"/>
              </w:rPr>
              <w:t>项目代码</w:t>
            </w:r>
          </w:p>
        </w:tc>
        <w:tc>
          <w:tcPr>
            <w:tcW w:w="6762" w:type="dxa"/>
            <w:gridSpan w:val="3"/>
            <w:vAlign w:val="center"/>
          </w:tcPr>
          <w:p>
            <w:pPr>
              <w:adjustRightInd w:val="0"/>
              <w:snapToGrid w:val="0"/>
              <w:spacing w:line="360" w:lineRule="exact"/>
              <w:jc w:val="center"/>
              <w:rPr>
                <w:color w:val="auto"/>
                <w:szCs w:val="21"/>
              </w:rPr>
            </w:pPr>
            <w:r>
              <w:rPr>
                <w:rFonts w:hint="eastAsia"/>
                <w:color w:val="auto"/>
                <w:szCs w:val="21"/>
              </w:rPr>
              <w:t>2109-652301-04-01-791411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108" w:type="dxa"/>
            <w:tcMar>
              <w:top w:w="16" w:type="dxa"/>
              <w:left w:w="16" w:type="dxa"/>
              <w:right w:w="16" w:type="dxa"/>
            </w:tcMar>
            <w:vAlign w:val="center"/>
          </w:tcPr>
          <w:p>
            <w:pPr>
              <w:adjustRightInd w:val="0"/>
              <w:snapToGrid w:val="0"/>
              <w:spacing w:line="360" w:lineRule="exact"/>
              <w:jc w:val="center"/>
              <w:rPr>
                <w:color w:val="auto"/>
                <w:szCs w:val="21"/>
              </w:rPr>
            </w:pPr>
            <w:r>
              <w:rPr>
                <w:color w:val="auto"/>
                <w:szCs w:val="21"/>
              </w:rPr>
              <w:t>建设单位联系人</w:t>
            </w:r>
          </w:p>
        </w:tc>
        <w:tc>
          <w:tcPr>
            <w:tcW w:w="2155" w:type="dxa"/>
            <w:vAlign w:val="center"/>
          </w:tcPr>
          <w:p>
            <w:pPr>
              <w:adjustRightInd w:val="0"/>
              <w:snapToGrid w:val="0"/>
              <w:spacing w:line="360" w:lineRule="exact"/>
              <w:jc w:val="center"/>
              <w:rPr>
                <w:color w:val="auto"/>
                <w:szCs w:val="21"/>
              </w:rPr>
            </w:pPr>
            <w:r>
              <w:rPr>
                <w:rFonts w:hint="eastAsia"/>
                <w:color w:val="auto"/>
                <w:szCs w:val="21"/>
              </w:rPr>
              <w:t>晁文良</w:t>
            </w:r>
          </w:p>
        </w:tc>
        <w:tc>
          <w:tcPr>
            <w:tcW w:w="1828" w:type="dxa"/>
            <w:vAlign w:val="center"/>
          </w:tcPr>
          <w:p>
            <w:pPr>
              <w:adjustRightInd w:val="0"/>
              <w:snapToGrid w:val="0"/>
              <w:spacing w:line="360" w:lineRule="exact"/>
              <w:jc w:val="center"/>
              <w:rPr>
                <w:color w:val="auto"/>
                <w:szCs w:val="21"/>
              </w:rPr>
            </w:pPr>
            <w:r>
              <w:rPr>
                <w:color w:val="auto"/>
                <w:szCs w:val="21"/>
              </w:rPr>
              <w:t>联系方式</w:t>
            </w:r>
          </w:p>
        </w:tc>
        <w:tc>
          <w:tcPr>
            <w:tcW w:w="2779" w:type="dxa"/>
            <w:vAlign w:val="center"/>
          </w:tcPr>
          <w:p>
            <w:pPr>
              <w:adjustRightInd w:val="0"/>
              <w:snapToGrid w:val="0"/>
              <w:spacing w:line="360" w:lineRule="exact"/>
              <w:jc w:val="center"/>
              <w:rPr>
                <w:color w:val="auto"/>
                <w:szCs w:val="21"/>
              </w:rPr>
            </w:pPr>
            <w:r>
              <w:rPr>
                <w:rFonts w:hint="eastAsia"/>
                <w:color w:val="auto"/>
                <w:szCs w:val="21"/>
              </w:rPr>
              <w:t>13899991234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108" w:type="dxa"/>
            <w:tcMar>
              <w:top w:w="16" w:type="dxa"/>
              <w:left w:w="16" w:type="dxa"/>
              <w:right w:w="16" w:type="dxa"/>
            </w:tcMar>
            <w:vAlign w:val="center"/>
          </w:tcPr>
          <w:p>
            <w:pPr>
              <w:adjustRightInd w:val="0"/>
              <w:snapToGrid w:val="0"/>
              <w:spacing w:line="360" w:lineRule="exact"/>
              <w:jc w:val="center"/>
              <w:rPr>
                <w:color w:val="auto"/>
                <w:szCs w:val="21"/>
              </w:rPr>
            </w:pPr>
            <w:r>
              <w:rPr>
                <w:color w:val="auto"/>
                <w:szCs w:val="21"/>
              </w:rPr>
              <w:t>建设地点</w:t>
            </w:r>
          </w:p>
        </w:tc>
        <w:tc>
          <w:tcPr>
            <w:tcW w:w="6762" w:type="dxa"/>
            <w:gridSpan w:val="3"/>
            <w:vAlign w:val="center"/>
          </w:tcPr>
          <w:p>
            <w:pPr>
              <w:adjustRightInd w:val="0"/>
              <w:snapToGrid w:val="0"/>
              <w:spacing w:line="360" w:lineRule="exact"/>
              <w:jc w:val="center"/>
              <w:rPr>
                <w:color w:val="auto"/>
                <w:szCs w:val="21"/>
              </w:rPr>
            </w:pPr>
            <w:r>
              <w:rPr>
                <w:rFonts w:hint="eastAsia"/>
                <w:color w:val="auto"/>
                <w:szCs w:val="21"/>
              </w:rPr>
              <w:t>昌吉市庙儿沟乡和谐二村昌吉市生活垃圾城北填埋场项目西南方900m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7" w:hRule="atLeast"/>
          <w:jc w:val="center"/>
        </w:trPr>
        <w:tc>
          <w:tcPr>
            <w:tcW w:w="2108" w:type="dxa"/>
            <w:tcMar>
              <w:top w:w="16" w:type="dxa"/>
              <w:left w:w="16" w:type="dxa"/>
              <w:right w:w="16" w:type="dxa"/>
            </w:tcMar>
            <w:vAlign w:val="center"/>
          </w:tcPr>
          <w:p>
            <w:pPr>
              <w:adjustRightInd w:val="0"/>
              <w:snapToGrid w:val="0"/>
              <w:spacing w:line="360" w:lineRule="exact"/>
              <w:jc w:val="center"/>
              <w:rPr>
                <w:color w:val="auto"/>
                <w:szCs w:val="21"/>
              </w:rPr>
            </w:pPr>
            <w:r>
              <w:rPr>
                <w:color w:val="auto"/>
                <w:szCs w:val="21"/>
              </w:rPr>
              <w:t>地理坐标</w:t>
            </w:r>
          </w:p>
        </w:tc>
        <w:tc>
          <w:tcPr>
            <w:tcW w:w="6762" w:type="dxa"/>
            <w:gridSpan w:val="3"/>
            <w:vAlign w:val="center"/>
          </w:tcPr>
          <w:p>
            <w:pPr>
              <w:spacing w:line="360" w:lineRule="exact"/>
              <w:jc w:val="center"/>
              <w:rPr>
                <w:color w:val="auto"/>
                <w:szCs w:val="21"/>
              </w:rPr>
            </w:pPr>
            <w:r>
              <w:rPr>
                <w:rFonts w:hint="eastAsia"/>
                <w:color w:val="auto"/>
                <w:szCs w:val="21"/>
              </w:rPr>
              <w:t>中心点坐标（87</w:t>
            </w:r>
            <w:r>
              <w:rPr>
                <w:color w:val="auto"/>
                <w:szCs w:val="21"/>
              </w:rPr>
              <w:t>度17分</w:t>
            </w:r>
            <w:r>
              <w:rPr>
                <w:rFonts w:hint="eastAsia"/>
                <w:color w:val="auto"/>
                <w:szCs w:val="21"/>
              </w:rPr>
              <w:t>10.860</w:t>
            </w:r>
            <w:r>
              <w:rPr>
                <w:color w:val="auto"/>
                <w:szCs w:val="21"/>
              </w:rPr>
              <w:t>秒</w:t>
            </w:r>
            <w:r>
              <w:rPr>
                <w:rFonts w:hint="eastAsia"/>
                <w:color w:val="auto"/>
                <w:szCs w:val="21"/>
              </w:rPr>
              <w:t>，</w:t>
            </w:r>
            <w:r>
              <w:rPr>
                <w:color w:val="auto"/>
                <w:szCs w:val="21"/>
              </w:rPr>
              <w:t>44度2</w:t>
            </w:r>
            <w:r>
              <w:rPr>
                <w:rFonts w:hint="eastAsia"/>
                <w:color w:val="auto"/>
                <w:szCs w:val="21"/>
              </w:rPr>
              <w:t>4</w:t>
            </w:r>
            <w:r>
              <w:rPr>
                <w:color w:val="auto"/>
                <w:szCs w:val="21"/>
              </w:rPr>
              <w:t>分</w:t>
            </w:r>
            <w:r>
              <w:rPr>
                <w:rFonts w:hint="eastAsia"/>
                <w:color w:val="auto"/>
                <w:szCs w:val="21"/>
              </w:rPr>
              <w:t>43.395</w:t>
            </w:r>
            <w:r>
              <w:rPr>
                <w:color w:val="auto"/>
                <w:szCs w:val="21"/>
              </w:rPr>
              <w:t>秒</w:t>
            </w:r>
            <w:r>
              <w:rPr>
                <w:rFonts w:hint="eastAsia"/>
                <w:color w:val="auto"/>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108" w:type="dxa"/>
            <w:tcMar>
              <w:top w:w="16" w:type="dxa"/>
              <w:left w:w="16" w:type="dxa"/>
              <w:right w:w="16" w:type="dxa"/>
            </w:tcMar>
            <w:vAlign w:val="center"/>
          </w:tcPr>
          <w:p>
            <w:pPr>
              <w:adjustRightInd w:val="0"/>
              <w:snapToGrid w:val="0"/>
              <w:spacing w:line="360" w:lineRule="exact"/>
              <w:jc w:val="center"/>
              <w:rPr>
                <w:color w:val="auto"/>
                <w:szCs w:val="21"/>
              </w:rPr>
            </w:pPr>
            <w:r>
              <w:rPr>
                <w:color w:val="auto"/>
                <w:szCs w:val="21"/>
              </w:rPr>
              <w:t>国民经济</w:t>
            </w:r>
          </w:p>
          <w:p>
            <w:pPr>
              <w:adjustRightInd w:val="0"/>
              <w:snapToGrid w:val="0"/>
              <w:spacing w:line="360" w:lineRule="exact"/>
              <w:jc w:val="center"/>
              <w:rPr>
                <w:color w:val="auto"/>
                <w:szCs w:val="21"/>
              </w:rPr>
            </w:pPr>
            <w:r>
              <w:rPr>
                <w:color w:val="auto"/>
                <w:szCs w:val="21"/>
              </w:rPr>
              <w:t>行业类别</w:t>
            </w:r>
          </w:p>
        </w:tc>
        <w:tc>
          <w:tcPr>
            <w:tcW w:w="2155" w:type="dxa"/>
            <w:vAlign w:val="center"/>
          </w:tcPr>
          <w:p>
            <w:pPr>
              <w:adjustRightInd w:val="0"/>
              <w:snapToGrid w:val="0"/>
              <w:spacing w:line="240" w:lineRule="atLeast"/>
              <w:rPr>
                <w:color w:val="auto"/>
              </w:rPr>
            </w:pPr>
            <w:r>
              <w:rPr>
                <w:rFonts w:hint="eastAsia"/>
                <w:color w:val="auto"/>
              </w:rPr>
              <w:t>C303 砖瓦、石材等建筑材料制造</w:t>
            </w:r>
          </w:p>
          <w:p>
            <w:pPr>
              <w:adjustRightInd w:val="0"/>
              <w:snapToGrid w:val="0"/>
              <w:spacing w:line="360" w:lineRule="exact"/>
              <w:rPr>
                <w:color w:val="auto"/>
                <w:szCs w:val="21"/>
              </w:rPr>
            </w:pPr>
            <w:r>
              <w:rPr>
                <w:rFonts w:hint="eastAsia"/>
                <w:color w:val="auto"/>
                <w:szCs w:val="21"/>
              </w:rPr>
              <w:t>C4220 非金属废料和碎屑加工处理</w:t>
            </w:r>
          </w:p>
        </w:tc>
        <w:tc>
          <w:tcPr>
            <w:tcW w:w="1828" w:type="dxa"/>
            <w:vAlign w:val="center"/>
          </w:tcPr>
          <w:p>
            <w:pPr>
              <w:adjustRightInd w:val="0"/>
              <w:snapToGrid w:val="0"/>
              <w:spacing w:line="360" w:lineRule="exact"/>
              <w:jc w:val="center"/>
              <w:rPr>
                <w:color w:val="auto"/>
                <w:szCs w:val="21"/>
              </w:rPr>
            </w:pPr>
            <w:bookmarkStart w:id="1" w:name="_Hlk49843745"/>
            <w:r>
              <w:rPr>
                <w:color w:val="auto"/>
                <w:szCs w:val="21"/>
              </w:rPr>
              <w:t>建设项目</w:t>
            </w:r>
          </w:p>
          <w:p>
            <w:pPr>
              <w:adjustRightInd w:val="0"/>
              <w:snapToGrid w:val="0"/>
              <w:spacing w:line="360" w:lineRule="exact"/>
              <w:jc w:val="center"/>
              <w:rPr>
                <w:color w:val="auto"/>
                <w:szCs w:val="21"/>
              </w:rPr>
            </w:pPr>
            <w:r>
              <w:rPr>
                <w:color w:val="auto"/>
                <w:szCs w:val="21"/>
              </w:rPr>
              <w:t>行业类别</w:t>
            </w:r>
            <w:bookmarkEnd w:id="1"/>
          </w:p>
        </w:tc>
        <w:tc>
          <w:tcPr>
            <w:tcW w:w="2779" w:type="dxa"/>
            <w:vAlign w:val="center"/>
          </w:tcPr>
          <w:p>
            <w:pPr>
              <w:jc w:val="left"/>
              <w:rPr>
                <w:rFonts w:ascii="宋体" w:hAnsi="宋体"/>
                <w:color w:val="auto"/>
              </w:rPr>
            </w:pPr>
            <w:r>
              <w:rPr>
                <w:rFonts w:hint="eastAsia" w:ascii="宋体" w:hAnsi="宋体"/>
                <w:color w:val="auto"/>
              </w:rPr>
              <w:t>二十七、非金属矿物制造业</w:t>
            </w:r>
          </w:p>
          <w:p>
            <w:pPr>
              <w:jc w:val="left"/>
              <w:rPr>
                <w:color w:val="auto"/>
              </w:rPr>
            </w:pPr>
            <w:r>
              <w:rPr>
                <w:rFonts w:hint="eastAsia" w:ascii="宋体" w:hAnsi="宋体"/>
                <w:color w:val="auto"/>
              </w:rPr>
              <w:t>砖瓦、石材等建筑材料制造</w:t>
            </w:r>
            <w:r>
              <w:rPr>
                <w:color w:val="auto"/>
              </w:rPr>
              <w:t>303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108" w:type="dxa"/>
            <w:tcMar>
              <w:top w:w="16" w:type="dxa"/>
              <w:left w:w="16" w:type="dxa"/>
              <w:right w:w="16" w:type="dxa"/>
            </w:tcMar>
            <w:vAlign w:val="center"/>
          </w:tcPr>
          <w:p>
            <w:pPr>
              <w:adjustRightInd w:val="0"/>
              <w:snapToGrid w:val="0"/>
              <w:spacing w:line="360" w:lineRule="exact"/>
              <w:jc w:val="center"/>
              <w:rPr>
                <w:color w:val="auto"/>
                <w:szCs w:val="21"/>
              </w:rPr>
            </w:pPr>
            <w:r>
              <w:rPr>
                <w:color w:val="auto"/>
                <w:szCs w:val="21"/>
              </w:rPr>
              <w:t>建设性质</w:t>
            </w:r>
          </w:p>
        </w:tc>
        <w:tc>
          <w:tcPr>
            <w:tcW w:w="2155" w:type="dxa"/>
            <w:vAlign w:val="center"/>
          </w:tcPr>
          <w:p>
            <w:pPr>
              <w:spacing w:line="360" w:lineRule="exact"/>
              <w:jc w:val="left"/>
              <w:rPr>
                <w:color w:val="auto"/>
                <w:szCs w:val="21"/>
              </w:rPr>
            </w:pPr>
            <w:r>
              <w:rPr>
                <w:rFonts w:hint="eastAsia"/>
                <w:color w:val="auto"/>
                <w:szCs w:val="21"/>
              </w:rPr>
              <w:t>☑</w:t>
            </w:r>
            <w:r>
              <w:rPr>
                <w:color w:val="auto"/>
                <w:szCs w:val="21"/>
              </w:rPr>
              <w:t>新建（迁建）</w:t>
            </w:r>
          </w:p>
          <w:p>
            <w:pPr>
              <w:spacing w:line="360" w:lineRule="exact"/>
              <w:jc w:val="left"/>
              <w:rPr>
                <w:color w:val="auto"/>
                <w:szCs w:val="21"/>
              </w:rPr>
            </w:pPr>
            <w:r>
              <w:rPr>
                <w:color w:val="auto"/>
                <w:szCs w:val="21"/>
              </w:rPr>
              <w:t>□改建</w:t>
            </w:r>
          </w:p>
          <w:p>
            <w:pPr>
              <w:spacing w:line="360" w:lineRule="exact"/>
              <w:jc w:val="left"/>
              <w:rPr>
                <w:color w:val="auto"/>
                <w:szCs w:val="21"/>
              </w:rPr>
            </w:pPr>
            <w:r>
              <w:rPr>
                <w:color w:val="auto"/>
                <w:szCs w:val="21"/>
              </w:rPr>
              <w:t>□扩建</w:t>
            </w:r>
          </w:p>
          <w:p>
            <w:pPr>
              <w:spacing w:line="360" w:lineRule="exact"/>
              <w:jc w:val="left"/>
              <w:rPr>
                <w:color w:val="auto"/>
                <w:szCs w:val="21"/>
              </w:rPr>
            </w:pPr>
            <w:r>
              <w:rPr>
                <w:color w:val="auto"/>
                <w:szCs w:val="21"/>
              </w:rPr>
              <w:t>□技术改造</w:t>
            </w:r>
          </w:p>
        </w:tc>
        <w:tc>
          <w:tcPr>
            <w:tcW w:w="1828" w:type="dxa"/>
            <w:vAlign w:val="center"/>
          </w:tcPr>
          <w:p>
            <w:pPr>
              <w:adjustRightInd w:val="0"/>
              <w:snapToGrid w:val="0"/>
              <w:spacing w:line="360" w:lineRule="exact"/>
              <w:jc w:val="center"/>
              <w:rPr>
                <w:color w:val="auto"/>
                <w:szCs w:val="21"/>
              </w:rPr>
            </w:pPr>
            <w:r>
              <w:rPr>
                <w:color w:val="auto"/>
                <w:szCs w:val="21"/>
              </w:rPr>
              <w:t>建设项目</w:t>
            </w:r>
          </w:p>
          <w:p>
            <w:pPr>
              <w:adjustRightInd w:val="0"/>
              <w:snapToGrid w:val="0"/>
              <w:spacing w:line="360" w:lineRule="exact"/>
              <w:jc w:val="center"/>
              <w:rPr>
                <w:color w:val="auto"/>
                <w:szCs w:val="21"/>
              </w:rPr>
            </w:pPr>
            <w:r>
              <w:rPr>
                <w:color w:val="auto"/>
                <w:szCs w:val="21"/>
              </w:rPr>
              <w:t>申报情形</w:t>
            </w:r>
          </w:p>
        </w:tc>
        <w:tc>
          <w:tcPr>
            <w:tcW w:w="2779" w:type="dxa"/>
            <w:vAlign w:val="center"/>
          </w:tcPr>
          <w:p>
            <w:pPr>
              <w:spacing w:line="360" w:lineRule="exact"/>
              <w:jc w:val="left"/>
              <w:rPr>
                <w:color w:val="auto"/>
                <w:szCs w:val="21"/>
              </w:rPr>
            </w:pPr>
            <w:r>
              <w:rPr>
                <w:rFonts w:hint="eastAsia"/>
                <w:color w:val="auto"/>
                <w:szCs w:val="21"/>
              </w:rPr>
              <w:t>☑</w:t>
            </w:r>
            <w:r>
              <w:rPr>
                <w:color w:val="auto"/>
                <w:szCs w:val="21"/>
              </w:rPr>
              <w:t xml:space="preserve">首次申报项目             </w:t>
            </w:r>
          </w:p>
          <w:p>
            <w:pPr>
              <w:spacing w:line="360" w:lineRule="exact"/>
              <w:jc w:val="left"/>
              <w:rPr>
                <w:color w:val="auto"/>
                <w:szCs w:val="21"/>
              </w:rPr>
            </w:pPr>
            <w:r>
              <w:rPr>
                <w:color w:val="auto"/>
                <w:szCs w:val="21"/>
              </w:rPr>
              <w:t>□不予批准后再次申报项目</w:t>
            </w:r>
          </w:p>
          <w:p>
            <w:pPr>
              <w:spacing w:line="360" w:lineRule="exact"/>
              <w:jc w:val="left"/>
              <w:rPr>
                <w:color w:val="auto"/>
                <w:szCs w:val="21"/>
              </w:rPr>
            </w:pPr>
            <w:r>
              <w:rPr>
                <w:color w:val="auto"/>
                <w:szCs w:val="21"/>
              </w:rPr>
              <w:t xml:space="preserve">□超五年重新审核项目     </w:t>
            </w:r>
          </w:p>
          <w:p>
            <w:pPr>
              <w:spacing w:line="360" w:lineRule="exact"/>
              <w:jc w:val="left"/>
              <w:rPr>
                <w:color w:val="auto"/>
                <w:szCs w:val="21"/>
              </w:rPr>
            </w:pPr>
            <w:r>
              <w:rPr>
                <w:color w:val="auto"/>
                <w:szCs w:val="21"/>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108" w:type="dxa"/>
            <w:tcMar>
              <w:top w:w="16" w:type="dxa"/>
              <w:left w:w="16" w:type="dxa"/>
              <w:right w:w="16" w:type="dxa"/>
            </w:tcMar>
            <w:vAlign w:val="center"/>
          </w:tcPr>
          <w:p>
            <w:pPr>
              <w:adjustRightInd w:val="0"/>
              <w:snapToGrid w:val="0"/>
              <w:spacing w:line="360" w:lineRule="exact"/>
              <w:jc w:val="center"/>
              <w:rPr>
                <w:color w:val="auto"/>
                <w:szCs w:val="21"/>
              </w:rPr>
            </w:pPr>
            <w:r>
              <w:rPr>
                <w:color w:val="auto"/>
                <w:szCs w:val="21"/>
              </w:rPr>
              <w:t>项目</w:t>
            </w:r>
            <w:r>
              <w:rPr>
                <w:rFonts w:hint="eastAsia"/>
                <w:color w:val="auto"/>
                <w:szCs w:val="21"/>
              </w:rPr>
              <w:t>备案</w:t>
            </w:r>
            <w:r>
              <w:rPr>
                <w:color w:val="auto"/>
                <w:szCs w:val="21"/>
              </w:rPr>
              <w:t>部门</w:t>
            </w:r>
          </w:p>
        </w:tc>
        <w:tc>
          <w:tcPr>
            <w:tcW w:w="2155" w:type="dxa"/>
            <w:vAlign w:val="center"/>
          </w:tcPr>
          <w:p>
            <w:pPr>
              <w:adjustRightInd w:val="0"/>
              <w:snapToGrid w:val="0"/>
              <w:spacing w:line="360" w:lineRule="exact"/>
              <w:jc w:val="center"/>
              <w:rPr>
                <w:color w:val="auto"/>
                <w:szCs w:val="21"/>
              </w:rPr>
            </w:pPr>
            <w:r>
              <w:rPr>
                <w:rFonts w:hint="eastAsia"/>
                <w:color w:val="auto"/>
                <w:szCs w:val="21"/>
              </w:rPr>
              <w:t>昌吉市发展和</w:t>
            </w:r>
          </w:p>
          <w:p>
            <w:pPr>
              <w:adjustRightInd w:val="0"/>
              <w:snapToGrid w:val="0"/>
              <w:spacing w:line="360" w:lineRule="exact"/>
              <w:jc w:val="center"/>
              <w:rPr>
                <w:color w:val="auto"/>
                <w:szCs w:val="21"/>
              </w:rPr>
            </w:pPr>
            <w:r>
              <w:rPr>
                <w:rFonts w:hint="eastAsia"/>
                <w:color w:val="auto"/>
                <w:szCs w:val="21"/>
              </w:rPr>
              <w:t>改革委员会</w:t>
            </w:r>
          </w:p>
        </w:tc>
        <w:tc>
          <w:tcPr>
            <w:tcW w:w="1828" w:type="dxa"/>
            <w:vAlign w:val="center"/>
          </w:tcPr>
          <w:p>
            <w:pPr>
              <w:adjustRightInd w:val="0"/>
              <w:snapToGrid w:val="0"/>
              <w:spacing w:line="360" w:lineRule="exact"/>
              <w:jc w:val="center"/>
              <w:rPr>
                <w:color w:val="auto"/>
                <w:szCs w:val="21"/>
              </w:rPr>
            </w:pPr>
            <w:r>
              <w:rPr>
                <w:color w:val="auto"/>
                <w:szCs w:val="21"/>
              </w:rPr>
              <w:t>项目备案文号</w:t>
            </w:r>
          </w:p>
        </w:tc>
        <w:tc>
          <w:tcPr>
            <w:tcW w:w="2779" w:type="dxa"/>
            <w:vAlign w:val="center"/>
          </w:tcPr>
          <w:p>
            <w:pPr>
              <w:adjustRightInd w:val="0"/>
              <w:snapToGrid w:val="0"/>
              <w:spacing w:line="360" w:lineRule="exact"/>
              <w:jc w:val="center"/>
              <w:rPr>
                <w:color w:val="auto"/>
                <w:szCs w:val="21"/>
              </w:rPr>
            </w:pPr>
            <w:r>
              <w:rPr>
                <w:rFonts w:hint="eastAsia"/>
                <w:color w:val="auto"/>
                <w:szCs w:val="21"/>
              </w:rPr>
              <w:t>昌市发改许可（2021）65号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3" w:hRule="atLeast"/>
          <w:jc w:val="center"/>
        </w:trPr>
        <w:tc>
          <w:tcPr>
            <w:tcW w:w="2108" w:type="dxa"/>
            <w:tcMar>
              <w:top w:w="16" w:type="dxa"/>
              <w:left w:w="16" w:type="dxa"/>
              <w:right w:w="16" w:type="dxa"/>
            </w:tcMar>
            <w:vAlign w:val="center"/>
          </w:tcPr>
          <w:p>
            <w:pPr>
              <w:adjustRightInd w:val="0"/>
              <w:snapToGrid w:val="0"/>
              <w:spacing w:line="360" w:lineRule="exact"/>
              <w:jc w:val="center"/>
              <w:rPr>
                <w:color w:val="auto"/>
                <w:szCs w:val="21"/>
              </w:rPr>
            </w:pPr>
            <w:r>
              <w:rPr>
                <w:color w:val="auto"/>
                <w:szCs w:val="21"/>
              </w:rPr>
              <w:t>总投资（万元）</w:t>
            </w:r>
          </w:p>
        </w:tc>
        <w:tc>
          <w:tcPr>
            <w:tcW w:w="2155" w:type="dxa"/>
            <w:shd w:val="clear" w:color="auto" w:fill="auto"/>
            <w:vAlign w:val="center"/>
          </w:tcPr>
          <w:p>
            <w:pPr>
              <w:adjustRightInd w:val="0"/>
              <w:snapToGrid w:val="0"/>
              <w:spacing w:line="360" w:lineRule="exact"/>
              <w:jc w:val="center"/>
              <w:rPr>
                <w:color w:val="auto"/>
                <w:szCs w:val="21"/>
              </w:rPr>
            </w:pPr>
            <w:r>
              <w:rPr>
                <w:rFonts w:hint="eastAsia"/>
                <w:color w:val="auto"/>
                <w:szCs w:val="21"/>
              </w:rPr>
              <w:t>5009.87</w:t>
            </w:r>
          </w:p>
        </w:tc>
        <w:tc>
          <w:tcPr>
            <w:tcW w:w="1828" w:type="dxa"/>
            <w:shd w:val="clear" w:color="auto" w:fill="auto"/>
            <w:tcMar>
              <w:top w:w="16" w:type="dxa"/>
              <w:left w:w="16" w:type="dxa"/>
              <w:right w:w="16" w:type="dxa"/>
            </w:tcMar>
            <w:vAlign w:val="center"/>
          </w:tcPr>
          <w:p>
            <w:pPr>
              <w:adjustRightInd w:val="0"/>
              <w:snapToGrid w:val="0"/>
              <w:spacing w:line="360" w:lineRule="exact"/>
              <w:jc w:val="center"/>
              <w:rPr>
                <w:color w:val="auto"/>
                <w:szCs w:val="21"/>
              </w:rPr>
            </w:pPr>
            <w:r>
              <w:rPr>
                <w:color w:val="auto"/>
                <w:szCs w:val="21"/>
              </w:rPr>
              <w:t>环保投资（万元）</w:t>
            </w:r>
          </w:p>
        </w:tc>
        <w:tc>
          <w:tcPr>
            <w:tcW w:w="2779" w:type="dxa"/>
            <w:shd w:val="clear" w:color="auto" w:fill="auto"/>
            <w:vAlign w:val="center"/>
          </w:tcPr>
          <w:p>
            <w:pPr>
              <w:adjustRightInd w:val="0"/>
              <w:snapToGrid w:val="0"/>
              <w:spacing w:line="360" w:lineRule="exact"/>
              <w:jc w:val="center"/>
              <w:rPr>
                <w:rFonts w:hint="default" w:eastAsia="宋体"/>
                <w:color w:val="auto"/>
                <w:szCs w:val="21"/>
                <w:lang w:val="en-US" w:eastAsia="zh-CN"/>
              </w:rPr>
            </w:pPr>
            <w:r>
              <w:rPr>
                <w:rFonts w:hint="eastAsia"/>
                <w:color w:val="auto"/>
                <w:szCs w:val="21"/>
                <w:lang w:val="en-US" w:eastAsia="zh-CN"/>
              </w:rPr>
              <w:t>560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5" w:hRule="atLeast"/>
          <w:jc w:val="center"/>
        </w:trPr>
        <w:tc>
          <w:tcPr>
            <w:tcW w:w="2108" w:type="dxa"/>
            <w:tcMar>
              <w:top w:w="16" w:type="dxa"/>
              <w:left w:w="16" w:type="dxa"/>
              <w:right w:w="16" w:type="dxa"/>
            </w:tcMar>
            <w:vAlign w:val="center"/>
          </w:tcPr>
          <w:p>
            <w:pPr>
              <w:adjustRightInd w:val="0"/>
              <w:snapToGrid w:val="0"/>
              <w:spacing w:line="360" w:lineRule="exact"/>
              <w:jc w:val="center"/>
              <w:rPr>
                <w:color w:val="auto"/>
                <w:szCs w:val="21"/>
              </w:rPr>
            </w:pPr>
            <w:r>
              <w:rPr>
                <w:color w:val="auto"/>
                <w:szCs w:val="21"/>
              </w:rPr>
              <w:t>环保投资占比（%）</w:t>
            </w:r>
          </w:p>
        </w:tc>
        <w:tc>
          <w:tcPr>
            <w:tcW w:w="2155" w:type="dxa"/>
            <w:shd w:val="clear" w:color="auto" w:fill="auto"/>
            <w:vAlign w:val="center"/>
          </w:tcPr>
          <w:p>
            <w:pPr>
              <w:adjustRightInd w:val="0"/>
              <w:snapToGrid w:val="0"/>
              <w:spacing w:line="360" w:lineRule="exact"/>
              <w:jc w:val="center"/>
              <w:rPr>
                <w:rFonts w:hint="default" w:eastAsia="宋体"/>
                <w:color w:val="auto"/>
                <w:szCs w:val="21"/>
                <w:lang w:val="en-US" w:eastAsia="zh-CN"/>
              </w:rPr>
            </w:pPr>
            <w:r>
              <w:rPr>
                <w:rFonts w:hint="eastAsia"/>
                <w:color w:val="auto"/>
                <w:szCs w:val="21"/>
                <w:lang w:val="en-US" w:eastAsia="zh-CN"/>
              </w:rPr>
              <w:t>11.18</w:t>
            </w:r>
          </w:p>
        </w:tc>
        <w:tc>
          <w:tcPr>
            <w:tcW w:w="1828" w:type="dxa"/>
            <w:shd w:val="clear" w:color="auto" w:fill="auto"/>
            <w:tcMar>
              <w:top w:w="16" w:type="dxa"/>
              <w:left w:w="16" w:type="dxa"/>
              <w:right w:w="16" w:type="dxa"/>
            </w:tcMar>
            <w:vAlign w:val="center"/>
          </w:tcPr>
          <w:p>
            <w:pPr>
              <w:adjustRightInd w:val="0"/>
              <w:snapToGrid w:val="0"/>
              <w:spacing w:line="360" w:lineRule="exact"/>
              <w:jc w:val="center"/>
              <w:rPr>
                <w:color w:val="auto"/>
                <w:szCs w:val="21"/>
              </w:rPr>
            </w:pPr>
            <w:r>
              <w:rPr>
                <w:color w:val="auto"/>
                <w:szCs w:val="21"/>
              </w:rPr>
              <w:t>施工工期</w:t>
            </w:r>
          </w:p>
        </w:tc>
        <w:tc>
          <w:tcPr>
            <w:tcW w:w="2779" w:type="dxa"/>
            <w:shd w:val="clear" w:color="auto" w:fill="auto"/>
            <w:vAlign w:val="center"/>
          </w:tcPr>
          <w:p>
            <w:pPr>
              <w:adjustRightInd w:val="0"/>
              <w:snapToGrid w:val="0"/>
              <w:spacing w:line="360" w:lineRule="exact"/>
              <w:jc w:val="center"/>
              <w:rPr>
                <w:rFonts w:hint="eastAsia" w:eastAsia="宋体"/>
                <w:color w:val="auto"/>
                <w:szCs w:val="21"/>
                <w:lang w:eastAsia="zh-CN"/>
              </w:rPr>
            </w:pPr>
            <w:r>
              <w:rPr>
                <w:rFonts w:hint="eastAsia"/>
                <w:color w:val="auto"/>
                <w:szCs w:val="21"/>
              </w:rPr>
              <w:t>2022.0</w:t>
            </w:r>
            <w:r>
              <w:rPr>
                <w:rFonts w:hint="eastAsia"/>
                <w:color w:val="auto"/>
                <w:szCs w:val="21"/>
                <w:lang w:val="en-US" w:eastAsia="zh-CN"/>
              </w:rPr>
              <w:t>4</w:t>
            </w:r>
            <w:r>
              <w:rPr>
                <w:rFonts w:hint="eastAsia"/>
                <w:color w:val="auto"/>
                <w:szCs w:val="21"/>
              </w:rPr>
              <w:t>~2023.0</w:t>
            </w:r>
            <w:r>
              <w:rPr>
                <w:rFonts w:hint="eastAsia"/>
                <w:color w:val="auto"/>
                <w:szCs w:val="21"/>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108" w:type="dxa"/>
            <w:tcMar>
              <w:top w:w="16" w:type="dxa"/>
              <w:left w:w="16" w:type="dxa"/>
              <w:right w:w="16" w:type="dxa"/>
            </w:tcMar>
            <w:vAlign w:val="center"/>
          </w:tcPr>
          <w:p>
            <w:pPr>
              <w:adjustRightInd w:val="0"/>
              <w:snapToGrid w:val="0"/>
              <w:spacing w:line="360" w:lineRule="exact"/>
              <w:jc w:val="center"/>
              <w:rPr>
                <w:color w:val="auto"/>
                <w:szCs w:val="21"/>
              </w:rPr>
            </w:pPr>
            <w:r>
              <w:rPr>
                <w:color w:val="auto"/>
                <w:szCs w:val="21"/>
              </w:rPr>
              <w:t>是否开工建设</w:t>
            </w:r>
          </w:p>
        </w:tc>
        <w:tc>
          <w:tcPr>
            <w:tcW w:w="2155" w:type="dxa"/>
            <w:vAlign w:val="center"/>
          </w:tcPr>
          <w:p>
            <w:pPr>
              <w:adjustRightInd w:val="0"/>
              <w:snapToGrid w:val="0"/>
              <w:spacing w:line="360" w:lineRule="exact"/>
              <w:rPr>
                <w:color w:val="auto"/>
              </w:rPr>
            </w:pPr>
            <w:r>
              <w:rPr>
                <w:rFonts w:hint="eastAsia"/>
                <w:color w:val="auto"/>
                <w:szCs w:val="21"/>
              </w:rPr>
              <w:t>☑</w:t>
            </w:r>
            <w:r>
              <w:rPr>
                <w:color w:val="auto"/>
              </w:rPr>
              <w:t>否</w:t>
            </w:r>
          </w:p>
          <w:p>
            <w:pPr>
              <w:adjustRightInd w:val="0"/>
              <w:snapToGrid w:val="0"/>
              <w:spacing w:line="360" w:lineRule="exact"/>
              <w:rPr>
                <w:color w:val="auto"/>
              </w:rPr>
            </w:pPr>
            <w:r>
              <w:rPr>
                <w:color w:val="auto"/>
                <w:szCs w:val="21"/>
              </w:rPr>
              <w:t>□</w:t>
            </w:r>
            <w:r>
              <w:rPr>
                <w:color w:val="auto"/>
              </w:rPr>
              <w:t>是</w:t>
            </w:r>
          </w:p>
        </w:tc>
        <w:tc>
          <w:tcPr>
            <w:tcW w:w="1828" w:type="dxa"/>
            <w:tcMar>
              <w:top w:w="16" w:type="dxa"/>
              <w:left w:w="16" w:type="dxa"/>
              <w:right w:w="16" w:type="dxa"/>
            </w:tcMar>
            <w:vAlign w:val="center"/>
          </w:tcPr>
          <w:p>
            <w:pPr>
              <w:adjustRightInd w:val="0"/>
              <w:snapToGrid w:val="0"/>
              <w:spacing w:line="360" w:lineRule="exact"/>
              <w:jc w:val="center"/>
              <w:rPr>
                <w:color w:val="auto"/>
                <w:szCs w:val="21"/>
              </w:rPr>
            </w:pPr>
            <w:r>
              <w:rPr>
                <w:color w:val="auto"/>
                <w:szCs w:val="21"/>
              </w:rPr>
              <w:t>用地面积（m</w:t>
            </w:r>
            <w:r>
              <w:rPr>
                <w:color w:val="auto"/>
                <w:szCs w:val="21"/>
                <w:vertAlign w:val="superscript"/>
              </w:rPr>
              <w:t>2</w:t>
            </w:r>
            <w:r>
              <w:rPr>
                <w:color w:val="auto"/>
                <w:szCs w:val="21"/>
              </w:rPr>
              <w:t>）</w:t>
            </w:r>
          </w:p>
        </w:tc>
        <w:tc>
          <w:tcPr>
            <w:tcW w:w="2779" w:type="dxa"/>
            <w:vAlign w:val="center"/>
          </w:tcPr>
          <w:p>
            <w:pPr>
              <w:adjustRightInd w:val="0"/>
              <w:snapToGrid w:val="0"/>
              <w:spacing w:line="360" w:lineRule="exact"/>
              <w:jc w:val="center"/>
              <w:rPr>
                <w:color w:val="auto"/>
                <w:szCs w:val="21"/>
              </w:rPr>
            </w:pPr>
            <w:r>
              <w:rPr>
                <w:rFonts w:hint="eastAsia"/>
                <w:color w:val="auto"/>
                <w:szCs w:val="21"/>
              </w:rPr>
              <w:t>20010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108" w:type="dxa"/>
            <w:vAlign w:val="center"/>
          </w:tcPr>
          <w:p>
            <w:pPr>
              <w:autoSpaceDE w:val="0"/>
              <w:autoSpaceDN w:val="0"/>
              <w:adjustRightInd w:val="0"/>
              <w:snapToGrid w:val="0"/>
              <w:spacing w:line="360" w:lineRule="exact"/>
              <w:jc w:val="center"/>
              <w:rPr>
                <w:color w:val="auto"/>
                <w:kern w:val="0"/>
                <w:szCs w:val="21"/>
              </w:rPr>
            </w:pPr>
            <w:r>
              <w:rPr>
                <w:color w:val="auto"/>
                <w:kern w:val="0"/>
                <w:szCs w:val="21"/>
              </w:rPr>
              <w:t>专项评价设置情况</w:t>
            </w:r>
          </w:p>
        </w:tc>
        <w:tc>
          <w:tcPr>
            <w:tcW w:w="6762" w:type="dxa"/>
            <w:gridSpan w:val="3"/>
            <w:vAlign w:val="center"/>
          </w:tcPr>
          <w:p>
            <w:pPr>
              <w:autoSpaceDE w:val="0"/>
              <w:autoSpaceDN w:val="0"/>
              <w:adjustRightInd w:val="0"/>
              <w:snapToGrid w:val="0"/>
              <w:spacing w:line="360" w:lineRule="exact"/>
              <w:jc w:val="left"/>
              <w:rPr>
                <w:color w:val="auto"/>
                <w:kern w:val="0"/>
                <w:szCs w:val="21"/>
              </w:rPr>
            </w:pPr>
            <w:r>
              <w:rPr>
                <w:rFonts w:hint="eastAsia"/>
                <w:color w:val="auto"/>
                <w:kern w:val="0"/>
                <w:szCs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08" w:type="dxa"/>
            <w:vAlign w:val="center"/>
          </w:tcPr>
          <w:p>
            <w:pPr>
              <w:autoSpaceDE w:val="0"/>
              <w:autoSpaceDN w:val="0"/>
              <w:adjustRightInd w:val="0"/>
              <w:snapToGrid w:val="0"/>
              <w:spacing w:line="360" w:lineRule="exact"/>
              <w:jc w:val="center"/>
              <w:rPr>
                <w:color w:val="auto"/>
                <w:kern w:val="0"/>
                <w:szCs w:val="21"/>
              </w:rPr>
            </w:pPr>
            <w:r>
              <w:rPr>
                <w:color w:val="auto"/>
                <w:szCs w:val="21"/>
              </w:rPr>
              <w:t>规划情况</w:t>
            </w:r>
          </w:p>
        </w:tc>
        <w:tc>
          <w:tcPr>
            <w:tcW w:w="6762" w:type="dxa"/>
            <w:gridSpan w:val="3"/>
            <w:vAlign w:val="center"/>
          </w:tcPr>
          <w:p>
            <w:pPr>
              <w:autoSpaceDE w:val="0"/>
              <w:autoSpaceDN w:val="0"/>
              <w:adjustRightInd w:val="0"/>
              <w:snapToGrid w:val="0"/>
              <w:spacing w:line="480" w:lineRule="exact"/>
              <w:jc w:val="left"/>
              <w:rPr>
                <w:color w:val="auto"/>
                <w:kern w:val="0"/>
                <w:szCs w:val="21"/>
              </w:rPr>
            </w:pPr>
            <w:r>
              <w:rPr>
                <w:rFonts w:hint="eastAsia"/>
                <w:color w:val="auto"/>
                <w:kern w:val="0"/>
                <w:szCs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108" w:type="dxa"/>
            <w:vAlign w:val="center"/>
          </w:tcPr>
          <w:p>
            <w:pPr>
              <w:adjustRightInd w:val="0"/>
              <w:snapToGrid w:val="0"/>
              <w:spacing w:line="360" w:lineRule="exact"/>
              <w:jc w:val="center"/>
              <w:rPr>
                <w:color w:val="auto"/>
                <w:szCs w:val="21"/>
              </w:rPr>
            </w:pPr>
            <w:r>
              <w:rPr>
                <w:color w:val="auto"/>
                <w:szCs w:val="21"/>
              </w:rPr>
              <w:t>规划环境影响</w:t>
            </w:r>
          </w:p>
          <w:p>
            <w:pPr>
              <w:adjustRightInd w:val="0"/>
              <w:snapToGrid w:val="0"/>
              <w:spacing w:line="360" w:lineRule="exact"/>
              <w:jc w:val="center"/>
              <w:rPr>
                <w:color w:val="auto"/>
                <w:kern w:val="0"/>
                <w:szCs w:val="21"/>
              </w:rPr>
            </w:pPr>
            <w:r>
              <w:rPr>
                <w:color w:val="auto"/>
                <w:szCs w:val="21"/>
              </w:rPr>
              <w:t>评价情况</w:t>
            </w:r>
          </w:p>
        </w:tc>
        <w:tc>
          <w:tcPr>
            <w:tcW w:w="6762" w:type="dxa"/>
            <w:gridSpan w:val="3"/>
            <w:vAlign w:val="center"/>
          </w:tcPr>
          <w:p>
            <w:pPr>
              <w:autoSpaceDE w:val="0"/>
              <w:autoSpaceDN w:val="0"/>
              <w:adjustRightInd w:val="0"/>
              <w:snapToGrid w:val="0"/>
              <w:spacing w:line="480" w:lineRule="exact"/>
              <w:jc w:val="left"/>
              <w:rPr>
                <w:color w:val="auto"/>
                <w:kern w:val="0"/>
                <w:szCs w:val="21"/>
              </w:rPr>
            </w:pPr>
            <w:r>
              <w:rPr>
                <w:rFonts w:hint="eastAsia"/>
                <w:color w:val="auto"/>
                <w:kern w:val="0"/>
                <w:szCs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108" w:type="dxa"/>
            <w:vAlign w:val="center"/>
          </w:tcPr>
          <w:p>
            <w:pPr>
              <w:autoSpaceDE w:val="0"/>
              <w:autoSpaceDN w:val="0"/>
              <w:adjustRightInd w:val="0"/>
              <w:snapToGrid w:val="0"/>
              <w:spacing w:line="360" w:lineRule="exact"/>
              <w:jc w:val="center"/>
              <w:rPr>
                <w:color w:val="auto"/>
                <w:kern w:val="0"/>
                <w:szCs w:val="21"/>
              </w:rPr>
            </w:pPr>
            <w:r>
              <w:rPr>
                <w:color w:val="auto"/>
                <w:kern w:val="0"/>
                <w:szCs w:val="21"/>
              </w:rPr>
              <w:t>规划及规划环境</w:t>
            </w:r>
          </w:p>
          <w:p>
            <w:pPr>
              <w:autoSpaceDE w:val="0"/>
              <w:autoSpaceDN w:val="0"/>
              <w:adjustRightInd w:val="0"/>
              <w:snapToGrid w:val="0"/>
              <w:spacing w:line="360" w:lineRule="exact"/>
              <w:jc w:val="center"/>
              <w:rPr>
                <w:color w:val="auto"/>
                <w:kern w:val="0"/>
                <w:szCs w:val="21"/>
              </w:rPr>
            </w:pPr>
            <w:r>
              <w:rPr>
                <w:color w:val="auto"/>
                <w:kern w:val="0"/>
                <w:szCs w:val="21"/>
              </w:rPr>
              <w:t>影响评价符合性分析</w:t>
            </w:r>
          </w:p>
        </w:tc>
        <w:tc>
          <w:tcPr>
            <w:tcW w:w="6762" w:type="dxa"/>
            <w:gridSpan w:val="3"/>
            <w:vAlign w:val="center"/>
          </w:tcPr>
          <w:p>
            <w:pPr>
              <w:jc w:val="left"/>
              <w:rPr>
                <w:color w:val="auto"/>
                <w:kern w:val="0"/>
                <w:szCs w:val="21"/>
              </w:rPr>
            </w:pPr>
            <w:r>
              <w:rPr>
                <w:rFonts w:hint="eastAsia"/>
                <w:color w:val="auto"/>
                <w:kern w:val="0"/>
                <w:szCs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08" w:type="dxa"/>
            <w:vAlign w:val="center"/>
          </w:tcPr>
          <w:p>
            <w:pPr>
              <w:autoSpaceDE w:val="0"/>
              <w:autoSpaceDN w:val="0"/>
              <w:adjustRightInd w:val="0"/>
              <w:snapToGrid w:val="0"/>
              <w:spacing w:line="360" w:lineRule="exact"/>
              <w:jc w:val="center"/>
              <w:rPr>
                <w:color w:val="auto"/>
                <w:kern w:val="0"/>
                <w:szCs w:val="21"/>
              </w:rPr>
            </w:pPr>
            <w:r>
              <w:rPr>
                <w:color w:val="auto"/>
                <w:kern w:val="0"/>
                <w:szCs w:val="21"/>
              </w:rPr>
              <w:t>其他符合性分析</w:t>
            </w:r>
          </w:p>
        </w:tc>
        <w:tc>
          <w:tcPr>
            <w:tcW w:w="6762" w:type="dxa"/>
            <w:gridSpan w:val="3"/>
            <w:vAlign w:val="center"/>
          </w:tcPr>
          <w:p>
            <w:pPr>
              <w:autoSpaceDE w:val="0"/>
              <w:autoSpaceDN w:val="0"/>
              <w:adjustRightInd w:val="0"/>
              <w:snapToGrid w:val="0"/>
              <w:spacing w:line="480" w:lineRule="exact"/>
              <w:ind w:firstLine="422" w:firstLineChars="200"/>
              <w:rPr>
                <w:b/>
                <w:bCs/>
                <w:color w:val="auto"/>
              </w:rPr>
            </w:pPr>
            <w:r>
              <w:rPr>
                <w:b/>
                <w:bCs/>
                <w:color w:val="auto"/>
              </w:rPr>
              <w:t>1.1</w:t>
            </w:r>
            <w:r>
              <w:rPr>
                <w:rFonts w:hint="eastAsia"/>
                <w:b/>
                <w:bCs/>
                <w:color w:val="auto"/>
              </w:rPr>
              <w:t>与国家</w:t>
            </w:r>
            <w:r>
              <w:rPr>
                <w:b/>
                <w:bCs/>
                <w:color w:val="auto"/>
              </w:rPr>
              <w:t>产业政策符合性分析</w:t>
            </w:r>
          </w:p>
          <w:p>
            <w:pPr>
              <w:autoSpaceDE w:val="0"/>
              <w:autoSpaceDN w:val="0"/>
              <w:adjustRightInd w:val="0"/>
              <w:snapToGrid w:val="0"/>
              <w:spacing w:line="480" w:lineRule="exact"/>
              <w:ind w:firstLine="420" w:firstLineChars="200"/>
              <w:rPr>
                <w:color w:val="auto"/>
              </w:rPr>
            </w:pPr>
            <w:r>
              <w:rPr>
                <w:color w:val="auto"/>
              </w:rPr>
              <w:t>本项目</w:t>
            </w:r>
            <w:r>
              <w:rPr>
                <w:rFonts w:hint="eastAsia"/>
                <w:color w:val="auto"/>
              </w:rPr>
              <w:t>利用生活垃圾焚烧发电后的炉渣，在对其进行破碎、筛选、分类后得到建筑用砂，并进行湿法制砖。根据</w:t>
            </w:r>
            <w:r>
              <w:rPr>
                <w:color w:val="auto"/>
              </w:rPr>
              <w:t>国家发展和改革委员会发布的《产业结构调整指导目录（2019年本）》</w:t>
            </w:r>
            <w:r>
              <w:rPr>
                <w:rFonts w:hint="eastAsia"/>
                <w:color w:val="auto"/>
              </w:rPr>
              <w:t>，不属于</w:t>
            </w:r>
            <w:r>
              <w:rPr>
                <w:color w:val="auto"/>
              </w:rPr>
              <w:t>鼓励类、限制类、淘汰类项目，视为允许类，因此，本项目符合国家</w:t>
            </w:r>
            <w:r>
              <w:rPr>
                <w:rFonts w:hint="eastAsia"/>
                <w:color w:val="auto"/>
              </w:rPr>
              <w:t>和地方的产业政策的总体发展要求。</w:t>
            </w:r>
          </w:p>
          <w:p>
            <w:pPr>
              <w:autoSpaceDE w:val="0"/>
              <w:autoSpaceDN w:val="0"/>
              <w:adjustRightInd w:val="0"/>
              <w:snapToGrid w:val="0"/>
              <w:spacing w:line="480" w:lineRule="exact"/>
              <w:ind w:firstLine="420" w:firstLineChars="200"/>
              <w:rPr>
                <w:color w:val="auto"/>
                <w:szCs w:val="21"/>
              </w:rPr>
            </w:pPr>
            <w:r>
              <w:rPr>
                <w:rFonts w:hint="eastAsia"/>
                <w:color w:val="auto"/>
              </w:rPr>
              <w:t>本项目于2021年9月17日在昌吉市发展和改革委员会完成备案，备案文号：昌市发改许可（2021）65号，项目代码：</w:t>
            </w:r>
            <w:r>
              <w:rPr>
                <w:rFonts w:hint="eastAsia"/>
                <w:color w:val="auto"/>
                <w:szCs w:val="21"/>
              </w:rPr>
              <w:t>2109-652301-04-01-791411。</w:t>
            </w:r>
          </w:p>
          <w:p>
            <w:pPr>
              <w:autoSpaceDE w:val="0"/>
              <w:autoSpaceDN w:val="0"/>
              <w:adjustRightInd w:val="0"/>
              <w:snapToGrid w:val="0"/>
              <w:spacing w:line="480" w:lineRule="exact"/>
              <w:ind w:firstLine="420" w:firstLineChars="200"/>
              <w:rPr>
                <w:color w:val="auto"/>
                <w:szCs w:val="21"/>
              </w:rPr>
            </w:pPr>
            <w:r>
              <w:rPr>
                <w:rFonts w:hint="eastAsia"/>
                <w:color w:val="auto"/>
                <w:szCs w:val="21"/>
              </w:rPr>
              <w:t>因此，本项目的建设符合国家现行产业政策。</w:t>
            </w:r>
          </w:p>
          <w:p>
            <w:pPr>
              <w:autoSpaceDE w:val="0"/>
              <w:autoSpaceDN w:val="0"/>
              <w:adjustRightInd w:val="0"/>
              <w:snapToGrid w:val="0"/>
              <w:spacing w:line="480" w:lineRule="exact"/>
              <w:ind w:firstLine="422" w:firstLineChars="200"/>
              <w:rPr>
                <w:rFonts w:hint="eastAsia"/>
                <w:b/>
                <w:bCs/>
                <w:color w:val="auto"/>
                <w:lang w:eastAsia="zh-CN"/>
              </w:rPr>
            </w:pPr>
            <w:r>
              <w:rPr>
                <w:b/>
                <w:bCs/>
                <w:color w:val="auto"/>
              </w:rPr>
              <w:t>1.2</w:t>
            </w:r>
            <w:r>
              <w:rPr>
                <w:rFonts w:hint="eastAsia"/>
                <w:b/>
                <w:bCs/>
                <w:color w:val="auto"/>
                <w:lang w:eastAsia="zh-CN"/>
              </w:rPr>
              <w:t>与《新疆维吾尔自治区“三线一单”生态环境分区管控方案》符合性分析</w:t>
            </w:r>
          </w:p>
          <w:p>
            <w:pPr>
              <w:pStyle w:val="8"/>
              <w:numPr>
                <w:ilvl w:val="0"/>
                <w:numId w:val="2"/>
              </w:numPr>
              <w:rPr>
                <w:rFonts w:hint="eastAsia" w:ascii="Times New Roman" w:hAnsi="Times New Roman" w:cs="Times New Roman"/>
                <w:b w:val="0"/>
                <w:bCs w:val="0"/>
                <w:color w:val="auto"/>
                <w:sz w:val="21"/>
                <w:szCs w:val="24"/>
                <w:highlight w:val="none"/>
                <w:lang w:val="en-US" w:eastAsia="zh-CN"/>
              </w:rPr>
            </w:pPr>
            <w:r>
              <w:rPr>
                <w:rFonts w:hint="eastAsia" w:ascii="Times New Roman" w:hAnsi="Times New Roman" w:cs="Times New Roman"/>
                <w:b w:val="0"/>
                <w:bCs w:val="0"/>
                <w:color w:val="auto"/>
                <w:sz w:val="21"/>
                <w:szCs w:val="24"/>
                <w:highlight w:val="none"/>
                <w:lang w:val="en-US" w:eastAsia="zh-CN"/>
              </w:rPr>
              <w:t>与生态保护红线的相符性</w:t>
            </w:r>
          </w:p>
          <w:p>
            <w:pPr>
              <w:pStyle w:val="20"/>
              <w:spacing w:line="480" w:lineRule="exact"/>
              <w:ind w:left="0" w:firstLine="420" w:firstLineChars="200"/>
              <w:rPr>
                <w:rFonts w:ascii="Times New Roman" w:hAnsi="Times New Roman" w:cs="Times New Roman"/>
                <w:color w:val="auto"/>
                <w:highlight w:val="none"/>
              </w:rPr>
            </w:pPr>
            <w:r>
              <w:rPr>
                <w:rFonts w:hint="default" w:ascii="Times New Roman" w:hAnsi="Times New Roman" w:cs="Times New Roman"/>
                <w:color w:val="auto"/>
                <w:highlight w:val="none"/>
                <w:lang w:val="en-US" w:eastAsia="zh-CN"/>
              </w:rPr>
              <w:t>管控方案指出：</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生产生活不突破生态保护红线；……对划定的生态保护红线实施严格管控</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，本项目北侧距离</w:t>
            </w:r>
            <w:r>
              <w:rPr>
                <w:rFonts w:ascii="Times New Roman" w:hAnsi="Times New Roman" w:cs="Times New Roman"/>
                <w:color w:val="auto"/>
                <w:highlight w:val="none"/>
              </w:rPr>
              <w:t>准噶尔盆地南缘土地沙化防控与防风固沙生态保护红线区</w:t>
            </w:r>
            <w:r>
              <w:rPr>
                <w:rFonts w:hint="default" w:ascii="Times New Roman" w:hAnsi="Times New Roman" w:cs="Times New Roman"/>
                <w:color w:val="auto"/>
                <w:highlight w:val="none"/>
                <w:lang w:val="en-US" w:eastAsia="zh-CN"/>
              </w:rPr>
              <w:t>600m，不在生态红线内。</w:t>
            </w:r>
            <w:r>
              <w:rPr>
                <w:rFonts w:hint="default" w:ascii="Times New Roman" w:hAnsi="Times New Roman" w:cs="Times New Roman"/>
                <w:color w:val="auto"/>
                <w:highlight w:val="none"/>
              </w:rPr>
              <w:t>本项目与生态红线位置示意图见图1（附图）。</w:t>
            </w:r>
          </w:p>
          <w:p>
            <w:pPr>
              <w:pStyle w:val="50"/>
              <w:spacing w:before="0" w:beforeAutospacing="0" w:line="480" w:lineRule="exact"/>
              <w:ind w:firstLine="420"/>
              <w:jc w:val="both"/>
              <w:rPr>
                <w:rFonts w:hint="eastAsia"/>
                <w:color w:val="auto"/>
                <w:sz w:val="21"/>
              </w:rPr>
            </w:pPr>
            <w:r>
              <w:rPr>
                <w:color w:val="auto"/>
                <w:sz w:val="21"/>
              </w:rPr>
              <w:t>本项目所在区域不存在自然保护区、风景名胜区、饮用水水源保护区等需要特别保护的区域，不属于禁止建设开发区和限制建设开发区，属于适宜建设开发区，符合生态保护红线的要求</w:t>
            </w:r>
            <w:r>
              <w:rPr>
                <w:rFonts w:hint="eastAsia"/>
                <w:color w:val="auto"/>
                <w:sz w:val="21"/>
              </w:rPr>
              <w:t>。</w:t>
            </w:r>
          </w:p>
          <w:p>
            <w:pPr>
              <w:pStyle w:val="20"/>
              <w:keepNext w:val="0"/>
              <w:keepLines w:val="0"/>
              <w:pageBreakBefore w:val="0"/>
              <w:widowControl w:val="0"/>
              <w:kinsoku/>
              <w:wordWrap/>
              <w:overflowPunct/>
              <w:topLinePunct w:val="0"/>
              <w:autoSpaceDE/>
              <w:autoSpaceDN/>
              <w:bidi w:val="0"/>
              <w:adjustRightInd/>
              <w:snapToGrid/>
              <w:spacing w:line="480" w:lineRule="exact"/>
              <w:ind w:left="0" w:firstLine="420" w:firstLineChars="200"/>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2）与环境质量底线的相符性</w:t>
            </w:r>
          </w:p>
          <w:p>
            <w:pPr>
              <w:pStyle w:val="20"/>
              <w:spacing w:line="480" w:lineRule="exact"/>
              <w:ind w:left="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管控方案指出：“全区水环境质量持续改善，受污染地表水体得到有效治理，……，地下水水质保持稳定；全区环境空气质量有所提升，……，未达标城市环境空气质量持续改善，沙尘影响严重地区做好防风固沙、生态环境保护修复等工作；全区土壤环境质量保持稳定……。”</w:t>
            </w:r>
          </w:p>
          <w:p>
            <w:pPr>
              <w:pStyle w:val="20"/>
              <w:spacing w:line="480" w:lineRule="exact"/>
              <w:ind w:left="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本项目</w:t>
            </w:r>
            <w:r>
              <w:rPr>
                <w:rFonts w:hint="default" w:ascii="Times New Roman" w:hAnsi="Times New Roman" w:cs="Times New Roman"/>
                <w:color w:val="auto"/>
                <w:highlight w:val="none"/>
              </w:rPr>
              <w:t>运营期生活污水经地埋式一体化污水处理设施处理后用于厂区植被绿化、道路洒水、车辆冲洗；生产废水经</w:t>
            </w:r>
            <w:r>
              <w:rPr>
                <w:rFonts w:hint="eastAsia" w:ascii="Times New Roman" w:hAnsi="Times New Roman" w:cs="Times New Roman"/>
                <w:color w:val="auto"/>
                <w:highlight w:val="none"/>
                <w:lang w:val="en-US" w:eastAsia="zh-CN"/>
              </w:rPr>
              <w:t>300m</w:t>
            </w:r>
            <w:r>
              <w:rPr>
                <w:rFonts w:hint="eastAsia" w:ascii="Times New Roman" w:hAnsi="Times New Roman" w:cs="Times New Roman"/>
                <w:color w:val="auto"/>
                <w:highlight w:val="none"/>
                <w:vertAlign w:val="superscript"/>
                <w:lang w:val="en-US" w:eastAsia="zh-CN"/>
              </w:rPr>
              <w:t>3</w:t>
            </w:r>
            <w:r>
              <w:rPr>
                <w:rFonts w:hint="default" w:ascii="Times New Roman" w:hAnsi="Times New Roman" w:cs="Times New Roman"/>
                <w:color w:val="auto"/>
                <w:highlight w:val="none"/>
              </w:rPr>
              <w:t>沉淀池处理后回用于生产线，定期补水</w:t>
            </w:r>
            <w:r>
              <w:rPr>
                <w:rFonts w:hint="default" w:ascii="Times New Roman" w:hAnsi="Times New Roman" w:cs="Times New Roman"/>
                <w:color w:val="auto"/>
                <w:highlight w:val="none"/>
                <w:lang w:eastAsia="zh-CN"/>
              </w:rPr>
              <w:t>，项目在运营</w:t>
            </w:r>
            <w:r>
              <w:rPr>
                <w:rFonts w:hint="default" w:ascii="Times New Roman" w:hAnsi="Times New Roman" w:cs="Times New Roman"/>
                <w:color w:val="auto"/>
                <w:highlight w:val="none"/>
                <w:lang w:val="en-US" w:eastAsia="zh-CN"/>
              </w:rPr>
              <w:t>过程中污水不外排，不会对区域水质产生影响。</w:t>
            </w:r>
          </w:p>
          <w:p>
            <w:pPr>
              <w:pStyle w:val="20"/>
              <w:spacing w:line="480" w:lineRule="exact"/>
              <w:ind w:left="0" w:firstLine="420" w:firstLineChars="200"/>
              <w:rPr>
                <w:rFonts w:hint="default" w:ascii="Times New Roman" w:hAnsi="Times New Roman" w:cs="Times New Roman"/>
                <w:color w:val="auto"/>
                <w:sz w:val="21"/>
                <w:highlight w:val="none"/>
                <w:lang w:eastAsia="zh-CN"/>
              </w:rPr>
            </w:pPr>
            <w:r>
              <w:rPr>
                <w:rFonts w:hint="default" w:ascii="Times New Roman" w:hAnsi="Times New Roman" w:cs="Times New Roman"/>
                <w:color w:val="auto"/>
                <w:highlight w:val="none"/>
                <w:lang w:val="en-US" w:eastAsia="zh-CN"/>
              </w:rPr>
              <w:t>本项目位于环境空气质量不达标区，</w:t>
            </w:r>
            <w:r>
              <w:rPr>
                <w:rFonts w:hint="default" w:ascii="Times New Roman" w:hAnsi="Times New Roman" w:cs="Times New Roman"/>
                <w:color w:val="auto"/>
                <w:sz w:val="21"/>
              </w:rPr>
              <w:t>在营运期</w:t>
            </w:r>
            <w:r>
              <w:rPr>
                <w:rFonts w:hint="default" w:ascii="Times New Roman" w:hAnsi="Times New Roman" w:cs="Times New Roman"/>
                <w:color w:val="auto"/>
                <w:sz w:val="21"/>
                <w:lang w:eastAsia="zh-CN"/>
              </w:rPr>
              <w:t>大</w:t>
            </w:r>
            <w:r>
              <w:rPr>
                <w:rFonts w:hint="default" w:ascii="Times New Roman" w:hAnsi="Times New Roman" w:cs="Times New Roman"/>
                <w:color w:val="auto"/>
                <w:sz w:val="21"/>
              </w:rPr>
              <w:t>气</w:t>
            </w:r>
            <w:r>
              <w:rPr>
                <w:rFonts w:hint="default" w:ascii="Times New Roman" w:hAnsi="Times New Roman" w:cs="Times New Roman"/>
                <w:color w:val="auto"/>
                <w:sz w:val="21"/>
                <w:lang w:eastAsia="zh-CN"/>
              </w:rPr>
              <w:t>污染因子</w:t>
            </w:r>
            <w:r>
              <w:rPr>
                <w:rFonts w:hint="default" w:ascii="Times New Roman" w:hAnsi="Times New Roman" w:cs="Times New Roman"/>
                <w:color w:val="auto"/>
                <w:sz w:val="21"/>
              </w:rPr>
              <w:t>主要为颗粒物，经</w:t>
            </w:r>
            <w:r>
              <w:rPr>
                <w:rFonts w:hint="default" w:ascii="Times New Roman" w:hAnsi="Times New Roman" w:cs="Times New Roman"/>
                <w:color w:val="auto"/>
                <w:sz w:val="21"/>
                <w:lang w:eastAsia="zh-CN"/>
              </w:rPr>
              <w:t>布袋除尘器、</w:t>
            </w:r>
            <w:r>
              <w:rPr>
                <w:rFonts w:hint="default" w:ascii="Times New Roman" w:hAnsi="Times New Roman" w:cs="Times New Roman"/>
                <w:color w:val="auto"/>
                <w:sz w:val="21"/>
              </w:rPr>
              <w:t>洒水降尘</w:t>
            </w:r>
            <w:r>
              <w:rPr>
                <w:rFonts w:hint="default" w:ascii="Times New Roman" w:hAnsi="Times New Roman" w:cs="Times New Roman"/>
                <w:color w:val="auto"/>
                <w:sz w:val="21"/>
                <w:lang w:eastAsia="zh-CN"/>
              </w:rPr>
              <w:t>、车辆冲洗</w:t>
            </w:r>
            <w:r>
              <w:rPr>
                <w:rFonts w:hint="default" w:ascii="Times New Roman" w:hAnsi="Times New Roman" w:cs="Times New Roman"/>
                <w:color w:val="auto"/>
                <w:sz w:val="21"/>
              </w:rPr>
              <w:t>等措施</w:t>
            </w:r>
            <w:r>
              <w:rPr>
                <w:rFonts w:hint="default" w:ascii="Times New Roman" w:hAnsi="Times New Roman" w:cs="Times New Roman"/>
                <w:color w:val="auto"/>
                <w:sz w:val="21"/>
                <w:lang w:eastAsia="zh-CN"/>
              </w:rPr>
              <w:t>，以及将所有生产工艺设备和原料堆场均置于全封闭厂房内，项目</w:t>
            </w:r>
            <w:r>
              <w:rPr>
                <w:rFonts w:hint="default" w:ascii="Times New Roman" w:hAnsi="Times New Roman" w:cs="Times New Roman"/>
                <w:color w:val="auto"/>
                <w:sz w:val="21"/>
              </w:rPr>
              <w:t>废气达标排放</w:t>
            </w:r>
            <w:r>
              <w:rPr>
                <w:rFonts w:hint="default" w:ascii="Times New Roman" w:hAnsi="Times New Roman" w:cs="Times New Roman"/>
                <w:color w:val="auto"/>
                <w:sz w:val="21"/>
                <w:lang w:eastAsia="zh-CN"/>
              </w:rPr>
              <w:t>。</w:t>
            </w:r>
            <w:r>
              <w:rPr>
                <w:rFonts w:hint="default" w:ascii="Times New Roman" w:hAnsi="Times New Roman" w:cs="Times New Roman"/>
                <w:color w:val="auto"/>
                <w:sz w:val="21"/>
                <w:highlight w:val="none"/>
                <w:lang w:eastAsia="zh-CN"/>
              </w:rPr>
              <w:t>颗粒物总量实行倍量替代，符合环境空气质量持续改善的要求。</w:t>
            </w:r>
          </w:p>
          <w:p>
            <w:pPr>
              <w:pStyle w:val="20"/>
              <w:spacing w:line="480" w:lineRule="exact"/>
              <w:ind w:left="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本项目运营过程中不会造成土壤污染。符合土壤环境质量保持稳定的要求。</w:t>
            </w:r>
          </w:p>
          <w:p>
            <w:pPr>
              <w:autoSpaceDE w:val="0"/>
              <w:autoSpaceDN w:val="0"/>
              <w:adjustRightInd w:val="0"/>
              <w:snapToGrid w:val="0"/>
              <w:spacing w:line="480" w:lineRule="exact"/>
              <w:ind w:firstLine="422" w:firstLineChars="200"/>
              <w:rPr>
                <w:b/>
                <w:bCs/>
                <w:color w:val="auto"/>
              </w:rPr>
            </w:pPr>
            <w:r>
              <w:rPr>
                <w:rFonts w:hint="eastAsia"/>
                <w:b/>
                <w:bCs/>
                <w:color w:val="auto"/>
                <w:lang w:val="en-US" w:eastAsia="zh-CN"/>
              </w:rPr>
              <w:t>1.3</w:t>
            </w:r>
            <w:r>
              <w:rPr>
                <w:b/>
                <w:bCs/>
                <w:color w:val="auto"/>
                <w:szCs w:val="21"/>
              </w:rPr>
              <w:t>与</w:t>
            </w:r>
            <w:r>
              <w:rPr>
                <w:rFonts w:hint="eastAsia"/>
                <w:b/>
                <w:bCs/>
                <w:color w:val="auto"/>
                <w:szCs w:val="21"/>
              </w:rPr>
              <w:t>《昌吉回族自治州“三线一单”生态环境分区管控方案及生态环境准入清单》</w:t>
            </w:r>
            <w:r>
              <w:rPr>
                <w:b/>
                <w:bCs/>
                <w:color w:val="auto"/>
                <w:szCs w:val="21"/>
              </w:rPr>
              <w:t>符合性分析</w:t>
            </w:r>
          </w:p>
          <w:p>
            <w:pPr>
              <w:pStyle w:val="50"/>
              <w:spacing w:before="0" w:beforeAutospacing="0" w:line="480" w:lineRule="exact"/>
              <w:ind w:firstLine="420"/>
              <w:jc w:val="both"/>
              <w:rPr>
                <w:color w:val="auto"/>
                <w:sz w:val="21"/>
              </w:rPr>
            </w:pPr>
            <w:r>
              <w:rPr>
                <w:color w:val="auto"/>
                <w:sz w:val="21"/>
              </w:rPr>
              <w:t>1）与生态红线区域保护规划的相符性</w:t>
            </w:r>
          </w:p>
          <w:p>
            <w:pPr>
              <w:pStyle w:val="20"/>
              <w:spacing w:line="480" w:lineRule="exact"/>
              <w:ind w:left="0" w:firstLine="420" w:firstLineChars="200"/>
              <w:rPr>
                <w:rFonts w:ascii="Times New Roman" w:hAnsi="Times New Roman" w:cs="Times New Roman"/>
                <w:color w:val="auto"/>
              </w:rPr>
            </w:pPr>
            <w:r>
              <w:rPr>
                <w:rFonts w:ascii="Times New Roman" w:hAnsi="Times New Roman" w:cs="Times New Roman"/>
                <w:color w:val="auto"/>
                <w:highlight w:val="none"/>
              </w:rPr>
              <w:t>本项目北侧</w:t>
            </w:r>
            <w:r>
              <w:rPr>
                <w:rFonts w:hint="eastAsia" w:ascii="Times New Roman" w:hAnsi="Times New Roman" w:cs="Times New Roman"/>
                <w:color w:val="auto"/>
                <w:highlight w:val="none"/>
                <w:lang w:val="en-US" w:eastAsia="zh-CN"/>
              </w:rPr>
              <w:t>6</w:t>
            </w:r>
            <w:r>
              <w:rPr>
                <w:rFonts w:hint="eastAsia" w:ascii="Times New Roman" w:hAnsi="Times New Roman" w:cs="Times New Roman"/>
                <w:color w:val="auto"/>
                <w:highlight w:val="none"/>
              </w:rPr>
              <w:t>00</w:t>
            </w:r>
            <w:r>
              <w:rPr>
                <w:rFonts w:ascii="Times New Roman" w:hAnsi="Times New Roman" w:cs="Times New Roman"/>
                <w:color w:val="auto"/>
                <w:highlight w:val="none"/>
              </w:rPr>
              <w:t>m为准噶尔盆地南缘土地沙化防控与防风固沙生态保护红线区，</w:t>
            </w:r>
            <w:r>
              <w:rPr>
                <w:rFonts w:hint="eastAsia" w:ascii="Times New Roman" w:hAnsi="Times New Roman" w:cs="Times New Roman"/>
                <w:color w:val="auto"/>
                <w:highlight w:val="none"/>
              </w:rPr>
              <w:t>其</w:t>
            </w:r>
            <w:r>
              <w:rPr>
                <w:rFonts w:ascii="Times New Roman" w:hAnsi="Times New Roman" w:cs="Times New Roman"/>
                <w:color w:val="auto"/>
                <w:highlight w:val="none"/>
              </w:rPr>
              <w:t>主要生态功能为准噶尔盆地南缘土地沙化防控与防风固沙，</w:t>
            </w:r>
            <w:r>
              <w:rPr>
                <w:rFonts w:hint="eastAsia" w:ascii="Times New Roman" w:hAnsi="Times New Roman" w:cs="Times New Roman"/>
                <w:color w:val="auto"/>
                <w:highlight w:val="none"/>
              </w:rPr>
              <w:t>本项目区不在生</w:t>
            </w:r>
            <w:r>
              <w:rPr>
                <w:rFonts w:hint="eastAsia" w:ascii="Times New Roman" w:hAnsi="Times New Roman" w:cs="Times New Roman"/>
                <w:color w:val="auto"/>
              </w:rPr>
              <w:t>态红线内。本项目与生态红线位置示意图见图1（附图）。</w:t>
            </w:r>
          </w:p>
          <w:p>
            <w:pPr>
              <w:pStyle w:val="50"/>
              <w:spacing w:before="0" w:beforeAutospacing="0" w:line="480" w:lineRule="exact"/>
              <w:ind w:firstLine="420"/>
              <w:jc w:val="both"/>
              <w:rPr>
                <w:color w:val="auto"/>
                <w:sz w:val="21"/>
              </w:rPr>
            </w:pPr>
            <w:r>
              <w:rPr>
                <w:color w:val="auto"/>
                <w:sz w:val="21"/>
              </w:rPr>
              <w:t>本项目所在区域不存在自然保护区、风景名胜区、饮用水水源保护区等需要特别保护的区域，不属于禁止建设开发区和限制建设开发区，属于适宜建设开发区，符合生态保护红线的要求</w:t>
            </w:r>
            <w:r>
              <w:rPr>
                <w:rFonts w:hint="eastAsia"/>
                <w:color w:val="auto"/>
                <w:sz w:val="21"/>
              </w:rPr>
              <w:t>。</w:t>
            </w:r>
          </w:p>
          <w:p>
            <w:pPr>
              <w:pStyle w:val="50"/>
              <w:spacing w:before="0" w:beforeAutospacing="0" w:line="480" w:lineRule="exact"/>
              <w:ind w:firstLine="420"/>
              <w:jc w:val="both"/>
              <w:rPr>
                <w:color w:val="auto"/>
                <w:sz w:val="21"/>
              </w:rPr>
            </w:pPr>
            <w:r>
              <w:rPr>
                <w:color w:val="auto"/>
                <w:sz w:val="21"/>
              </w:rPr>
              <w:t>2）与环境质量底线相符性分析</w:t>
            </w:r>
          </w:p>
          <w:p>
            <w:pPr>
              <w:pStyle w:val="50"/>
              <w:spacing w:before="0" w:beforeAutospacing="0" w:line="480" w:lineRule="exact"/>
              <w:ind w:firstLine="420"/>
              <w:jc w:val="both"/>
              <w:rPr>
                <w:color w:val="auto"/>
                <w:sz w:val="21"/>
              </w:rPr>
            </w:pPr>
            <w:r>
              <w:rPr>
                <w:color w:val="auto"/>
                <w:sz w:val="21"/>
              </w:rPr>
              <w:t>环境质量底线就是只能改善不能恶化。大气环境质量底线就是在符合大气环境功能区域和大气环境管理的基础上，确保大气污染物排放不对区域功能区划造成影响，污染物排放总量低于大气环境容量。</w:t>
            </w:r>
          </w:p>
          <w:p>
            <w:pPr>
              <w:pStyle w:val="50"/>
              <w:spacing w:before="0" w:beforeAutospacing="0" w:line="480" w:lineRule="exact"/>
              <w:ind w:firstLine="420"/>
              <w:jc w:val="both"/>
              <w:rPr>
                <w:color w:val="auto"/>
                <w:sz w:val="21"/>
              </w:rPr>
            </w:pPr>
            <w:r>
              <w:rPr>
                <w:color w:val="auto"/>
                <w:sz w:val="21"/>
              </w:rPr>
              <w:t>项目在营运期废气主要为</w:t>
            </w:r>
            <w:r>
              <w:rPr>
                <w:rFonts w:hint="eastAsia"/>
                <w:color w:val="auto"/>
                <w:sz w:val="21"/>
              </w:rPr>
              <w:t>颗粒物</w:t>
            </w:r>
            <w:r>
              <w:rPr>
                <w:color w:val="auto"/>
                <w:sz w:val="21"/>
              </w:rPr>
              <w:t>污染，经洒水降尘等措施后废气达标排放，不会对周边大气环境产生明显的影响。运营期</w:t>
            </w:r>
            <w:r>
              <w:rPr>
                <w:rFonts w:hint="eastAsia"/>
                <w:color w:val="auto"/>
                <w:sz w:val="21"/>
              </w:rPr>
              <w:t>生活污水经地埋式一体化污水处理设施处理后用于厂区植被绿化、道路洒水、车辆冲洗；生产废水经沉淀池处理后回用于生产线，定期补水</w:t>
            </w:r>
            <w:r>
              <w:rPr>
                <w:color w:val="auto"/>
                <w:sz w:val="21"/>
              </w:rPr>
              <w:t>。</w:t>
            </w:r>
          </w:p>
          <w:p>
            <w:pPr>
              <w:pStyle w:val="50"/>
              <w:spacing w:before="0" w:beforeAutospacing="0" w:line="480" w:lineRule="exact"/>
              <w:ind w:firstLine="420"/>
              <w:jc w:val="both"/>
              <w:rPr>
                <w:color w:val="auto"/>
                <w:sz w:val="21"/>
              </w:rPr>
            </w:pPr>
            <w:r>
              <w:rPr>
                <w:color w:val="auto"/>
                <w:sz w:val="21"/>
              </w:rPr>
              <w:t>因此，本项目的建设不会突破所在区域环境质量底线。</w:t>
            </w:r>
          </w:p>
          <w:p>
            <w:pPr>
              <w:pStyle w:val="50"/>
              <w:spacing w:before="0" w:beforeAutospacing="0" w:line="480" w:lineRule="exact"/>
              <w:ind w:firstLine="420"/>
              <w:jc w:val="both"/>
              <w:rPr>
                <w:color w:val="auto"/>
                <w:sz w:val="21"/>
              </w:rPr>
            </w:pPr>
            <w:r>
              <w:rPr>
                <w:color w:val="auto"/>
                <w:sz w:val="21"/>
              </w:rPr>
              <w:t>3）资源利用上线相符性</w:t>
            </w:r>
          </w:p>
          <w:p>
            <w:pPr>
              <w:pStyle w:val="50"/>
              <w:spacing w:before="0" w:beforeAutospacing="0" w:line="480" w:lineRule="exact"/>
              <w:ind w:firstLine="420"/>
              <w:jc w:val="both"/>
              <w:rPr>
                <w:color w:val="auto"/>
                <w:sz w:val="21"/>
                <w:highlight w:val="none"/>
              </w:rPr>
            </w:pPr>
            <w:r>
              <w:rPr>
                <w:color w:val="FF0000"/>
                <w:sz w:val="21"/>
                <w:highlight w:val="none"/>
              </w:rPr>
              <w:t>本项目区位于昌吉市庙</w:t>
            </w:r>
            <w:r>
              <w:rPr>
                <w:rFonts w:hint="eastAsia"/>
                <w:color w:val="FF0000"/>
                <w:sz w:val="21"/>
                <w:highlight w:val="none"/>
              </w:rPr>
              <w:t>儿</w:t>
            </w:r>
            <w:r>
              <w:rPr>
                <w:color w:val="FF0000"/>
                <w:sz w:val="21"/>
                <w:highlight w:val="none"/>
              </w:rPr>
              <w:t>沟乡和谐二村北侧1.</w:t>
            </w:r>
            <w:r>
              <w:rPr>
                <w:rFonts w:hint="eastAsia"/>
                <w:color w:val="FF0000"/>
                <w:sz w:val="21"/>
                <w:highlight w:val="none"/>
                <w:lang w:val="en-US" w:eastAsia="zh-CN"/>
              </w:rPr>
              <w:t>5</w:t>
            </w:r>
            <w:r>
              <w:rPr>
                <w:color w:val="FF0000"/>
                <w:sz w:val="21"/>
                <w:highlight w:val="none"/>
              </w:rPr>
              <w:t>km的空地上，</w:t>
            </w:r>
            <w:r>
              <w:rPr>
                <w:rFonts w:hint="eastAsia"/>
                <w:color w:val="auto"/>
                <w:sz w:val="21"/>
                <w:highlight w:val="none"/>
              </w:rPr>
              <w:t>占地面积</w:t>
            </w:r>
            <w:r>
              <w:rPr>
                <w:color w:val="auto"/>
                <w:sz w:val="21"/>
                <w:highlight w:val="none"/>
              </w:rPr>
              <w:t>为</w:t>
            </w:r>
            <w:r>
              <w:rPr>
                <w:rFonts w:hint="eastAsia"/>
                <w:color w:val="auto"/>
                <w:sz w:val="21"/>
                <w:highlight w:val="none"/>
              </w:rPr>
              <w:t>2</w:t>
            </w:r>
            <w:r>
              <w:rPr>
                <w:color w:val="auto"/>
                <w:sz w:val="21"/>
                <w:highlight w:val="none"/>
              </w:rPr>
              <w:t>hm</w:t>
            </w:r>
            <w:r>
              <w:rPr>
                <w:color w:val="auto"/>
                <w:sz w:val="21"/>
                <w:highlight w:val="none"/>
                <w:vertAlign w:val="superscript"/>
              </w:rPr>
              <w:t>2</w:t>
            </w:r>
            <w:r>
              <w:rPr>
                <w:color w:val="auto"/>
                <w:sz w:val="21"/>
                <w:highlight w:val="none"/>
              </w:rPr>
              <w:t>，土地利用类型为建设用地，占用的土地资源较少。</w:t>
            </w:r>
          </w:p>
          <w:p>
            <w:pPr>
              <w:pStyle w:val="50"/>
              <w:spacing w:before="0" w:beforeAutospacing="0" w:line="480" w:lineRule="exact"/>
              <w:ind w:firstLine="420"/>
              <w:jc w:val="both"/>
              <w:rPr>
                <w:color w:val="auto"/>
                <w:sz w:val="21"/>
                <w:highlight w:val="none"/>
              </w:rPr>
            </w:pPr>
            <w:r>
              <w:rPr>
                <w:color w:val="auto"/>
                <w:sz w:val="21"/>
                <w:highlight w:val="none"/>
              </w:rPr>
              <w:t>本项目全年用水量为</w:t>
            </w:r>
            <w:r>
              <w:rPr>
                <w:rFonts w:hint="eastAsia"/>
                <w:color w:val="auto"/>
                <w:sz w:val="21"/>
                <w:highlight w:val="none"/>
                <w:lang w:val="en-US" w:eastAsia="zh-CN"/>
              </w:rPr>
              <w:t>6995</w:t>
            </w:r>
            <w:r>
              <w:rPr>
                <w:color w:val="auto"/>
                <w:sz w:val="21"/>
                <w:highlight w:val="none"/>
              </w:rPr>
              <w:t>m</w:t>
            </w:r>
            <w:r>
              <w:rPr>
                <w:color w:val="auto"/>
                <w:sz w:val="21"/>
                <w:highlight w:val="none"/>
                <w:vertAlign w:val="superscript"/>
              </w:rPr>
              <w:t>3</w:t>
            </w:r>
            <w:r>
              <w:rPr>
                <w:color w:val="auto"/>
                <w:sz w:val="21"/>
                <w:highlight w:val="none"/>
              </w:rPr>
              <w:t>，</w:t>
            </w:r>
            <w:r>
              <w:rPr>
                <w:rFonts w:hint="eastAsia"/>
                <w:color w:val="auto"/>
                <w:sz w:val="21"/>
                <w:highlight w:val="none"/>
                <w:lang w:eastAsia="zh-CN"/>
              </w:rPr>
              <w:t>其中</w:t>
            </w:r>
            <w:r>
              <w:rPr>
                <w:color w:val="auto"/>
                <w:sz w:val="21"/>
                <w:highlight w:val="none"/>
              </w:rPr>
              <w:t>生产用水量为</w:t>
            </w:r>
            <w:r>
              <w:rPr>
                <w:rFonts w:hint="eastAsia"/>
                <w:color w:val="auto"/>
                <w:sz w:val="21"/>
                <w:highlight w:val="none"/>
                <w:lang w:val="en-US" w:eastAsia="zh-CN"/>
              </w:rPr>
              <w:t>5015</w:t>
            </w:r>
            <w:r>
              <w:rPr>
                <w:color w:val="auto"/>
                <w:sz w:val="21"/>
                <w:highlight w:val="none"/>
              </w:rPr>
              <w:t>m</w:t>
            </w:r>
            <w:r>
              <w:rPr>
                <w:color w:val="auto"/>
                <w:sz w:val="21"/>
                <w:highlight w:val="none"/>
                <w:vertAlign w:val="superscript"/>
              </w:rPr>
              <w:t>3</w:t>
            </w:r>
            <w:r>
              <w:rPr>
                <w:color w:val="auto"/>
                <w:sz w:val="21"/>
                <w:highlight w:val="none"/>
              </w:rPr>
              <w:t>，生活用水量为</w:t>
            </w:r>
            <w:r>
              <w:rPr>
                <w:rFonts w:hint="eastAsia"/>
                <w:color w:val="auto"/>
                <w:sz w:val="21"/>
                <w:highlight w:val="none"/>
                <w:lang w:val="en-US" w:eastAsia="zh-CN"/>
              </w:rPr>
              <w:t>1980</w:t>
            </w:r>
            <w:r>
              <w:rPr>
                <w:color w:val="auto"/>
                <w:sz w:val="21"/>
                <w:highlight w:val="none"/>
              </w:rPr>
              <w:t>m</w:t>
            </w:r>
            <w:r>
              <w:rPr>
                <w:color w:val="auto"/>
                <w:sz w:val="21"/>
                <w:highlight w:val="none"/>
                <w:vertAlign w:val="superscript"/>
              </w:rPr>
              <w:t>3</w:t>
            </w:r>
            <w:r>
              <w:rPr>
                <w:color w:val="auto"/>
                <w:sz w:val="21"/>
                <w:highlight w:val="none"/>
              </w:rPr>
              <w:t>。其中生产用水采用昌吉市城北污水处理厂的中水，消耗的水资源量较少</w:t>
            </w:r>
            <w:r>
              <w:rPr>
                <w:rFonts w:hint="eastAsia"/>
                <w:color w:val="auto"/>
                <w:sz w:val="21"/>
                <w:highlight w:val="none"/>
              </w:rPr>
              <w:t>；本项目全年用电量为</w:t>
            </w:r>
            <w:r>
              <w:rPr>
                <w:rFonts w:hint="eastAsia"/>
                <w:color w:val="auto"/>
                <w:sz w:val="21"/>
                <w:highlight w:val="none"/>
                <w:lang w:val="en-US" w:eastAsia="zh-CN"/>
              </w:rPr>
              <w:t>0.53</w:t>
            </w:r>
            <w:r>
              <w:rPr>
                <w:rFonts w:hint="eastAsia"/>
                <w:color w:val="auto"/>
                <w:sz w:val="21"/>
                <w:highlight w:val="none"/>
              </w:rPr>
              <w:t>万kW·h，采暖依托昌吉市垃圾焚烧发电项目的热蒸汽，</w:t>
            </w:r>
            <w:r>
              <w:rPr>
                <w:color w:val="auto"/>
                <w:sz w:val="21"/>
                <w:highlight w:val="none"/>
              </w:rPr>
              <w:t>能源消耗较少。</w:t>
            </w:r>
          </w:p>
          <w:p>
            <w:pPr>
              <w:pStyle w:val="50"/>
              <w:spacing w:before="0" w:beforeAutospacing="0" w:line="480" w:lineRule="exact"/>
              <w:ind w:firstLine="420"/>
              <w:jc w:val="both"/>
              <w:rPr>
                <w:color w:val="auto"/>
                <w:sz w:val="21"/>
              </w:rPr>
            </w:pPr>
            <w:r>
              <w:rPr>
                <w:color w:val="auto"/>
                <w:sz w:val="21"/>
              </w:rPr>
              <w:t>本项目的实施对整个区域资源影响较小，因此符合资源利用上线的相关要求。</w:t>
            </w:r>
          </w:p>
          <w:p>
            <w:pPr>
              <w:pStyle w:val="50"/>
              <w:numPr>
                <w:ilvl w:val="0"/>
                <w:numId w:val="3"/>
              </w:numPr>
              <w:spacing w:before="0" w:beforeAutospacing="0" w:line="480" w:lineRule="exact"/>
              <w:ind w:firstLine="420"/>
              <w:jc w:val="both"/>
              <w:rPr>
                <w:color w:val="auto"/>
                <w:sz w:val="21"/>
              </w:rPr>
            </w:pPr>
            <w:r>
              <w:rPr>
                <w:color w:val="auto"/>
                <w:sz w:val="21"/>
              </w:rPr>
              <w:t>准入清单</w:t>
            </w:r>
          </w:p>
          <w:p>
            <w:pPr>
              <w:pStyle w:val="50"/>
              <w:numPr>
                <w:ilvl w:val="255"/>
                <w:numId w:val="0"/>
              </w:numPr>
              <w:spacing w:before="0" w:beforeAutospacing="0" w:line="480" w:lineRule="exact"/>
              <w:jc w:val="center"/>
              <w:rPr>
                <w:b/>
                <w:bCs/>
                <w:color w:val="auto"/>
                <w:sz w:val="21"/>
              </w:rPr>
            </w:pPr>
            <w:r>
              <w:rPr>
                <w:b/>
                <w:bCs/>
                <w:color w:val="auto"/>
                <w:sz w:val="21"/>
              </w:rPr>
              <w:t>表1-1    昌吉市环境管控单元生态环境准入清单（重点管控单元）</w:t>
            </w:r>
          </w:p>
          <w:tbl>
            <w:tblPr>
              <w:tblStyle w:val="22"/>
              <w:tblW w:w="67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02"/>
              <w:gridCol w:w="461"/>
              <w:gridCol w:w="404"/>
              <w:gridCol w:w="981"/>
              <w:gridCol w:w="44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402" w:type="dxa"/>
                  <w:tcBorders>
                    <w:tl2br w:val="nil"/>
                    <w:tr2bl w:val="nil"/>
                  </w:tcBorders>
                  <w:vAlign w:val="center"/>
                </w:tcPr>
                <w:p>
                  <w:pPr>
                    <w:jc w:val="center"/>
                    <w:rPr>
                      <w:b/>
                      <w:bCs/>
                      <w:color w:val="auto"/>
                      <w:kern w:val="0"/>
                      <w:szCs w:val="21"/>
                    </w:rPr>
                  </w:pPr>
                  <w:r>
                    <w:rPr>
                      <w:b/>
                      <w:bCs/>
                      <w:color w:val="auto"/>
                      <w:kern w:val="0"/>
                      <w:szCs w:val="21"/>
                    </w:rPr>
                    <w:t>环境管控单元编码</w:t>
                  </w:r>
                </w:p>
              </w:tc>
              <w:tc>
                <w:tcPr>
                  <w:tcW w:w="461" w:type="dxa"/>
                  <w:tcBorders>
                    <w:tl2br w:val="nil"/>
                    <w:tr2bl w:val="nil"/>
                  </w:tcBorders>
                  <w:vAlign w:val="center"/>
                </w:tcPr>
                <w:p>
                  <w:pPr>
                    <w:jc w:val="center"/>
                    <w:rPr>
                      <w:b/>
                      <w:bCs/>
                      <w:color w:val="auto"/>
                      <w:szCs w:val="21"/>
                    </w:rPr>
                  </w:pPr>
                  <w:r>
                    <w:rPr>
                      <w:b/>
                      <w:bCs/>
                      <w:color w:val="auto"/>
                      <w:szCs w:val="21"/>
                    </w:rPr>
                    <w:t>环境管控单元名称</w:t>
                  </w:r>
                </w:p>
              </w:tc>
              <w:tc>
                <w:tcPr>
                  <w:tcW w:w="404" w:type="dxa"/>
                  <w:tcBorders>
                    <w:tl2br w:val="nil"/>
                    <w:tr2bl w:val="nil"/>
                  </w:tcBorders>
                  <w:vAlign w:val="center"/>
                </w:tcPr>
                <w:p>
                  <w:pPr>
                    <w:jc w:val="center"/>
                    <w:rPr>
                      <w:b/>
                      <w:bCs/>
                      <w:color w:val="auto"/>
                      <w:kern w:val="0"/>
                      <w:szCs w:val="21"/>
                    </w:rPr>
                  </w:pPr>
                  <w:r>
                    <w:rPr>
                      <w:b/>
                      <w:bCs/>
                      <w:color w:val="auto"/>
                      <w:kern w:val="0"/>
                      <w:szCs w:val="21"/>
                    </w:rPr>
                    <w:t>环境管控单元类别</w:t>
                  </w:r>
                </w:p>
              </w:tc>
              <w:tc>
                <w:tcPr>
                  <w:tcW w:w="5472" w:type="dxa"/>
                  <w:gridSpan w:val="2"/>
                  <w:tcBorders>
                    <w:tl2br w:val="nil"/>
                    <w:tr2bl w:val="nil"/>
                  </w:tcBorders>
                  <w:vAlign w:val="center"/>
                </w:tcPr>
                <w:p>
                  <w:pPr>
                    <w:pStyle w:val="44"/>
                    <w:ind w:firstLine="0" w:firstLineChars="0"/>
                    <w:jc w:val="center"/>
                    <w:rPr>
                      <w:b/>
                      <w:bCs/>
                      <w:color w:val="auto"/>
                      <w:szCs w:val="21"/>
                    </w:rPr>
                  </w:pPr>
                  <w:r>
                    <w:rPr>
                      <w:b/>
                      <w:bCs/>
                      <w:color w:val="auto"/>
                      <w:kern w:val="0"/>
                      <w:szCs w:val="21"/>
                    </w:rPr>
                    <w:t>管控要求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02" w:type="dxa"/>
                  <w:vMerge w:val="restart"/>
                  <w:tcBorders>
                    <w:tl2br w:val="nil"/>
                    <w:tr2bl w:val="nil"/>
                  </w:tcBorders>
                  <w:vAlign w:val="center"/>
                </w:tcPr>
                <w:p>
                  <w:pPr>
                    <w:spacing w:line="240" w:lineRule="atLeast"/>
                    <w:jc w:val="center"/>
                    <w:rPr>
                      <w:color w:val="auto"/>
                      <w:kern w:val="0"/>
                      <w:szCs w:val="21"/>
                    </w:rPr>
                  </w:pPr>
                  <w:r>
                    <w:rPr>
                      <w:color w:val="auto"/>
                      <w:kern w:val="0"/>
                      <w:szCs w:val="21"/>
                    </w:rPr>
                    <w:t>ZH65230120007</w:t>
                  </w:r>
                </w:p>
              </w:tc>
              <w:tc>
                <w:tcPr>
                  <w:tcW w:w="461" w:type="dxa"/>
                  <w:vMerge w:val="restart"/>
                  <w:tcBorders>
                    <w:tl2br w:val="nil"/>
                    <w:tr2bl w:val="nil"/>
                  </w:tcBorders>
                  <w:vAlign w:val="center"/>
                </w:tcPr>
                <w:p>
                  <w:pPr>
                    <w:spacing w:line="240" w:lineRule="atLeast"/>
                    <w:jc w:val="center"/>
                    <w:rPr>
                      <w:color w:val="auto"/>
                      <w:szCs w:val="21"/>
                    </w:rPr>
                  </w:pPr>
                  <w:r>
                    <w:rPr>
                      <w:color w:val="auto"/>
                      <w:szCs w:val="21"/>
                    </w:rPr>
                    <w:t>昌吉市北部荒漠绿洲过渡带地下水禁采区</w:t>
                  </w:r>
                </w:p>
              </w:tc>
              <w:tc>
                <w:tcPr>
                  <w:tcW w:w="404" w:type="dxa"/>
                  <w:vMerge w:val="restart"/>
                  <w:tcBorders>
                    <w:tl2br w:val="nil"/>
                    <w:tr2bl w:val="nil"/>
                  </w:tcBorders>
                  <w:vAlign w:val="center"/>
                </w:tcPr>
                <w:p>
                  <w:pPr>
                    <w:spacing w:line="240" w:lineRule="atLeast"/>
                    <w:jc w:val="center"/>
                    <w:rPr>
                      <w:color w:val="auto"/>
                      <w:szCs w:val="21"/>
                    </w:rPr>
                  </w:pPr>
                  <w:r>
                    <w:rPr>
                      <w:color w:val="auto"/>
                      <w:kern w:val="0"/>
                      <w:szCs w:val="21"/>
                    </w:rPr>
                    <w:t>重点管控单元</w:t>
                  </w:r>
                </w:p>
              </w:tc>
              <w:tc>
                <w:tcPr>
                  <w:tcW w:w="981" w:type="dxa"/>
                  <w:tcBorders>
                    <w:tl2br w:val="nil"/>
                    <w:tr2bl w:val="nil"/>
                  </w:tcBorders>
                  <w:vAlign w:val="center"/>
                </w:tcPr>
                <w:p>
                  <w:pPr>
                    <w:spacing w:line="240" w:lineRule="atLeast"/>
                    <w:jc w:val="center"/>
                    <w:rPr>
                      <w:b/>
                      <w:bCs/>
                      <w:color w:val="auto"/>
                      <w:kern w:val="0"/>
                      <w:szCs w:val="21"/>
                    </w:rPr>
                  </w:pPr>
                  <w:r>
                    <w:rPr>
                      <w:color w:val="auto"/>
                      <w:kern w:val="0"/>
                      <w:szCs w:val="21"/>
                    </w:rPr>
                    <w:t>空间布局约束</w:t>
                  </w:r>
                </w:p>
              </w:tc>
              <w:tc>
                <w:tcPr>
                  <w:tcW w:w="4491" w:type="dxa"/>
                  <w:tcBorders>
                    <w:tl2br w:val="nil"/>
                    <w:tr2bl w:val="nil"/>
                  </w:tcBorders>
                  <w:vAlign w:val="center"/>
                </w:tcPr>
                <w:p>
                  <w:pPr>
                    <w:pStyle w:val="44"/>
                    <w:spacing w:line="240" w:lineRule="atLeast"/>
                    <w:ind w:firstLine="0" w:firstLineChars="0"/>
                    <w:rPr>
                      <w:bCs/>
                      <w:color w:val="auto"/>
                      <w:szCs w:val="21"/>
                    </w:rPr>
                  </w:pPr>
                  <w:r>
                    <w:rPr>
                      <w:bCs/>
                      <w:color w:val="auto"/>
                      <w:szCs w:val="21"/>
                    </w:rPr>
                    <w:t>1</w:t>
                  </w:r>
                  <w:r>
                    <w:rPr>
                      <w:color w:val="auto"/>
                      <w:kern w:val="0"/>
                      <w:szCs w:val="21"/>
                    </w:rPr>
                    <w:t>、执行自治区、乌昌石片区总体准入要求中关于重点管控单元空间布局约束的准入要求（表2-3 A6.1、表3.4-2 B1）。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402" w:type="dxa"/>
                  <w:vMerge w:val="continue"/>
                  <w:tcBorders>
                    <w:tl2br w:val="nil"/>
                    <w:tr2bl w:val="nil"/>
                  </w:tcBorders>
                  <w:vAlign w:val="center"/>
                </w:tcPr>
                <w:p>
                  <w:pPr>
                    <w:widowControl/>
                    <w:spacing w:line="240" w:lineRule="atLeast"/>
                    <w:jc w:val="center"/>
                    <w:rPr>
                      <w:color w:val="auto"/>
                      <w:kern w:val="0"/>
                      <w:szCs w:val="21"/>
                    </w:rPr>
                  </w:pPr>
                </w:p>
              </w:tc>
              <w:tc>
                <w:tcPr>
                  <w:tcW w:w="461" w:type="dxa"/>
                  <w:vMerge w:val="continue"/>
                  <w:tcBorders>
                    <w:tl2br w:val="nil"/>
                    <w:tr2bl w:val="nil"/>
                  </w:tcBorders>
                  <w:vAlign w:val="center"/>
                </w:tcPr>
                <w:p>
                  <w:pPr>
                    <w:widowControl/>
                    <w:spacing w:line="240" w:lineRule="atLeast"/>
                    <w:jc w:val="center"/>
                    <w:rPr>
                      <w:color w:val="auto"/>
                      <w:szCs w:val="21"/>
                    </w:rPr>
                  </w:pPr>
                </w:p>
              </w:tc>
              <w:tc>
                <w:tcPr>
                  <w:tcW w:w="404" w:type="dxa"/>
                  <w:vMerge w:val="continue"/>
                  <w:tcBorders>
                    <w:tl2br w:val="nil"/>
                    <w:tr2bl w:val="nil"/>
                  </w:tcBorders>
                  <w:vAlign w:val="center"/>
                </w:tcPr>
                <w:p>
                  <w:pPr>
                    <w:widowControl/>
                    <w:spacing w:line="240" w:lineRule="atLeast"/>
                    <w:jc w:val="center"/>
                    <w:rPr>
                      <w:color w:val="auto"/>
                      <w:szCs w:val="21"/>
                    </w:rPr>
                  </w:pPr>
                </w:p>
              </w:tc>
              <w:tc>
                <w:tcPr>
                  <w:tcW w:w="981" w:type="dxa"/>
                  <w:tcBorders>
                    <w:tl2br w:val="nil"/>
                    <w:tr2bl w:val="nil"/>
                  </w:tcBorders>
                  <w:vAlign w:val="center"/>
                </w:tcPr>
                <w:p>
                  <w:pPr>
                    <w:spacing w:line="240" w:lineRule="atLeast"/>
                    <w:jc w:val="center"/>
                    <w:rPr>
                      <w:color w:val="auto"/>
                      <w:kern w:val="0"/>
                      <w:szCs w:val="21"/>
                    </w:rPr>
                  </w:pPr>
                  <w:r>
                    <w:rPr>
                      <w:color w:val="auto"/>
                      <w:kern w:val="0"/>
                      <w:szCs w:val="21"/>
                    </w:rPr>
                    <w:t>污染物排放管控</w:t>
                  </w:r>
                </w:p>
              </w:tc>
              <w:tc>
                <w:tcPr>
                  <w:tcW w:w="4491" w:type="dxa"/>
                  <w:tcBorders>
                    <w:tl2br w:val="nil"/>
                    <w:tr2bl w:val="nil"/>
                  </w:tcBorders>
                  <w:vAlign w:val="center"/>
                </w:tcPr>
                <w:p>
                  <w:pPr>
                    <w:pStyle w:val="44"/>
                    <w:spacing w:line="240" w:lineRule="atLeast"/>
                    <w:ind w:firstLine="0" w:firstLineChars="0"/>
                    <w:rPr>
                      <w:color w:val="auto"/>
                      <w:kern w:val="0"/>
                      <w:szCs w:val="21"/>
                    </w:rPr>
                  </w:pPr>
                  <w:r>
                    <w:rPr>
                      <w:bCs/>
                      <w:color w:val="auto"/>
                      <w:szCs w:val="21"/>
                    </w:rPr>
                    <w:t>1</w:t>
                  </w:r>
                  <w:r>
                    <w:rPr>
                      <w:color w:val="auto"/>
                      <w:kern w:val="0"/>
                      <w:szCs w:val="21"/>
                    </w:rPr>
                    <w:t>、执行自治区、乌昌石片区总体准入要求中关于重点管控单元污染物排放管控的准入要求（表2-3 A6.2、表3.4-2 B2）。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402" w:type="dxa"/>
                  <w:vMerge w:val="continue"/>
                  <w:tcBorders>
                    <w:tl2br w:val="nil"/>
                    <w:tr2bl w:val="nil"/>
                  </w:tcBorders>
                  <w:vAlign w:val="center"/>
                </w:tcPr>
                <w:p>
                  <w:pPr>
                    <w:widowControl/>
                    <w:spacing w:line="240" w:lineRule="atLeast"/>
                    <w:jc w:val="center"/>
                    <w:rPr>
                      <w:color w:val="auto"/>
                      <w:kern w:val="0"/>
                      <w:szCs w:val="21"/>
                    </w:rPr>
                  </w:pPr>
                </w:p>
              </w:tc>
              <w:tc>
                <w:tcPr>
                  <w:tcW w:w="461" w:type="dxa"/>
                  <w:vMerge w:val="continue"/>
                  <w:tcBorders>
                    <w:tl2br w:val="nil"/>
                    <w:tr2bl w:val="nil"/>
                  </w:tcBorders>
                  <w:vAlign w:val="center"/>
                </w:tcPr>
                <w:p>
                  <w:pPr>
                    <w:widowControl/>
                    <w:spacing w:line="240" w:lineRule="atLeast"/>
                    <w:jc w:val="center"/>
                    <w:rPr>
                      <w:color w:val="auto"/>
                      <w:szCs w:val="21"/>
                    </w:rPr>
                  </w:pPr>
                </w:p>
              </w:tc>
              <w:tc>
                <w:tcPr>
                  <w:tcW w:w="404" w:type="dxa"/>
                  <w:vMerge w:val="continue"/>
                  <w:tcBorders>
                    <w:tl2br w:val="nil"/>
                    <w:tr2bl w:val="nil"/>
                  </w:tcBorders>
                  <w:vAlign w:val="center"/>
                </w:tcPr>
                <w:p>
                  <w:pPr>
                    <w:widowControl/>
                    <w:spacing w:line="240" w:lineRule="atLeast"/>
                    <w:jc w:val="center"/>
                    <w:rPr>
                      <w:color w:val="auto"/>
                      <w:szCs w:val="21"/>
                    </w:rPr>
                  </w:pPr>
                </w:p>
              </w:tc>
              <w:tc>
                <w:tcPr>
                  <w:tcW w:w="981" w:type="dxa"/>
                  <w:tcBorders>
                    <w:tl2br w:val="nil"/>
                    <w:tr2bl w:val="nil"/>
                  </w:tcBorders>
                  <w:vAlign w:val="center"/>
                </w:tcPr>
                <w:p>
                  <w:pPr>
                    <w:spacing w:line="240" w:lineRule="atLeast"/>
                    <w:jc w:val="center"/>
                    <w:rPr>
                      <w:color w:val="auto"/>
                      <w:kern w:val="0"/>
                      <w:szCs w:val="21"/>
                    </w:rPr>
                  </w:pPr>
                  <w:r>
                    <w:rPr>
                      <w:color w:val="auto"/>
                      <w:kern w:val="0"/>
                      <w:szCs w:val="21"/>
                    </w:rPr>
                    <w:t>环境风险防控</w:t>
                  </w:r>
                </w:p>
              </w:tc>
              <w:tc>
                <w:tcPr>
                  <w:tcW w:w="4491" w:type="dxa"/>
                  <w:tcBorders>
                    <w:tl2br w:val="nil"/>
                    <w:tr2bl w:val="nil"/>
                  </w:tcBorders>
                  <w:vAlign w:val="center"/>
                </w:tcPr>
                <w:p>
                  <w:pPr>
                    <w:pStyle w:val="44"/>
                    <w:spacing w:line="240" w:lineRule="atLeast"/>
                    <w:ind w:firstLine="0" w:firstLineChars="0"/>
                    <w:rPr>
                      <w:color w:val="auto"/>
                      <w:kern w:val="0"/>
                      <w:szCs w:val="21"/>
                    </w:rPr>
                  </w:pPr>
                  <w:r>
                    <w:rPr>
                      <w:bCs/>
                      <w:color w:val="auto"/>
                      <w:szCs w:val="21"/>
                    </w:rPr>
                    <w:t>1</w:t>
                  </w:r>
                  <w:r>
                    <w:rPr>
                      <w:color w:val="auto"/>
                      <w:kern w:val="0"/>
                      <w:szCs w:val="21"/>
                    </w:rPr>
                    <w:t>、执行自治区、乌昌石片区总体准入要求中关于重点管控单元环境风险防控的准入要求（表2-3 A6.3、表3.4-2 B3）。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02" w:hRule="atLeast"/>
                <w:jc w:val="center"/>
              </w:trPr>
              <w:tc>
                <w:tcPr>
                  <w:tcW w:w="402" w:type="dxa"/>
                  <w:vMerge w:val="continue"/>
                  <w:tcBorders>
                    <w:tl2br w:val="nil"/>
                    <w:tr2bl w:val="nil"/>
                  </w:tcBorders>
                  <w:vAlign w:val="center"/>
                </w:tcPr>
                <w:p>
                  <w:pPr>
                    <w:widowControl/>
                    <w:spacing w:line="240" w:lineRule="atLeast"/>
                    <w:jc w:val="center"/>
                    <w:rPr>
                      <w:color w:val="auto"/>
                      <w:kern w:val="0"/>
                      <w:szCs w:val="21"/>
                    </w:rPr>
                  </w:pPr>
                </w:p>
              </w:tc>
              <w:tc>
                <w:tcPr>
                  <w:tcW w:w="461" w:type="dxa"/>
                  <w:vMerge w:val="continue"/>
                  <w:tcBorders>
                    <w:tl2br w:val="nil"/>
                    <w:tr2bl w:val="nil"/>
                  </w:tcBorders>
                  <w:vAlign w:val="center"/>
                </w:tcPr>
                <w:p>
                  <w:pPr>
                    <w:widowControl/>
                    <w:spacing w:line="240" w:lineRule="atLeast"/>
                    <w:jc w:val="center"/>
                    <w:rPr>
                      <w:color w:val="auto"/>
                      <w:szCs w:val="21"/>
                    </w:rPr>
                  </w:pPr>
                </w:p>
              </w:tc>
              <w:tc>
                <w:tcPr>
                  <w:tcW w:w="404" w:type="dxa"/>
                  <w:vMerge w:val="continue"/>
                  <w:tcBorders>
                    <w:tl2br w:val="nil"/>
                    <w:tr2bl w:val="nil"/>
                  </w:tcBorders>
                  <w:vAlign w:val="center"/>
                </w:tcPr>
                <w:p>
                  <w:pPr>
                    <w:widowControl/>
                    <w:spacing w:line="240" w:lineRule="atLeast"/>
                    <w:jc w:val="center"/>
                    <w:rPr>
                      <w:color w:val="auto"/>
                      <w:szCs w:val="21"/>
                    </w:rPr>
                  </w:pPr>
                </w:p>
              </w:tc>
              <w:tc>
                <w:tcPr>
                  <w:tcW w:w="981" w:type="dxa"/>
                  <w:tcBorders>
                    <w:tl2br w:val="nil"/>
                    <w:tr2bl w:val="nil"/>
                  </w:tcBorders>
                  <w:vAlign w:val="center"/>
                </w:tcPr>
                <w:p>
                  <w:pPr>
                    <w:spacing w:line="240" w:lineRule="atLeast"/>
                    <w:jc w:val="center"/>
                    <w:rPr>
                      <w:color w:val="auto"/>
                      <w:kern w:val="0"/>
                      <w:szCs w:val="21"/>
                    </w:rPr>
                  </w:pPr>
                  <w:r>
                    <w:rPr>
                      <w:color w:val="auto"/>
                      <w:kern w:val="0"/>
                      <w:szCs w:val="21"/>
                    </w:rPr>
                    <w:t>资源利用效率</w:t>
                  </w:r>
                </w:p>
              </w:tc>
              <w:tc>
                <w:tcPr>
                  <w:tcW w:w="4491" w:type="dxa"/>
                  <w:tcBorders>
                    <w:tl2br w:val="nil"/>
                    <w:tr2bl w:val="nil"/>
                  </w:tcBorders>
                  <w:vAlign w:val="center"/>
                </w:tcPr>
                <w:p>
                  <w:pPr>
                    <w:pStyle w:val="61"/>
                    <w:spacing w:line="240" w:lineRule="atLeast"/>
                    <w:jc w:val="both"/>
                    <w:rPr>
                      <w:rFonts w:eastAsia="宋体"/>
                      <w:color w:val="auto"/>
                      <w:szCs w:val="21"/>
                    </w:rPr>
                  </w:pPr>
                  <w:r>
                    <w:rPr>
                      <w:rFonts w:eastAsia="宋体"/>
                      <w:color w:val="auto"/>
                      <w:szCs w:val="21"/>
                    </w:rPr>
                    <w:t>1、执行自治区、乌昌石片区总体准入要求中关于重点管控单元资源利用效率的准入要求（表2-3A6.4、表3.4-2 B4）。</w:t>
                  </w:r>
                </w:p>
                <w:p>
                  <w:pPr>
                    <w:pStyle w:val="61"/>
                    <w:spacing w:line="240" w:lineRule="atLeast"/>
                    <w:jc w:val="both"/>
                    <w:rPr>
                      <w:rFonts w:eastAsia="宋体"/>
                      <w:color w:val="auto"/>
                      <w:szCs w:val="21"/>
                    </w:rPr>
                  </w:pPr>
                  <w:r>
                    <w:rPr>
                      <w:rFonts w:eastAsia="宋体"/>
                      <w:color w:val="auto"/>
                      <w:szCs w:val="21"/>
                    </w:rPr>
                    <w:t>2、除城乡生活饮水或者战备、旱灾、火灾、地震等应急需要取水外，原有的地下水取水工程全部限期封停。</w:t>
                  </w:r>
                </w:p>
              </w:tc>
            </w:tr>
          </w:tbl>
          <w:p>
            <w:pPr>
              <w:pStyle w:val="50"/>
              <w:spacing w:before="0" w:beforeAutospacing="0" w:line="480" w:lineRule="exact"/>
              <w:ind w:firstLine="420"/>
              <w:jc w:val="both"/>
              <w:rPr>
                <w:rFonts w:hint="eastAsia"/>
                <w:color w:val="auto"/>
                <w:sz w:val="21"/>
              </w:rPr>
            </w:pPr>
            <w:r>
              <w:rPr>
                <w:rFonts w:hint="eastAsia"/>
                <w:color w:val="auto"/>
                <w:sz w:val="21"/>
              </w:rPr>
              <w:t>根据昌吉市环境管控单元生态环境准入清单，本项目需执行自治区、乌昌石片区总体准入要求。具体分析如下：</w:t>
            </w:r>
          </w:p>
          <w:p>
            <w:pPr>
              <w:pStyle w:val="50"/>
              <w:spacing w:before="0" w:beforeAutospacing="0" w:line="480" w:lineRule="exact"/>
              <w:ind w:firstLine="0" w:firstLineChars="0"/>
              <w:jc w:val="center"/>
              <w:rPr>
                <w:b/>
                <w:bCs/>
                <w:color w:val="auto"/>
                <w:sz w:val="21"/>
              </w:rPr>
            </w:pPr>
          </w:p>
          <w:p>
            <w:pPr>
              <w:pStyle w:val="50"/>
              <w:spacing w:before="0" w:beforeAutospacing="0" w:line="480" w:lineRule="exact"/>
              <w:ind w:firstLine="0" w:firstLineChars="0"/>
              <w:jc w:val="center"/>
              <w:rPr>
                <w:b/>
                <w:bCs/>
                <w:color w:val="auto"/>
                <w:sz w:val="21"/>
              </w:rPr>
            </w:pPr>
          </w:p>
          <w:p>
            <w:pPr>
              <w:pStyle w:val="50"/>
              <w:spacing w:before="0" w:beforeAutospacing="0" w:line="480" w:lineRule="exact"/>
              <w:ind w:firstLine="0" w:firstLineChars="0"/>
              <w:jc w:val="center"/>
              <w:rPr>
                <w:b/>
                <w:bCs/>
                <w:color w:val="auto"/>
                <w:sz w:val="21"/>
              </w:rPr>
            </w:pPr>
          </w:p>
          <w:p>
            <w:pPr>
              <w:pStyle w:val="50"/>
              <w:spacing w:before="0" w:beforeAutospacing="0" w:line="480" w:lineRule="exact"/>
              <w:ind w:firstLine="0" w:firstLineChars="0"/>
              <w:jc w:val="center"/>
              <w:rPr>
                <w:b/>
                <w:bCs/>
                <w:color w:val="auto"/>
                <w:sz w:val="21"/>
              </w:rPr>
            </w:pPr>
          </w:p>
          <w:p>
            <w:pPr>
              <w:pStyle w:val="50"/>
              <w:spacing w:before="0" w:beforeAutospacing="0" w:line="480" w:lineRule="exact"/>
              <w:ind w:firstLine="0" w:firstLineChars="0"/>
              <w:jc w:val="center"/>
              <w:rPr>
                <w:b/>
                <w:bCs/>
                <w:color w:val="auto"/>
                <w:sz w:val="21"/>
              </w:rPr>
            </w:pPr>
          </w:p>
          <w:p>
            <w:pPr>
              <w:pStyle w:val="50"/>
              <w:spacing w:before="0" w:beforeAutospacing="0" w:line="480" w:lineRule="exact"/>
              <w:ind w:firstLine="0" w:firstLineChars="0"/>
              <w:jc w:val="center"/>
              <w:rPr>
                <w:b/>
                <w:bCs/>
                <w:color w:val="auto"/>
                <w:sz w:val="21"/>
              </w:rPr>
            </w:pPr>
          </w:p>
          <w:p>
            <w:pPr>
              <w:pStyle w:val="50"/>
              <w:spacing w:before="0" w:beforeAutospacing="0" w:line="480" w:lineRule="exact"/>
              <w:ind w:firstLine="0" w:firstLineChars="0"/>
              <w:jc w:val="center"/>
              <w:rPr>
                <w:b/>
                <w:bCs/>
                <w:color w:val="auto"/>
                <w:sz w:val="21"/>
              </w:rPr>
            </w:pPr>
          </w:p>
          <w:p>
            <w:pPr>
              <w:pStyle w:val="50"/>
              <w:spacing w:before="0" w:beforeAutospacing="0" w:line="480" w:lineRule="exact"/>
              <w:ind w:firstLine="0" w:firstLineChars="0"/>
              <w:jc w:val="center"/>
              <w:rPr>
                <w:b/>
                <w:bCs/>
                <w:color w:val="auto"/>
                <w:sz w:val="21"/>
              </w:rPr>
            </w:pPr>
            <w:r>
              <w:rPr>
                <w:b/>
                <w:bCs/>
                <w:color w:val="auto"/>
                <w:sz w:val="21"/>
              </w:rPr>
              <w:t xml:space="preserve">表1-2    </w:t>
            </w:r>
            <w:r>
              <w:rPr>
                <w:rFonts w:hint="eastAsia"/>
                <w:b/>
                <w:bCs/>
                <w:color w:val="auto"/>
                <w:sz w:val="21"/>
              </w:rPr>
              <w:t>自治区</w:t>
            </w:r>
            <w:r>
              <w:rPr>
                <w:b/>
                <w:bCs/>
                <w:color w:val="auto"/>
                <w:sz w:val="21"/>
              </w:rPr>
              <w:t>重点管控单元分类管控要求</w:t>
            </w:r>
          </w:p>
          <w:tbl>
            <w:tblPr>
              <w:tblStyle w:val="23"/>
              <w:tblW w:w="657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50"/>
              <w:gridCol w:w="639"/>
              <w:gridCol w:w="3636"/>
              <w:gridCol w:w="185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4725" w:type="dxa"/>
                  <w:gridSpan w:val="3"/>
                  <w:tcBorders>
                    <w:tl2br w:val="nil"/>
                    <w:tr2bl w:val="nil"/>
                  </w:tcBorders>
                  <w:vAlign w:val="center"/>
                </w:tcPr>
                <w:p>
                  <w:pPr>
                    <w:spacing w:line="240" w:lineRule="atLeast"/>
                    <w:jc w:val="center"/>
                    <w:rPr>
                      <w:b/>
                      <w:color w:val="auto"/>
                      <w:szCs w:val="21"/>
                    </w:rPr>
                  </w:pPr>
                  <w:r>
                    <w:rPr>
                      <w:b/>
                      <w:color w:val="auto"/>
                      <w:szCs w:val="21"/>
                    </w:rPr>
                    <w:t>管控要求</w:t>
                  </w:r>
                </w:p>
              </w:tc>
              <w:tc>
                <w:tcPr>
                  <w:tcW w:w="1854" w:type="dxa"/>
                  <w:tcBorders>
                    <w:tl2br w:val="nil"/>
                    <w:tr2bl w:val="nil"/>
                  </w:tcBorders>
                  <w:vAlign w:val="center"/>
                </w:tcPr>
                <w:p>
                  <w:pPr>
                    <w:spacing w:line="240" w:lineRule="atLeast"/>
                    <w:jc w:val="center"/>
                    <w:rPr>
                      <w:b/>
                      <w:color w:val="auto"/>
                      <w:szCs w:val="21"/>
                    </w:rPr>
                  </w:pPr>
                  <w:r>
                    <w:rPr>
                      <w:rFonts w:hint="eastAsia"/>
                      <w:b/>
                      <w:color w:val="auto"/>
                      <w:szCs w:val="21"/>
                    </w:rPr>
                    <w:t>本项目相符性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90" w:hRule="atLeast"/>
              </w:trPr>
              <w:tc>
                <w:tcPr>
                  <w:tcW w:w="450" w:type="dxa"/>
                  <w:vMerge w:val="restart"/>
                  <w:tcBorders>
                    <w:tl2br w:val="nil"/>
                    <w:tr2bl w:val="nil"/>
                  </w:tcBorders>
                  <w:vAlign w:val="center"/>
                </w:tcPr>
                <w:p>
                  <w:pPr>
                    <w:spacing w:line="240" w:lineRule="atLeast"/>
                    <w:jc w:val="center"/>
                    <w:rPr>
                      <w:bCs/>
                      <w:color w:val="auto"/>
                      <w:szCs w:val="21"/>
                    </w:rPr>
                  </w:pPr>
                  <w:r>
                    <w:rPr>
                      <w:bCs/>
                      <w:color w:val="auto"/>
                      <w:szCs w:val="21"/>
                    </w:rPr>
                    <w:t>A6重点管控单元</w:t>
                  </w:r>
                </w:p>
                <w:p>
                  <w:pPr>
                    <w:spacing w:line="240" w:lineRule="atLeast"/>
                    <w:jc w:val="center"/>
                    <w:rPr>
                      <w:bCs/>
                      <w:color w:val="auto"/>
                      <w:szCs w:val="21"/>
                    </w:rPr>
                  </w:pPr>
                </w:p>
              </w:tc>
              <w:tc>
                <w:tcPr>
                  <w:tcW w:w="639" w:type="dxa"/>
                  <w:tcBorders>
                    <w:tl2br w:val="nil"/>
                    <w:tr2bl w:val="nil"/>
                  </w:tcBorders>
                  <w:vAlign w:val="center"/>
                </w:tcPr>
                <w:p>
                  <w:pPr>
                    <w:spacing w:line="240" w:lineRule="atLeast"/>
                    <w:jc w:val="center"/>
                    <w:rPr>
                      <w:bCs/>
                      <w:color w:val="auto"/>
                      <w:szCs w:val="21"/>
                    </w:rPr>
                  </w:pPr>
                  <w:r>
                    <w:rPr>
                      <w:bCs/>
                      <w:color w:val="auto"/>
                      <w:szCs w:val="21"/>
                    </w:rPr>
                    <w:t>A6.1空间布局约束</w:t>
                  </w:r>
                </w:p>
              </w:tc>
              <w:tc>
                <w:tcPr>
                  <w:tcW w:w="3636" w:type="dxa"/>
                  <w:tcBorders>
                    <w:tl2br w:val="nil"/>
                    <w:tr2bl w:val="nil"/>
                  </w:tcBorders>
                  <w:vAlign w:val="center"/>
                </w:tcPr>
                <w:p>
                  <w:pPr>
                    <w:spacing w:line="240" w:lineRule="atLeast"/>
                    <w:ind w:firstLine="420" w:firstLineChars="200"/>
                    <w:rPr>
                      <w:bCs/>
                      <w:color w:val="auto"/>
                      <w:szCs w:val="21"/>
                    </w:rPr>
                  </w:pPr>
                  <w:r>
                    <w:rPr>
                      <w:bCs/>
                      <w:color w:val="auto"/>
                      <w:szCs w:val="21"/>
                    </w:rPr>
                    <w:t>【A6.1-1】根据产业集聚区块的功能定位，建立分区差别化的产业准入条件。严格控制重要水系源头地区和重要生态功能区“高污染、高环境风险产品”工业项目准入。优化完善区域产业布局，合理规划布局“高污染、高环境风险产品”工业项目，鼓励对“高污染、高环境风险产品”工业项目进行淘汰和提升改造。合理规划居住区与工业功能区，在居住区和工业区、工业企业之间设置防护绿化隔离带。</w:t>
                  </w:r>
                </w:p>
                <w:p>
                  <w:pPr>
                    <w:spacing w:line="240" w:lineRule="atLeast"/>
                    <w:ind w:firstLine="420" w:firstLineChars="200"/>
                    <w:rPr>
                      <w:color w:val="auto"/>
                      <w:kern w:val="0"/>
                      <w:szCs w:val="21"/>
                    </w:rPr>
                  </w:pPr>
                  <w:r>
                    <w:rPr>
                      <w:bCs/>
                      <w:color w:val="auto"/>
                      <w:szCs w:val="21"/>
                    </w:rPr>
                    <w:t>【A6.1-2】大气环境重点管控区内：</w:t>
                  </w:r>
                  <w:r>
                    <w:rPr>
                      <w:color w:val="auto"/>
                      <w:kern w:val="0"/>
                      <w:szCs w:val="21"/>
                    </w:rPr>
                    <w:t>禁止引进国家和自治区明令禁止或淘汰的产业及工艺、园区规划的项目；引进符合国家产业政策和清洁生产要求的、采用先进生产工艺和设备的、自动化程度高的、具有可靠先进的污染治理技术的生产项目。</w:t>
                  </w:r>
                </w:p>
                <w:p>
                  <w:pPr>
                    <w:spacing w:line="240" w:lineRule="atLeast"/>
                    <w:ind w:firstLine="420" w:firstLineChars="200"/>
                    <w:rPr>
                      <w:bCs/>
                      <w:color w:val="auto"/>
                      <w:szCs w:val="21"/>
                    </w:rPr>
                  </w:pPr>
                  <w:r>
                    <w:rPr>
                      <w:bCs/>
                      <w:color w:val="auto"/>
                      <w:szCs w:val="21"/>
                    </w:rPr>
                    <w:t>【A6.1-3】水环境重点管控区内：制定产业准入对污染排放不达标的企业限期整改，确保水污染物达标排放；加快推进生态园区建设和循环化改造，完善污水集中处理设施及再生水回用系统，加强配套管网建设，并确保稳定运行，工业废水必须经预处理达到集中处理要求后，方可进入污水集中处理设施，不断提高污水集中处理中水回用率。加强城镇配套管网建设，提高城镇生活污水出水排放标准，推进城镇生活污水深度治理，提高污水厂脱氮除磷效率。</w:t>
                  </w:r>
                </w:p>
                <w:p>
                  <w:pPr>
                    <w:spacing w:line="240" w:lineRule="atLeast"/>
                    <w:ind w:firstLine="420" w:firstLineChars="200"/>
                    <w:rPr>
                      <w:bCs/>
                      <w:color w:val="auto"/>
                      <w:szCs w:val="21"/>
                    </w:rPr>
                  </w:pPr>
                  <w:r>
                    <w:rPr>
                      <w:bCs/>
                      <w:color w:val="auto"/>
                      <w:szCs w:val="21"/>
                    </w:rPr>
                    <w:t>【A6.1-4】土壤环境重点管控区内：引入新建产业或企业时，应结合产业发展规划，充分考虑企业类型、污染物排放特征以及外环境情况等因素，避免企业形成交叉污染；涉重金属、持久性有机物等有毒有害污染物工业企业退出用地，须经评估、治理，满足后续相应用地土壤环境质量要求。</w:t>
                  </w:r>
                </w:p>
              </w:tc>
              <w:tc>
                <w:tcPr>
                  <w:tcW w:w="1854" w:type="dxa"/>
                  <w:tcBorders>
                    <w:tl2br w:val="nil"/>
                    <w:tr2bl w:val="nil"/>
                  </w:tcBorders>
                  <w:vAlign w:val="center"/>
                </w:tcPr>
                <w:p>
                  <w:pPr>
                    <w:spacing w:line="240" w:lineRule="atLeast"/>
                    <w:ind w:firstLine="420" w:firstLineChars="200"/>
                    <w:rPr>
                      <w:color w:val="auto"/>
                    </w:rPr>
                  </w:pPr>
                  <w:r>
                    <w:rPr>
                      <w:rFonts w:hint="eastAsia"/>
                      <w:color w:val="auto"/>
                    </w:rPr>
                    <w:t>本项目不属于“高污染、高环境风险”项目，不在居住区，与最近村庄和谐二村相距1.5km。</w:t>
                  </w:r>
                </w:p>
                <w:p>
                  <w:pPr>
                    <w:pStyle w:val="14"/>
                    <w:spacing w:after="0" w:line="240" w:lineRule="atLeast"/>
                    <w:ind w:firstLine="420" w:firstLineChars="200"/>
                    <w:rPr>
                      <w:color w:val="auto"/>
                    </w:rPr>
                  </w:pPr>
                  <w:r>
                    <w:rPr>
                      <w:rFonts w:hint="eastAsia"/>
                      <w:color w:val="auto"/>
                    </w:rPr>
                    <w:t>本项目污染治理技术可靠，生产工艺和设备自动化程度高，大气污染物经治理后能够达标排放。</w:t>
                  </w:r>
                </w:p>
                <w:p>
                  <w:pPr>
                    <w:pStyle w:val="15"/>
                    <w:spacing w:after="0" w:line="240" w:lineRule="atLeast"/>
                    <w:ind w:firstLine="420" w:firstLineChars="200"/>
                    <w:rPr>
                      <w:rFonts w:eastAsia="宋体"/>
                      <w:color w:val="auto"/>
                    </w:rPr>
                  </w:pPr>
                  <w:r>
                    <w:rPr>
                      <w:rFonts w:hint="eastAsia" w:eastAsia="宋体"/>
                      <w:color w:val="auto"/>
                    </w:rPr>
                    <w:t>本项目无生产废水产生，生活污水经地埋式一体化污水处理设施处理后达到《城市污水再生利用 城市杂用水水质》(GB/T</w:t>
                  </w:r>
                  <w:r>
                    <w:rPr>
                      <w:rFonts w:hint="eastAsia" w:eastAsia="宋体"/>
                      <w:color w:val="auto"/>
                      <w:szCs w:val="21"/>
                    </w:rPr>
                    <w:t>18920-2020</w:t>
                  </w:r>
                  <w:r>
                    <w:rPr>
                      <w:rFonts w:hint="eastAsia" w:eastAsia="宋体"/>
                      <w:color w:val="auto"/>
                    </w:rPr>
                    <w:t>)标准后用于厂区绿化、道路降尘、车辆冲洗。</w:t>
                  </w:r>
                </w:p>
                <w:p>
                  <w:pPr>
                    <w:pStyle w:val="15"/>
                    <w:spacing w:after="0" w:line="240" w:lineRule="atLeast"/>
                    <w:ind w:firstLine="420" w:firstLineChars="200"/>
                    <w:rPr>
                      <w:rFonts w:eastAsia="宋体"/>
                      <w:color w:val="auto"/>
                    </w:rPr>
                  </w:pPr>
                  <w:r>
                    <w:rPr>
                      <w:rFonts w:hint="eastAsia" w:eastAsia="宋体"/>
                      <w:color w:val="auto"/>
                    </w:rPr>
                    <w:t>本项目废气、废水、固废经合理处置后均对土壤不产生污染。</w:t>
                  </w:r>
                </w:p>
                <w:p>
                  <w:pPr>
                    <w:pStyle w:val="15"/>
                    <w:spacing w:after="0" w:line="240" w:lineRule="atLeast"/>
                    <w:ind w:firstLine="420" w:firstLineChars="200"/>
                    <w:rPr>
                      <w:rFonts w:eastAsia="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56" w:hRule="atLeast"/>
              </w:trPr>
              <w:tc>
                <w:tcPr>
                  <w:tcW w:w="450" w:type="dxa"/>
                  <w:vMerge w:val="continue"/>
                  <w:tcBorders>
                    <w:tl2br w:val="nil"/>
                    <w:tr2bl w:val="nil"/>
                  </w:tcBorders>
                  <w:vAlign w:val="center"/>
                </w:tcPr>
                <w:p>
                  <w:pPr>
                    <w:spacing w:line="240" w:lineRule="atLeast"/>
                    <w:jc w:val="center"/>
                    <w:rPr>
                      <w:bCs/>
                      <w:color w:val="auto"/>
                      <w:szCs w:val="21"/>
                    </w:rPr>
                  </w:pPr>
                </w:p>
              </w:tc>
              <w:tc>
                <w:tcPr>
                  <w:tcW w:w="639" w:type="dxa"/>
                  <w:tcBorders>
                    <w:tl2br w:val="nil"/>
                    <w:tr2bl w:val="nil"/>
                  </w:tcBorders>
                  <w:vAlign w:val="center"/>
                </w:tcPr>
                <w:p>
                  <w:pPr>
                    <w:spacing w:line="240" w:lineRule="atLeast"/>
                    <w:jc w:val="center"/>
                    <w:rPr>
                      <w:bCs/>
                      <w:color w:val="auto"/>
                      <w:szCs w:val="21"/>
                    </w:rPr>
                  </w:pPr>
                  <w:r>
                    <w:rPr>
                      <w:bCs/>
                      <w:color w:val="auto"/>
                      <w:szCs w:val="21"/>
                    </w:rPr>
                    <w:t>A6.2污染物排放管控</w:t>
                  </w:r>
                </w:p>
              </w:tc>
              <w:tc>
                <w:tcPr>
                  <w:tcW w:w="3636" w:type="dxa"/>
                  <w:tcBorders>
                    <w:tl2br w:val="nil"/>
                    <w:tr2bl w:val="nil"/>
                  </w:tcBorders>
                  <w:vAlign w:val="center"/>
                </w:tcPr>
                <w:p>
                  <w:pPr>
                    <w:spacing w:line="240" w:lineRule="atLeast"/>
                    <w:ind w:firstLine="420" w:firstLineChars="200"/>
                    <w:rPr>
                      <w:bCs/>
                      <w:color w:val="auto"/>
                      <w:szCs w:val="21"/>
                      <w:highlight w:val="none"/>
                    </w:rPr>
                  </w:pPr>
                  <w:r>
                    <w:rPr>
                      <w:bCs/>
                      <w:color w:val="auto"/>
                      <w:szCs w:val="21"/>
                      <w:highlight w:val="none"/>
                    </w:rPr>
                    <w:t>【A6.2-1】严格实施污染物总量控制制度，根据区域环境质量改善目标，削减污染物排放总量。新建工业项目污染物排放水平要达到同行业国内先进水平。加快落实污水处理厂建设及提升改造，推进工业园区（工业企业）污水处理综合利用设施建设，所有企业实现稳定达标排放。加强土壤和地下水污染防治与修复。</w:t>
                  </w:r>
                </w:p>
              </w:tc>
              <w:tc>
                <w:tcPr>
                  <w:tcW w:w="1854" w:type="dxa"/>
                  <w:tcBorders>
                    <w:tl2br w:val="nil"/>
                    <w:tr2bl w:val="nil"/>
                  </w:tcBorders>
                  <w:vAlign w:val="center"/>
                </w:tcPr>
                <w:p>
                  <w:pPr>
                    <w:spacing w:line="240" w:lineRule="atLeast"/>
                    <w:ind w:firstLine="420" w:firstLineChars="200"/>
                    <w:rPr>
                      <w:bCs/>
                      <w:color w:val="auto"/>
                      <w:szCs w:val="21"/>
                      <w:highlight w:val="none"/>
                    </w:rPr>
                  </w:pPr>
                  <w:r>
                    <w:rPr>
                      <w:rFonts w:hint="eastAsia"/>
                      <w:bCs/>
                      <w:color w:val="auto"/>
                      <w:szCs w:val="21"/>
                      <w:highlight w:val="none"/>
                    </w:rPr>
                    <w:t>本项目产生废气经处理后达标排放，颗粒物总量控制指标为</w:t>
                  </w:r>
                  <w:r>
                    <w:rPr>
                      <w:rFonts w:hint="eastAsia"/>
                      <w:bCs/>
                      <w:color w:val="auto"/>
                      <w:szCs w:val="21"/>
                      <w:highlight w:val="none"/>
                      <w:lang w:val="en-US" w:eastAsia="zh-CN"/>
                    </w:rPr>
                    <w:t>0.29</w:t>
                  </w:r>
                  <w:r>
                    <w:rPr>
                      <w:rFonts w:hint="eastAsia"/>
                      <w:bCs/>
                      <w:color w:val="auto"/>
                      <w:szCs w:val="21"/>
                      <w:highlight w:val="none"/>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28" w:hRule="atLeast"/>
              </w:trPr>
              <w:tc>
                <w:tcPr>
                  <w:tcW w:w="450" w:type="dxa"/>
                  <w:vMerge w:val="continue"/>
                  <w:tcBorders>
                    <w:tl2br w:val="nil"/>
                    <w:tr2bl w:val="nil"/>
                  </w:tcBorders>
                  <w:vAlign w:val="center"/>
                </w:tcPr>
                <w:p>
                  <w:pPr>
                    <w:spacing w:line="240" w:lineRule="atLeast"/>
                    <w:jc w:val="center"/>
                    <w:rPr>
                      <w:bCs/>
                      <w:color w:val="auto"/>
                      <w:szCs w:val="21"/>
                    </w:rPr>
                  </w:pPr>
                </w:p>
              </w:tc>
              <w:tc>
                <w:tcPr>
                  <w:tcW w:w="639" w:type="dxa"/>
                  <w:tcBorders>
                    <w:tl2br w:val="nil"/>
                    <w:tr2bl w:val="nil"/>
                  </w:tcBorders>
                  <w:vAlign w:val="center"/>
                </w:tcPr>
                <w:p>
                  <w:pPr>
                    <w:spacing w:line="240" w:lineRule="atLeast"/>
                    <w:jc w:val="center"/>
                    <w:rPr>
                      <w:bCs/>
                      <w:color w:val="auto"/>
                      <w:szCs w:val="21"/>
                    </w:rPr>
                  </w:pPr>
                  <w:r>
                    <w:rPr>
                      <w:bCs/>
                      <w:color w:val="auto"/>
                      <w:szCs w:val="21"/>
                    </w:rPr>
                    <w:t>A6.3环境风险防控</w:t>
                  </w:r>
                </w:p>
              </w:tc>
              <w:tc>
                <w:tcPr>
                  <w:tcW w:w="3636" w:type="dxa"/>
                  <w:tcBorders>
                    <w:tl2br w:val="nil"/>
                    <w:tr2bl w:val="nil"/>
                  </w:tcBorders>
                  <w:vAlign w:val="center"/>
                </w:tcPr>
                <w:p>
                  <w:pPr>
                    <w:spacing w:line="240" w:lineRule="atLeast"/>
                    <w:ind w:firstLine="420" w:firstLineChars="200"/>
                    <w:rPr>
                      <w:bCs/>
                      <w:color w:val="auto"/>
                      <w:szCs w:val="21"/>
                    </w:rPr>
                  </w:pPr>
                  <w:r>
                    <w:rPr>
                      <w:bCs/>
                      <w:color w:val="auto"/>
                      <w:szCs w:val="21"/>
                    </w:rPr>
                    <w:t>【A6.3-1】定期评估邻近环境敏感区的工业企业、工业集聚区环境和健康风险。强化工业集聚区企业环境风险防范设施设备建设和正常运行监管，加强重点环境风险管控企业应急预案制定，建立常态化的企业隐患排查整治监管机制，加强风险防控体系建设。</w:t>
                  </w:r>
                </w:p>
              </w:tc>
              <w:tc>
                <w:tcPr>
                  <w:tcW w:w="1854" w:type="dxa"/>
                  <w:tcBorders>
                    <w:tl2br w:val="nil"/>
                    <w:tr2bl w:val="nil"/>
                  </w:tcBorders>
                  <w:vAlign w:val="center"/>
                </w:tcPr>
                <w:p>
                  <w:pPr>
                    <w:spacing w:line="240" w:lineRule="atLeast"/>
                    <w:ind w:firstLine="420" w:firstLineChars="200"/>
                    <w:rPr>
                      <w:bCs/>
                      <w:color w:val="auto"/>
                      <w:szCs w:val="21"/>
                    </w:rPr>
                  </w:pPr>
                  <w:r>
                    <w:rPr>
                      <w:rFonts w:hint="eastAsia"/>
                      <w:bCs/>
                      <w:color w:val="auto"/>
                      <w:szCs w:val="21"/>
                    </w:rPr>
                    <w:t>本项目不存在重大环境风险源，在采用本报告提出的环境风险管控措施后，环境风险较小。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450" w:type="dxa"/>
                  <w:vMerge w:val="continue"/>
                  <w:tcBorders>
                    <w:tl2br w:val="nil"/>
                    <w:tr2bl w:val="nil"/>
                  </w:tcBorders>
                  <w:vAlign w:val="center"/>
                </w:tcPr>
                <w:p>
                  <w:pPr>
                    <w:spacing w:line="240" w:lineRule="atLeast"/>
                    <w:jc w:val="center"/>
                    <w:rPr>
                      <w:bCs/>
                      <w:color w:val="auto"/>
                      <w:szCs w:val="21"/>
                    </w:rPr>
                  </w:pPr>
                </w:p>
              </w:tc>
              <w:tc>
                <w:tcPr>
                  <w:tcW w:w="639" w:type="dxa"/>
                  <w:tcBorders>
                    <w:tl2br w:val="nil"/>
                    <w:tr2bl w:val="nil"/>
                  </w:tcBorders>
                  <w:vAlign w:val="center"/>
                </w:tcPr>
                <w:p>
                  <w:pPr>
                    <w:spacing w:line="240" w:lineRule="atLeast"/>
                    <w:jc w:val="center"/>
                    <w:rPr>
                      <w:bCs/>
                      <w:color w:val="auto"/>
                      <w:szCs w:val="21"/>
                    </w:rPr>
                  </w:pPr>
                  <w:r>
                    <w:rPr>
                      <w:bCs/>
                      <w:color w:val="auto"/>
                      <w:szCs w:val="21"/>
                    </w:rPr>
                    <w:t>A6.4资源利用要求</w:t>
                  </w:r>
                </w:p>
              </w:tc>
              <w:tc>
                <w:tcPr>
                  <w:tcW w:w="3636" w:type="dxa"/>
                  <w:tcBorders>
                    <w:tl2br w:val="nil"/>
                    <w:tr2bl w:val="nil"/>
                  </w:tcBorders>
                  <w:vAlign w:val="center"/>
                </w:tcPr>
                <w:p>
                  <w:pPr>
                    <w:spacing w:line="240" w:lineRule="atLeast"/>
                    <w:ind w:firstLine="420" w:firstLineChars="200"/>
                    <w:rPr>
                      <w:bCs/>
                      <w:color w:val="auto"/>
                      <w:szCs w:val="21"/>
                      <w:highlight w:val="none"/>
                    </w:rPr>
                  </w:pPr>
                  <w:r>
                    <w:rPr>
                      <w:bCs/>
                      <w:color w:val="auto"/>
                      <w:szCs w:val="21"/>
                      <w:highlight w:val="none"/>
                    </w:rPr>
                    <w:t>【A6.4-1】推进工业集聚区生态化改造，强化企业清洁生产改造，推进节水型企业、节水型工业园区建设，提高资源能源利用效率。</w:t>
                  </w:r>
                </w:p>
              </w:tc>
              <w:tc>
                <w:tcPr>
                  <w:tcW w:w="1854" w:type="dxa"/>
                  <w:tcBorders>
                    <w:tl2br w:val="nil"/>
                    <w:tr2bl w:val="nil"/>
                  </w:tcBorders>
                  <w:vAlign w:val="center"/>
                </w:tcPr>
                <w:p>
                  <w:pPr>
                    <w:spacing w:line="240" w:lineRule="atLeast"/>
                    <w:ind w:firstLine="420" w:firstLineChars="200"/>
                    <w:rPr>
                      <w:bCs/>
                      <w:color w:val="auto"/>
                      <w:szCs w:val="21"/>
                      <w:highlight w:val="none"/>
                    </w:rPr>
                  </w:pPr>
                  <w:r>
                    <w:rPr>
                      <w:rFonts w:hint="eastAsia"/>
                      <w:bCs/>
                      <w:color w:val="auto"/>
                      <w:szCs w:val="21"/>
                      <w:highlight w:val="none"/>
                    </w:rPr>
                    <w:t>本项目利用昌吉市生活污水处理厂的中水作为生产用水水源，生产废水经三级沉淀池处理后循环使用，为节水型企业。</w:t>
                  </w:r>
                </w:p>
              </w:tc>
            </w:tr>
          </w:tbl>
          <w:p>
            <w:pPr>
              <w:pStyle w:val="50"/>
              <w:spacing w:before="0" w:beforeAutospacing="0" w:line="480" w:lineRule="exact"/>
              <w:ind w:firstLine="420"/>
              <w:jc w:val="both"/>
              <w:rPr>
                <w:color w:val="auto"/>
                <w:sz w:val="21"/>
              </w:rPr>
            </w:pPr>
            <w:r>
              <w:rPr>
                <w:rFonts w:hint="eastAsia"/>
                <w:color w:val="auto"/>
                <w:sz w:val="21"/>
              </w:rPr>
              <w:t>本项目符合重点管控单元管控准入要求。</w:t>
            </w:r>
          </w:p>
          <w:p>
            <w:pPr>
              <w:pStyle w:val="50"/>
              <w:spacing w:before="0" w:beforeAutospacing="0" w:line="480" w:lineRule="exact"/>
              <w:ind w:firstLine="420"/>
              <w:jc w:val="both"/>
              <w:rPr>
                <w:color w:val="auto"/>
                <w:sz w:val="21"/>
              </w:rPr>
            </w:pPr>
            <w:r>
              <w:rPr>
                <w:color w:val="auto"/>
                <w:sz w:val="21"/>
              </w:rPr>
              <w:t>综上所述，本项目符合产业政策，且项目所在地</w:t>
            </w:r>
            <w:r>
              <w:rPr>
                <w:rFonts w:hint="eastAsia"/>
                <w:color w:val="auto"/>
                <w:sz w:val="21"/>
              </w:rPr>
              <w:t>昌吉市</w:t>
            </w:r>
            <w:r>
              <w:rPr>
                <w:color w:val="auto"/>
                <w:sz w:val="21"/>
              </w:rPr>
              <w:t>不属于《新疆维吾尔自治区28个国家重点生态功能区县（市）产业准入负面清单（试行）》以及《新疆维吾尔自治区17个新增纳入国家重点生态功能区县（市）产业准入负面清单（试行）》中准入负面清单内。本项目符合</w:t>
            </w:r>
            <w:r>
              <w:rPr>
                <w:rFonts w:hint="eastAsia"/>
                <w:color w:val="auto"/>
                <w:sz w:val="21"/>
              </w:rPr>
              <w:t>昌吉市“</w:t>
            </w:r>
            <w:r>
              <w:rPr>
                <w:color w:val="auto"/>
                <w:sz w:val="21"/>
              </w:rPr>
              <w:t>三线一单</w:t>
            </w:r>
            <w:r>
              <w:rPr>
                <w:rFonts w:hint="eastAsia"/>
                <w:color w:val="auto"/>
                <w:sz w:val="21"/>
              </w:rPr>
              <w:t>”</w:t>
            </w:r>
            <w:r>
              <w:rPr>
                <w:color w:val="auto"/>
                <w:sz w:val="21"/>
              </w:rPr>
              <w:t>要求。</w:t>
            </w:r>
          </w:p>
          <w:p>
            <w:pPr>
              <w:pStyle w:val="20"/>
              <w:spacing w:line="480" w:lineRule="exact"/>
              <w:ind w:left="0" w:firstLine="422" w:firstLineChars="200"/>
              <w:rPr>
                <w:rFonts w:ascii="Times New Roman" w:hAnsi="Times New Roman" w:cs="Times New Roman"/>
                <w:b/>
                <w:bCs/>
                <w:color w:val="auto"/>
              </w:rPr>
            </w:pPr>
            <w:r>
              <w:rPr>
                <w:rFonts w:ascii="Times New Roman" w:hAnsi="Times New Roman" w:cs="Times New Roman"/>
                <w:b/>
                <w:bCs/>
                <w:color w:val="auto"/>
              </w:rPr>
              <w:t>1.3与环境功能区划的相符性分析</w:t>
            </w:r>
          </w:p>
          <w:p>
            <w:pPr>
              <w:pStyle w:val="20"/>
              <w:spacing w:line="480" w:lineRule="exact"/>
              <w:ind w:left="0" w:firstLine="420" w:firstLineChars="200"/>
              <w:rPr>
                <w:rFonts w:ascii="Times New Roman" w:hAnsi="Times New Roman" w:cs="Times New Roman"/>
                <w:color w:val="auto"/>
                <w:szCs w:val="21"/>
              </w:rPr>
            </w:pPr>
            <w:r>
              <w:rPr>
                <w:rFonts w:ascii="Times New Roman" w:hAnsi="Times New Roman" w:cs="Times New Roman"/>
                <w:color w:val="auto"/>
                <w:szCs w:val="21"/>
              </w:rPr>
              <w:t>项目所在区域空气环境功能为二类区；声环境功能区划为</w:t>
            </w:r>
            <w:r>
              <w:rPr>
                <w:rFonts w:hint="eastAsia" w:ascii="Times New Roman" w:hAnsi="Times New Roman" w:cs="Times New Roman"/>
                <w:color w:val="auto"/>
                <w:szCs w:val="21"/>
                <w:lang w:val="en-US" w:eastAsia="zh-CN"/>
              </w:rPr>
              <w:t>3</w:t>
            </w:r>
            <w:r>
              <w:rPr>
                <w:rFonts w:ascii="Times New Roman" w:hAnsi="Times New Roman" w:cs="Times New Roman"/>
                <w:color w:val="auto"/>
                <w:szCs w:val="21"/>
              </w:rPr>
              <w:t>类；附近</w:t>
            </w:r>
            <w:r>
              <w:rPr>
                <w:rFonts w:hint="eastAsia" w:ascii="Times New Roman" w:hAnsi="Times New Roman" w:cs="Times New Roman"/>
                <w:color w:val="auto"/>
                <w:szCs w:val="21"/>
              </w:rPr>
              <w:t>无</w:t>
            </w:r>
            <w:r>
              <w:rPr>
                <w:rFonts w:ascii="Times New Roman" w:hAnsi="Times New Roman" w:cs="Times New Roman"/>
                <w:color w:val="auto"/>
                <w:szCs w:val="21"/>
              </w:rPr>
              <w:t>地表水体。项目废水、废气、噪声以及固体废物等污染物经采取报告中提出的措施处理后不会改变区域环境功能，项目的运营与环境功能区划相符合。</w:t>
            </w:r>
          </w:p>
          <w:p>
            <w:pPr>
              <w:pStyle w:val="20"/>
              <w:spacing w:line="480" w:lineRule="exact"/>
              <w:ind w:left="0" w:firstLine="422" w:firstLineChars="200"/>
              <w:rPr>
                <w:rFonts w:ascii="Times New Roman" w:hAnsi="Times New Roman" w:cs="Times New Roman"/>
                <w:b/>
                <w:bCs/>
                <w:color w:val="auto"/>
              </w:rPr>
            </w:pPr>
            <w:r>
              <w:rPr>
                <w:rFonts w:hint="eastAsia" w:ascii="Times New Roman" w:hAnsi="Times New Roman" w:cs="Times New Roman"/>
                <w:b/>
                <w:bCs/>
                <w:color w:val="auto"/>
              </w:rPr>
              <w:t>1.4与《关于“十四五”大宗固体废弃物综合利用的指导意见》相符性分析</w:t>
            </w:r>
          </w:p>
          <w:p>
            <w:pPr>
              <w:pStyle w:val="20"/>
              <w:spacing w:line="480" w:lineRule="exact"/>
              <w:ind w:left="0" w:firstLine="420" w:firstLineChars="200"/>
              <w:rPr>
                <w:rFonts w:ascii="Times New Roman" w:hAnsi="Times New Roman" w:cs="Times New Roman"/>
                <w:color w:val="auto"/>
                <w:szCs w:val="21"/>
              </w:rPr>
            </w:pPr>
            <w:r>
              <w:rPr>
                <w:rFonts w:hint="eastAsia" w:ascii="Times New Roman" w:hAnsi="Times New Roman" w:cs="Times New Roman"/>
                <w:color w:val="auto"/>
                <w:szCs w:val="21"/>
              </w:rPr>
              <w:t>“指导意见”中指出：目前，我国大宗固废累计堆存量约600亿吨，年新增堆存量近30亿吨，占用大量土地资源，存在较大的生态环境安全隐患；进一步提升大宗固废综合利用水平，全面提高资源利用效率；积极拓宽大宗固废综合利用渠道，进一步扩大利用规模，力争吃干榨尽，不断提高资源综合利用产品附加值，增强产业核心竞争力；创新大宗固废协同利用机制。</w:t>
            </w:r>
          </w:p>
          <w:p>
            <w:pPr>
              <w:pStyle w:val="20"/>
              <w:spacing w:line="480" w:lineRule="exact"/>
              <w:ind w:left="0" w:firstLine="420" w:firstLineChars="200"/>
              <w:rPr>
                <w:rFonts w:ascii="Times New Roman" w:hAnsi="Times New Roman" w:cs="Times New Roman"/>
                <w:color w:val="auto"/>
                <w:szCs w:val="21"/>
              </w:rPr>
            </w:pPr>
            <w:r>
              <w:rPr>
                <w:rFonts w:hint="eastAsia" w:ascii="Times New Roman" w:hAnsi="Times New Roman" w:cs="Times New Roman"/>
                <w:color w:val="auto"/>
                <w:szCs w:val="21"/>
              </w:rPr>
              <w:t>本项目所处理炉渣来源于昌吉市生活垃圾焚烧发电厂项目，其将废弃资源重新利用，既减少了生活垃圾填埋对土地的占用及污染，又产生电能，</w:t>
            </w:r>
            <w:r>
              <w:rPr>
                <w:rFonts w:hint="eastAsia" w:ascii="Times New Roman" w:hAnsi="Times New Roman" w:cs="Times New Roman"/>
                <w:color w:val="auto"/>
                <w:szCs w:val="21"/>
                <w:highlight w:val="none"/>
              </w:rPr>
              <w:t>增加了资源利用效率；但将发电产生的炉渣填埋又会造成新的环境污染问题，本项目将炉渣再利用，彻底实现了生活垃圾的无害化处理。本项目年计划处理炉渣</w:t>
            </w:r>
            <w:r>
              <w:rPr>
                <w:rFonts w:hint="eastAsia" w:ascii="Times New Roman" w:hAnsi="Times New Roman" w:cs="Times New Roman"/>
                <w:color w:val="auto"/>
                <w:szCs w:val="21"/>
                <w:highlight w:val="none"/>
                <w:lang w:val="en-US" w:eastAsia="zh-CN"/>
              </w:rPr>
              <w:t>4.38</w:t>
            </w:r>
            <w:r>
              <w:rPr>
                <w:rFonts w:hint="eastAsia" w:ascii="Times New Roman" w:hAnsi="Times New Roman" w:cs="Times New Roman"/>
                <w:color w:val="auto"/>
                <w:szCs w:val="21"/>
                <w:highlight w:val="none"/>
              </w:rPr>
              <w:t>万吨，炉渣中废金属含量约在2.6%，本项目可回收利用废金属</w:t>
            </w:r>
            <w:r>
              <w:rPr>
                <w:rFonts w:hint="eastAsia" w:ascii="Times New Roman" w:hAnsi="Times New Roman" w:cs="Times New Roman"/>
                <w:color w:val="auto"/>
                <w:szCs w:val="21"/>
                <w:highlight w:val="none"/>
                <w:lang w:val="en-US" w:eastAsia="zh-CN"/>
              </w:rPr>
              <w:t>1138.8</w:t>
            </w:r>
            <w:r>
              <w:rPr>
                <w:rFonts w:hint="eastAsia" w:ascii="Times New Roman" w:hAnsi="Times New Roman" w:cs="Times New Roman"/>
                <w:color w:val="auto"/>
                <w:szCs w:val="21"/>
                <w:highlight w:val="none"/>
              </w:rPr>
              <w:t>t/a，减少了资源浪费。本项目上与垃圾焚烧发电产业衔接，下与建材产业衔接，</w:t>
            </w:r>
            <w:r>
              <w:rPr>
                <w:rFonts w:hint="eastAsia" w:ascii="Times New Roman" w:hAnsi="Times New Roman" w:cs="Times New Roman"/>
                <w:color w:val="auto"/>
                <w:szCs w:val="21"/>
              </w:rPr>
              <w:t>充分发挥了固废协同利用机制。</w:t>
            </w:r>
          </w:p>
          <w:p>
            <w:pPr>
              <w:pStyle w:val="20"/>
              <w:spacing w:line="480" w:lineRule="exact"/>
              <w:ind w:left="0" w:firstLine="422" w:firstLineChars="200"/>
              <w:rPr>
                <w:rFonts w:ascii="Times New Roman" w:hAnsi="Times New Roman" w:cs="Times New Roman"/>
                <w:b/>
                <w:bCs/>
                <w:color w:val="auto"/>
              </w:rPr>
            </w:pPr>
            <w:r>
              <w:rPr>
                <w:rFonts w:hint="eastAsia" w:ascii="Times New Roman" w:hAnsi="Times New Roman" w:cs="Times New Roman"/>
                <w:b/>
                <w:bCs/>
                <w:color w:val="auto"/>
              </w:rPr>
              <w:t>1.5 与《</w:t>
            </w:r>
            <w:r>
              <w:rPr>
                <w:rFonts w:ascii="Times New Roman" w:hAnsi="Times New Roman" w:cs="Times New Roman"/>
                <w:b/>
                <w:bCs/>
                <w:color w:val="auto"/>
              </w:rPr>
              <w:t>新疆维吾尔自治区国民经济和社会发展第十四个五年规划和2035年远景目标纲要</w:t>
            </w:r>
            <w:r>
              <w:rPr>
                <w:rFonts w:hint="eastAsia" w:ascii="Times New Roman" w:hAnsi="Times New Roman" w:cs="Times New Roman"/>
                <w:b/>
                <w:bCs/>
                <w:color w:val="auto"/>
              </w:rPr>
              <w:t>》相符性分析</w:t>
            </w:r>
          </w:p>
          <w:p>
            <w:pPr>
              <w:spacing w:line="480" w:lineRule="exact"/>
              <w:ind w:firstLine="420" w:firstLineChars="200"/>
              <w:rPr>
                <w:color w:val="auto"/>
                <w:szCs w:val="21"/>
              </w:rPr>
            </w:pPr>
            <w:r>
              <w:rPr>
                <w:color w:val="auto"/>
                <w:szCs w:val="21"/>
              </w:rPr>
              <w:t>《新疆维吾尔自治区国民经济和社会发展第十四个五年规划和2035年远景目标纲要》</w:t>
            </w:r>
            <w:r>
              <w:rPr>
                <w:rFonts w:hint="eastAsia"/>
                <w:color w:val="auto"/>
                <w:szCs w:val="21"/>
              </w:rPr>
              <w:t>中提出：“</w:t>
            </w:r>
            <w:r>
              <w:rPr>
                <w:color w:val="auto"/>
                <w:szCs w:val="21"/>
              </w:rPr>
              <w:t>深化工业固体废物综合利用和环境整治。加强生活垃圾处理。建设城镇生活垃圾综合处理园区，实现地级城市生活垃圾分类投放、分类收集、分类运输和分类处置，县级城市（县城）生活垃圾无害化处置设施全覆盖，区域中心城市及设区城市餐厨垃圾分类收运和处理。提高农村生活垃圾无害化处理水平。积极发展垃圾生物堆肥，统筹建设垃圾焚烧发电设施，促进生活垃圾资源化利用。</w:t>
            </w:r>
            <w:r>
              <w:rPr>
                <w:rFonts w:hint="eastAsia"/>
                <w:color w:val="auto"/>
                <w:szCs w:val="21"/>
              </w:rPr>
              <w:t>”</w:t>
            </w:r>
            <w:r>
              <w:rPr>
                <w:color w:val="auto"/>
                <w:szCs w:val="21"/>
              </w:rPr>
              <w:t>及</w:t>
            </w:r>
            <w:r>
              <w:rPr>
                <w:rFonts w:hint="eastAsia"/>
                <w:color w:val="auto"/>
                <w:szCs w:val="21"/>
              </w:rPr>
              <w:t>“</w:t>
            </w:r>
            <w:r>
              <w:rPr>
                <w:color w:val="auto"/>
                <w:szCs w:val="21"/>
              </w:rPr>
              <w:t>加强工业污染源整治……，推动工业污染源全面达标排放</w:t>
            </w:r>
            <w:r>
              <w:rPr>
                <w:rFonts w:hint="eastAsia"/>
                <w:color w:val="auto"/>
                <w:szCs w:val="21"/>
              </w:rPr>
              <w:t>”。</w:t>
            </w:r>
          </w:p>
          <w:p>
            <w:pPr>
              <w:pStyle w:val="42"/>
              <w:spacing w:after="0" w:line="480" w:lineRule="exact"/>
              <w:ind w:firstLine="420"/>
              <w:jc w:val="both"/>
              <w:rPr>
                <w:color w:val="auto"/>
              </w:rPr>
            </w:pPr>
            <w:r>
              <w:rPr>
                <w:rFonts w:hint="eastAsia" w:ascii="Times New Roman" w:hAnsi="Times New Roman" w:eastAsia="宋体"/>
                <w:color w:val="auto"/>
                <w:kern w:val="2"/>
                <w:sz w:val="21"/>
              </w:rPr>
              <w:t>本项</w:t>
            </w:r>
            <w:r>
              <w:rPr>
                <w:rFonts w:hint="eastAsia" w:ascii="Times New Roman" w:hAnsi="Times New Roman" w:eastAsia="宋体"/>
                <w:color w:val="auto"/>
                <w:kern w:val="2"/>
                <w:sz w:val="21"/>
                <w:highlight w:val="none"/>
              </w:rPr>
              <w:t>目对有组织颗粒物采用“集气罩+风机+布袋除尘器+15m高烟囱”处理达标后排放，</w:t>
            </w:r>
            <w:r>
              <w:rPr>
                <w:rFonts w:hint="eastAsia" w:ascii="Times New Roman" w:hAnsi="Times New Roman" w:eastAsia="宋体"/>
                <w:color w:val="auto"/>
                <w:kern w:val="2"/>
                <w:sz w:val="21"/>
                <w:highlight w:val="none"/>
                <w:lang w:eastAsia="zh-CN"/>
              </w:rPr>
              <w:t>水泥筒仓设置仓顶滤筒式除尘设施，减小上料粉尘逸散，同时</w:t>
            </w:r>
            <w:r>
              <w:rPr>
                <w:rFonts w:hint="eastAsia" w:ascii="Times New Roman" w:hAnsi="Times New Roman" w:eastAsia="宋体"/>
                <w:color w:val="auto"/>
                <w:kern w:val="2"/>
                <w:sz w:val="21"/>
                <w:highlight w:val="none"/>
              </w:rPr>
              <w:t>洒水降</w:t>
            </w:r>
            <w:r>
              <w:rPr>
                <w:rFonts w:hint="eastAsia" w:ascii="Times New Roman" w:hAnsi="Times New Roman" w:eastAsia="宋体"/>
                <w:color w:val="auto"/>
                <w:kern w:val="2"/>
                <w:sz w:val="21"/>
              </w:rPr>
              <w:t>尘、车辆冲洗、密闭厂房等降低了无组织颗粒物排放，从源头上降低了大气污染物的排放，能够满足大气污染物达标排放。另外，本项目原料生活垃圾焚烧炉渣为一般工业固废，对其利用及无害化处理符合</w:t>
            </w:r>
            <w:r>
              <w:rPr>
                <w:rFonts w:ascii="Times New Roman" w:hAnsi="Times New Roman" w:eastAsia="宋体"/>
                <w:color w:val="auto"/>
                <w:kern w:val="2"/>
                <w:sz w:val="21"/>
              </w:rPr>
              <w:t>《新疆维吾尔自治区国民经济和社会发展第十四个五年规划和2035年远景目标纲要》</w:t>
            </w:r>
            <w:r>
              <w:rPr>
                <w:rFonts w:hint="eastAsia" w:ascii="Times New Roman" w:hAnsi="Times New Roman" w:eastAsia="宋体"/>
                <w:color w:val="auto"/>
                <w:kern w:val="2"/>
                <w:sz w:val="21"/>
              </w:rPr>
              <w:t>的要求。</w:t>
            </w:r>
          </w:p>
          <w:p>
            <w:pPr>
              <w:pStyle w:val="20"/>
              <w:spacing w:line="480" w:lineRule="exact"/>
              <w:ind w:left="0" w:firstLine="422" w:firstLineChars="200"/>
              <w:rPr>
                <w:rFonts w:hint="eastAsia"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1.6与《关于加强乌鲁木齐、昌吉、石河子、五家渠区域环境同防同治的意见》相符性分析</w:t>
            </w:r>
          </w:p>
          <w:p>
            <w:pPr>
              <w:jc w:val="center"/>
              <w:rPr>
                <w:rFonts w:hint="default"/>
                <w:lang w:val="en-US" w:eastAsia="zh-CN"/>
              </w:rPr>
            </w:pPr>
            <w:r>
              <w:rPr>
                <w:rFonts w:hint="eastAsia" w:cs="Times New Roman"/>
                <w:b/>
                <w:bCs/>
                <w:color w:val="auto"/>
                <w:lang w:val="en-US" w:eastAsia="zh-CN"/>
              </w:rPr>
              <w:t>表1-3    本项目与《同防同治意见》相符性分析</w:t>
            </w:r>
          </w:p>
          <w:tbl>
            <w:tblPr>
              <w:tblStyle w:val="23"/>
              <w:tblW w:w="6546"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3110"/>
              <w:gridCol w:w="21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364" w:type="dxa"/>
                  <w:gridSpan w:val="2"/>
                  <w:tcBorders>
                    <w:tl2br w:val="nil"/>
                    <w:tr2bl w:val="nil"/>
                  </w:tcBorders>
                  <w:vAlign w:val="center"/>
                </w:tcPr>
                <w:p>
                  <w:pPr>
                    <w:pStyle w:val="42"/>
                    <w:keepNext w:val="0"/>
                    <w:keepLines w:val="0"/>
                    <w:pageBreakBefore w:val="0"/>
                    <w:widowControl/>
                    <w:kinsoku/>
                    <w:wordWrap/>
                    <w:overflowPunct/>
                    <w:topLinePunct w:val="0"/>
                    <w:autoSpaceDE/>
                    <w:autoSpaceDN/>
                    <w:bidi w:val="0"/>
                    <w:adjustRightInd w:val="0"/>
                    <w:snapToGrid w:val="0"/>
                    <w:spacing w:after="0" w:line="240" w:lineRule="atLeast"/>
                    <w:ind w:leftChars="0" w:firstLine="422" w:firstLineChars="200"/>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意见要求</w:t>
                  </w:r>
                </w:p>
              </w:tc>
              <w:tc>
                <w:tcPr>
                  <w:tcW w:w="2182" w:type="dxa"/>
                  <w:tcBorders>
                    <w:tl2br w:val="nil"/>
                    <w:tr2bl w:val="nil"/>
                  </w:tcBorders>
                  <w:vAlign w:val="center"/>
                </w:tcPr>
                <w:p>
                  <w:pPr>
                    <w:pStyle w:val="42"/>
                    <w:keepNext w:val="0"/>
                    <w:keepLines w:val="0"/>
                    <w:pageBreakBefore w:val="0"/>
                    <w:widowControl/>
                    <w:kinsoku/>
                    <w:wordWrap/>
                    <w:overflowPunct/>
                    <w:topLinePunct w:val="0"/>
                    <w:autoSpaceDE/>
                    <w:autoSpaceDN/>
                    <w:bidi w:val="0"/>
                    <w:adjustRightInd w:val="0"/>
                    <w:snapToGrid w:val="0"/>
                    <w:spacing w:after="0" w:line="240" w:lineRule="atLeast"/>
                    <w:ind w:leftChars="0" w:firstLine="422" w:firstLineChars="200"/>
                    <w:jc w:val="both"/>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本项目符合性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54" w:type="dxa"/>
                  <w:vMerge w:val="restart"/>
                  <w:tcBorders>
                    <w:tl2br w:val="nil"/>
                    <w:tr2bl w:val="nil"/>
                  </w:tcBorders>
                  <w:vAlign w:val="center"/>
                </w:tcPr>
                <w:p>
                  <w:pPr>
                    <w:pStyle w:val="42"/>
                    <w:keepNext w:val="0"/>
                    <w:keepLines w:val="0"/>
                    <w:pageBreakBefore w:val="0"/>
                    <w:widowControl/>
                    <w:kinsoku/>
                    <w:wordWrap/>
                    <w:overflowPunct/>
                    <w:topLinePunct w:val="0"/>
                    <w:autoSpaceDE/>
                    <w:autoSpaceDN/>
                    <w:bidi w:val="0"/>
                    <w:adjustRightInd w:val="0"/>
                    <w:snapToGrid w:val="0"/>
                    <w:spacing w:after="0" w:line="240" w:lineRule="atLeast"/>
                    <w:ind w:leftChars="0" w:firstLine="0" w:firstLineChars="0"/>
                    <w:jc w:val="both"/>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（一）</w:t>
                  </w:r>
                  <w:r>
                    <w:rPr>
                      <w:rFonts w:hint="default" w:ascii="Times New Roman" w:hAnsi="Times New Roman" w:eastAsia="宋体" w:cs="Times New Roman"/>
                      <w:color w:val="auto"/>
                      <w:sz w:val="21"/>
                      <w:szCs w:val="21"/>
                      <w:highlight w:val="none"/>
                      <w:vertAlign w:val="baseline"/>
                      <w:lang w:val="en-US" w:eastAsia="zh-CN"/>
                    </w:rPr>
                    <w:t>优化产业结构和布局</w:t>
                  </w:r>
                </w:p>
              </w:tc>
              <w:tc>
                <w:tcPr>
                  <w:tcW w:w="3110" w:type="dxa"/>
                  <w:tcBorders>
                    <w:tl2br w:val="nil"/>
                    <w:tr2bl w:val="nil"/>
                  </w:tcBorders>
                  <w:vAlign w:val="center"/>
                </w:tcPr>
                <w:p>
                  <w:pPr>
                    <w:pStyle w:val="42"/>
                    <w:keepNext w:val="0"/>
                    <w:keepLines w:val="0"/>
                    <w:pageBreakBefore w:val="0"/>
                    <w:widowControl/>
                    <w:numPr>
                      <w:ilvl w:val="0"/>
                      <w:numId w:val="0"/>
                    </w:numPr>
                    <w:kinsoku/>
                    <w:wordWrap/>
                    <w:overflowPunct/>
                    <w:topLinePunct w:val="0"/>
                    <w:autoSpaceDE/>
                    <w:autoSpaceDN/>
                    <w:bidi w:val="0"/>
                    <w:adjustRightInd w:val="0"/>
                    <w:snapToGrid w:val="0"/>
                    <w:spacing w:after="0" w:line="240" w:lineRule="atLeast"/>
                    <w:ind w:leftChars="200"/>
                    <w:jc w:val="both"/>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1.</w:t>
                  </w:r>
                  <w:r>
                    <w:rPr>
                      <w:rFonts w:hint="default" w:ascii="Times New Roman" w:hAnsi="Times New Roman" w:eastAsia="宋体" w:cs="Times New Roman"/>
                      <w:color w:val="auto"/>
                      <w:sz w:val="21"/>
                      <w:szCs w:val="21"/>
                      <w:highlight w:val="none"/>
                      <w:vertAlign w:val="baseline"/>
                      <w:lang w:val="en-US" w:eastAsia="zh-CN"/>
                    </w:rPr>
                    <w:t>提高环境准入标准</w:t>
                  </w:r>
                </w:p>
                <w:p>
                  <w:pPr>
                    <w:pStyle w:val="42"/>
                    <w:keepNext w:val="0"/>
                    <w:keepLines w:val="0"/>
                    <w:pageBreakBefore w:val="0"/>
                    <w:widowControl/>
                    <w:numPr>
                      <w:ilvl w:val="0"/>
                      <w:numId w:val="0"/>
                    </w:numPr>
                    <w:kinsoku/>
                    <w:wordWrap/>
                    <w:overflowPunct/>
                    <w:topLinePunct w:val="0"/>
                    <w:autoSpaceDE/>
                    <w:autoSpaceDN/>
                    <w:bidi w:val="0"/>
                    <w:adjustRightInd w:val="0"/>
                    <w:snapToGrid w:val="0"/>
                    <w:spacing w:after="0" w:line="240" w:lineRule="atLeast"/>
                    <w:ind w:leftChars="0" w:firstLine="420" w:firstLineChars="200"/>
                    <w:jc w:val="both"/>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重点区域内不再布局建设煤化工、电解铝、燃煤纯发电机组、金属硅、碳化硅、聚氯乙烯（电石法）、焦炭（含半焦）等行业的新增产能项目。</w:t>
                  </w:r>
                </w:p>
              </w:tc>
              <w:tc>
                <w:tcPr>
                  <w:tcW w:w="2182" w:type="dxa"/>
                  <w:tcBorders>
                    <w:tl2br w:val="nil"/>
                    <w:tr2bl w:val="nil"/>
                  </w:tcBorders>
                  <w:vAlign w:val="center"/>
                </w:tcPr>
                <w:p>
                  <w:pPr>
                    <w:pStyle w:val="42"/>
                    <w:keepNext w:val="0"/>
                    <w:keepLines w:val="0"/>
                    <w:pageBreakBefore w:val="0"/>
                    <w:widowControl/>
                    <w:kinsoku/>
                    <w:wordWrap/>
                    <w:overflowPunct/>
                    <w:topLinePunct w:val="0"/>
                    <w:autoSpaceDE/>
                    <w:autoSpaceDN/>
                    <w:bidi w:val="0"/>
                    <w:adjustRightInd w:val="0"/>
                    <w:snapToGrid w:val="0"/>
                    <w:spacing w:after="0" w:line="240" w:lineRule="atLeast"/>
                    <w:ind w:leftChars="0" w:firstLine="420" w:firstLineChars="200"/>
                    <w:jc w:val="both"/>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本项目不属于以上行业，符合环境准入标准。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54" w:type="dxa"/>
                  <w:vMerge w:val="continue"/>
                  <w:tcBorders>
                    <w:tl2br w:val="nil"/>
                    <w:tr2bl w:val="nil"/>
                  </w:tcBorders>
                  <w:vAlign w:val="center"/>
                </w:tcPr>
                <w:p>
                  <w:pPr>
                    <w:pStyle w:val="42"/>
                    <w:keepNext w:val="0"/>
                    <w:keepLines w:val="0"/>
                    <w:pageBreakBefore w:val="0"/>
                    <w:widowControl/>
                    <w:kinsoku/>
                    <w:wordWrap/>
                    <w:overflowPunct/>
                    <w:topLinePunct w:val="0"/>
                    <w:autoSpaceDE/>
                    <w:autoSpaceDN/>
                    <w:bidi w:val="0"/>
                    <w:adjustRightInd w:val="0"/>
                    <w:snapToGrid w:val="0"/>
                    <w:spacing w:after="0" w:line="240" w:lineRule="atLeast"/>
                    <w:ind w:leftChars="0" w:firstLine="0" w:firstLineChars="0"/>
                    <w:jc w:val="both"/>
                    <w:textAlignment w:val="auto"/>
                    <w:rPr>
                      <w:rFonts w:hint="default" w:ascii="Times New Roman" w:hAnsi="Times New Roman" w:eastAsia="宋体" w:cs="Times New Roman"/>
                      <w:color w:val="auto"/>
                      <w:sz w:val="21"/>
                      <w:szCs w:val="21"/>
                      <w:highlight w:val="none"/>
                      <w:vertAlign w:val="baseline"/>
                      <w:lang w:val="en-US" w:eastAsia="zh-CN"/>
                    </w:rPr>
                  </w:pPr>
                </w:p>
              </w:tc>
              <w:tc>
                <w:tcPr>
                  <w:tcW w:w="3110" w:type="dxa"/>
                  <w:tcBorders>
                    <w:tl2br w:val="nil"/>
                    <w:tr2bl w:val="nil"/>
                  </w:tcBorders>
                  <w:vAlign w:val="center"/>
                </w:tcPr>
                <w:p>
                  <w:pPr>
                    <w:pStyle w:val="42"/>
                    <w:keepNext w:val="0"/>
                    <w:keepLines w:val="0"/>
                    <w:pageBreakBefore w:val="0"/>
                    <w:widowControl/>
                    <w:numPr>
                      <w:ilvl w:val="0"/>
                      <w:numId w:val="0"/>
                    </w:numPr>
                    <w:kinsoku/>
                    <w:wordWrap/>
                    <w:overflowPunct/>
                    <w:topLinePunct w:val="0"/>
                    <w:autoSpaceDE/>
                    <w:autoSpaceDN/>
                    <w:bidi w:val="0"/>
                    <w:adjustRightInd w:val="0"/>
                    <w:snapToGrid w:val="0"/>
                    <w:spacing w:after="0" w:line="240" w:lineRule="atLeast"/>
                    <w:ind w:leftChars="0" w:firstLine="420" w:firstLineChars="200"/>
                    <w:jc w:val="both"/>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2.严格污染物排放标准</w:t>
                  </w:r>
                </w:p>
                <w:p>
                  <w:pPr>
                    <w:pStyle w:val="42"/>
                    <w:keepNext w:val="0"/>
                    <w:keepLines w:val="0"/>
                    <w:pageBreakBefore w:val="0"/>
                    <w:widowControl/>
                    <w:numPr>
                      <w:ilvl w:val="0"/>
                      <w:numId w:val="0"/>
                    </w:numPr>
                    <w:kinsoku/>
                    <w:wordWrap/>
                    <w:overflowPunct/>
                    <w:topLinePunct w:val="0"/>
                    <w:autoSpaceDE/>
                    <w:autoSpaceDN/>
                    <w:bidi w:val="0"/>
                    <w:adjustRightInd w:val="0"/>
                    <w:snapToGrid w:val="0"/>
                    <w:spacing w:after="0" w:line="240" w:lineRule="atLeast"/>
                    <w:ind w:leftChars="0" w:firstLine="420" w:firstLineChars="200"/>
                    <w:jc w:val="both"/>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认真落实《重点区域大气污染物排放特别限值的公告》(环保厅2016第45号)的要求，钢铁、石化、火电、水泥等行业和燃煤锅炉严格执行重点行业污染物特别排放限值要求。其他工业企业一律执行国家最新污染物排放标准</w:t>
                  </w:r>
                  <w:r>
                    <w:rPr>
                      <w:rFonts w:hint="eastAsia" w:ascii="Times New Roman" w:hAnsi="Times New Roman" w:eastAsia="宋体" w:cs="Times New Roman"/>
                      <w:color w:val="auto"/>
                      <w:sz w:val="21"/>
                      <w:szCs w:val="21"/>
                      <w:highlight w:val="none"/>
                      <w:vertAlign w:val="baseline"/>
                      <w:lang w:val="en-US" w:eastAsia="zh-CN"/>
                    </w:rPr>
                    <w:t>，</w:t>
                  </w:r>
                  <w:r>
                    <w:rPr>
                      <w:rFonts w:hint="default" w:ascii="Times New Roman" w:hAnsi="Times New Roman" w:eastAsia="宋体" w:cs="Times New Roman"/>
                      <w:color w:val="auto"/>
                      <w:sz w:val="21"/>
                      <w:szCs w:val="21"/>
                      <w:highlight w:val="none"/>
                      <w:vertAlign w:val="baseline"/>
                      <w:lang w:val="en-US" w:eastAsia="zh-CN"/>
                    </w:rPr>
                    <w:t>减少污染物排放总量。严格执行无组织排放监测浓度限值和恶臭污染物厂界标准。</w:t>
                  </w:r>
                </w:p>
              </w:tc>
              <w:tc>
                <w:tcPr>
                  <w:tcW w:w="2182" w:type="dxa"/>
                  <w:tcBorders>
                    <w:tl2br w:val="nil"/>
                    <w:tr2bl w:val="nil"/>
                  </w:tcBorders>
                  <w:vAlign w:val="center"/>
                </w:tcPr>
                <w:p>
                  <w:pPr>
                    <w:pStyle w:val="42"/>
                    <w:keepNext w:val="0"/>
                    <w:keepLines w:val="0"/>
                    <w:pageBreakBefore w:val="0"/>
                    <w:widowControl/>
                    <w:kinsoku/>
                    <w:wordWrap/>
                    <w:overflowPunct/>
                    <w:topLinePunct w:val="0"/>
                    <w:autoSpaceDE/>
                    <w:autoSpaceDN/>
                    <w:bidi w:val="0"/>
                    <w:adjustRightInd w:val="0"/>
                    <w:snapToGrid w:val="0"/>
                    <w:spacing w:after="0" w:line="240" w:lineRule="atLeast"/>
                    <w:ind w:leftChars="0" w:firstLine="420" w:firstLineChars="200"/>
                    <w:jc w:val="both"/>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本项目执行国家最新污染物排放标准，采用环保措施减少了污染物排放浓度，严格执行无组织排放监测浓度限值。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54" w:type="dxa"/>
                  <w:tcBorders>
                    <w:tl2br w:val="nil"/>
                    <w:tr2bl w:val="nil"/>
                  </w:tcBorders>
                  <w:vAlign w:val="center"/>
                </w:tcPr>
                <w:p>
                  <w:pPr>
                    <w:pStyle w:val="42"/>
                    <w:keepNext w:val="0"/>
                    <w:keepLines w:val="0"/>
                    <w:pageBreakBefore w:val="0"/>
                    <w:widowControl/>
                    <w:kinsoku/>
                    <w:wordWrap/>
                    <w:overflowPunct/>
                    <w:topLinePunct w:val="0"/>
                    <w:autoSpaceDE/>
                    <w:autoSpaceDN/>
                    <w:bidi w:val="0"/>
                    <w:adjustRightInd w:val="0"/>
                    <w:snapToGrid w:val="0"/>
                    <w:spacing w:after="0" w:line="240" w:lineRule="atLeast"/>
                    <w:ind w:leftChars="0" w:firstLine="0" w:firstLineChars="0"/>
                    <w:jc w:val="both"/>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（二）强化大气污染物综合治理</w:t>
                  </w:r>
                </w:p>
              </w:tc>
              <w:tc>
                <w:tcPr>
                  <w:tcW w:w="3110" w:type="dxa"/>
                  <w:tcBorders>
                    <w:tl2br w:val="nil"/>
                    <w:tr2bl w:val="nil"/>
                  </w:tcBorders>
                  <w:vAlign w:val="center"/>
                </w:tcPr>
                <w:p>
                  <w:pPr>
                    <w:pStyle w:val="42"/>
                    <w:keepNext w:val="0"/>
                    <w:keepLines w:val="0"/>
                    <w:pageBreakBefore w:val="0"/>
                    <w:widowControl/>
                    <w:kinsoku/>
                    <w:wordWrap/>
                    <w:overflowPunct/>
                    <w:topLinePunct w:val="0"/>
                    <w:autoSpaceDE/>
                    <w:autoSpaceDN/>
                    <w:bidi w:val="0"/>
                    <w:adjustRightInd w:val="0"/>
                    <w:snapToGrid w:val="0"/>
                    <w:spacing w:after="0" w:line="240" w:lineRule="atLeast"/>
                    <w:ind w:leftChars="0" w:firstLine="420" w:firstLineChars="200"/>
                    <w:jc w:val="both"/>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11.加大扬尘治理力度。严格落实建筑施工、道路、车辆运输、堆场等扬尘源点污染控制要求,扩大绿地和地面铺装硬化面积。</w:t>
                  </w:r>
                </w:p>
              </w:tc>
              <w:tc>
                <w:tcPr>
                  <w:tcW w:w="2182" w:type="dxa"/>
                  <w:tcBorders>
                    <w:tl2br w:val="nil"/>
                    <w:tr2bl w:val="nil"/>
                  </w:tcBorders>
                  <w:vAlign w:val="center"/>
                </w:tcPr>
                <w:p>
                  <w:pPr>
                    <w:pStyle w:val="42"/>
                    <w:keepNext w:val="0"/>
                    <w:keepLines w:val="0"/>
                    <w:pageBreakBefore w:val="0"/>
                    <w:widowControl/>
                    <w:kinsoku/>
                    <w:wordWrap/>
                    <w:overflowPunct/>
                    <w:topLinePunct w:val="0"/>
                    <w:autoSpaceDE/>
                    <w:autoSpaceDN/>
                    <w:bidi w:val="0"/>
                    <w:adjustRightInd w:val="0"/>
                    <w:snapToGrid w:val="0"/>
                    <w:spacing w:after="0" w:line="240" w:lineRule="atLeast"/>
                    <w:ind w:leftChars="0" w:firstLine="420" w:firstLineChars="200"/>
                    <w:jc w:val="both"/>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本项目建筑施工期严格执行本次环评提出的污染防治措施后可最大程度的减少扬尘污染；在运营期原料在运输至厂区后直接拉运至全封闭厂房；厂区道路硬化，洒水，对运输车辆冲洗，项目扬尘对环境影响不大。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54" w:type="dxa"/>
                  <w:vMerge w:val="restart"/>
                  <w:tcBorders>
                    <w:tl2br w:val="nil"/>
                    <w:tr2bl w:val="nil"/>
                  </w:tcBorders>
                  <w:vAlign w:val="center"/>
                </w:tcPr>
                <w:p>
                  <w:pPr>
                    <w:pStyle w:val="42"/>
                    <w:keepNext w:val="0"/>
                    <w:keepLines w:val="0"/>
                    <w:pageBreakBefore w:val="0"/>
                    <w:widowControl/>
                    <w:kinsoku/>
                    <w:wordWrap/>
                    <w:overflowPunct/>
                    <w:topLinePunct w:val="0"/>
                    <w:autoSpaceDE/>
                    <w:autoSpaceDN/>
                    <w:bidi w:val="0"/>
                    <w:adjustRightInd w:val="0"/>
                    <w:snapToGrid w:val="0"/>
                    <w:spacing w:after="0" w:line="240" w:lineRule="atLeast"/>
                    <w:ind w:leftChars="0" w:firstLine="0" w:firstLineChars="0"/>
                    <w:jc w:val="both"/>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（三）深入开展水环境治理</w:t>
                  </w:r>
                </w:p>
              </w:tc>
              <w:tc>
                <w:tcPr>
                  <w:tcW w:w="3110" w:type="dxa"/>
                  <w:tcBorders>
                    <w:tl2br w:val="nil"/>
                    <w:tr2bl w:val="nil"/>
                  </w:tcBorders>
                  <w:vAlign w:val="center"/>
                </w:tcPr>
                <w:p>
                  <w:pPr>
                    <w:pStyle w:val="42"/>
                    <w:keepNext w:val="0"/>
                    <w:keepLines w:val="0"/>
                    <w:pageBreakBefore w:val="0"/>
                    <w:widowControl/>
                    <w:kinsoku/>
                    <w:wordWrap/>
                    <w:overflowPunct/>
                    <w:topLinePunct w:val="0"/>
                    <w:autoSpaceDE/>
                    <w:autoSpaceDN/>
                    <w:bidi w:val="0"/>
                    <w:adjustRightInd w:val="0"/>
                    <w:snapToGrid w:val="0"/>
                    <w:spacing w:after="0" w:line="240" w:lineRule="atLeast"/>
                    <w:ind w:leftChars="0" w:firstLine="420" w:firstLineChars="200"/>
                    <w:jc w:val="both"/>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14.节约保护水资源。坚决落实水资源开发利用控制、用水效率控制、水功能区限制纳污</w:t>
                  </w:r>
                  <w:r>
                    <w:rPr>
                      <w:rFonts w:hint="eastAsia" w:ascii="Times New Roman" w:hAnsi="Times New Roman" w:eastAsia="宋体" w:cs="Times New Roman"/>
                      <w:color w:val="auto"/>
                      <w:sz w:val="21"/>
                      <w:szCs w:val="21"/>
                      <w:highlight w:val="none"/>
                      <w:vertAlign w:val="baseline"/>
                      <w:lang w:val="en-US" w:eastAsia="zh-CN"/>
                    </w:rPr>
                    <w:t>“</w:t>
                  </w:r>
                  <w:r>
                    <w:rPr>
                      <w:rFonts w:hint="default" w:ascii="Times New Roman" w:hAnsi="Times New Roman" w:eastAsia="宋体" w:cs="Times New Roman"/>
                      <w:color w:val="auto"/>
                      <w:sz w:val="21"/>
                      <w:szCs w:val="21"/>
                      <w:highlight w:val="none"/>
                      <w:vertAlign w:val="baseline"/>
                      <w:lang w:val="en-US" w:eastAsia="zh-CN"/>
                    </w:rPr>
                    <w:t>三条红线</w:t>
                  </w:r>
                  <w:r>
                    <w:rPr>
                      <w:rFonts w:hint="eastAsia" w:ascii="Times New Roman" w:hAnsi="Times New Roman" w:eastAsia="宋体" w:cs="Times New Roman"/>
                      <w:color w:val="auto"/>
                      <w:sz w:val="21"/>
                      <w:szCs w:val="21"/>
                      <w:highlight w:val="none"/>
                      <w:vertAlign w:val="baseline"/>
                      <w:lang w:val="en-US" w:eastAsia="zh-CN"/>
                    </w:rPr>
                    <w:t>”</w:t>
                  </w:r>
                  <w:r>
                    <w:rPr>
                      <w:rFonts w:hint="default" w:ascii="Times New Roman" w:hAnsi="Times New Roman" w:eastAsia="宋体" w:cs="Times New Roman"/>
                      <w:color w:val="auto"/>
                      <w:sz w:val="21"/>
                      <w:szCs w:val="21"/>
                      <w:highlight w:val="none"/>
                      <w:vertAlign w:val="baseline"/>
                      <w:lang w:val="en-US" w:eastAsia="zh-CN"/>
                    </w:rPr>
                    <w:t>，调节和优化用水结构</w:t>
                  </w:r>
                  <w:r>
                    <w:rPr>
                      <w:rFonts w:hint="eastAsia" w:ascii="Times New Roman" w:hAnsi="Times New Roman" w:eastAsia="宋体" w:cs="Times New Roman"/>
                      <w:color w:val="auto"/>
                      <w:sz w:val="21"/>
                      <w:szCs w:val="21"/>
                      <w:highlight w:val="none"/>
                      <w:vertAlign w:val="baseline"/>
                      <w:lang w:val="en-US" w:eastAsia="zh-CN"/>
                    </w:rPr>
                    <w:t>，</w:t>
                  </w:r>
                  <w:r>
                    <w:rPr>
                      <w:rFonts w:hint="default" w:ascii="Times New Roman" w:hAnsi="Times New Roman" w:eastAsia="宋体" w:cs="Times New Roman"/>
                      <w:color w:val="auto"/>
                      <w:sz w:val="21"/>
                      <w:szCs w:val="21"/>
                      <w:highlight w:val="none"/>
                      <w:vertAlign w:val="baseline"/>
                      <w:lang w:val="en-US" w:eastAsia="zh-CN"/>
                    </w:rPr>
                    <w:t>大力推进节水措施</w:t>
                  </w:r>
                  <w:r>
                    <w:rPr>
                      <w:rFonts w:hint="eastAsia" w:ascii="Times New Roman" w:hAnsi="Times New Roman" w:eastAsia="宋体" w:cs="Times New Roman"/>
                      <w:color w:val="auto"/>
                      <w:sz w:val="21"/>
                      <w:szCs w:val="21"/>
                      <w:highlight w:val="none"/>
                      <w:vertAlign w:val="baseline"/>
                      <w:lang w:val="en-US" w:eastAsia="zh-CN"/>
                    </w:rPr>
                    <w:t>，</w:t>
                  </w:r>
                  <w:r>
                    <w:rPr>
                      <w:rFonts w:hint="default" w:ascii="Times New Roman" w:hAnsi="Times New Roman" w:eastAsia="宋体" w:cs="Times New Roman"/>
                      <w:color w:val="auto"/>
                      <w:sz w:val="21"/>
                      <w:szCs w:val="21"/>
                      <w:highlight w:val="none"/>
                      <w:vertAlign w:val="baseline"/>
                      <w:lang w:val="en-US" w:eastAsia="zh-CN"/>
                    </w:rPr>
                    <w:t>加强依法取水、退地减水、还水工作。实行水资源消耗和强度</w:t>
                  </w:r>
                  <w:r>
                    <w:rPr>
                      <w:rFonts w:hint="eastAsia" w:ascii="Times New Roman" w:hAnsi="Times New Roman" w:eastAsia="宋体" w:cs="Times New Roman"/>
                      <w:color w:val="auto"/>
                      <w:sz w:val="21"/>
                      <w:szCs w:val="21"/>
                      <w:highlight w:val="none"/>
                      <w:vertAlign w:val="baseline"/>
                      <w:lang w:val="en-US" w:eastAsia="zh-CN"/>
                    </w:rPr>
                    <w:t>“</w:t>
                  </w:r>
                  <w:r>
                    <w:rPr>
                      <w:rFonts w:hint="default" w:ascii="Times New Roman" w:hAnsi="Times New Roman" w:eastAsia="宋体" w:cs="Times New Roman"/>
                      <w:color w:val="auto"/>
                      <w:sz w:val="21"/>
                      <w:szCs w:val="21"/>
                      <w:highlight w:val="none"/>
                      <w:vertAlign w:val="baseline"/>
                      <w:lang w:val="en-US" w:eastAsia="zh-CN"/>
                    </w:rPr>
                    <w:t>双控</w:t>
                  </w:r>
                  <w:r>
                    <w:rPr>
                      <w:rFonts w:hint="eastAsia" w:ascii="Times New Roman" w:hAnsi="Times New Roman" w:eastAsia="宋体" w:cs="Times New Roman"/>
                      <w:color w:val="auto"/>
                      <w:sz w:val="21"/>
                      <w:szCs w:val="21"/>
                      <w:highlight w:val="none"/>
                      <w:vertAlign w:val="baseline"/>
                      <w:lang w:val="en-US" w:eastAsia="zh-CN"/>
                    </w:rPr>
                    <w:t>”</w:t>
                  </w:r>
                  <w:r>
                    <w:rPr>
                      <w:rFonts w:hint="default" w:ascii="Times New Roman" w:hAnsi="Times New Roman" w:eastAsia="宋体" w:cs="Times New Roman"/>
                      <w:color w:val="auto"/>
                      <w:sz w:val="21"/>
                      <w:szCs w:val="21"/>
                      <w:highlight w:val="none"/>
                      <w:vertAlign w:val="baseline"/>
                      <w:lang w:val="en-US" w:eastAsia="zh-CN"/>
                    </w:rPr>
                    <w:t>，推进水权制度建设</w:t>
                  </w:r>
                  <w:r>
                    <w:rPr>
                      <w:rFonts w:hint="eastAsia" w:ascii="Times New Roman" w:hAnsi="Times New Roman" w:eastAsia="宋体" w:cs="Times New Roman"/>
                      <w:color w:val="auto"/>
                      <w:sz w:val="21"/>
                      <w:szCs w:val="21"/>
                      <w:highlight w:val="none"/>
                      <w:vertAlign w:val="baseline"/>
                      <w:lang w:val="en-US" w:eastAsia="zh-CN"/>
                    </w:rPr>
                    <w:t>，</w:t>
                  </w:r>
                  <w:r>
                    <w:rPr>
                      <w:rFonts w:hint="default" w:ascii="Times New Roman" w:hAnsi="Times New Roman" w:eastAsia="宋体" w:cs="Times New Roman"/>
                      <w:color w:val="auto"/>
                      <w:sz w:val="21"/>
                      <w:szCs w:val="21"/>
                      <w:highlight w:val="none"/>
                      <w:vertAlign w:val="baseline"/>
                      <w:lang w:val="en-US" w:eastAsia="zh-CN"/>
                    </w:rPr>
                    <w:t>积极探索水资源市场化配置的有效途径。提高工业用水重复利用率</w:t>
                  </w:r>
                  <w:r>
                    <w:rPr>
                      <w:rFonts w:hint="eastAsia" w:ascii="Times New Roman" w:hAnsi="Times New Roman" w:eastAsia="宋体" w:cs="Times New Roman"/>
                      <w:color w:val="auto"/>
                      <w:sz w:val="21"/>
                      <w:szCs w:val="21"/>
                      <w:highlight w:val="none"/>
                      <w:vertAlign w:val="baseline"/>
                      <w:lang w:val="en-US" w:eastAsia="zh-CN"/>
                    </w:rPr>
                    <w:t>，</w:t>
                  </w:r>
                  <w:r>
                    <w:rPr>
                      <w:rFonts w:hint="default" w:ascii="Times New Roman" w:hAnsi="Times New Roman" w:eastAsia="宋体" w:cs="Times New Roman"/>
                      <w:color w:val="auto"/>
                      <w:sz w:val="21"/>
                      <w:szCs w:val="21"/>
                      <w:highlight w:val="none"/>
                      <w:vertAlign w:val="baseline"/>
                      <w:lang w:val="en-US" w:eastAsia="zh-CN"/>
                    </w:rPr>
                    <w:t>建立城镇节水模式。</w:t>
                  </w:r>
                </w:p>
              </w:tc>
              <w:tc>
                <w:tcPr>
                  <w:tcW w:w="2182" w:type="dxa"/>
                  <w:tcBorders>
                    <w:tl2br w:val="nil"/>
                    <w:tr2bl w:val="nil"/>
                  </w:tcBorders>
                  <w:vAlign w:val="center"/>
                </w:tcPr>
                <w:p>
                  <w:pPr>
                    <w:pStyle w:val="42"/>
                    <w:keepNext w:val="0"/>
                    <w:keepLines w:val="0"/>
                    <w:pageBreakBefore w:val="0"/>
                    <w:widowControl/>
                    <w:kinsoku/>
                    <w:wordWrap/>
                    <w:overflowPunct/>
                    <w:topLinePunct w:val="0"/>
                    <w:autoSpaceDE/>
                    <w:autoSpaceDN/>
                    <w:bidi w:val="0"/>
                    <w:adjustRightInd w:val="0"/>
                    <w:snapToGrid w:val="0"/>
                    <w:spacing w:after="0" w:line="240" w:lineRule="atLeast"/>
                    <w:ind w:leftChars="0" w:firstLine="420" w:firstLineChars="200"/>
                    <w:jc w:val="both"/>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本项目生活用水1980m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vertAlign w:val="baseline"/>
                      <w:lang w:val="en-US" w:eastAsia="zh-CN"/>
                    </w:rPr>
                    <w:t>/a，生活用水经处理达标后用于厂区绿化和洒水降尘；生产用水</w:t>
                  </w:r>
                  <w:r>
                    <w:rPr>
                      <w:rFonts w:hint="eastAsia" w:ascii="Times New Roman" w:hAnsi="Times New Roman" w:eastAsia="宋体" w:cs="Times New Roman"/>
                      <w:color w:val="auto"/>
                      <w:sz w:val="21"/>
                      <w:szCs w:val="21"/>
                      <w:highlight w:val="none"/>
                      <w:vertAlign w:val="baseline"/>
                      <w:lang w:val="en-US" w:eastAsia="zh-CN"/>
                    </w:rPr>
                    <w:t>5015</w:t>
                  </w:r>
                  <w:r>
                    <w:rPr>
                      <w:rFonts w:hint="default" w:ascii="Times New Roman" w:hAnsi="Times New Roman" w:eastAsia="宋体" w:cs="Times New Roman"/>
                      <w:color w:val="auto"/>
                      <w:sz w:val="21"/>
                      <w:szCs w:val="21"/>
                      <w:highlight w:val="none"/>
                      <w:vertAlign w:val="baseline"/>
                      <w:lang w:val="en-US" w:eastAsia="zh-CN"/>
                    </w:rPr>
                    <w:t>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vertAlign w:val="baseline"/>
                      <w:lang w:val="en-US" w:eastAsia="zh-CN"/>
                    </w:rPr>
                    <w:t>/a，全部采用昌吉市生活污水处理厂的中水，不取用新鲜水，生产水采用三级沉淀池沉淀后循环使用，仅定期补充。</w:t>
                  </w:r>
                </w:p>
                <w:p>
                  <w:pPr>
                    <w:pStyle w:val="42"/>
                    <w:keepNext w:val="0"/>
                    <w:keepLines w:val="0"/>
                    <w:pageBreakBefore w:val="0"/>
                    <w:widowControl/>
                    <w:kinsoku/>
                    <w:wordWrap/>
                    <w:overflowPunct/>
                    <w:topLinePunct w:val="0"/>
                    <w:autoSpaceDE/>
                    <w:autoSpaceDN/>
                    <w:bidi w:val="0"/>
                    <w:adjustRightInd w:val="0"/>
                    <w:snapToGrid w:val="0"/>
                    <w:spacing w:after="0" w:line="240" w:lineRule="atLeast"/>
                    <w:ind w:leftChars="0" w:firstLine="420" w:firstLineChars="200"/>
                    <w:jc w:val="both"/>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本项目最大化的提高了工业用水重复利用效率，调节和优化了用水结构</w:t>
                  </w:r>
                  <w:r>
                    <w:rPr>
                      <w:rFonts w:hint="eastAsia" w:ascii="Times New Roman" w:hAnsi="Times New Roman" w:eastAsia="宋体" w:cs="Times New Roman"/>
                      <w:color w:val="auto"/>
                      <w:sz w:val="21"/>
                      <w:szCs w:val="21"/>
                      <w:highlight w:val="none"/>
                      <w:vertAlign w:val="baseline"/>
                      <w:lang w:val="en-US" w:eastAsia="zh-CN"/>
                    </w:rPr>
                    <w:t>，</w:t>
                  </w:r>
                  <w:r>
                    <w:rPr>
                      <w:rFonts w:hint="default" w:ascii="Times New Roman" w:hAnsi="Times New Roman" w:eastAsia="宋体" w:cs="Times New Roman"/>
                      <w:color w:val="auto"/>
                      <w:sz w:val="21"/>
                      <w:szCs w:val="21"/>
                      <w:highlight w:val="none"/>
                      <w:vertAlign w:val="baseline"/>
                      <w:lang w:val="en-US" w:eastAsia="zh-CN"/>
                    </w:rPr>
                    <w:t>推进了节水措施。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54" w:type="dxa"/>
                  <w:vMerge w:val="continue"/>
                  <w:tcBorders>
                    <w:tl2br w:val="nil"/>
                    <w:tr2bl w:val="nil"/>
                  </w:tcBorders>
                  <w:vAlign w:val="center"/>
                </w:tcPr>
                <w:p>
                  <w:pPr>
                    <w:pStyle w:val="42"/>
                    <w:keepNext w:val="0"/>
                    <w:keepLines w:val="0"/>
                    <w:pageBreakBefore w:val="0"/>
                    <w:widowControl/>
                    <w:kinsoku/>
                    <w:wordWrap/>
                    <w:overflowPunct/>
                    <w:topLinePunct w:val="0"/>
                    <w:autoSpaceDE/>
                    <w:autoSpaceDN/>
                    <w:bidi w:val="0"/>
                    <w:adjustRightInd w:val="0"/>
                    <w:snapToGrid w:val="0"/>
                    <w:spacing w:after="0" w:line="240" w:lineRule="atLeast"/>
                    <w:ind w:leftChars="0" w:firstLine="0" w:firstLineChars="0"/>
                    <w:jc w:val="both"/>
                    <w:textAlignment w:val="auto"/>
                    <w:rPr>
                      <w:rFonts w:hint="default" w:ascii="Times New Roman" w:hAnsi="Times New Roman" w:eastAsia="宋体" w:cs="Times New Roman"/>
                      <w:color w:val="auto"/>
                      <w:sz w:val="21"/>
                      <w:szCs w:val="21"/>
                      <w:highlight w:val="none"/>
                      <w:vertAlign w:val="baseline"/>
                      <w:lang w:val="en-US" w:eastAsia="zh-CN"/>
                    </w:rPr>
                  </w:pPr>
                </w:p>
              </w:tc>
              <w:tc>
                <w:tcPr>
                  <w:tcW w:w="3110" w:type="dxa"/>
                  <w:tcBorders>
                    <w:tl2br w:val="nil"/>
                    <w:tr2bl w:val="nil"/>
                  </w:tcBorders>
                  <w:vAlign w:val="center"/>
                </w:tcPr>
                <w:p>
                  <w:pPr>
                    <w:pStyle w:val="42"/>
                    <w:keepNext w:val="0"/>
                    <w:keepLines w:val="0"/>
                    <w:pageBreakBefore w:val="0"/>
                    <w:widowControl/>
                    <w:numPr>
                      <w:ilvl w:val="0"/>
                      <w:numId w:val="0"/>
                    </w:numPr>
                    <w:kinsoku/>
                    <w:wordWrap/>
                    <w:overflowPunct/>
                    <w:topLinePunct w:val="0"/>
                    <w:autoSpaceDE/>
                    <w:autoSpaceDN/>
                    <w:bidi w:val="0"/>
                    <w:adjustRightInd w:val="0"/>
                    <w:snapToGrid w:val="0"/>
                    <w:spacing w:after="0" w:line="240" w:lineRule="atLeast"/>
                    <w:ind w:leftChars="200"/>
                    <w:jc w:val="both"/>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17.</w:t>
                  </w:r>
                  <w:r>
                    <w:rPr>
                      <w:rFonts w:hint="default" w:ascii="Times New Roman" w:hAnsi="Times New Roman" w:eastAsia="宋体" w:cs="Times New Roman"/>
                      <w:color w:val="auto"/>
                      <w:sz w:val="21"/>
                      <w:szCs w:val="21"/>
                      <w:highlight w:val="none"/>
                      <w:vertAlign w:val="baseline"/>
                      <w:lang w:val="en-US" w:eastAsia="zh-CN"/>
                    </w:rPr>
                    <w:t>加强土壤环境保护</w:t>
                  </w:r>
                </w:p>
                <w:p>
                  <w:pPr>
                    <w:pStyle w:val="42"/>
                    <w:keepNext w:val="0"/>
                    <w:keepLines w:val="0"/>
                    <w:pageBreakBefore w:val="0"/>
                    <w:widowControl/>
                    <w:numPr>
                      <w:ilvl w:val="0"/>
                      <w:numId w:val="0"/>
                    </w:numPr>
                    <w:kinsoku/>
                    <w:wordWrap/>
                    <w:overflowPunct/>
                    <w:topLinePunct w:val="0"/>
                    <w:autoSpaceDE/>
                    <w:autoSpaceDN/>
                    <w:bidi w:val="0"/>
                    <w:adjustRightInd w:val="0"/>
                    <w:snapToGrid w:val="0"/>
                    <w:spacing w:after="0" w:line="240" w:lineRule="atLeast"/>
                    <w:ind w:leftChars="0" w:firstLine="420" w:firstLineChars="200"/>
                    <w:jc w:val="both"/>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着力控制污染源，加强土壤环境监测。</w:t>
                  </w:r>
                </w:p>
              </w:tc>
              <w:tc>
                <w:tcPr>
                  <w:tcW w:w="2182" w:type="dxa"/>
                  <w:tcBorders>
                    <w:tl2br w:val="nil"/>
                    <w:tr2bl w:val="nil"/>
                  </w:tcBorders>
                  <w:vAlign w:val="center"/>
                </w:tcPr>
                <w:p>
                  <w:pPr>
                    <w:pStyle w:val="42"/>
                    <w:keepNext w:val="0"/>
                    <w:keepLines w:val="0"/>
                    <w:pageBreakBefore w:val="0"/>
                    <w:widowControl/>
                    <w:kinsoku/>
                    <w:wordWrap/>
                    <w:overflowPunct/>
                    <w:topLinePunct w:val="0"/>
                    <w:autoSpaceDE/>
                    <w:autoSpaceDN/>
                    <w:bidi w:val="0"/>
                    <w:adjustRightInd w:val="0"/>
                    <w:snapToGrid w:val="0"/>
                    <w:spacing w:after="0" w:line="240" w:lineRule="atLeast"/>
                    <w:ind w:leftChars="0" w:firstLine="420" w:firstLineChars="200"/>
                    <w:jc w:val="both"/>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本项目对厂区进行分区防渗措施，从源头控制土壤污染。</w:t>
                  </w:r>
                </w:p>
              </w:tc>
            </w:tr>
          </w:tbl>
          <w:p>
            <w:pPr>
              <w:pStyle w:val="20"/>
              <w:spacing w:line="480" w:lineRule="exact"/>
              <w:ind w:left="0" w:firstLine="422" w:firstLineChars="200"/>
              <w:rPr>
                <w:rFonts w:hint="eastAsia"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1.7与《昌吉州道路扬尘和货车污染源专项整治行动方案》相符性分析</w:t>
            </w:r>
          </w:p>
          <w:tbl>
            <w:tblPr>
              <w:tblStyle w:val="23"/>
              <w:tblW w:w="65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7"/>
              <w:gridCol w:w="1615"/>
              <w:gridCol w:w="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7" w:type="dxa"/>
                </w:tcPr>
                <w:p>
                  <w:pPr>
                    <w:pStyle w:val="42"/>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Times New Roman" w:hAnsi="Times New Roman" w:eastAsia="宋体" w:cs="Times New Roman"/>
                      <w:b/>
                      <w:bCs/>
                      <w:color w:val="auto"/>
                      <w:kern w:val="2"/>
                      <w:sz w:val="21"/>
                      <w:szCs w:val="24"/>
                      <w:vertAlign w:val="baseline"/>
                      <w:lang w:val="en-US" w:eastAsia="zh-CN" w:bidi="ar-SA"/>
                    </w:rPr>
                  </w:pPr>
                  <w:r>
                    <w:rPr>
                      <w:rFonts w:hint="eastAsia" w:ascii="Times New Roman" w:hAnsi="Times New Roman" w:eastAsia="宋体" w:cs="Times New Roman"/>
                      <w:b/>
                      <w:bCs/>
                      <w:color w:val="auto"/>
                      <w:kern w:val="2"/>
                      <w:sz w:val="21"/>
                      <w:szCs w:val="24"/>
                      <w:vertAlign w:val="baseline"/>
                      <w:lang w:val="en-US" w:eastAsia="zh-CN" w:bidi="ar-SA"/>
                    </w:rPr>
                    <w:t>意见要求</w:t>
                  </w:r>
                </w:p>
              </w:tc>
              <w:tc>
                <w:tcPr>
                  <w:tcW w:w="1615" w:type="dxa"/>
                </w:tcPr>
                <w:p>
                  <w:pPr>
                    <w:pStyle w:val="42"/>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Times New Roman" w:hAnsi="Times New Roman" w:eastAsia="宋体" w:cs="Times New Roman"/>
                      <w:b/>
                      <w:bCs/>
                      <w:color w:val="auto"/>
                      <w:kern w:val="2"/>
                      <w:sz w:val="21"/>
                      <w:szCs w:val="24"/>
                      <w:vertAlign w:val="baseline"/>
                      <w:lang w:val="en-US" w:eastAsia="zh-CN" w:bidi="ar-SA"/>
                    </w:rPr>
                  </w:pPr>
                  <w:r>
                    <w:rPr>
                      <w:rFonts w:hint="eastAsia" w:ascii="Times New Roman" w:hAnsi="Times New Roman" w:eastAsia="宋体" w:cs="Times New Roman"/>
                      <w:b/>
                      <w:bCs/>
                      <w:color w:val="auto"/>
                      <w:kern w:val="2"/>
                      <w:sz w:val="21"/>
                      <w:szCs w:val="24"/>
                      <w:vertAlign w:val="baseline"/>
                      <w:lang w:val="en-US" w:eastAsia="zh-CN" w:bidi="ar-SA"/>
                    </w:rPr>
                    <w:t>本项目情况</w:t>
                  </w:r>
                </w:p>
              </w:tc>
              <w:tc>
                <w:tcPr>
                  <w:tcW w:w="874" w:type="dxa"/>
                </w:tcPr>
                <w:p>
                  <w:pPr>
                    <w:pStyle w:val="42"/>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Times New Roman" w:hAnsi="Times New Roman" w:eastAsia="宋体" w:cs="Times New Roman"/>
                      <w:b/>
                      <w:bCs/>
                      <w:color w:val="auto"/>
                      <w:kern w:val="2"/>
                      <w:sz w:val="21"/>
                      <w:szCs w:val="24"/>
                      <w:vertAlign w:val="baseline"/>
                      <w:lang w:val="en-US" w:eastAsia="zh-CN" w:bidi="ar-SA"/>
                    </w:rPr>
                  </w:pPr>
                  <w:r>
                    <w:rPr>
                      <w:rFonts w:hint="eastAsia" w:ascii="Times New Roman" w:hAnsi="Times New Roman" w:eastAsia="宋体" w:cs="Times New Roman"/>
                      <w:b/>
                      <w:bCs/>
                      <w:color w:val="auto"/>
                      <w:kern w:val="2"/>
                      <w:sz w:val="21"/>
                      <w:szCs w:val="24"/>
                      <w:vertAlign w:val="baseline"/>
                      <w:lang w:val="en-US" w:eastAsia="zh-CN" w:bidi="ar-SA"/>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57" w:type="dxa"/>
                </w:tcPr>
                <w:p>
                  <w:pPr>
                    <w:pStyle w:val="42"/>
                    <w:keepNext w:val="0"/>
                    <w:keepLines w:val="0"/>
                    <w:pageBreakBefore w:val="0"/>
                    <w:widowControl/>
                    <w:numPr>
                      <w:ilvl w:val="0"/>
                      <w:numId w:val="0"/>
                    </w:numPr>
                    <w:kinsoku/>
                    <w:wordWrap/>
                    <w:overflowPunct/>
                    <w:topLinePunct w:val="0"/>
                    <w:autoSpaceDE/>
                    <w:autoSpaceDN/>
                    <w:bidi w:val="0"/>
                    <w:adjustRightInd w:val="0"/>
                    <w:snapToGrid w:val="0"/>
                    <w:spacing w:after="0" w:line="240" w:lineRule="atLeast"/>
                    <w:ind w:leftChars="0" w:firstLine="420" w:firstLineChars="200"/>
                    <w:jc w:val="both"/>
                    <w:textAlignment w:val="auto"/>
                    <w:rPr>
                      <w:rFonts w:hint="eastAsia" w:ascii="Times New Roman" w:hAnsi="Times New Roman" w:eastAsia="宋体" w:cs="Times New Roman"/>
                      <w:b/>
                      <w:bCs/>
                      <w:color w:val="auto"/>
                      <w:kern w:val="2"/>
                      <w:sz w:val="21"/>
                      <w:szCs w:val="24"/>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一）切实加强车体扬尘源头管控。各县市（园区）负责安排辖区拉运煤炭、煤渣、铁精粉、粉煤灰、石灰、除尘灰、脱硫灰、砂石、矿石、渣土、垃圾等粉状、块状、粒状或粘湿物料日进出装卸货物10辆以上货车的厂矿企业在2021年7月底之前建成货运车辆出入口清洗平台，从8月1日起对运送散装货物出厂货车的车厢、轮胎、车头等车体部位进行清洗，消除附着车体的灰尘煤尘粉尘造成大气污染现象。</w:t>
                  </w:r>
                </w:p>
              </w:tc>
              <w:tc>
                <w:tcPr>
                  <w:tcW w:w="1615" w:type="dxa"/>
                  <w:vAlign w:val="center"/>
                </w:tcPr>
                <w:p>
                  <w:pPr>
                    <w:pStyle w:val="42"/>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0" w:firstLineChars="200"/>
                    <w:jc w:val="left"/>
                    <w:textAlignment w:val="auto"/>
                    <w:rPr>
                      <w:rFonts w:hint="eastAsia" w:ascii="Times New Roman" w:hAnsi="Times New Roman" w:eastAsia="宋体" w:cs="Times New Roman"/>
                      <w:b/>
                      <w:bCs/>
                      <w:color w:val="auto"/>
                      <w:kern w:val="2"/>
                      <w:sz w:val="21"/>
                      <w:szCs w:val="24"/>
                      <w:vertAlign w:val="baseline"/>
                      <w:lang w:val="en-US" w:eastAsia="zh-CN" w:bidi="ar-SA"/>
                    </w:rPr>
                  </w:pPr>
                  <w:r>
                    <w:rPr>
                      <w:rFonts w:hint="eastAsia" w:ascii="Times New Roman" w:hAnsi="Times New Roman" w:eastAsia="宋体" w:cs="Times New Roman"/>
                      <w:b w:val="0"/>
                      <w:bCs w:val="0"/>
                      <w:color w:val="auto"/>
                      <w:kern w:val="2"/>
                      <w:sz w:val="21"/>
                      <w:szCs w:val="24"/>
                      <w:vertAlign w:val="baseline"/>
                      <w:lang w:val="en-US" w:eastAsia="zh-CN" w:bidi="ar-SA"/>
                    </w:rPr>
                    <w:t>本项目拟在厂区入口设置车辆冲洗平台，对运输车辆进行冲洗。</w:t>
                  </w:r>
                </w:p>
              </w:tc>
              <w:tc>
                <w:tcPr>
                  <w:tcW w:w="874" w:type="dxa"/>
                  <w:vAlign w:val="center"/>
                </w:tcPr>
                <w:p>
                  <w:pPr>
                    <w:pStyle w:val="42"/>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Times New Roman" w:hAnsi="Times New Roman" w:eastAsia="宋体" w:cs="Times New Roman"/>
                      <w:b/>
                      <w:bCs/>
                      <w:color w:val="auto"/>
                      <w:kern w:val="2"/>
                      <w:sz w:val="21"/>
                      <w:szCs w:val="24"/>
                      <w:vertAlign w:val="baseline"/>
                      <w:lang w:val="en-US" w:eastAsia="zh-CN" w:bidi="ar-SA"/>
                    </w:rPr>
                  </w:pPr>
                  <w:r>
                    <w:rPr>
                      <w:rFonts w:hint="eastAsia" w:ascii="Times New Roman" w:hAnsi="Times New Roman" w:eastAsia="宋体" w:cs="Times New Roman"/>
                      <w:b w:val="0"/>
                      <w:bCs w:val="0"/>
                      <w:color w:val="auto"/>
                      <w:kern w:val="2"/>
                      <w:sz w:val="21"/>
                      <w:szCs w:val="24"/>
                      <w:vertAlign w:val="baseline"/>
                      <w:lang w:val="en-US" w:eastAsia="zh-CN" w:bidi="ar-SA"/>
                    </w:rPr>
                    <w:t>符合</w:t>
                  </w:r>
                </w:p>
              </w:tc>
            </w:tr>
          </w:tbl>
          <w:p>
            <w:pPr>
              <w:pStyle w:val="42"/>
              <w:spacing w:after="0" w:line="480" w:lineRule="exact"/>
              <w:ind w:firstLine="420"/>
              <w:jc w:val="both"/>
              <w:rPr>
                <w:rFonts w:hint="eastAsia" w:ascii="Times New Roman" w:hAnsi="Times New Roman" w:eastAsia="宋体" w:cs="Times New Roman"/>
                <w:color w:val="auto"/>
                <w:kern w:val="2"/>
                <w:sz w:val="21"/>
                <w:lang w:val="en-US" w:eastAsia="zh-CN"/>
              </w:rPr>
            </w:pPr>
            <w:r>
              <w:rPr>
                <w:rFonts w:hint="eastAsia" w:ascii="Times New Roman" w:hAnsi="Times New Roman" w:eastAsia="宋体" w:cs="Times New Roman"/>
                <w:color w:val="auto"/>
                <w:kern w:val="2"/>
                <w:sz w:val="21"/>
                <w:lang w:val="en-US" w:eastAsia="zh-CN"/>
              </w:rPr>
              <w:t>综上分析，本项目符合《昌吉州道路扬尘和货车污染源专项整治行动方案》相关要求。</w:t>
            </w:r>
          </w:p>
          <w:p>
            <w:pPr>
              <w:pStyle w:val="20"/>
              <w:spacing w:line="480" w:lineRule="exact"/>
              <w:ind w:left="0" w:firstLine="422" w:firstLineChars="200"/>
              <w:rPr>
                <w:rFonts w:hint="eastAsia"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1.8与《新疆维吾尔自治区大气污染防治条例》的符合性分析</w:t>
            </w:r>
          </w:p>
          <w:tbl>
            <w:tblPr>
              <w:tblStyle w:val="23"/>
              <w:tblW w:w="65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78"/>
              <w:gridCol w:w="1994"/>
              <w:gridCol w:w="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78" w:type="dxa"/>
                  <w:vAlign w:val="center"/>
                </w:tcPr>
                <w:p>
                  <w:pPr>
                    <w:pStyle w:val="42"/>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Times New Roman" w:hAnsi="Times New Roman" w:eastAsia="宋体" w:cs="Times New Roman"/>
                      <w:b/>
                      <w:bCs/>
                      <w:color w:val="auto"/>
                      <w:kern w:val="2"/>
                      <w:sz w:val="21"/>
                      <w:szCs w:val="24"/>
                      <w:vertAlign w:val="baseline"/>
                      <w:lang w:val="en-US" w:eastAsia="zh-CN" w:bidi="ar-SA"/>
                    </w:rPr>
                  </w:pPr>
                  <w:r>
                    <w:rPr>
                      <w:rFonts w:hint="eastAsia" w:ascii="Times New Roman" w:hAnsi="Times New Roman" w:eastAsia="宋体" w:cs="Times New Roman"/>
                      <w:b/>
                      <w:bCs/>
                      <w:color w:val="auto"/>
                      <w:kern w:val="2"/>
                      <w:sz w:val="21"/>
                      <w:szCs w:val="24"/>
                      <w:vertAlign w:val="baseline"/>
                      <w:lang w:val="en-US" w:eastAsia="zh-CN" w:bidi="ar-SA"/>
                    </w:rPr>
                    <w:t>条例要求</w:t>
                  </w:r>
                </w:p>
              </w:tc>
              <w:tc>
                <w:tcPr>
                  <w:tcW w:w="1994" w:type="dxa"/>
                  <w:vAlign w:val="center"/>
                </w:tcPr>
                <w:p>
                  <w:pPr>
                    <w:pStyle w:val="42"/>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Times New Roman" w:hAnsi="Times New Roman" w:eastAsia="宋体" w:cs="Times New Roman"/>
                      <w:b/>
                      <w:bCs/>
                      <w:color w:val="auto"/>
                      <w:kern w:val="2"/>
                      <w:sz w:val="21"/>
                      <w:szCs w:val="24"/>
                      <w:vertAlign w:val="baseline"/>
                      <w:lang w:val="en-US" w:eastAsia="zh-CN" w:bidi="ar-SA"/>
                    </w:rPr>
                  </w:pPr>
                  <w:r>
                    <w:rPr>
                      <w:rFonts w:hint="eastAsia" w:ascii="Times New Roman" w:hAnsi="Times New Roman" w:eastAsia="宋体" w:cs="Times New Roman"/>
                      <w:b/>
                      <w:bCs/>
                      <w:color w:val="auto"/>
                      <w:kern w:val="2"/>
                      <w:sz w:val="21"/>
                      <w:szCs w:val="24"/>
                      <w:vertAlign w:val="baseline"/>
                      <w:lang w:val="en-US" w:eastAsia="zh-CN" w:bidi="ar-SA"/>
                    </w:rPr>
                    <w:t>本项目情况</w:t>
                  </w:r>
                </w:p>
              </w:tc>
              <w:tc>
                <w:tcPr>
                  <w:tcW w:w="874" w:type="dxa"/>
                  <w:vAlign w:val="center"/>
                </w:tcPr>
                <w:p>
                  <w:pPr>
                    <w:pStyle w:val="42"/>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Times New Roman" w:hAnsi="Times New Roman" w:eastAsia="宋体" w:cs="Times New Roman"/>
                      <w:b/>
                      <w:bCs/>
                      <w:color w:val="auto"/>
                      <w:kern w:val="2"/>
                      <w:sz w:val="21"/>
                      <w:szCs w:val="24"/>
                      <w:vertAlign w:val="baseline"/>
                      <w:lang w:val="en-US" w:eastAsia="zh-CN" w:bidi="ar-SA"/>
                    </w:rPr>
                  </w:pPr>
                  <w:r>
                    <w:rPr>
                      <w:rFonts w:hint="eastAsia" w:ascii="Times New Roman" w:hAnsi="Times New Roman" w:eastAsia="宋体" w:cs="Times New Roman"/>
                      <w:b/>
                      <w:bCs/>
                      <w:color w:val="auto"/>
                      <w:kern w:val="2"/>
                      <w:sz w:val="21"/>
                      <w:szCs w:val="24"/>
                      <w:vertAlign w:val="baseline"/>
                      <w:lang w:val="en-US" w:eastAsia="zh-CN" w:bidi="ar-SA"/>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78" w:type="dxa"/>
                  <w:vAlign w:val="center"/>
                </w:tcPr>
                <w:p>
                  <w:pPr>
                    <w:pStyle w:val="42"/>
                    <w:keepNext w:val="0"/>
                    <w:keepLines w:val="0"/>
                    <w:pageBreakBefore w:val="0"/>
                    <w:widowControl/>
                    <w:numPr>
                      <w:ilvl w:val="0"/>
                      <w:numId w:val="0"/>
                    </w:numPr>
                    <w:kinsoku/>
                    <w:wordWrap/>
                    <w:overflowPunct/>
                    <w:topLinePunct w:val="0"/>
                    <w:autoSpaceDE/>
                    <w:autoSpaceDN/>
                    <w:bidi w:val="0"/>
                    <w:adjustRightInd w:val="0"/>
                    <w:snapToGrid w:val="0"/>
                    <w:spacing w:after="0" w:line="240" w:lineRule="atLeast"/>
                    <w:ind w:leftChars="0" w:firstLine="420" w:firstLineChars="200"/>
                    <w:jc w:val="both"/>
                    <w:textAlignment w:val="auto"/>
                    <w:rPr>
                      <w:rFonts w:hint="eastAsia" w:ascii="Times New Roman" w:hAnsi="Times New Roman" w:eastAsia="宋体" w:cs="Times New Roman"/>
                      <w:b w:val="0"/>
                      <w:bCs w:val="0"/>
                      <w:color w:val="auto"/>
                      <w:kern w:val="2"/>
                      <w:sz w:val="21"/>
                      <w:szCs w:val="24"/>
                      <w:vertAlign w:val="baseline"/>
                      <w:lang w:val="en-US" w:eastAsia="zh-CN" w:bidi="ar-SA"/>
                    </w:rPr>
                  </w:pPr>
                  <w:r>
                    <w:rPr>
                      <w:rFonts w:hint="eastAsia" w:ascii="Times New Roman" w:hAnsi="Times New Roman" w:eastAsia="宋体" w:cs="Times New Roman"/>
                      <w:b w:val="0"/>
                      <w:bCs w:val="0"/>
                      <w:color w:val="auto"/>
                      <w:kern w:val="2"/>
                      <w:sz w:val="21"/>
                      <w:szCs w:val="24"/>
                      <w:vertAlign w:val="baseline"/>
                      <w:lang w:val="en-US" w:eastAsia="zh-CN" w:bidi="ar-SA"/>
                    </w:rPr>
                    <w:t>第十六条 向大气排放污染物的排污单位，应当按照国家和自治区的规定，设置大气污染物排放口，并明确其标志。</w:t>
                  </w:r>
                </w:p>
              </w:tc>
              <w:tc>
                <w:tcPr>
                  <w:tcW w:w="1994" w:type="dxa"/>
                  <w:vAlign w:val="center"/>
                </w:tcPr>
                <w:p>
                  <w:pPr>
                    <w:pStyle w:val="42"/>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0" w:firstLineChars="200"/>
                    <w:jc w:val="both"/>
                    <w:textAlignment w:val="auto"/>
                    <w:rPr>
                      <w:rFonts w:hint="eastAsia" w:ascii="Times New Roman" w:hAnsi="Times New Roman" w:eastAsia="宋体" w:cs="Times New Roman"/>
                      <w:b w:val="0"/>
                      <w:bCs w:val="0"/>
                      <w:color w:val="auto"/>
                      <w:kern w:val="2"/>
                      <w:sz w:val="21"/>
                      <w:szCs w:val="24"/>
                      <w:vertAlign w:val="baseline"/>
                      <w:lang w:val="en-US" w:eastAsia="zh-CN" w:bidi="ar-SA"/>
                    </w:rPr>
                  </w:pPr>
                  <w:r>
                    <w:rPr>
                      <w:rFonts w:hint="eastAsia" w:ascii="Times New Roman" w:hAnsi="Times New Roman" w:eastAsia="宋体" w:cs="Times New Roman"/>
                      <w:b w:val="0"/>
                      <w:bCs w:val="0"/>
                      <w:color w:val="auto"/>
                      <w:kern w:val="2"/>
                      <w:sz w:val="21"/>
                      <w:szCs w:val="24"/>
                      <w:vertAlign w:val="baseline"/>
                      <w:lang w:val="en-US" w:eastAsia="zh-CN" w:bidi="ar-SA"/>
                    </w:rPr>
                    <w:t>本项目排气筒将按照相关要求设置排放口，明确标志。</w:t>
                  </w:r>
                </w:p>
              </w:tc>
              <w:tc>
                <w:tcPr>
                  <w:tcW w:w="874" w:type="dxa"/>
                  <w:vAlign w:val="center"/>
                </w:tcPr>
                <w:p>
                  <w:pPr>
                    <w:pStyle w:val="42"/>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4"/>
                      <w:vertAlign w:val="baseline"/>
                      <w:lang w:val="en-US" w:eastAsia="zh-CN" w:bidi="ar-SA"/>
                    </w:rPr>
                  </w:pPr>
                  <w:r>
                    <w:rPr>
                      <w:rFonts w:hint="eastAsia" w:ascii="Times New Roman" w:hAnsi="Times New Roman" w:eastAsia="宋体" w:cs="Times New Roman"/>
                      <w:b w:val="0"/>
                      <w:bCs w:val="0"/>
                      <w:color w:val="auto"/>
                      <w:kern w:val="2"/>
                      <w:sz w:val="21"/>
                      <w:szCs w:val="24"/>
                      <w:vertAlign w:val="baseline"/>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78" w:type="dxa"/>
                  <w:vAlign w:val="center"/>
                </w:tcPr>
                <w:p>
                  <w:pPr>
                    <w:pStyle w:val="42"/>
                    <w:keepNext w:val="0"/>
                    <w:keepLines w:val="0"/>
                    <w:pageBreakBefore w:val="0"/>
                    <w:widowControl/>
                    <w:numPr>
                      <w:ilvl w:val="0"/>
                      <w:numId w:val="0"/>
                    </w:numPr>
                    <w:kinsoku/>
                    <w:wordWrap/>
                    <w:overflowPunct/>
                    <w:topLinePunct w:val="0"/>
                    <w:autoSpaceDE/>
                    <w:autoSpaceDN/>
                    <w:bidi w:val="0"/>
                    <w:adjustRightInd w:val="0"/>
                    <w:snapToGrid w:val="0"/>
                    <w:spacing w:after="0" w:line="240" w:lineRule="atLeast"/>
                    <w:ind w:leftChars="0" w:firstLine="420" w:firstLineChars="200"/>
                    <w:jc w:val="both"/>
                    <w:textAlignment w:val="auto"/>
                    <w:rPr>
                      <w:rFonts w:hint="eastAsia" w:ascii="Times New Roman" w:hAnsi="Times New Roman" w:eastAsia="宋体" w:cs="Times New Roman"/>
                      <w:b w:val="0"/>
                      <w:bCs w:val="0"/>
                      <w:color w:val="auto"/>
                      <w:kern w:val="2"/>
                      <w:sz w:val="21"/>
                      <w:szCs w:val="24"/>
                      <w:vertAlign w:val="baseline"/>
                      <w:lang w:val="en-US" w:eastAsia="zh-CN" w:bidi="ar-SA"/>
                    </w:rPr>
                  </w:pPr>
                  <w:r>
                    <w:rPr>
                      <w:rFonts w:hint="eastAsia" w:ascii="Times New Roman" w:hAnsi="Times New Roman" w:eastAsia="宋体" w:cs="Times New Roman"/>
                      <w:b w:val="0"/>
                      <w:bCs w:val="0"/>
                      <w:color w:val="auto"/>
                      <w:kern w:val="2"/>
                      <w:sz w:val="21"/>
                      <w:szCs w:val="24"/>
                      <w:vertAlign w:val="baseline"/>
                      <w:lang w:val="en-US" w:eastAsia="zh-CN" w:bidi="ar-SA"/>
                    </w:rPr>
                    <w:t>第十八条 向大气排放污染物的企业事业单位和其他生产经营者，应当按照国家有关规定和监测规范，自行或者委托有资质的监测机构监测大气污染物排放情况，并保存原始监测数据记录。</w:t>
                  </w:r>
                </w:p>
              </w:tc>
              <w:tc>
                <w:tcPr>
                  <w:tcW w:w="1994" w:type="dxa"/>
                  <w:vAlign w:val="center"/>
                </w:tcPr>
                <w:p>
                  <w:pPr>
                    <w:pStyle w:val="42"/>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0" w:firstLineChars="200"/>
                    <w:jc w:val="both"/>
                    <w:textAlignment w:val="auto"/>
                    <w:rPr>
                      <w:rFonts w:hint="eastAsia" w:ascii="Times New Roman" w:hAnsi="Times New Roman" w:eastAsia="宋体" w:cs="Times New Roman"/>
                      <w:b w:val="0"/>
                      <w:bCs w:val="0"/>
                      <w:color w:val="auto"/>
                      <w:kern w:val="2"/>
                      <w:sz w:val="21"/>
                      <w:szCs w:val="24"/>
                      <w:vertAlign w:val="baseline"/>
                      <w:lang w:val="en-US" w:eastAsia="zh-CN" w:bidi="ar-SA"/>
                    </w:rPr>
                  </w:pPr>
                  <w:r>
                    <w:rPr>
                      <w:rFonts w:hint="eastAsia" w:ascii="Times New Roman" w:hAnsi="Times New Roman" w:eastAsia="宋体" w:cs="Times New Roman"/>
                      <w:b w:val="0"/>
                      <w:bCs w:val="0"/>
                      <w:color w:val="auto"/>
                      <w:kern w:val="2"/>
                      <w:sz w:val="21"/>
                      <w:szCs w:val="24"/>
                      <w:vertAlign w:val="baseline"/>
                      <w:lang w:val="en-US" w:eastAsia="zh-CN" w:bidi="ar-SA"/>
                    </w:rPr>
                    <w:t>本项目环评已提出自行监测计划，要求建设方在项目运营时按照自行监测计划进行监测。</w:t>
                  </w:r>
                </w:p>
              </w:tc>
              <w:tc>
                <w:tcPr>
                  <w:tcW w:w="874" w:type="dxa"/>
                  <w:vAlign w:val="center"/>
                </w:tcPr>
                <w:p>
                  <w:pPr>
                    <w:pStyle w:val="42"/>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4"/>
                      <w:vertAlign w:val="baseline"/>
                      <w:lang w:val="en-US" w:eastAsia="zh-CN" w:bidi="ar-SA"/>
                    </w:rPr>
                  </w:pPr>
                  <w:r>
                    <w:rPr>
                      <w:rFonts w:hint="eastAsia" w:ascii="Times New Roman" w:hAnsi="Times New Roman" w:eastAsia="宋体" w:cs="Times New Roman"/>
                      <w:b w:val="0"/>
                      <w:bCs w:val="0"/>
                      <w:color w:val="auto"/>
                      <w:kern w:val="2"/>
                      <w:sz w:val="21"/>
                      <w:szCs w:val="24"/>
                      <w:vertAlign w:val="baseline"/>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8" w:type="dxa"/>
                  <w:vAlign w:val="center"/>
                </w:tcPr>
                <w:p>
                  <w:pPr>
                    <w:pStyle w:val="42"/>
                    <w:keepNext w:val="0"/>
                    <w:keepLines w:val="0"/>
                    <w:pageBreakBefore w:val="0"/>
                    <w:widowControl/>
                    <w:numPr>
                      <w:ilvl w:val="0"/>
                      <w:numId w:val="0"/>
                    </w:numPr>
                    <w:kinsoku/>
                    <w:wordWrap/>
                    <w:overflowPunct/>
                    <w:topLinePunct w:val="0"/>
                    <w:autoSpaceDE/>
                    <w:autoSpaceDN/>
                    <w:bidi w:val="0"/>
                    <w:adjustRightInd w:val="0"/>
                    <w:snapToGrid w:val="0"/>
                    <w:spacing w:after="0" w:line="240" w:lineRule="atLeast"/>
                    <w:ind w:leftChars="0" w:firstLine="420" w:firstLineChars="200"/>
                    <w:jc w:val="both"/>
                    <w:textAlignment w:val="auto"/>
                    <w:rPr>
                      <w:rFonts w:hint="eastAsia" w:ascii="Times New Roman" w:hAnsi="Times New Roman" w:eastAsia="宋体" w:cs="Times New Roman"/>
                      <w:b w:val="0"/>
                      <w:bCs w:val="0"/>
                      <w:color w:val="auto"/>
                      <w:kern w:val="2"/>
                      <w:sz w:val="21"/>
                      <w:szCs w:val="24"/>
                      <w:vertAlign w:val="baseline"/>
                      <w:lang w:val="en-US" w:eastAsia="zh-CN" w:bidi="ar-SA"/>
                    </w:rPr>
                  </w:pPr>
                  <w:r>
                    <w:rPr>
                      <w:rFonts w:hint="eastAsia" w:ascii="Times New Roman" w:hAnsi="Times New Roman" w:eastAsia="宋体" w:cs="Times New Roman"/>
                      <w:b w:val="0"/>
                      <w:bCs w:val="0"/>
                      <w:color w:val="auto"/>
                      <w:kern w:val="2"/>
                      <w:sz w:val="21"/>
                      <w:szCs w:val="24"/>
                      <w:vertAlign w:val="baseline"/>
                      <w:lang w:val="en-US" w:eastAsia="zh-CN" w:bidi="ar-SA"/>
                    </w:rPr>
                    <w:t>第二十八条 禁止新建、改建、扩建列入淘汰类目录的高污染工业项目。禁止使用列入淘汰类目录的工艺、设备、产品。</w:t>
                  </w:r>
                </w:p>
              </w:tc>
              <w:tc>
                <w:tcPr>
                  <w:tcW w:w="1994" w:type="dxa"/>
                  <w:vAlign w:val="center"/>
                </w:tcPr>
                <w:p>
                  <w:pPr>
                    <w:pStyle w:val="42"/>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0" w:firstLineChars="200"/>
                    <w:jc w:val="both"/>
                    <w:textAlignment w:val="auto"/>
                    <w:rPr>
                      <w:rFonts w:hint="eastAsia" w:ascii="Times New Roman" w:hAnsi="Times New Roman" w:eastAsia="宋体" w:cs="Times New Roman"/>
                      <w:b w:val="0"/>
                      <w:bCs w:val="0"/>
                      <w:color w:val="auto"/>
                      <w:kern w:val="2"/>
                      <w:sz w:val="21"/>
                      <w:szCs w:val="24"/>
                      <w:vertAlign w:val="baseline"/>
                      <w:lang w:val="en-US" w:eastAsia="zh-CN" w:bidi="ar-SA"/>
                    </w:rPr>
                  </w:pPr>
                  <w:r>
                    <w:rPr>
                      <w:rFonts w:hint="eastAsia" w:ascii="Times New Roman" w:hAnsi="Times New Roman" w:eastAsia="宋体" w:cs="Times New Roman"/>
                      <w:b w:val="0"/>
                      <w:bCs w:val="0"/>
                      <w:color w:val="auto"/>
                      <w:kern w:val="2"/>
                      <w:sz w:val="21"/>
                      <w:szCs w:val="24"/>
                      <w:vertAlign w:val="baseline"/>
                      <w:lang w:val="en-US" w:eastAsia="zh-CN" w:bidi="ar-SA"/>
                    </w:rPr>
                    <w:t>本项目不属于淘汰类项目，不使用淘汰类目录中的生产工艺和设备，不生产淘汰类产品。</w:t>
                  </w:r>
                </w:p>
              </w:tc>
              <w:tc>
                <w:tcPr>
                  <w:tcW w:w="874" w:type="dxa"/>
                  <w:vAlign w:val="center"/>
                </w:tcPr>
                <w:p>
                  <w:pPr>
                    <w:pStyle w:val="42"/>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4"/>
                      <w:vertAlign w:val="baseline"/>
                      <w:lang w:val="en-US" w:eastAsia="zh-CN" w:bidi="ar-SA"/>
                    </w:rPr>
                  </w:pPr>
                  <w:r>
                    <w:rPr>
                      <w:rFonts w:hint="eastAsia" w:ascii="Times New Roman" w:hAnsi="Times New Roman" w:eastAsia="宋体" w:cs="Times New Roman"/>
                      <w:b w:val="0"/>
                      <w:bCs w:val="0"/>
                      <w:color w:val="auto"/>
                      <w:kern w:val="2"/>
                      <w:sz w:val="21"/>
                      <w:szCs w:val="24"/>
                      <w:vertAlign w:val="baseline"/>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8" w:type="dxa"/>
                  <w:vAlign w:val="center"/>
                </w:tcPr>
                <w:p>
                  <w:pPr>
                    <w:pStyle w:val="42"/>
                    <w:keepNext w:val="0"/>
                    <w:keepLines w:val="0"/>
                    <w:pageBreakBefore w:val="0"/>
                    <w:widowControl/>
                    <w:numPr>
                      <w:ilvl w:val="0"/>
                      <w:numId w:val="0"/>
                    </w:numPr>
                    <w:kinsoku/>
                    <w:wordWrap/>
                    <w:overflowPunct/>
                    <w:topLinePunct w:val="0"/>
                    <w:autoSpaceDE/>
                    <w:autoSpaceDN/>
                    <w:bidi w:val="0"/>
                    <w:adjustRightInd w:val="0"/>
                    <w:snapToGrid w:val="0"/>
                    <w:spacing w:after="0" w:line="240" w:lineRule="atLeast"/>
                    <w:ind w:leftChars="0" w:firstLine="420" w:firstLineChars="200"/>
                    <w:jc w:val="both"/>
                    <w:textAlignment w:val="auto"/>
                    <w:rPr>
                      <w:rFonts w:hint="eastAsia" w:ascii="Times New Roman" w:hAnsi="Times New Roman" w:eastAsia="宋体" w:cs="Times New Roman"/>
                      <w:b w:val="0"/>
                      <w:bCs w:val="0"/>
                      <w:color w:val="auto"/>
                      <w:kern w:val="2"/>
                      <w:sz w:val="21"/>
                      <w:szCs w:val="24"/>
                      <w:vertAlign w:val="baseline"/>
                      <w:lang w:val="en-US" w:eastAsia="zh-CN" w:bidi="ar-SA"/>
                    </w:rPr>
                  </w:pPr>
                  <w:r>
                    <w:rPr>
                      <w:rFonts w:hint="eastAsia" w:ascii="Times New Roman" w:hAnsi="Times New Roman" w:eastAsia="宋体" w:cs="Times New Roman"/>
                      <w:b w:val="0"/>
                      <w:bCs w:val="0"/>
                      <w:color w:val="auto"/>
                      <w:kern w:val="2"/>
                      <w:sz w:val="21"/>
                      <w:szCs w:val="24"/>
                      <w:vertAlign w:val="baseline"/>
                      <w:lang w:val="en-US" w:eastAsia="zh-CN" w:bidi="ar-SA"/>
                    </w:rPr>
                    <w:t>第四十三条 贮存易产生扬尘的煤炭、煤矸石、煤渣、煤灰、水泥、石灰、石膏、砂土等物料的堆场应当密闭；不能密闭的，贮存单位或者个人应当采取下列防尘措施：</w:t>
                  </w:r>
                </w:p>
                <w:p>
                  <w:pPr>
                    <w:pStyle w:val="42"/>
                    <w:keepNext w:val="0"/>
                    <w:keepLines w:val="0"/>
                    <w:pageBreakBefore w:val="0"/>
                    <w:widowControl/>
                    <w:numPr>
                      <w:ilvl w:val="0"/>
                      <w:numId w:val="0"/>
                    </w:numPr>
                    <w:kinsoku/>
                    <w:wordWrap/>
                    <w:overflowPunct/>
                    <w:topLinePunct w:val="0"/>
                    <w:autoSpaceDE/>
                    <w:autoSpaceDN/>
                    <w:bidi w:val="0"/>
                    <w:adjustRightInd w:val="0"/>
                    <w:snapToGrid w:val="0"/>
                    <w:spacing w:after="0" w:line="240" w:lineRule="atLeast"/>
                    <w:ind w:leftChars="0" w:firstLine="420" w:firstLineChars="200"/>
                    <w:jc w:val="both"/>
                    <w:textAlignment w:val="auto"/>
                    <w:rPr>
                      <w:rFonts w:hint="eastAsia" w:ascii="Times New Roman" w:hAnsi="Times New Roman" w:eastAsia="宋体" w:cs="Times New Roman"/>
                      <w:b w:val="0"/>
                      <w:bCs w:val="0"/>
                      <w:color w:val="auto"/>
                      <w:kern w:val="2"/>
                      <w:sz w:val="21"/>
                      <w:szCs w:val="24"/>
                      <w:vertAlign w:val="baseline"/>
                      <w:lang w:val="en-US" w:eastAsia="zh-CN" w:bidi="ar-SA"/>
                    </w:rPr>
                  </w:pPr>
                  <w:r>
                    <w:rPr>
                      <w:rFonts w:hint="eastAsia" w:ascii="Times New Roman" w:hAnsi="Times New Roman" w:eastAsia="宋体" w:cs="Times New Roman"/>
                      <w:b w:val="0"/>
                      <w:bCs w:val="0"/>
                      <w:color w:val="auto"/>
                      <w:kern w:val="2"/>
                      <w:sz w:val="21"/>
                      <w:szCs w:val="24"/>
                      <w:vertAlign w:val="baseline"/>
                      <w:lang w:val="en-US" w:eastAsia="zh-CN" w:bidi="ar-SA"/>
                    </w:rPr>
                    <w:t>（一）堆场的场坪、路面应当进行硬化处理，并保持路面整洁；</w:t>
                  </w:r>
                </w:p>
                <w:p>
                  <w:pPr>
                    <w:pStyle w:val="42"/>
                    <w:keepNext w:val="0"/>
                    <w:keepLines w:val="0"/>
                    <w:pageBreakBefore w:val="0"/>
                    <w:widowControl/>
                    <w:numPr>
                      <w:ilvl w:val="0"/>
                      <w:numId w:val="0"/>
                    </w:numPr>
                    <w:kinsoku/>
                    <w:wordWrap/>
                    <w:overflowPunct/>
                    <w:topLinePunct w:val="0"/>
                    <w:autoSpaceDE/>
                    <w:autoSpaceDN/>
                    <w:bidi w:val="0"/>
                    <w:adjustRightInd w:val="0"/>
                    <w:snapToGrid w:val="0"/>
                    <w:spacing w:after="0" w:line="240" w:lineRule="atLeast"/>
                    <w:ind w:leftChars="0" w:firstLine="420" w:firstLineChars="200"/>
                    <w:jc w:val="both"/>
                    <w:textAlignment w:val="auto"/>
                    <w:rPr>
                      <w:rFonts w:hint="eastAsia" w:ascii="Times New Roman" w:hAnsi="Times New Roman" w:eastAsia="宋体" w:cs="Times New Roman"/>
                      <w:b w:val="0"/>
                      <w:bCs w:val="0"/>
                      <w:color w:val="auto"/>
                      <w:kern w:val="2"/>
                      <w:sz w:val="21"/>
                      <w:szCs w:val="24"/>
                      <w:vertAlign w:val="baseline"/>
                      <w:lang w:val="en-US" w:eastAsia="zh-CN" w:bidi="ar-SA"/>
                    </w:rPr>
                  </w:pPr>
                  <w:r>
                    <w:rPr>
                      <w:rFonts w:hint="eastAsia" w:ascii="Times New Roman" w:hAnsi="Times New Roman" w:eastAsia="宋体" w:cs="Times New Roman"/>
                      <w:b w:val="0"/>
                      <w:bCs w:val="0"/>
                      <w:color w:val="auto"/>
                      <w:kern w:val="2"/>
                      <w:sz w:val="21"/>
                      <w:szCs w:val="24"/>
                      <w:vertAlign w:val="baseline"/>
                      <w:lang w:val="en-US" w:eastAsia="zh-CN" w:bidi="ar-SA"/>
                    </w:rPr>
                    <w:t>（二）堆场周边应当配备高于堆存物料的围挡、防风抑尘网等设施；</w:t>
                  </w:r>
                </w:p>
                <w:p>
                  <w:pPr>
                    <w:pStyle w:val="42"/>
                    <w:keepNext w:val="0"/>
                    <w:keepLines w:val="0"/>
                    <w:pageBreakBefore w:val="0"/>
                    <w:widowControl/>
                    <w:numPr>
                      <w:ilvl w:val="0"/>
                      <w:numId w:val="0"/>
                    </w:numPr>
                    <w:kinsoku/>
                    <w:wordWrap/>
                    <w:overflowPunct/>
                    <w:topLinePunct w:val="0"/>
                    <w:autoSpaceDE/>
                    <w:autoSpaceDN/>
                    <w:bidi w:val="0"/>
                    <w:adjustRightInd w:val="0"/>
                    <w:snapToGrid w:val="0"/>
                    <w:spacing w:after="0" w:line="240" w:lineRule="atLeast"/>
                    <w:ind w:leftChars="0" w:firstLine="420" w:firstLineChars="200"/>
                    <w:jc w:val="both"/>
                    <w:textAlignment w:val="auto"/>
                    <w:rPr>
                      <w:rFonts w:hint="eastAsia" w:ascii="Times New Roman" w:hAnsi="Times New Roman" w:eastAsia="宋体" w:cs="Times New Roman"/>
                      <w:b w:val="0"/>
                      <w:bCs w:val="0"/>
                      <w:color w:val="auto"/>
                      <w:kern w:val="2"/>
                      <w:sz w:val="21"/>
                      <w:szCs w:val="24"/>
                      <w:vertAlign w:val="baseline"/>
                      <w:lang w:val="en-US" w:eastAsia="zh-CN" w:bidi="ar-SA"/>
                    </w:rPr>
                  </w:pPr>
                  <w:r>
                    <w:rPr>
                      <w:rFonts w:hint="eastAsia" w:ascii="Times New Roman" w:hAnsi="Times New Roman" w:eastAsia="宋体" w:cs="Times New Roman"/>
                      <w:b w:val="0"/>
                      <w:bCs w:val="0"/>
                      <w:color w:val="auto"/>
                      <w:kern w:val="2"/>
                      <w:sz w:val="21"/>
                      <w:szCs w:val="24"/>
                      <w:vertAlign w:val="baseline"/>
                      <w:lang w:val="en-US" w:eastAsia="zh-CN" w:bidi="ar-SA"/>
                    </w:rPr>
                    <w:t>（三）按照物料类别采取相应的覆盖、喷淋和围挡等防风抑尘措施。</w:t>
                  </w:r>
                </w:p>
                <w:p>
                  <w:pPr>
                    <w:pStyle w:val="42"/>
                    <w:keepNext w:val="0"/>
                    <w:keepLines w:val="0"/>
                    <w:pageBreakBefore w:val="0"/>
                    <w:widowControl/>
                    <w:numPr>
                      <w:ilvl w:val="0"/>
                      <w:numId w:val="0"/>
                    </w:numPr>
                    <w:kinsoku/>
                    <w:wordWrap/>
                    <w:overflowPunct/>
                    <w:topLinePunct w:val="0"/>
                    <w:autoSpaceDE/>
                    <w:autoSpaceDN/>
                    <w:bidi w:val="0"/>
                    <w:adjustRightInd w:val="0"/>
                    <w:snapToGrid w:val="0"/>
                    <w:spacing w:after="0" w:line="240" w:lineRule="atLeast"/>
                    <w:ind w:leftChars="0" w:firstLine="420" w:firstLineChars="200"/>
                    <w:jc w:val="both"/>
                    <w:textAlignment w:val="auto"/>
                    <w:rPr>
                      <w:rFonts w:hint="eastAsia" w:ascii="Times New Roman" w:hAnsi="Times New Roman" w:eastAsia="宋体" w:cs="Times New Roman"/>
                      <w:b w:val="0"/>
                      <w:bCs w:val="0"/>
                      <w:color w:val="auto"/>
                      <w:kern w:val="2"/>
                      <w:sz w:val="21"/>
                      <w:szCs w:val="24"/>
                      <w:vertAlign w:val="baseline"/>
                      <w:lang w:val="en-US" w:eastAsia="zh-CN" w:bidi="ar-SA"/>
                    </w:rPr>
                  </w:pPr>
                  <w:r>
                    <w:rPr>
                      <w:rFonts w:hint="eastAsia" w:ascii="Times New Roman" w:hAnsi="Times New Roman" w:eastAsia="宋体" w:cs="Times New Roman"/>
                      <w:b w:val="0"/>
                      <w:bCs w:val="0"/>
                      <w:color w:val="auto"/>
                      <w:kern w:val="2"/>
                      <w:sz w:val="21"/>
                      <w:szCs w:val="24"/>
                      <w:vertAlign w:val="baseline"/>
                      <w:lang w:val="en-US" w:eastAsia="zh-CN" w:bidi="ar-SA"/>
                    </w:rPr>
                    <w:t>露天装卸物料应当采取密闭或者喷淋等抑尘措施；输送的物料应当在装料、卸料处配备吸尘、喷淋等防尘设施。</w:t>
                  </w:r>
                </w:p>
              </w:tc>
              <w:tc>
                <w:tcPr>
                  <w:tcW w:w="1994" w:type="dxa"/>
                  <w:vAlign w:val="center"/>
                </w:tcPr>
                <w:p>
                  <w:pPr>
                    <w:pStyle w:val="42"/>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0" w:firstLineChars="200"/>
                    <w:jc w:val="both"/>
                    <w:textAlignment w:val="auto"/>
                    <w:rPr>
                      <w:rFonts w:hint="eastAsia" w:ascii="Times New Roman" w:hAnsi="Times New Roman" w:eastAsia="宋体" w:cs="Times New Roman"/>
                      <w:b w:val="0"/>
                      <w:bCs w:val="0"/>
                      <w:color w:val="auto"/>
                      <w:kern w:val="2"/>
                      <w:sz w:val="21"/>
                      <w:szCs w:val="24"/>
                      <w:vertAlign w:val="baseline"/>
                      <w:lang w:val="en-US" w:eastAsia="zh-CN" w:bidi="ar-SA"/>
                    </w:rPr>
                  </w:pPr>
                  <w:r>
                    <w:rPr>
                      <w:rFonts w:hint="eastAsia" w:ascii="Times New Roman" w:hAnsi="Times New Roman" w:eastAsia="宋体" w:cs="Times New Roman"/>
                      <w:b w:val="0"/>
                      <w:bCs w:val="0"/>
                      <w:color w:val="auto"/>
                      <w:kern w:val="2"/>
                      <w:sz w:val="21"/>
                      <w:szCs w:val="24"/>
                      <w:vertAlign w:val="baseline"/>
                      <w:lang w:val="en-US" w:eastAsia="zh-CN" w:bidi="ar-SA"/>
                    </w:rPr>
                    <w:t>本项目所有原料堆场均在密闭厂房内，且装卸、上料等产尘工序均在密闭厂房内进行，在装卸、上料工序设置洒水装置，可有效抑制扬尘。</w:t>
                  </w:r>
                </w:p>
              </w:tc>
              <w:tc>
                <w:tcPr>
                  <w:tcW w:w="874" w:type="dxa"/>
                  <w:vAlign w:val="center"/>
                </w:tcPr>
                <w:p>
                  <w:pPr>
                    <w:pStyle w:val="42"/>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4"/>
                      <w:vertAlign w:val="baseline"/>
                      <w:lang w:val="en-US" w:eastAsia="zh-CN" w:bidi="ar-SA"/>
                    </w:rPr>
                  </w:pPr>
                  <w:r>
                    <w:rPr>
                      <w:rFonts w:hint="eastAsia" w:ascii="Times New Roman" w:hAnsi="Times New Roman" w:eastAsia="宋体" w:cs="Times New Roman"/>
                      <w:b w:val="0"/>
                      <w:bCs w:val="0"/>
                      <w:color w:val="auto"/>
                      <w:kern w:val="2"/>
                      <w:sz w:val="21"/>
                      <w:szCs w:val="24"/>
                      <w:vertAlign w:val="baseline"/>
                      <w:lang w:val="en-US" w:eastAsia="zh-CN" w:bidi="ar-SA"/>
                    </w:rPr>
                    <w:t>符合</w:t>
                  </w:r>
                </w:p>
              </w:tc>
            </w:tr>
          </w:tbl>
          <w:p>
            <w:pPr>
              <w:pStyle w:val="42"/>
              <w:spacing w:after="0" w:line="480" w:lineRule="exact"/>
              <w:ind w:firstLine="420"/>
              <w:jc w:val="both"/>
              <w:rPr>
                <w:rFonts w:hint="default"/>
                <w:color w:val="auto"/>
                <w:lang w:val="en-US" w:eastAsia="zh-CN"/>
              </w:rPr>
            </w:pPr>
            <w:r>
              <w:rPr>
                <w:rFonts w:hint="eastAsia" w:ascii="Times New Roman" w:hAnsi="Times New Roman" w:eastAsia="宋体"/>
                <w:color w:val="auto"/>
                <w:kern w:val="2"/>
                <w:sz w:val="21"/>
                <w:lang w:val="en-US" w:eastAsia="zh-CN"/>
              </w:rPr>
              <w:t>综上分析，本项目符合《新疆维吾尔自治区大气污染防治条例》相关要求。</w:t>
            </w:r>
          </w:p>
          <w:p>
            <w:pPr>
              <w:pStyle w:val="20"/>
              <w:spacing w:line="480" w:lineRule="exact"/>
              <w:ind w:left="0" w:firstLine="422" w:firstLineChars="200"/>
              <w:rPr>
                <w:rFonts w:hint="eastAsia"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1.9项目选址合理性分析</w:t>
            </w:r>
          </w:p>
          <w:p>
            <w:pPr>
              <w:pStyle w:val="42"/>
              <w:spacing w:after="0" w:line="480" w:lineRule="exact"/>
              <w:ind w:firstLine="420"/>
              <w:jc w:val="both"/>
              <w:rPr>
                <w:rFonts w:hint="eastAsia" w:ascii="Times New Roman" w:hAnsi="Times New Roman" w:eastAsia="宋体"/>
                <w:color w:val="auto"/>
                <w:kern w:val="2"/>
                <w:sz w:val="21"/>
                <w:lang w:val="en-US" w:eastAsia="zh-CN"/>
              </w:rPr>
            </w:pPr>
            <w:r>
              <w:rPr>
                <w:rFonts w:hint="eastAsia" w:ascii="Times New Roman" w:hAnsi="Times New Roman" w:eastAsia="宋体"/>
                <w:color w:val="FF0000"/>
                <w:kern w:val="2"/>
                <w:sz w:val="21"/>
                <w:lang w:val="en-US" w:eastAsia="zh-CN"/>
              </w:rPr>
              <w:t>本项目厂址位于庙儿沟乡和谐二村北侧1.5km处</w:t>
            </w:r>
            <w:r>
              <w:rPr>
                <w:rFonts w:hint="eastAsia" w:ascii="Times New Roman" w:hAnsi="Times New Roman" w:eastAsia="宋体"/>
                <w:color w:val="auto"/>
                <w:kern w:val="2"/>
                <w:sz w:val="21"/>
                <w:lang w:val="en-US" w:eastAsia="zh-CN"/>
              </w:rPr>
              <w:t>（</w:t>
            </w:r>
            <w:r>
              <w:rPr>
                <w:rFonts w:hint="eastAsia" w:ascii="Times New Roman" w:hAnsi="Times New Roman" w:eastAsia="宋体"/>
                <w:color w:val="auto"/>
                <w:kern w:val="2"/>
                <w:sz w:val="21"/>
              </w:rPr>
              <w:t>昌吉市生活垃圾城北填埋场西南侧900m</w:t>
            </w:r>
            <w:r>
              <w:rPr>
                <w:rFonts w:hint="eastAsia" w:ascii="Times New Roman" w:hAnsi="Times New Roman" w:eastAsia="宋体"/>
                <w:color w:val="auto"/>
                <w:kern w:val="2"/>
                <w:sz w:val="21"/>
                <w:lang w:val="en-US" w:eastAsia="zh-CN"/>
              </w:rPr>
              <w:t>）。</w:t>
            </w:r>
          </w:p>
          <w:p>
            <w:pPr>
              <w:pStyle w:val="42"/>
              <w:spacing w:after="0" w:line="480" w:lineRule="exact"/>
              <w:ind w:firstLine="420"/>
              <w:jc w:val="both"/>
              <w:rPr>
                <w:rFonts w:hint="default" w:ascii="Times New Roman" w:hAnsi="Times New Roman" w:eastAsia="宋体"/>
                <w:color w:val="auto"/>
                <w:kern w:val="2"/>
                <w:sz w:val="21"/>
                <w:lang w:val="en-US" w:eastAsia="zh-CN"/>
              </w:rPr>
            </w:pPr>
            <w:r>
              <w:rPr>
                <w:rFonts w:hint="eastAsia" w:ascii="Times New Roman" w:hAnsi="Times New Roman" w:eastAsia="宋体"/>
                <w:color w:val="auto"/>
                <w:kern w:val="2"/>
                <w:sz w:val="21"/>
                <w:lang w:val="en-US" w:eastAsia="zh-CN"/>
              </w:rPr>
              <w:t>本项目拟建地区地势平坦，建设条件较好，规划的市政配套设施齐全（供水供电）；在昌吉市生活垃圾焚烧发电厂西侧一墙之隔，原料运输方便，减少了原料运输对环境的影响，可依托昌吉市生活垃圾焚烧发电厂处理分拣出来的未燃尽垃圾。</w:t>
            </w:r>
          </w:p>
          <w:p>
            <w:pPr>
              <w:pStyle w:val="42"/>
              <w:spacing w:after="0" w:line="480" w:lineRule="exact"/>
              <w:ind w:firstLine="420"/>
              <w:jc w:val="both"/>
              <w:rPr>
                <w:rFonts w:hint="default" w:ascii="Times New Roman" w:hAnsi="Times New Roman" w:eastAsia="宋体"/>
                <w:color w:val="auto"/>
                <w:kern w:val="2"/>
                <w:sz w:val="21"/>
                <w:lang w:val="en-US" w:eastAsia="zh-CN"/>
              </w:rPr>
            </w:pPr>
            <w:r>
              <w:rPr>
                <w:rFonts w:hint="eastAsia" w:ascii="Times New Roman" w:hAnsi="Times New Roman" w:eastAsia="宋体"/>
                <w:color w:val="auto"/>
                <w:kern w:val="2"/>
                <w:sz w:val="21"/>
                <w:lang w:val="en-US" w:eastAsia="zh-CN"/>
              </w:rPr>
              <w:t>（2）</w:t>
            </w:r>
            <w:r>
              <w:rPr>
                <w:rFonts w:hint="eastAsia" w:ascii="Times New Roman" w:hAnsi="Times New Roman" w:eastAsia="宋体"/>
                <w:color w:val="auto"/>
                <w:kern w:val="2"/>
                <w:sz w:val="21"/>
              </w:rPr>
              <w:t>本项目厂界外500米范围内无自然保护区、风景名胜区、居住区、文化区和农村地区中人群较集中的区域等保护目标</w:t>
            </w:r>
            <w:r>
              <w:rPr>
                <w:rFonts w:hint="eastAsia" w:ascii="Times New Roman" w:hAnsi="Times New Roman" w:eastAsia="宋体"/>
                <w:color w:val="auto"/>
                <w:kern w:val="2"/>
                <w:sz w:val="21"/>
                <w:lang w:eastAsia="zh-CN"/>
              </w:rPr>
              <w:t>；</w:t>
            </w:r>
            <w:r>
              <w:rPr>
                <w:rFonts w:hint="eastAsia" w:ascii="Times New Roman" w:hAnsi="Times New Roman" w:eastAsia="宋体"/>
                <w:color w:val="auto"/>
                <w:kern w:val="2"/>
                <w:sz w:val="21"/>
              </w:rPr>
              <w:t>本项目厂界外50米范围内无声环境保护目标</w:t>
            </w:r>
            <w:r>
              <w:rPr>
                <w:rFonts w:hint="eastAsia" w:ascii="Times New Roman" w:hAnsi="Times New Roman" w:eastAsia="宋体"/>
                <w:color w:val="auto"/>
                <w:kern w:val="2"/>
                <w:sz w:val="21"/>
                <w:lang w:eastAsia="zh-CN"/>
              </w:rPr>
              <w:t>；</w:t>
            </w:r>
            <w:r>
              <w:rPr>
                <w:rFonts w:hint="eastAsia" w:ascii="Times New Roman" w:hAnsi="Times New Roman" w:eastAsia="宋体"/>
                <w:color w:val="auto"/>
                <w:kern w:val="2"/>
                <w:sz w:val="21"/>
              </w:rPr>
              <w:t>本项目厂界外500米范围内无地下水集中式饮用水水源和热水、矿泉水、温泉等特殊地下水资源</w:t>
            </w:r>
            <w:r>
              <w:rPr>
                <w:rFonts w:hint="eastAsia" w:ascii="Times New Roman" w:hAnsi="Times New Roman" w:eastAsia="宋体"/>
                <w:color w:val="auto"/>
                <w:kern w:val="2"/>
                <w:sz w:val="21"/>
                <w:lang w:eastAsia="zh-CN"/>
              </w:rPr>
              <w:t>；</w:t>
            </w:r>
            <w:r>
              <w:rPr>
                <w:rFonts w:hint="eastAsia" w:ascii="Times New Roman" w:hAnsi="Times New Roman" w:eastAsia="宋体"/>
                <w:color w:val="auto"/>
                <w:kern w:val="2"/>
                <w:sz w:val="21"/>
              </w:rPr>
              <w:t>本项目</w:t>
            </w:r>
            <w:r>
              <w:rPr>
                <w:rFonts w:hint="eastAsia" w:ascii="Times New Roman" w:hAnsi="Times New Roman" w:eastAsia="宋体"/>
                <w:color w:val="auto"/>
                <w:kern w:val="2"/>
                <w:sz w:val="21"/>
                <w:lang w:eastAsia="zh-CN"/>
              </w:rPr>
              <w:t>占地</w:t>
            </w:r>
            <w:r>
              <w:rPr>
                <w:rFonts w:hint="eastAsia" w:ascii="Times New Roman" w:hAnsi="Times New Roman" w:eastAsia="宋体"/>
                <w:color w:val="auto"/>
                <w:kern w:val="2"/>
                <w:sz w:val="21"/>
              </w:rPr>
              <w:t>范围内无珍稀野生动植物和国家级保护动植物，故</w:t>
            </w:r>
            <w:r>
              <w:rPr>
                <w:rFonts w:hint="eastAsia" w:ascii="Times New Roman" w:hAnsi="Times New Roman" w:eastAsia="宋体"/>
                <w:color w:val="auto"/>
                <w:kern w:val="2"/>
                <w:sz w:val="21"/>
                <w:lang w:eastAsia="zh-CN"/>
              </w:rPr>
              <w:t>本项目</w:t>
            </w:r>
            <w:r>
              <w:rPr>
                <w:rFonts w:hint="eastAsia" w:ascii="Times New Roman" w:hAnsi="Times New Roman" w:eastAsia="宋体"/>
                <w:color w:val="auto"/>
                <w:kern w:val="2"/>
                <w:sz w:val="21"/>
              </w:rPr>
              <w:t>无生态环境保护目标。</w:t>
            </w:r>
          </w:p>
          <w:p>
            <w:pPr>
              <w:pStyle w:val="42"/>
              <w:spacing w:after="0" w:line="480" w:lineRule="exact"/>
              <w:ind w:firstLine="420"/>
              <w:jc w:val="both"/>
              <w:rPr>
                <w:rFonts w:hint="eastAsia" w:ascii="Times New Roman" w:hAnsi="Times New Roman" w:eastAsia="宋体"/>
                <w:color w:val="auto"/>
                <w:kern w:val="2"/>
                <w:sz w:val="21"/>
                <w:lang w:val="en-US" w:eastAsia="zh-CN"/>
              </w:rPr>
            </w:pPr>
            <w:r>
              <w:rPr>
                <w:rFonts w:hint="eastAsia" w:ascii="Times New Roman" w:hAnsi="Times New Roman" w:eastAsia="宋体"/>
                <w:color w:val="auto"/>
                <w:kern w:val="2"/>
                <w:sz w:val="21"/>
                <w:lang w:eastAsia="zh-CN"/>
              </w:rPr>
              <w:t>（</w:t>
            </w:r>
            <w:r>
              <w:rPr>
                <w:rFonts w:hint="eastAsia" w:ascii="Times New Roman" w:hAnsi="Times New Roman" w:eastAsia="宋体"/>
                <w:color w:val="auto"/>
                <w:kern w:val="2"/>
                <w:sz w:val="21"/>
                <w:lang w:val="en-US" w:eastAsia="zh-CN"/>
              </w:rPr>
              <w:t>3</w:t>
            </w:r>
            <w:r>
              <w:rPr>
                <w:rFonts w:hint="eastAsia" w:ascii="Times New Roman" w:hAnsi="Times New Roman" w:eastAsia="宋体"/>
                <w:color w:val="auto"/>
                <w:kern w:val="2"/>
                <w:sz w:val="21"/>
                <w:lang w:eastAsia="zh-CN"/>
              </w:rPr>
              <w:t>）昌吉市</w:t>
            </w:r>
            <w:r>
              <w:rPr>
                <w:rFonts w:hint="eastAsia" w:ascii="Times New Roman" w:hAnsi="Times New Roman" w:eastAsia="宋体"/>
                <w:color w:val="auto"/>
                <w:kern w:val="2"/>
                <w:sz w:val="21"/>
              </w:rPr>
              <w:t>常年盛行风向为西南风，</w:t>
            </w:r>
            <w:r>
              <w:rPr>
                <w:rFonts w:hint="eastAsia" w:ascii="Times New Roman" w:hAnsi="Times New Roman" w:eastAsia="宋体"/>
                <w:color w:val="auto"/>
                <w:kern w:val="2"/>
                <w:sz w:val="21"/>
                <w:lang w:eastAsia="zh-CN"/>
              </w:rPr>
              <w:t>拟建地点</w:t>
            </w:r>
            <w:r>
              <w:rPr>
                <w:rFonts w:hint="eastAsia" w:ascii="Times New Roman" w:hAnsi="Times New Roman" w:eastAsia="宋体"/>
                <w:color w:val="auto"/>
                <w:kern w:val="2"/>
                <w:sz w:val="21"/>
              </w:rPr>
              <w:t>在昌吉市主城区的下风向，位于和谐二村的下风向</w:t>
            </w:r>
            <w:r>
              <w:rPr>
                <w:rFonts w:hint="eastAsia" w:ascii="Times New Roman" w:hAnsi="Times New Roman" w:eastAsia="宋体"/>
                <w:color w:val="auto"/>
                <w:kern w:val="2"/>
                <w:sz w:val="21"/>
                <w:lang w:eastAsia="zh-CN"/>
              </w:rPr>
              <w:t>，</w:t>
            </w:r>
            <w:r>
              <w:rPr>
                <w:rFonts w:hint="eastAsia" w:ascii="Times New Roman" w:hAnsi="Times New Roman" w:eastAsia="宋体"/>
                <w:color w:val="auto"/>
                <w:kern w:val="2"/>
                <w:sz w:val="21"/>
              </w:rPr>
              <w:t>对大气</w:t>
            </w:r>
            <w:r>
              <w:rPr>
                <w:rFonts w:hint="eastAsia" w:ascii="Times New Roman" w:hAnsi="Times New Roman" w:eastAsia="宋体"/>
                <w:color w:val="auto"/>
                <w:kern w:val="2"/>
                <w:sz w:val="21"/>
                <w:lang w:eastAsia="zh-CN"/>
              </w:rPr>
              <w:t>、</w:t>
            </w:r>
            <w:r>
              <w:rPr>
                <w:rFonts w:hint="eastAsia" w:ascii="Times New Roman" w:hAnsi="Times New Roman" w:eastAsia="宋体"/>
                <w:color w:val="auto"/>
                <w:kern w:val="2"/>
                <w:sz w:val="21"/>
              </w:rPr>
              <w:t>地下水、声、生态、土壤环境影响较小</w:t>
            </w:r>
            <w:r>
              <w:rPr>
                <w:rFonts w:hint="eastAsia" w:ascii="Times New Roman" w:hAnsi="Times New Roman" w:eastAsia="宋体"/>
                <w:color w:val="auto"/>
                <w:kern w:val="2"/>
                <w:sz w:val="21"/>
                <w:lang w:eastAsia="zh-CN"/>
              </w:rPr>
              <w:t>。</w:t>
            </w:r>
          </w:p>
          <w:p>
            <w:pPr>
              <w:pStyle w:val="42"/>
              <w:spacing w:after="0" w:line="480" w:lineRule="exact"/>
              <w:ind w:firstLine="420"/>
              <w:jc w:val="both"/>
              <w:rPr>
                <w:rFonts w:hint="default" w:ascii="Times New Roman" w:hAnsi="Times New Roman" w:eastAsia="宋体" w:cs="Times New Roman"/>
                <w:b/>
                <w:bCs/>
                <w:color w:val="auto"/>
                <w:kern w:val="2"/>
                <w:sz w:val="21"/>
                <w:szCs w:val="24"/>
                <w:lang w:val="en-US" w:eastAsia="zh-CN" w:bidi="ar-SA"/>
              </w:rPr>
            </w:pPr>
            <w:r>
              <w:rPr>
                <w:rFonts w:hint="eastAsia" w:ascii="Times New Roman" w:hAnsi="Times New Roman" w:eastAsia="宋体"/>
                <w:color w:val="auto"/>
                <w:kern w:val="2"/>
                <w:sz w:val="21"/>
                <w:lang w:val="en-US" w:eastAsia="zh-CN"/>
              </w:rPr>
              <w:t>综合以上几点，本项目选址合理可行。</w:t>
            </w:r>
          </w:p>
        </w:tc>
      </w:tr>
    </w:tbl>
    <w:p>
      <w:pPr>
        <w:spacing w:line="360" w:lineRule="auto"/>
        <w:outlineLvl w:val="0"/>
        <w:rPr>
          <w:rFonts w:eastAsia="黑体"/>
          <w:color w:val="auto"/>
          <w:sz w:val="30"/>
        </w:rPr>
        <w:sectPr>
          <w:footerReference r:id="rId5"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pPr>
        <w:widowControl/>
        <w:spacing w:before="100" w:beforeAutospacing="1" w:after="100" w:afterAutospacing="1"/>
        <w:jc w:val="center"/>
        <w:outlineLvl w:val="0"/>
        <w:rPr>
          <w:rFonts w:eastAsia="黑体"/>
          <w:snapToGrid w:val="0"/>
          <w:color w:val="auto"/>
          <w:kern w:val="0"/>
          <w:sz w:val="30"/>
          <w:szCs w:val="30"/>
        </w:rPr>
      </w:pPr>
      <w:r>
        <w:rPr>
          <w:rFonts w:eastAsia="黑体"/>
          <w:snapToGrid w:val="0"/>
          <w:color w:val="auto"/>
          <w:kern w:val="0"/>
          <w:sz w:val="30"/>
          <w:szCs w:val="30"/>
        </w:rPr>
        <w:t>二、建设项目工程分析</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52"/>
        <w:gridCol w:w="844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552" w:type="dxa"/>
            <w:vAlign w:val="center"/>
          </w:tcPr>
          <w:p>
            <w:pPr>
              <w:widowControl/>
              <w:adjustRightInd w:val="0"/>
              <w:snapToGrid w:val="0"/>
              <w:jc w:val="center"/>
              <w:rPr>
                <w:color w:val="auto"/>
                <w:kern w:val="0"/>
                <w:szCs w:val="21"/>
              </w:rPr>
            </w:pPr>
            <w:r>
              <w:rPr>
                <w:b/>
                <w:bCs/>
                <w:color w:val="auto"/>
                <w:kern w:val="0"/>
                <w:szCs w:val="21"/>
              </w:rPr>
              <w:t>建设内容</w:t>
            </w:r>
          </w:p>
        </w:tc>
        <w:tc>
          <w:tcPr>
            <w:tcW w:w="8447" w:type="dxa"/>
            <w:shd w:val="clear" w:color="auto" w:fill="auto"/>
          </w:tcPr>
          <w:p>
            <w:pPr>
              <w:spacing w:line="480" w:lineRule="exact"/>
              <w:ind w:firstLine="422" w:firstLineChars="200"/>
              <w:rPr>
                <w:b/>
                <w:bCs/>
                <w:color w:val="auto"/>
              </w:rPr>
            </w:pPr>
            <w:r>
              <w:rPr>
                <w:rFonts w:hint="eastAsia"/>
                <w:b/>
                <w:bCs/>
                <w:color w:val="auto"/>
              </w:rPr>
              <w:t>2.1项目工程概况</w:t>
            </w:r>
          </w:p>
          <w:p>
            <w:pPr>
              <w:adjustRightInd w:val="0"/>
              <w:snapToGrid w:val="0"/>
              <w:spacing w:line="480" w:lineRule="exact"/>
              <w:ind w:firstLine="420" w:firstLineChars="200"/>
              <w:rPr>
                <w:rFonts w:hint="default" w:eastAsia="宋体"/>
                <w:bCs/>
                <w:color w:val="auto"/>
                <w:szCs w:val="21"/>
                <w:lang w:val="en-US" w:eastAsia="zh-CN"/>
              </w:rPr>
            </w:pPr>
            <w:r>
              <w:rPr>
                <w:rFonts w:hint="eastAsia"/>
                <w:bCs/>
                <w:color w:val="auto"/>
                <w:szCs w:val="21"/>
                <w:lang w:eastAsia="zh-CN"/>
              </w:rPr>
              <w:t>本项目为昌吉市生活垃圾焚烧发电项目的配套项目，生产原料炉渣来源于昌吉市生活垃圾焚烧发电项目，昌吉市生活垃圾焚烧发电项目已于</w:t>
            </w:r>
            <w:r>
              <w:rPr>
                <w:rFonts w:hint="eastAsia"/>
                <w:bCs/>
                <w:color w:val="auto"/>
                <w:szCs w:val="21"/>
                <w:lang w:val="en-US" w:eastAsia="zh-CN"/>
              </w:rPr>
              <w:t>2021年4月22日取得新疆维吾尔自治区生态环境厅出具的《关于昌吉市生活垃圾焚烧发电项目环境影响报告书的批复》（新环审2021[62]号），尚未开工建设，预计建设期2年，本项目在昌吉市生活垃圾焚烧发电项目投产后开始运行生产。</w:t>
            </w:r>
          </w:p>
          <w:p>
            <w:pPr>
              <w:adjustRightInd w:val="0"/>
              <w:snapToGrid w:val="0"/>
              <w:spacing w:line="480" w:lineRule="exact"/>
              <w:ind w:firstLine="420" w:firstLineChars="200"/>
              <w:rPr>
                <w:color w:val="auto"/>
                <w:szCs w:val="21"/>
              </w:rPr>
            </w:pPr>
            <w:r>
              <w:rPr>
                <w:bCs/>
                <w:color w:val="auto"/>
                <w:szCs w:val="21"/>
              </w:rPr>
              <w:t>项目名称：</w:t>
            </w:r>
            <w:r>
              <w:rPr>
                <w:color w:val="auto"/>
                <w:szCs w:val="21"/>
              </w:rPr>
              <w:t>昌吉市生活垃圾焚烧发电项目配套炉渣综合利用项目</w:t>
            </w:r>
          </w:p>
          <w:p>
            <w:pPr>
              <w:adjustRightInd w:val="0"/>
              <w:snapToGrid w:val="0"/>
              <w:spacing w:line="480" w:lineRule="exact"/>
              <w:ind w:firstLine="420" w:firstLineChars="200"/>
              <w:rPr>
                <w:bCs/>
                <w:color w:val="auto"/>
                <w:szCs w:val="21"/>
              </w:rPr>
            </w:pPr>
            <w:r>
              <w:rPr>
                <w:bCs/>
                <w:color w:val="auto"/>
                <w:szCs w:val="21"/>
              </w:rPr>
              <w:t>建设单位：</w:t>
            </w:r>
            <w:r>
              <w:rPr>
                <w:rFonts w:hint="eastAsia"/>
                <w:bCs/>
                <w:color w:val="auto"/>
                <w:szCs w:val="21"/>
              </w:rPr>
              <w:t>昌吉明亮华丽环保科技有限公司</w:t>
            </w:r>
          </w:p>
          <w:p>
            <w:pPr>
              <w:adjustRightInd w:val="0"/>
              <w:snapToGrid w:val="0"/>
              <w:spacing w:line="480" w:lineRule="exact"/>
              <w:ind w:firstLine="420" w:firstLineChars="200"/>
              <w:rPr>
                <w:bCs/>
                <w:color w:val="auto"/>
                <w:szCs w:val="21"/>
              </w:rPr>
            </w:pPr>
            <w:r>
              <w:rPr>
                <w:bCs/>
                <w:color w:val="auto"/>
                <w:szCs w:val="21"/>
              </w:rPr>
              <w:t>项目性质：新建</w:t>
            </w:r>
          </w:p>
          <w:p>
            <w:pPr>
              <w:adjustRightInd w:val="0"/>
              <w:snapToGrid w:val="0"/>
              <w:spacing w:line="480" w:lineRule="exact"/>
              <w:ind w:firstLine="420" w:firstLineChars="200"/>
              <w:rPr>
                <w:color w:val="auto"/>
                <w:szCs w:val="21"/>
              </w:rPr>
            </w:pPr>
            <w:r>
              <w:rPr>
                <w:bCs/>
                <w:color w:val="auto"/>
                <w:szCs w:val="21"/>
              </w:rPr>
              <w:t>建设地点：</w:t>
            </w:r>
            <w:r>
              <w:rPr>
                <w:rFonts w:hint="eastAsia"/>
                <w:color w:val="auto"/>
                <w:szCs w:val="21"/>
              </w:rPr>
              <w:t>新疆昌吉市庙儿沟乡和谐二村（昌吉市生活垃圾城北填埋场西南侧900m），中心地理坐标：E 87</w:t>
            </w:r>
            <w:r>
              <w:rPr>
                <w:color w:val="auto"/>
                <w:szCs w:val="21"/>
              </w:rPr>
              <w:t>°</w:t>
            </w:r>
            <w:r>
              <w:rPr>
                <w:rFonts w:hint="eastAsia"/>
                <w:color w:val="auto"/>
                <w:szCs w:val="21"/>
              </w:rPr>
              <w:t>17′10.860″，N 44</w:t>
            </w:r>
            <w:r>
              <w:rPr>
                <w:color w:val="auto"/>
                <w:szCs w:val="21"/>
              </w:rPr>
              <w:t>°</w:t>
            </w:r>
            <w:r>
              <w:rPr>
                <w:rFonts w:hint="eastAsia"/>
                <w:color w:val="auto"/>
                <w:szCs w:val="21"/>
              </w:rPr>
              <w:t>24′43.395″。项目地理位置图见图2（附图），</w:t>
            </w:r>
            <w:r>
              <w:rPr>
                <w:color w:val="auto"/>
                <w:szCs w:val="21"/>
              </w:rPr>
              <w:t>周边环境概况见图</w:t>
            </w:r>
            <w:r>
              <w:rPr>
                <w:rFonts w:hint="eastAsia"/>
                <w:color w:val="auto"/>
                <w:szCs w:val="21"/>
              </w:rPr>
              <w:t>3（附图）</w:t>
            </w:r>
            <w:r>
              <w:rPr>
                <w:color w:val="auto"/>
                <w:szCs w:val="21"/>
              </w:rPr>
              <w:t>。</w:t>
            </w:r>
          </w:p>
          <w:p>
            <w:pPr>
              <w:adjustRightInd w:val="0"/>
              <w:snapToGrid w:val="0"/>
              <w:spacing w:line="480" w:lineRule="exact"/>
              <w:ind w:firstLine="420" w:firstLineChars="200"/>
              <w:rPr>
                <w:bCs/>
                <w:color w:val="auto"/>
                <w:szCs w:val="21"/>
                <w:highlight w:val="none"/>
              </w:rPr>
            </w:pPr>
            <w:r>
              <w:rPr>
                <w:bCs/>
                <w:color w:val="auto"/>
                <w:szCs w:val="21"/>
              </w:rPr>
              <w:t>投资总额：总投资</w:t>
            </w:r>
            <w:r>
              <w:rPr>
                <w:rFonts w:hint="eastAsia"/>
                <w:bCs/>
                <w:color w:val="auto"/>
                <w:szCs w:val="21"/>
              </w:rPr>
              <w:t>5009.87</w:t>
            </w:r>
            <w:r>
              <w:rPr>
                <w:bCs/>
                <w:color w:val="auto"/>
                <w:szCs w:val="21"/>
              </w:rPr>
              <w:t>万元</w:t>
            </w:r>
            <w:r>
              <w:rPr>
                <w:rFonts w:hint="eastAsia"/>
                <w:bCs/>
                <w:color w:val="auto"/>
                <w:szCs w:val="21"/>
                <w:highlight w:val="none"/>
              </w:rPr>
              <w:t>，</w:t>
            </w:r>
            <w:r>
              <w:rPr>
                <w:bCs/>
                <w:color w:val="auto"/>
                <w:szCs w:val="21"/>
                <w:highlight w:val="none"/>
              </w:rPr>
              <w:t>其中环保投资</w:t>
            </w:r>
            <w:r>
              <w:rPr>
                <w:rFonts w:hint="eastAsia"/>
                <w:bCs/>
                <w:color w:val="auto"/>
                <w:szCs w:val="21"/>
                <w:highlight w:val="none"/>
                <w:lang w:val="en-US" w:eastAsia="zh-CN"/>
              </w:rPr>
              <w:t>560</w:t>
            </w:r>
            <w:r>
              <w:rPr>
                <w:bCs/>
                <w:color w:val="auto"/>
                <w:szCs w:val="21"/>
                <w:highlight w:val="none"/>
              </w:rPr>
              <w:t>万元，环保投资占总投资的</w:t>
            </w:r>
            <w:r>
              <w:rPr>
                <w:rFonts w:hint="eastAsia"/>
                <w:bCs/>
                <w:color w:val="auto"/>
                <w:szCs w:val="21"/>
                <w:highlight w:val="none"/>
                <w:lang w:val="en-US" w:eastAsia="zh-CN"/>
              </w:rPr>
              <w:t>11.18</w:t>
            </w:r>
            <w:r>
              <w:rPr>
                <w:bCs/>
                <w:color w:val="auto"/>
                <w:szCs w:val="21"/>
                <w:highlight w:val="none"/>
              </w:rPr>
              <w:t>%</w:t>
            </w:r>
            <w:r>
              <w:rPr>
                <w:rFonts w:hint="eastAsia"/>
                <w:bCs/>
                <w:color w:val="auto"/>
                <w:szCs w:val="21"/>
              </w:rPr>
              <w:t>，全部为企业自筹</w:t>
            </w:r>
            <w:r>
              <w:rPr>
                <w:bCs/>
                <w:color w:val="auto"/>
                <w:szCs w:val="21"/>
              </w:rPr>
              <w:t>。</w:t>
            </w:r>
          </w:p>
          <w:p>
            <w:pPr>
              <w:spacing w:line="480" w:lineRule="exact"/>
              <w:ind w:firstLine="420" w:firstLineChars="200"/>
              <w:rPr>
                <w:color w:val="auto"/>
                <w:highlight w:val="none"/>
              </w:rPr>
            </w:pPr>
            <w:r>
              <w:rPr>
                <w:rFonts w:hint="eastAsia"/>
                <w:color w:val="auto"/>
                <w:highlight w:val="none"/>
              </w:rPr>
              <w:t>劳动定员</w:t>
            </w:r>
            <w:r>
              <w:rPr>
                <w:color w:val="auto"/>
                <w:highlight w:val="none"/>
              </w:rPr>
              <w:t>及工作制度</w:t>
            </w:r>
            <w:r>
              <w:rPr>
                <w:rFonts w:hint="eastAsia"/>
                <w:color w:val="auto"/>
                <w:highlight w:val="none"/>
              </w:rPr>
              <w:t>：</w:t>
            </w:r>
            <w:r>
              <w:rPr>
                <w:color w:val="auto"/>
                <w:highlight w:val="none"/>
              </w:rPr>
              <w:t>本</w:t>
            </w:r>
            <w:r>
              <w:rPr>
                <w:rFonts w:hint="eastAsia"/>
                <w:color w:val="auto"/>
                <w:highlight w:val="none"/>
              </w:rPr>
              <w:t>项目劳动定员60人，每天工作8h，年工作330天，共计2640h</w:t>
            </w:r>
            <w:r>
              <w:rPr>
                <w:color w:val="auto"/>
                <w:highlight w:val="none"/>
              </w:rPr>
              <w:t>。</w:t>
            </w:r>
          </w:p>
          <w:p>
            <w:pPr>
              <w:spacing w:line="480" w:lineRule="exact"/>
              <w:ind w:firstLine="422" w:firstLineChars="200"/>
              <w:rPr>
                <w:b/>
                <w:bCs/>
                <w:color w:val="auto"/>
                <w:highlight w:val="none"/>
              </w:rPr>
            </w:pPr>
            <w:r>
              <w:rPr>
                <w:b/>
                <w:bCs/>
                <w:color w:val="auto"/>
                <w:highlight w:val="none"/>
              </w:rPr>
              <w:t>2.2建设内容</w:t>
            </w:r>
          </w:p>
          <w:p>
            <w:pPr>
              <w:adjustRightInd w:val="0"/>
              <w:snapToGrid w:val="0"/>
              <w:spacing w:line="480" w:lineRule="exact"/>
              <w:ind w:firstLine="420" w:firstLineChars="200"/>
              <w:rPr>
                <w:color w:val="auto"/>
                <w:szCs w:val="21"/>
                <w:highlight w:val="none"/>
              </w:rPr>
            </w:pPr>
            <w:r>
              <w:rPr>
                <w:color w:val="auto"/>
                <w:szCs w:val="21"/>
                <w:highlight w:val="none"/>
              </w:rPr>
              <w:t>本项目主要建设内容：</w:t>
            </w:r>
            <w:r>
              <w:rPr>
                <w:rFonts w:hint="eastAsia"/>
                <w:color w:val="auto"/>
                <w:szCs w:val="21"/>
                <w:highlight w:val="none"/>
                <w:lang w:eastAsia="zh-CN"/>
              </w:rPr>
              <w:t>全封闭</w:t>
            </w:r>
            <w:r>
              <w:rPr>
                <w:rFonts w:hint="eastAsia"/>
                <w:color w:val="auto"/>
                <w:szCs w:val="21"/>
                <w:highlight w:val="none"/>
              </w:rPr>
              <w:t>厂房1间，（厂房内建炉渣处理生产设备1套、环保制砖设备1套、炉渣堆放区、尾砂堆放区、循环水池）</w:t>
            </w:r>
            <w:r>
              <w:rPr>
                <w:color w:val="auto"/>
                <w:szCs w:val="21"/>
                <w:highlight w:val="none"/>
              </w:rPr>
              <w:t>；</w:t>
            </w:r>
            <w:r>
              <w:rPr>
                <w:rFonts w:hint="eastAsia"/>
                <w:color w:val="auto"/>
                <w:szCs w:val="21"/>
                <w:highlight w:val="none"/>
              </w:rPr>
              <w:t>库房1间；环保砖堆场；消防水池；配电室；办公楼1座；门卫室1间。</w:t>
            </w:r>
          </w:p>
          <w:p>
            <w:pPr>
              <w:adjustRightInd w:val="0"/>
              <w:snapToGrid w:val="0"/>
              <w:spacing w:line="480" w:lineRule="exact"/>
              <w:ind w:firstLine="420" w:firstLineChars="200"/>
              <w:rPr>
                <w:color w:val="auto"/>
                <w:szCs w:val="21"/>
                <w:highlight w:val="none"/>
              </w:rPr>
            </w:pPr>
            <w:r>
              <w:rPr>
                <w:color w:val="auto"/>
                <w:szCs w:val="21"/>
                <w:highlight w:val="none"/>
              </w:rPr>
              <w:t>生产规模</w:t>
            </w:r>
            <w:r>
              <w:rPr>
                <w:rFonts w:hint="eastAsia"/>
                <w:color w:val="auto"/>
                <w:szCs w:val="21"/>
                <w:highlight w:val="none"/>
              </w:rPr>
              <w:t>：</w:t>
            </w:r>
            <w:r>
              <w:rPr>
                <w:color w:val="auto"/>
                <w:szCs w:val="21"/>
                <w:highlight w:val="none"/>
              </w:rPr>
              <w:t>年处理</w:t>
            </w:r>
            <w:r>
              <w:rPr>
                <w:rFonts w:hint="eastAsia"/>
                <w:color w:val="auto"/>
                <w:szCs w:val="21"/>
                <w:highlight w:val="none"/>
                <w:lang w:val="en-US" w:eastAsia="zh-CN"/>
              </w:rPr>
              <w:t>4.38</w:t>
            </w:r>
            <w:r>
              <w:rPr>
                <w:color w:val="auto"/>
                <w:szCs w:val="21"/>
                <w:highlight w:val="none"/>
              </w:rPr>
              <w:t>万吨（日处理能力</w:t>
            </w:r>
            <w:r>
              <w:rPr>
                <w:rFonts w:hint="eastAsia"/>
                <w:color w:val="auto"/>
                <w:szCs w:val="21"/>
                <w:highlight w:val="none"/>
                <w:lang w:val="en-US" w:eastAsia="zh-CN"/>
              </w:rPr>
              <w:t>132.73</w:t>
            </w:r>
            <w:r>
              <w:rPr>
                <w:color w:val="auto"/>
                <w:szCs w:val="21"/>
                <w:highlight w:val="none"/>
              </w:rPr>
              <w:t>吨）垃圾焚烧发电厂炉渣。</w:t>
            </w:r>
          </w:p>
          <w:p>
            <w:pPr>
              <w:spacing w:line="480" w:lineRule="exact"/>
              <w:ind w:firstLine="420" w:firstLineChars="200"/>
              <w:rPr>
                <w:color w:val="auto"/>
              </w:rPr>
            </w:pPr>
            <w:r>
              <w:rPr>
                <w:color w:val="auto"/>
              </w:rPr>
              <w:t>项目组成及主要工程见表2-1。</w:t>
            </w:r>
          </w:p>
          <w:p>
            <w:pPr>
              <w:pStyle w:val="35"/>
              <w:rPr>
                <w:color w:val="auto"/>
                <w:szCs w:val="21"/>
                <w:lang w:val="zh-CN"/>
              </w:rPr>
            </w:pPr>
          </w:p>
          <w:p>
            <w:pPr>
              <w:pStyle w:val="35"/>
              <w:rPr>
                <w:color w:val="auto"/>
                <w:szCs w:val="21"/>
                <w:lang w:val="zh-CN"/>
              </w:rPr>
            </w:pPr>
          </w:p>
          <w:p>
            <w:pPr>
              <w:pStyle w:val="35"/>
              <w:rPr>
                <w:color w:val="auto"/>
                <w:szCs w:val="21"/>
                <w:lang w:val="zh-CN"/>
              </w:rPr>
            </w:pPr>
          </w:p>
          <w:p>
            <w:pPr>
              <w:pStyle w:val="35"/>
              <w:rPr>
                <w:color w:val="auto"/>
                <w:szCs w:val="21"/>
                <w:lang w:val="zh-CN"/>
              </w:rPr>
            </w:pPr>
          </w:p>
          <w:p>
            <w:pPr>
              <w:pStyle w:val="35"/>
              <w:rPr>
                <w:rFonts w:hint="default"/>
                <w:color w:val="auto"/>
                <w:szCs w:val="21"/>
                <w:lang w:val="zh-CN"/>
              </w:rPr>
            </w:pPr>
            <w:r>
              <w:rPr>
                <w:color w:val="auto"/>
                <w:szCs w:val="21"/>
                <w:lang w:val="zh-CN"/>
              </w:rPr>
              <w:t>表</w:t>
            </w:r>
            <w:r>
              <w:rPr>
                <w:color w:val="auto"/>
                <w:szCs w:val="21"/>
              </w:rPr>
              <w:t xml:space="preserve">2-1    </w:t>
            </w:r>
            <w:r>
              <w:rPr>
                <w:color w:val="auto"/>
                <w:szCs w:val="21"/>
                <w:lang w:val="zh-CN"/>
              </w:rPr>
              <w:t>项目组成一览表</w:t>
            </w:r>
          </w:p>
          <w:tbl>
            <w:tblPr>
              <w:tblStyle w:val="22"/>
              <w:tblW w:w="496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0"/>
              <w:gridCol w:w="718"/>
              <w:gridCol w:w="1663"/>
              <w:gridCol w:w="49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09" w:hRule="atLeast"/>
                <w:jc w:val="center"/>
              </w:trPr>
              <w:tc>
                <w:tcPr>
                  <w:tcW w:w="485" w:type="pct"/>
                  <w:tcBorders>
                    <w:tl2br w:val="nil"/>
                    <w:tr2bl w:val="nil"/>
                  </w:tcBorders>
                  <w:vAlign w:val="center"/>
                </w:tcPr>
                <w:p>
                  <w:pPr>
                    <w:widowControl/>
                    <w:adjustRightInd w:val="0"/>
                    <w:snapToGrid w:val="0"/>
                    <w:jc w:val="center"/>
                    <w:rPr>
                      <w:b/>
                      <w:color w:val="auto"/>
                      <w:kern w:val="0"/>
                      <w:szCs w:val="21"/>
                    </w:rPr>
                  </w:pPr>
                  <w:r>
                    <w:rPr>
                      <w:b/>
                      <w:color w:val="auto"/>
                      <w:kern w:val="0"/>
                      <w:szCs w:val="21"/>
                    </w:rPr>
                    <w:t>类别</w:t>
                  </w:r>
                </w:p>
              </w:tc>
              <w:tc>
                <w:tcPr>
                  <w:tcW w:w="1462" w:type="pct"/>
                  <w:gridSpan w:val="2"/>
                  <w:tcBorders>
                    <w:tl2br w:val="nil"/>
                    <w:tr2bl w:val="nil"/>
                  </w:tcBorders>
                  <w:vAlign w:val="center"/>
                </w:tcPr>
                <w:p>
                  <w:pPr>
                    <w:widowControl/>
                    <w:adjustRightInd w:val="0"/>
                    <w:snapToGrid w:val="0"/>
                    <w:jc w:val="center"/>
                    <w:rPr>
                      <w:b/>
                      <w:color w:val="auto"/>
                      <w:kern w:val="0"/>
                      <w:szCs w:val="21"/>
                    </w:rPr>
                  </w:pPr>
                  <w:r>
                    <w:rPr>
                      <w:rFonts w:hint="eastAsia"/>
                      <w:b/>
                      <w:color w:val="auto"/>
                      <w:kern w:val="0"/>
                      <w:szCs w:val="21"/>
                    </w:rPr>
                    <w:t>项目</w:t>
                  </w:r>
                </w:p>
              </w:tc>
              <w:tc>
                <w:tcPr>
                  <w:tcW w:w="3051" w:type="pct"/>
                  <w:tcBorders>
                    <w:tl2br w:val="nil"/>
                    <w:tr2bl w:val="nil"/>
                  </w:tcBorders>
                  <w:vAlign w:val="center"/>
                </w:tcPr>
                <w:p>
                  <w:pPr>
                    <w:widowControl/>
                    <w:adjustRightInd w:val="0"/>
                    <w:snapToGrid w:val="0"/>
                    <w:jc w:val="center"/>
                    <w:rPr>
                      <w:b/>
                      <w:color w:val="auto"/>
                      <w:kern w:val="0"/>
                      <w:szCs w:val="21"/>
                    </w:rPr>
                  </w:pPr>
                  <w:r>
                    <w:rPr>
                      <w:rFonts w:hint="eastAsia"/>
                      <w:b/>
                      <w:color w:val="auto"/>
                      <w:kern w:val="0"/>
                      <w:szCs w:val="21"/>
                    </w:rPr>
                    <w:t>建设内容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485" w:type="pct"/>
                  <w:tcBorders>
                    <w:tl2br w:val="nil"/>
                    <w:tr2bl w:val="nil"/>
                  </w:tcBorders>
                  <w:vAlign w:val="center"/>
                </w:tcPr>
                <w:p>
                  <w:pPr>
                    <w:widowControl/>
                    <w:adjustRightInd w:val="0"/>
                    <w:snapToGrid w:val="0"/>
                    <w:jc w:val="center"/>
                    <w:rPr>
                      <w:bCs/>
                      <w:color w:val="auto"/>
                      <w:kern w:val="0"/>
                      <w:szCs w:val="21"/>
                    </w:rPr>
                  </w:pPr>
                  <w:r>
                    <w:rPr>
                      <w:bCs/>
                      <w:color w:val="auto"/>
                      <w:kern w:val="0"/>
                      <w:szCs w:val="21"/>
                    </w:rPr>
                    <w:t>主体工程</w:t>
                  </w:r>
                </w:p>
              </w:tc>
              <w:tc>
                <w:tcPr>
                  <w:tcW w:w="1462" w:type="pct"/>
                  <w:gridSpan w:val="2"/>
                  <w:tcBorders>
                    <w:tl2br w:val="nil"/>
                    <w:tr2bl w:val="nil"/>
                  </w:tcBorders>
                  <w:vAlign w:val="center"/>
                </w:tcPr>
                <w:p>
                  <w:pPr>
                    <w:adjustRightInd w:val="0"/>
                    <w:snapToGrid w:val="0"/>
                    <w:jc w:val="center"/>
                    <w:rPr>
                      <w:color w:val="auto"/>
                      <w:szCs w:val="21"/>
                    </w:rPr>
                  </w:pPr>
                  <w:r>
                    <w:rPr>
                      <w:rFonts w:hint="eastAsia"/>
                      <w:color w:val="auto"/>
                      <w:szCs w:val="21"/>
                    </w:rPr>
                    <w:t>厂房</w:t>
                  </w:r>
                </w:p>
              </w:tc>
              <w:tc>
                <w:tcPr>
                  <w:tcW w:w="3051" w:type="pct"/>
                  <w:tcBorders>
                    <w:tl2br w:val="nil"/>
                    <w:tr2bl w:val="nil"/>
                  </w:tcBorders>
                  <w:vAlign w:val="center"/>
                </w:tcPr>
                <w:p>
                  <w:pPr>
                    <w:widowControl/>
                    <w:adjustRightInd w:val="0"/>
                    <w:snapToGrid w:val="0"/>
                    <w:jc w:val="center"/>
                    <w:rPr>
                      <w:color w:val="auto"/>
                      <w:kern w:val="0"/>
                      <w:szCs w:val="21"/>
                    </w:rPr>
                  </w:pPr>
                  <w:r>
                    <w:rPr>
                      <w:rFonts w:hint="eastAsia"/>
                      <w:color w:val="auto"/>
                      <w:kern w:val="0"/>
                      <w:szCs w:val="21"/>
                    </w:rPr>
                    <w:t>新建，建筑面积5795.75m</w:t>
                  </w:r>
                  <w:r>
                    <w:rPr>
                      <w:rFonts w:hint="eastAsia"/>
                      <w:color w:val="auto"/>
                      <w:kern w:val="0"/>
                      <w:szCs w:val="21"/>
                      <w:vertAlign w:val="superscript"/>
                    </w:rPr>
                    <w:t>2</w:t>
                  </w:r>
                  <w:r>
                    <w:rPr>
                      <w:rFonts w:hint="eastAsia"/>
                      <w:color w:val="auto"/>
                      <w:kern w:val="0"/>
                      <w:szCs w:val="21"/>
                    </w:rPr>
                    <w:t>，长119.50m，宽48.50m，高16.15m。厂房</w:t>
                  </w:r>
                  <w:r>
                    <w:rPr>
                      <w:rFonts w:hint="eastAsia"/>
                      <w:color w:val="auto"/>
                      <w:szCs w:val="21"/>
                    </w:rPr>
                    <w:t>内建炉渣处理生产设备1套、环保制砖设备1套、</w:t>
                  </w:r>
                  <w:r>
                    <w:rPr>
                      <w:rFonts w:hint="eastAsia"/>
                      <w:color w:val="auto"/>
                      <w:szCs w:val="21"/>
                      <w:lang w:eastAsia="zh-CN"/>
                    </w:rPr>
                    <w:t>水泥筒仓</w:t>
                  </w:r>
                  <w:r>
                    <w:rPr>
                      <w:rFonts w:hint="eastAsia"/>
                      <w:color w:val="auto"/>
                      <w:szCs w:val="21"/>
                      <w:lang w:val="en-US" w:eastAsia="zh-CN"/>
                    </w:rPr>
                    <w:t>2座、</w:t>
                  </w:r>
                  <w:r>
                    <w:rPr>
                      <w:rFonts w:hint="eastAsia"/>
                      <w:color w:val="auto"/>
                      <w:szCs w:val="21"/>
                    </w:rPr>
                    <w:t>炉渣堆放区、尾砂堆放区、循环水池等。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87" w:hRule="atLeast"/>
                <w:jc w:val="center"/>
              </w:trPr>
              <w:tc>
                <w:tcPr>
                  <w:tcW w:w="485" w:type="pct"/>
                  <w:vMerge w:val="restart"/>
                  <w:tcBorders>
                    <w:tl2br w:val="nil"/>
                    <w:tr2bl w:val="nil"/>
                  </w:tcBorders>
                  <w:vAlign w:val="center"/>
                </w:tcPr>
                <w:p>
                  <w:pPr>
                    <w:adjustRightInd w:val="0"/>
                    <w:snapToGrid w:val="0"/>
                    <w:jc w:val="center"/>
                    <w:rPr>
                      <w:bCs/>
                      <w:color w:val="auto"/>
                      <w:kern w:val="0"/>
                      <w:szCs w:val="21"/>
                    </w:rPr>
                  </w:pPr>
                  <w:r>
                    <w:rPr>
                      <w:rFonts w:hint="eastAsia"/>
                      <w:bCs/>
                      <w:color w:val="auto"/>
                      <w:kern w:val="0"/>
                      <w:szCs w:val="21"/>
                    </w:rPr>
                    <w:t>辅助</w:t>
                  </w:r>
                  <w:r>
                    <w:rPr>
                      <w:bCs/>
                      <w:color w:val="auto"/>
                      <w:kern w:val="0"/>
                      <w:szCs w:val="21"/>
                    </w:rPr>
                    <w:t>工程</w:t>
                  </w:r>
                </w:p>
              </w:tc>
              <w:tc>
                <w:tcPr>
                  <w:tcW w:w="1462" w:type="pct"/>
                  <w:gridSpan w:val="2"/>
                  <w:tcBorders>
                    <w:tl2br w:val="nil"/>
                    <w:tr2bl w:val="nil"/>
                  </w:tcBorders>
                  <w:vAlign w:val="center"/>
                </w:tcPr>
                <w:p>
                  <w:pPr>
                    <w:widowControl/>
                    <w:adjustRightInd w:val="0"/>
                    <w:snapToGrid w:val="0"/>
                    <w:jc w:val="center"/>
                    <w:rPr>
                      <w:color w:val="auto"/>
                      <w:kern w:val="0"/>
                      <w:szCs w:val="21"/>
                    </w:rPr>
                  </w:pPr>
                  <w:r>
                    <w:rPr>
                      <w:rFonts w:hint="eastAsia"/>
                      <w:color w:val="auto"/>
                      <w:kern w:val="0"/>
                      <w:szCs w:val="21"/>
                    </w:rPr>
                    <w:t>办公楼</w:t>
                  </w:r>
                </w:p>
              </w:tc>
              <w:tc>
                <w:tcPr>
                  <w:tcW w:w="3051" w:type="pct"/>
                  <w:tcBorders>
                    <w:tl2br w:val="nil"/>
                    <w:tr2bl w:val="nil"/>
                  </w:tcBorders>
                  <w:vAlign w:val="center"/>
                </w:tcPr>
                <w:p>
                  <w:pPr>
                    <w:widowControl/>
                    <w:adjustRightInd w:val="0"/>
                    <w:snapToGrid w:val="0"/>
                    <w:jc w:val="center"/>
                    <w:rPr>
                      <w:color w:val="auto"/>
                      <w:kern w:val="0"/>
                      <w:szCs w:val="21"/>
                    </w:rPr>
                  </w:pPr>
                  <w:r>
                    <w:rPr>
                      <w:rFonts w:hint="eastAsia"/>
                      <w:color w:val="auto"/>
                      <w:kern w:val="0"/>
                      <w:szCs w:val="21"/>
                    </w:rPr>
                    <w:t>新建，共1层，建筑面积1518m</w:t>
                  </w:r>
                  <w:r>
                    <w:rPr>
                      <w:rFonts w:hint="eastAsia"/>
                      <w:color w:val="auto"/>
                      <w:kern w:val="0"/>
                      <w:szCs w:val="21"/>
                      <w:vertAlign w:val="superscript"/>
                    </w:rPr>
                    <w:t>2</w:t>
                  </w:r>
                  <w:r>
                    <w:rPr>
                      <w:rFonts w:hint="eastAsia"/>
                      <w:color w:val="auto"/>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485" w:type="pct"/>
                  <w:vMerge w:val="continue"/>
                  <w:tcBorders>
                    <w:tl2br w:val="nil"/>
                    <w:tr2bl w:val="nil"/>
                  </w:tcBorders>
                  <w:vAlign w:val="center"/>
                </w:tcPr>
                <w:p>
                  <w:pPr>
                    <w:adjustRightInd w:val="0"/>
                    <w:snapToGrid w:val="0"/>
                    <w:jc w:val="center"/>
                    <w:rPr>
                      <w:bCs/>
                      <w:color w:val="auto"/>
                      <w:kern w:val="0"/>
                      <w:szCs w:val="21"/>
                    </w:rPr>
                  </w:pPr>
                </w:p>
              </w:tc>
              <w:tc>
                <w:tcPr>
                  <w:tcW w:w="1462" w:type="pct"/>
                  <w:gridSpan w:val="2"/>
                  <w:tcBorders>
                    <w:tl2br w:val="nil"/>
                    <w:tr2bl w:val="nil"/>
                  </w:tcBorders>
                  <w:vAlign w:val="center"/>
                </w:tcPr>
                <w:p>
                  <w:pPr>
                    <w:widowControl/>
                    <w:adjustRightInd w:val="0"/>
                    <w:snapToGrid w:val="0"/>
                    <w:jc w:val="center"/>
                    <w:rPr>
                      <w:color w:val="auto"/>
                      <w:szCs w:val="21"/>
                    </w:rPr>
                  </w:pPr>
                  <w:r>
                    <w:rPr>
                      <w:rFonts w:hint="eastAsia"/>
                      <w:color w:val="auto"/>
                      <w:szCs w:val="21"/>
                    </w:rPr>
                    <w:t>门卫室</w:t>
                  </w:r>
                </w:p>
              </w:tc>
              <w:tc>
                <w:tcPr>
                  <w:tcW w:w="3051" w:type="pct"/>
                  <w:tcBorders>
                    <w:tl2br w:val="nil"/>
                    <w:tr2bl w:val="nil"/>
                  </w:tcBorders>
                  <w:vAlign w:val="center"/>
                </w:tcPr>
                <w:p>
                  <w:pPr>
                    <w:widowControl/>
                    <w:adjustRightInd w:val="0"/>
                    <w:snapToGrid w:val="0"/>
                    <w:jc w:val="center"/>
                    <w:rPr>
                      <w:color w:val="auto"/>
                      <w:szCs w:val="21"/>
                    </w:rPr>
                  </w:pPr>
                  <w:r>
                    <w:rPr>
                      <w:rFonts w:hint="eastAsia"/>
                      <w:color w:val="auto"/>
                      <w:szCs w:val="21"/>
                    </w:rPr>
                    <w:t>新建，建筑面积32m</w:t>
                  </w:r>
                  <w:r>
                    <w:rPr>
                      <w:rFonts w:hint="eastAsia"/>
                      <w:color w:val="auto"/>
                      <w:szCs w:val="21"/>
                      <w:vertAlign w:val="superscript"/>
                    </w:rPr>
                    <w:t>2</w:t>
                  </w:r>
                  <w:r>
                    <w:rPr>
                      <w:rFonts w:hint="eastAsia"/>
                      <w:color w:val="auto"/>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485" w:type="pct"/>
                  <w:vMerge w:val="continue"/>
                  <w:tcBorders>
                    <w:tl2br w:val="nil"/>
                    <w:tr2bl w:val="nil"/>
                  </w:tcBorders>
                  <w:vAlign w:val="center"/>
                </w:tcPr>
                <w:p>
                  <w:pPr>
                    <w:adjustRightInd w:val="0"/>
                    <w:snapToGrid w:val="0"/>
                    <w:jc w:val="center"/>
                    <w:rPr>
                      <w:bCs/>
                      <w:color w:val="auto"/>
                      <w:kern w:val="0"/>
                      <w:szCs w:val="21"/>
                    </w:rPr>
                  </w:pPr>
                </w:p>
              </w:tc>
              <w:tc>
                <w:tcPr>
                  <w:tcW w:w="1462" w:type="pct"/>
                  <w:gridSpan w:val="2"/>
                  <w:tcBorders>
                    <w:tl2br w:val="nil"/>
                    <w:tr2bl w:val="nil"/>
                  </w:tcBorders>
                  <w:vAlign w:val="center"/>
                </w:tcPr>
                <w:p>
                  <w:pPr>
                    <w:widowControl/>
                    <w:adjustRightInd w:val="0"/>
                    <w:snapToGrid w:val="0"/>
                    <w:jc w:val="center"/>
                    <w:rPr>
                      <w:color w:val="auto"/>
                      <w:szCs w:val="21"/>
                    </w:rPr>
                  </w:pPr>
                  <w:r>
                    <w:rPr>
                      <w:rFonts w:hint="eastAsia"/>
                      <w:color w:val="auto"/>
                      <w:szCs w:val="21"/>
                    </w:rPr>
                    <w:t>配电室</w:t>
                  </w:r>
                </w:p>
              </w:tc>
              <w:tc>
                <w:tcPr>
                  <w:tcW w:w="3051" w:type="pct"/>
                  <w:tcBorders>
                    <w:tl2br w:val="nil"/>
                    <w:tr2bl w:val="nil"/>
                  </w:tcBorders>
                  <w:vAlign w:val="center"/>
                </w:tcPr>
                <w:p>
                  <w:pPr>
                    <w:widowControl/>
                    <w:adjustRightInd w:val="0"/>
                    <w:snapToGrid w:val="0"/>
                    <w:jc w:val="center"/>
                    <w:rPr>
                      <w:color w:val="auto"/>
                      <w:szCs w:val="21"/>
                    </w:rPr>
                  </w:pPr>
                  <w:r>
                    <w:rPr>
                      <w:rFonts w:hint="eastAsia"/>
                      <w:color w:val="auto"/>
                      <w:szCs w:val="21"/>
                    </w:rPr>
                    <w:t>新建，建筑面积759m</w:t>
                  </w:r>
                  <w:r>
                    <w:rPr>
                      <w:rFonts w:hint="eastAsia"/>
                      <w:color w:val="auto"/>
                      <w:szCs w:val="21"/>
                      <w:vertAlign w:val="superscript"/>
                    </w:rPr>
                    <w:t>2</w:t>
                  </w:r>
                  <w:r>
                    <w:rPr>
                      <w:rFonts w:hint="eastAsia"/>
                      <w:color w:val="auto"/>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5" w:hRule="atLeast"/>
                <w:jc w:val="center"/>
              </w:trPr>
              <w:tc>
                <w:tcPr>
                  <w:tcW w:w="485" w:type="pct"/>
                  <w:vMerge w:val="restart"/>
                  <w:tcBorders>
                    <w:tl2br w:val="nil"/>
                    <w:tr2bl w:val="nil"/>
                  </w:tcBorders>
                  <w:vAlign w:val="center"/>
                </w:tcPr>
                <w:p>
                  <w:pPr>
                    <w:adjustRightInd w:val="0"/>
                    <w:snapToGrid w:val="0"/>
                    <w:jc w:val="center"/>
                    <w:rPr>
                      <w:bCs/>
                      <w:color w:val="auto"/>
                      <w:kern w:val="0"/>
                      <w:szCs w:val="21"/>
                    </w:rPr>
                  </w:pPr>
                  <w:r>
                    <w:rPr>
                      <w:rFonts w:hint="eastAsia"/>
                      <w:bCs/>
                      <w:color w:val="auto"/>
                      <w:kern w:val="0"/>
                      <w:szCs w:val="21"/>
                    </w:rPr>
                    <w:t>储运工程</w:t>
                  </w:r>
                </w:p>
              </w:tc>
              <w:tc>
                <w:tcPr>
                  <w:tcW w:w="1462" w:type="pct"/>
                  <w:gridSpan w:val="2"/>
                  <w:tcBorders>
                    <w:tl2br w:val="nil"/>
                    <w:tr2bl w:val="nil"/>
                  </w:tcBorders>
                  <w:vAlign w:val="center"/>
                </w:tcPr>
                <w:p>
                  <w:pPr>
                    <w:adjustRightInd w:val="0"/>
                    <w:snapToGrid w:val="0"/>
                    <w:jc w:val="center"/>
                    <w:rPr>
                      <w:color w:val="auto"/>
                      <w:szCs w:val="21"/>
                    </w:rPr>
                  </w:pPr>
                  <w:r>
                    <w:rPr>
                      <w:rFonts w:hint="eastAsia"/>
                      <w:color w:val="auto"/>
                      <w:szCs w:val="21"/>
                    </w:rPr>
                    <w:t>库房</w:t>
                  </w:r>
                </w:p>
              </w:tc>
              <w:tc>
                <w:tcPr>
                  <w:tcW w:w="3051" w:type="pct"/>
                  <w:tcBorders>
                    <w:tl2br w:val="nil"/>
                    <w:tr2bl w:val="nil"/>
                  </w:tcBorders>
                  <w:vAlign w:val="center"/>
                </w:tcPr>
                <w:p>
                  <w:pPr>
                    <w:widowControl/>
                    <w:adjustRightInd w:val="0"/>
                    <w:snapToGrid w:val="0"/>
                    <w:jc w:val="center"/>
                    <w:rPr>
                      <w:color w:val="auto"/>
                      <w:kern w:val="0"/>
                      <w:szCs w:val="21"/>
                    </w:rPr>
                  </w:pPr>
                  <w:r>
                    <w:rPr>
                      <w:rFonts w:hint="eastAsia"/>
                      <w:color w:val="auto"/>
                      <w:kern w:val="0"/>
                      <w:szCs w:val="21"/>
                    </w:rPr>
                    <w:t>新建，建筑面积1196.25m</w:t>
                  </w:r>
                  <w:r>
                    <w:rPr>
                      <w:rFonts w:hint="eastAsia"/>
                      <w:color w:val="auto"/>
                      <w:kern w:val="0"/>
                      <w:szCs w:val="21"/>
                      <w:vertAlign w:val="superscript"/>
                    </w:rPr>
                    <w:t>2</w:t>
                  </w:r>
                  <w:r>
                    <w:rPr>
                      <w:rFonts w:hint="eastAsia"/>
                      <w:color w:val="auto"/>
                      <w:kern w:val="0"/>
                      <w:szCs w:val="21"/>
                    </w:rPr>
                    <w:t>，存放生产设备维修配件、劳保用品等。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485" w:type="pct"/>
                  <w:vMerge w:val="continue"/>
                  <w:tcBorders>
                    <w:tl2br w:val="nil"/>
                    <w:tr2bl w:val="nil"/>
                  </w:tcBorders>
                  <w:vAlign w:val="center"/>
                </w:tcPr>
                <w:p>
                  <w:pPr>
                    <w:adjustRightInd w:val="0"/>
                    <w:snapToGrid w:val="0"/>
                    <w:jc w:val="center"/>
                    <w:rPr>
                      <w:bCs/>
                      <w:color w:val="auto"/>
                      <w:kern w:val="0"/>
                      <w:szCs w:val="21"/>
                    </w:rPr>
                  </w:pPr>
                </w:p>
              </w:tc>
              <w:tc>
                <w:tcPr>
                  <w:tcW w:w="1462" w:type="pct"/>
                  <w:gridSpan w:val="2"/>
                  <w:tcBorders>
                    <w:tl2br w:val="nil"/>
                    <w:tr2bl w:val="nil"/>
                  </w:tcBorders>
                  <w:vAlign w:val="center"/>
                </w:tcPr>
                <w:p>
                  <w:pPr>
                    <w:adjustRightInd w:val="0"/>
                    <w:snapToGrid w:val="0"/>
                    <w:jc w:val="center"/>
                    <w:rPr>
                      <w:color w:val="auto"/>
                      <w:szCs w:val="21"/>
                    </w:rPr>
                  </w:pPr>
                  <w:r>
                    <w:rPr>
                      <w:rFonts w:hint="eastAsia"/>
                      <w:color w:val="auto"/>
                      <w:szCs w:val="21"/>
                    </w:rPr>
                    <w:t>环保砖堆场</w:t>
                  </w:r>
                </w:p>
              </w:tc>
              <w:tc>
                <w:tcPr>
                  <w:tcW w:w="3051" w:type="pct"/>
                  <w:tcBorders>
                    <w:tl2br w:val="nil"/>
                    <w:tr2bl w:val="nil"/>
                  </w:tcBorders>
                  <w:vAlign w:val="center"/>
                </w:tcPr>
                <w:p>
                  <w:pPr>
                    <w:widowControl/>
                    <w:adjustRightInd w:val="0"/>
                    <w:snapToGrid w:val="0"/>
                    <w:jc w:val="center"/>
                    <w:rPr>
                      <w:color w:val="auto"/>
                      <w:kern w:val="0"/>
                      <w:szCs w:val="21"/>
                    </w:rPr>
                  </w:pPr>
                  <w:r>
                    <w:rPr>
                      <w:rFonts w:hint="eastAsia"/>
                      <w:color w:val="auto"/>
                      <w:kern w:val="0"/>
                      <w:szCs w:val="21"/>
                    </w:rPr>
                    <w:t>堆放养护环保砖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485" w:type="pct"/>
                  <w:vMerge w:val="restart"/>
                  <w:tcBorders>
                    <w:tl2br w:val="nil"/>
                    <w:tr2bl w:val="nil"/>
                  </w:tcBorders>
                  <w:vAlign w:val="center"/>
                </w:tcPr>
                <w:p>
                  <w:pPr>
                    <w:adjustRightInd w:val="0"/>
                    <w:snapToGrid w:val="0"/>
                    <w:jc w:val="center"/>
                    <w:rPr>
                      <w:bCs/>
                      <w:color w:val="auto"/>
                      <w:kern w:val="0"/>
                      <w:szCs w:val="21"/>
                    </w:rPr>
                  </w:pPr>
                  <w:r>
                    <w:rPr>
                      <w:bCs/>
                      <w:color w:val="auto"/>
                      <w:kern w:val="0"/>
                      <w:szCs w:val="21"/>
                    </w:rPr>
                    <w:t>公用工程</w:t>
                  </w:r>
                </w:p>
              </w:tc>
              <w:tc>
                <w:tcPr>
                  <w:tcW w:w="1462" w:type="pct"/>
                  <w:gridSpan w:val="2"/>
                  <w:tcBorders>
                    <w:tl2br w:val="nil"/>
                    <w:tr2bl w:val="nil"/>
                  </w:tcBorders>
                  <w:vAlign w:val="center"/>
                </w:tcPr>
                <w:p>
                  <w:pPr>
                    <w:widowControl/>
                    <w:adjustRightInd w:val="0"/>
                    <w:snapToGrid w:val="0"/>
                    <w:jc w:val="center"/>
                    <w:rPr>
                      <w:color w:val="auto"/>
                      <w:kern w:val="0"/>
                      <w:szCs w:val="21"/>
                    </w:rPr>
                  </w:pPr>
                  <w:r>
                    <w:rPr>
                      <w:color w:val="auto"/>
                      <w:kern w:val="0"/>
                      <w:szCs w:val="21"/>
                    </w:rPr>
                    <w:t>供电</w:t>
                  </w:r>
                  <w:r>
                    <w:rPr>
                      <w:rFonts w:hint="eastAsia"/>
                      <w:color w:val="auto"/>
                      <w:kern w:val="0"/>
                      <w:szCs w:val="21"/>
                    </w:rPr>
                    <w:t>工程</w:t>
                  </w:r>
                </w:p>
              </w:tc>
              <w:tc>
                <w:tcPr>
                  <w:tcW w:w="3051" w:type="pct"/>
                  <w:tcBorders>
                    <w:tl2br w:val="nil"/>
                    <w:tr2bl w:val="nil"/>
                  </w:tcBorders>
                  <w:vAlign w:val="center"/>
                </w:tcPr>
                <w:p>
                  <w:pPr>
                    <w:widowControl/>
                    <w:adjustRightInd w:val="0"/>
                    <w:snapToGrid w:val="0"/>
                    <w:jc w:val="center"/>
                    <w:rPr>
                      <w:color w:val="auto"/>
                      <w:kern w:val="0"/>
                      <w:szCs w:val="21"/>
                    </w:rPr>
                  </w:pPr>
                  <w:r>
                    <w:rPr>
                      <w:rFonts w:hint="eastAsia"/>
                      <w:color w:val="auto"/>
                      <w:kern w:val="0"/>
                      <w:szCs w:val="21"/>
                    </w:rPr>
                    <w:t>依托</w:t>
                  </w:r>
                  <w:r>
                    <w:rPr>
                      <w:color w:val="auto"/>
                      <w:kern w:val="0"/>
                      <w:szCs w:val="21"/>
                    </w:rPr>
                    <w:t>市政供电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485" w:type="pct"/>
                  <w:vMerge w:val="continue"/>
                  <w:tcBorders>
                    <w:tl2br w:val="nil"/>
                    <w:tr2bl w:val="nil"/>
                  </w:tcBorders>
                  <w:vAlign w:val="center"/>
                </w:tcPr>
                <w:p>
                  <w:pPr>
                    <w:widowControl/>
                    <w:jc w:val="left"/>
                    <w:rPr>
                      <w:bCs/>
                      <w:color w:val="auto"/>
                      <w:kern w:val="0"/>
                      <w:szCs w:val="21"/>
                    </w:rPr>
                  </w:pPr>
                </w:p>
              </w:tc>
              <w:tc>
                <w:tcPr>
                  <w:tcW w:w="1462" w:type="pct"/>
                  <w:gridSpan w:val="2"/>
                  <w:tcBorders>
                    <w:tl2br w:val="nil"/>
                    <w:tr2bl w:val="nil"/>
                  </w:tcBorders>
                  <w:vAlign w:val="center"/>
                </w:tcPr>
                <w:p>
                  <w:pPr>
                    <w:widowControl/>
                    <w:adjustRightInd w:val="0"/>
                    <w:snapToGrid w:val="0"/>
                    <w:jc w:val="center"/>
                    <w:rPr>
                      <w:color w:val="auto"/>
                      <w:kern w:val="0"/>
                      <w:szCs w:val="21"/>
                    </w:rPr>
                  </w:pPr>
                  <w:r>
                    <w:rPr>
                      <w:rFonts w:hint="eastAsia"/>
                      <w:color w:val="auto"/>
                      <w:kern w:val="0"/>
                      <w:szCs w:val="21"/>
                    </w:rPr>
                    <w:t>给</w:t>
                  </w:r>
                  <w:r>
                    <w:rPr>
                      <w:color w:val="auto"/>
                      <w:kern w:val="0"/>
                      <w:szCs w:val="21"/>
                    </w:rPr>
                    <w:t>水</w:t>
                  </w:r>
                  <w:r>
                    <w:rPr>
                      <w:rFonts w:hint="eastAsia"/>
                      <w:color w:val="auto"/>
                      <w:kern w:val="0"/>
                      <w:szCs w:val="21"/>
                    </w:rPr>
                    <w:t>工程</w:t>
                  </w:r>
                </w:p>
              </w:tc>
              <w:tc>
                <w:tcPr>
                  <w:tcW w:w="3051" w:type="pct"/>
                  <w:tcBorders>
                    <w:tl2br w:val="nil"/>
                    <w:tr2bl w:val="nil"/>
                  </w:tcBorders>
                  <w:vAlign w:val="center"/>
                </w:tcPr>
                <w:p>
                  <w:pPr>
                    <w:widowControl/>
                    <w:adjustRightInd w:val="0"/>
                    <w:snapToGrid w:val="0"/>
                    <w:jc w:val="center"/>
                    <w:rPr>
                      <w:rFonts w:hint="eastAsia" w:eastAsia="宋体"/>
                      <w:color w:val="auto"/>
                      <w:kern w:val="0"/>
                      <w:szCs w:val="21"/>
                      <w:lang w:eastAsia="zh-CN"/>
                    </w:rPr>
                  </w:pPr>
                  <w:r>
                    <w:rPr>
                      <w:rFonts w:hint="eastAsia"/>
                      <w:color w:val="auto"/>
                      <w:kern w:val="0"/>
                      <w:szCs w:val="21"/>
                    </w:rPr>
                    <w:t>依托和谐二村自来水管网供水</w:t>
                  </w:r>
                  <w:r>
                    <w:rPr>
                      <w:rFonts w:hint="eastAsia"/>
                      <w:color w:val="auto"/>
                      <w:kern w:val="0"/>
                      <w:szCs w:val="21"/>
                      <w:lang w:eastAsia="zh-CN"/>
                    </w:rPr>
                    <w:t>，生产用水来源于昌吉市生活污水处理厂的中水。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485" w:type="pct"/>
                  <w:vMerge w:val="continue"/>
                  <w:tcBorders>
                    <w:tl2br w:val="nil"/>
                    <w:tr2bl w:val="nil"/>
                  </w:tcBorders>
                  <w:vAlign w:val="center"/>
                </w:tcPr>
                <w:p>
                  <w:pPr>
                    <w:widowControl/>
                    <w:jc w:val="left"/>
                    <w:rPr>
                      <w:bCs/>
                      <w:color w:val="auto"/>
                      <w:kern w:val="0"/>
                      <w:szCs w:val="21"/>
                    </w:rPr>
                  </w:pPr>
                </w:p>
              </w:tc>
              <w:tc>
                <w:tcPr>
                  <w:tcW w:w="1462" w:type="pct"/>
                  <w:gridSpan w:val="2"/>
                  <w:tcBorders>
                    <w:tl2br w:val="nil"/>
                    <w:tr2bl w:val="nil"/>
                  </w:tcBorders>
                  <w:vAlign w:val="center"/>
                </w:tcPr>
                <w:p>
                  <w:pPr>
                    <w:widowControl/>
                    <w:adjustRightInd w:val="0"/>
                    <w:snapToGrid w:val="0"/>
                    <w:jc w:val="center"/>
                    <w:rPr>
                      <w:color w:val="auto"/>
                      <w:kern w:val="0"/>
                      <w:szCs w:val="21"/>
                    </w:rPr>
                  </w:pPr>
                  <w:r>
                    <w:rPr>
                      <w:rFonts w:hint="eastAsia"/>
                      <w:color w:val="auto"/>
                      <w:kern w:val="0"/>
                      <w:szCs w:val="21"/>
                    </w:rPr>
                    <w:t>排水工程</w:t>
                  </w:r>
                </w:p>
              </w:tc>
              <w:tc>
                <w:tcPr>
                  <w:tcW w:w="3051" w:type="pct"/>
                  <w:tcBorders>
                    <w:tl2br w:val="nil"/>
                    <w:tr2bl w:val="nil"/>
                  </w:tcBorders>
                  <w:vAlign w:val="center"/>
                </w:tcPr>
                <w:p>
                  <w:pPr>
                    <w:widowControl/>
                    <w:adjustRightInd w:val="0"/>
                    <w:snapToGrid w:val="0"/>
                    <w:jc w:val="center"/>
                    <w:rPr>
                      <w:color w:val="auto"/>
                      <w:kern w:val="0"/>
                      <w:szCs w:val="21"/>
                    </w:rPr>
                  </w:pPr>
                  <w:r>
                    <w:rPr>
                      <w:rFonts w:hint="eastAsia"/>
                      <w:color w:val="auto"/>
                      <w:kern w:val="0"/>
                      <w:szCs w:val="21"/>
                    </w:rPr>
                    <w:t>生活污水经地埋一体化污水处理设施处理后用于厂区绿化、车辆冲洗、道路降尘；生产废水经三级沉淀池处理达标后回用于生产，不外排。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485" w:type="pct"/>
                  <w:vMerge w:val="continue"/>
                  <w:tcBorders>
                    <w:tl2br w:val="nil"/>
                    <w:tr2bl w:val="nil"/>
                  </w:tcBorders>
                  <w:vAlign w:val="center"/>
                </w:tcPr>
                <w:p>
                  <w:pPr>
                    <w:widowControl/>
                    <w:jc w:val="left"/>
                    <w:rPr>
                      <w:bCs/>
                      <w:color w:val="auto"/>
                      <w:kern w:val="0"/>
                      <w:szCs w:val="21"/>
                    </w:rPr>
                  </w:pPr>
                </w:p>
              </w:tc>
              <w:tc>
                <w:tcPr>
                  <w:tcW w:w="1462" w:type="pct"/>
                  <w:gridSpan w:val="2"/>
                  <w:tcBorders>
                    <w:tl2br w:val="nil"/>
                    <w:tr2bl w:val="nil"/>
                  </w:tcBorders>
                  <w:vAlign w:val="center"/>
                </w:tcPr>
                <w:p>
                  <w:pPr>
                    <w:widowControl/>
                    <w:adjustRightInd w:val="0"/>
                    <w:snapToGrid w:val="0"/>
                    <w:jc w:val="center"/>
                    <w:rPr>
                      <w:color w:val="auto"/>
                      <w:kern w:val="0"/>
                      <w:szCs w:val="21"/>
                    </w:rPr>
                  </w:pPr>
                  <w:r>
                    <w:rPr>
                      <w:rFonts w:hint="eastAsia"/>
                      <w:color w:val="auto"/>
                      <w:kern w:val="0"/>
                      <w:szCs w:val="21"/>
                    </w:rPr>
                    <w:t>供暖工程</w:t>
                  </w:r>
                </w:p>
              </w:tc>
              <w:tc>
                <w:tcPr>
                  <w:tcW w:w="3051" w:type="pct"/>
                  <w:tcBorders>
                    <w:tl2br w:val="nil"/>
                    <w:tr2bl w:val="nil"/>
                  </w:tcBorders>
                  <w:vAlign w:val="center"/>
                </w:tcPr>
                <w:p>
                  <w:pPr>
                    <w:widowControl/>
                    <w:adjustRightInd w:val="0"/>
                    <w:snapToGrid w:val="0"/>
                    <w:jc w:val="center"/>
                    <w:rPr>
                      <w:color w:val="auto"/>
                      <w:kern w:val="0"/>
                      <w:szCs w:val="21"/>
                    </w:rPr>
                  </w:pPr>
                  <w:r>
                    <w:rPr>
                      <w:rFonts w:hint="eastAsia"/>
                      <w:color w:val="auto"/>
                      <w:kern w:val="0"/>
                      <w:szCs w:val="21"/>
                    </w:rPr>
                    <w:t>依托垃圾焚烧发电厂热蒸汽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485" w:type="pct"/>
                  <w:vMerge w:val="restart"/>
                  <w:tcBorders>
                    <w:tl2br w:val="nil"/>
                    <w:tr2bl w:val="nil"/>
                  </w:tcBorders>
                  <w:vAlign w:val="center"/>
                </w:tcPr>
                <w:p>
                  <w:pPr>
                    <w:widowControl/>
                    <w:adjustRightInd w:val="0"/>
                    <w:snapToGrid w:val="0"/>
                    <w:jc w:val="center"/>
                    <w:rPr>
                      <w:bCs/>
                      <w:color w:val="auto"/>
                      <w:kern w:val="0"/>
                      <w:szCs w:val="21"/>
                    </w:rPr>
                  </w:pPr>
                  <w:r>
                    <w:rPr>
                      <w:bCs/>
                      <w:color w:val="auto"/>
                      <w:kern w:val="0"/>
                      <w:szCs w:val="21"/>
                    </w:rPr>
                    <w:t>环保工程</w:t>
                  </w:r>
                </w:p>
              </w:tc>
              <w:tc>
                <w:tcPr>
                  <w:tcW w:w="441" w:type="pct"/>
                  <w:vMerge w:val="restart"/>
                  <w:tcBorders>
                    <w:tl2br w:val="nil"/>
                    <w:tr2bl w:val="nil"/>
                  </w:tcBorders>
                  <w:vAlign w:val="center"/>
                </w:tcPr>
                <w:p>
                  <w:pPr>
                    <w:widowControl/>
                    <w:adjustRightInd w:val="0"/>
                    <w:snapToGrid w:val="0"/>
                    <w:jc w:val="center"/>
                    <w:rPr>
                      <w:color w:val="auto"/>
                      <w:kern w:val="0"/>
                      <w:szCs w:val="21"/>
                    </w:rPr>
                  </w:pPr>
                  <w:r>
                    <w:rPr>
                      <w:rFonts w:hint="eastAsia"/>
                      <w:color w:val="auto"/>
                      <w:kern w:val="0"/>
                      <w:szCs w:val="21"/>
                    </w:rPr>
                    <w:t>废气</w:t>
                  </w:r>
                </w:p>
              </w:tc>
              <w:tc>
                <w:tcPr>
                  <w:tcW w:w="1020" w:type="pct"/>
                  <w:tcBorders>
                    <w:tl2br w:val="nil"/>
                    <w:tr2bl w:val="nil"/>
                  </w:tcBorders>
                  <w:vAlign w:val="center"/>
                </w:tcPr>
                <w:p>
                  <w:pPr>
                    <w:widowControl/>
                    <w:adjustRightInd w:val="0"/>
                    <w:snapToGrid w:val="0"/>
                    <w:jc w:val="center"/>
                    <w:rPr>
                      <w:color w:val="auto"/>
                      <w:kern w:val="0"/>
                      <w:szCs w:val="21"/>
                    </w:rPr>
                  </w:pPr>
                  <w:r>
                    <w:rPr>
                      <w:rFonts w:hint="eastAsia"/>
                      <w:color w:val="auto"/>
                      <w:kern w:val="0"/>
                      <w:szCs w:val="21"/>
                    </w:rPr>
                    <w:t>原料堆放</w:t>
                  </w:r>
                </w:p>
                <w:p>
                  <w:pPr>
                    <w:widowControl/>
                    <w:adjustRightInd w:val="0"/>
                    <w:snapToGrid w:val="0"/>
                    <w:jc w:val="center"/>
                    <w:rPr>
                      <w:color w:val="auto"/>
                      <w:kern w:val="0"/>
                      <w:szCs w:val="21"/>
                    </w:rPr>
                  </w:pPr>
                  <w:r>
                    <w:rPr>
                      <w:rFonts w:hint="eastAsia"/>
                      <w:color w:val="auto"/>
                      <w:kern w:val="0"/>
                      <w:szCs w:val="21"/>
                    </w:rPr>
                    <w:t>装卸粉尘</w:t>
                  </w:r>
                </w:p>
              </w:tc>
              <w:tc>
                <w:tcPr>
                  <w:tcW w:w="3051" w:type="pct"/>
                  <w:tcBorders>
                    <w:tl2br w:val="nil"/>
                    <w:tr2bl w:val="nil"/>
                  </w:tcBorders>
                  <w:vAlign w:val="center"/>
                </w:tcPr>
                <w:p>
                  <w:pPr>
                    <w:widowControl/>
                    <w:adjustRightInd w:val="0"/>
                    <w:snapToGrid w:val="0"/>
                    <w:jc w:val="center"/>
                    <w:rPr>
                      <w:color w:val="auto"/>
                      <w:kern w:val="0"/>
                      <w:szCs w:val="21"/>
                      <w:highlight w:val="none"/>
                    </w:rPr>
                  </w:pPr>
                  <w:r>
                    <w:rPr>
                      <w:rFonts w:hint="eastAsia"/>
                      <w:color w:val="auto"/>
                      <w:kern w:val="0"/>
                      <w:szCs w:val="21"/>
                      <w:highlight w:val="none"/>
                    </w:rPr>
                    <w:t>密闭厂房、洒水喷淋、车辆冲洗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485" w:type="pct"/>
                  <w:vMerge w:val="continue"/>
                  <w:tcBorders>
                    <w:tl2br w:val="nil"/>
                    <w:tr2bl w:val="nil"/>
                  </w:tcBorders>
                  <w:vAlign w:val="center"/>
                </w:tcPr>
                <w:p>
                  <w:pPr>
                    <w:widowControl/>
                    <w:adjustRightInd w:val="0"/>
                    <w:snapToGrid w:val="0"/>
                    <w:jc w:val="center"/>
                    <w:rPr>
                      <w:bCs/>
                      <w:color w:val="auto"/>
                      <w:kern w:val="0"/>
                      <w:szCs w:val="21"/>
                    </w:rPr>
                  </w:pPr>
                </w:p>
              </w:tc>
              <w:tc>
                <w:tcPr>
                  <w:tcW w:w="441" w:type="pct"/>
                  <w:vMerge w:val="continue"/>
                  <w:tcBorders>
                    <w:tl2br w:val="nil"/>
                    <w:tr2bl w:val="nil"/>
                  </w:tcBorders>
                  <w:vAlign w:val="center"/>
                </w:tcPr>
                <w:p>
                  <w:pPr>
                    <w:widowControl/>
                    <w:adjustRightInd w:val="0"/>
                    <w:snapToGrid w:val="0"/>
                    <w:jc w:val="center"/>
                    <w:rPr>
                      <w:color w:val="auto"/>
                      <w:kern w:val="0"/>
                      <w:szCs w:val="21"/>
                    </w:rPr>
                  </w:pPr>
                </w:p>
              </w:tc>
              <w:tc>
                <w:tcPr>
                  <w:tcW w:w="1020" w:type="pct"/>
                  <w:tcBorders>
                    <w:tl2br w:val="nil"/>
                    <w:tr2bl w:val="nil"/>
                  </w:tcBorders>
                  <w:vAlign w:val="center"/>
                </w:tcPr>
                <w:p>
                  <w:pPr>
                    <w:widowControl/>
                    <w:adjustRightInd w:val="0"/>
                    <w:snapToGrid w:val="0"/>
                    <w:jc w:val="center"/>
                    <w:rPr>
                      <w:color w:val="auto"/>
                      <w:kern w:val="0"/>
                      <w:szCs w:val="21"/>
                    </w:rPr>
                  </w:pPr>
                  <w:r>
                    <w:rPr>
                      <w:rFonts w:hint="eastAsia"/>
                      <w:color w:val="auto"/>
                      <w:kern w:val="0"/>
                      <w:szCs w:val="21"/>
                    </w:rPr>
                    <w:t>炉渣破碎粉尘</w:t>
                  </w:r>
                </w:p>
              </w:tc>
              <w:tc>
                <w:tcPr>
                  <w:tcW w:w="3051" w:type="pct"/>
                  <w:tcBorders>
                    <w:tl2br w:val="nil"/>
                    <w:tr2bl w:val="nil"/>
                  </w:tcBorders>
                  <w:vAlign w:val="center"/>
                </w:tcPr>
                <w:p>
                  <w:pPr>
                    <w:widowControl/>
                    <w:adjustRightInd w:val="0"/>
                    <w:snapToGrid w:val="0"/>
                    <w:jc w:val="center"/>
                    <w:rPr>
                      <w:color w:val="auto"/>
                      <w:kern w:val="0"/>
                      <w:szCs w:val="21"/>
                      <w:highlight w:val="none"/>
                    </w:rPr>
                  </w:pPr>
                  <w:r>
                    <w:rPr>
                      <w:rFonts w:hint="eastAsia"/>
                      <w:color w:val="auto"/>
                      <w:kern w:val="0"/>
                      <w:szCs w:val="21"/>
                      <w:highlight w:val="none"/>
                    </w:rPr>
                    <w:t>集气罩+风机+布袋除尘器+15m高烟囱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485" w:type="pct"/>
                  <w:vMerge w:val="continue"/>
                  <w:tcBorders>
                    <w:tl2br w:val="nil"/>
                    <w:tr2bl w:val="nil"/>
                  </w:tcBorders>
                  <w:vAlign w:val="center"/>
                </w:tcPr>
                <w:p>
                  <w:pPr>
                    <w:widowControl/>
                    <w:adjustRightInd w:val="0"/>
                    <w:snapToGrid w:val="0"/>
                    <w:jc w:val="center"/>
                    <w:rPr>
                      <w:bCs/>
                      <w:color w:val="auto"/>
                      <w:kern w:val="0"/>
                      <w:szCs w:val="21"/>
                    </w:rPr>
                  </w:pPr>
                </w:p>
              </w:tc>
              <w:tc>
                <w:tcPr>
                  <w:tcW w:w="441" w:type="pct"/>
                  <w:vMerge w:val="continue"/>
                  <w:tcBorders>
                    <w:tl2br w:val="nil"/>
                    <w:tr2bl w:val="nil"/>
                  </w:tcBorders>
                  <w:vAlign w:val="center"/>
                </w:tcPr>
                <w:p>
                  <w:pPr>
                    <w:widowControl/>
                    <w:adjustRightInd w:val="0"/>
                    <w:snapToGrid w:val="0"/>
                    <w:jc w:val="center"/>
                    <w:rPr>
                      <w:color w:val="auto"/>
                      <w:kern w:val="0"/>
                      <w:szCs w:val="21"/>
                    </w:rPr>
                  </w:pPr>
                </w:p>
              </w:tc>
              <w:tc>
                <w:tcPr>
                  <w:tcW w:w="1020" w:type="pct"/>
                  <w:tcBorders>
                    <w:tl2br w:val="nil"/>
                    <w:tr2bl w:val="nil"/>
                  </w:tcBorders>
                  <w:vAlign w:val="center"/>
                </w:tcPr>
                <w:p>
                  <w:pPr>
                    <w:widowControl/>
                    <w:adjustRightInd w:val="0"/>
                    <w:snapToGrid w:val="0"/>
                    <w:jc w:val="center"/>
                    <w:rPr>
                      <w:rFonts w:hint="eastAsia" w:eastAsia="宋体"/>
                      <w:color w:val="auto"/>
                      <w:kern w:val="0"/>
                      <w:szCs w:val="21"/>
                      <w:lang w:eastAsia="zh-CN"/>
                    </w:rPr>
                  </w:pPr>
                  <w:r>
                    <w:rPr>
                      <w:rFonts w:hint="eastAsia"/>
                      <w:color w:val="auto"/>
                      <w:kern w:val="0"/>
                      <w:szCs w:val="21"/>
                      <w:lang w:eastAsia="zh-CN"/>
                    </w:rPr>
                    <w:t>水泥上料粉尘</w:t>
                  </w:r>
                </w:p>
              </w:tc>
              <w:tc>
                <w:tcPr>
                  <w:tcW w:w="3051" w:type="pct"/>
                  <w:tcBorders>
                    <w:tl2br w:val="nil"/>
                    <w:tr2bl w:val="nil"/>
                  </w:tcBorders>
                  <w:vAlign w:val="center"/>
                </w:tcPr>
                <w:p>
                  <w:pPr>
                    <w:widowControl/>
                    <w:adjustRightInd w:val="0"/>
                    <w:snapToGrid w:val="0"/>
                    <w:jc w:val="center"/>
                    <w:rPr>
                      <w:rFonts w:hint="eastAsia" w:eastAsia="宋体"/>
                      <w:color w:val="auto"/>
                      <w:kern w:val="0"/>
                      <w:szCs w:val="21"/>
                      <w:highlight w:val="none"/>
                      <w:lang w:eastAsia="zh-CN"/>
                    </w:rPr>
                  </w:pPr>
                  <w:r>
                    <w:rPr>
                      <w:rFonts w:hint="eastAsia"/>
                      <w:color w:val="auto"/>
                      <w:kern w:val="0"/>
                      <w:szCs w:val="21"/>
                      <w:highlight w:val="none"/>
                      <w:lang w:eastAsia="zh-CN"/>
                    </w:rPr>
                    <w:t>水泥筒仓安装滤筒式除尘设施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485" w:type="pct"/>
                  <w:vMerge w:val="continue"/>
                  <w:tcBorders>
                    <w:tl2br w:val="nil"/>
                    <w:tr2bl w:val="nil"/>
                  </w:tcBorders>
                  <w:vAlign w:val="center"/>
                </w:tcPr>
                <w:p>
                  <w:pPr>
                    <w:widowControl/>
                    <w:adjustRightInd w:val="0"/>
                    <w:snapToGrid w:val="0"/>
                    <w:jc w:val="center"/>
                    <w:rPr>
                      <w:bCs/>
                      <w:color w:val="auto"/>
                      <w:kern w:val="0"/>
                      <w:szCs w:val="21"/>
                    </w:rPr>
                  </w:pPr>
                </w:p>
              </w:tc>
              <w:tc>
                <w:tcPr>
                  <w:tcW w:w="441" w:type="pct"/>
                  <w:vMerge w:val="continue"/>
                  <w:tcBorders>
                    <w:tl2br w:val="nil"/>
                    <w:tr2bl w:val="nil"/>
                  </w:tcBorders>
                  <w:vAlign w:val="center"/>
                </w:tcPr>
                <w:p>
                  <w:pPr>
                    <w:widowControl/>
                    <w:adjustRightInd w:val="0"/>
                    <w:snapToGrid w:val="0"/>
                    <w:jc w:val="center"/>
                    <w:rPr>
                      <w:color w:val="auto"/>
                      <w:kern w:val="0"/>
                      <w:szCs w:val="21"/>
                    </w:rPr>
                  </w:pPr>
                </w:p>
              </w:tc>
              <w:tc>
                <w:tcPr>
                  <w:tcW w:w="1020" w:type="pct"/>
                  <w:tcBorders>
                    <w:tl2br w:val="nil"/>
                    <w:tr2bl w:val="nil"/>
                  </w:tcBorders>
                  <w:vAlign w:val="center"/>
                </w:tcPr>
                <w:p>
                  <w:pPr>
                    <w:widowControl/>
                    <w:adjustRightInd w:val="0"/>
                    <w:snapToGrid w:val="0"/>
                    <w:jc w:val="center"/>
                    <w:rPr>
                      <w:rFonts w:hint="default"/>
                      <w:color w:val="auto"/>
                      <w:kern w:val="0"/>
                      <w:szCs w:val="21"/>
                      <w:lang w:eastAsia="zh-CN"/>
                    </w:rPr>
                  </w:pPr>
                  <w:r>
                    <w:rPr>
                      <w:rFonts w:hint="default"/>
                      <w:color w:val="auto"/>
                      <w:kern w:val="0"/>
                      <w:szCs w:val="21"/>
                      <w:lang w:eastAsia="zh-CN"/>
                    </w:rPr>
                    <w:t>制砖搅拌粉尘</w:t>
                  </w:r>
                </w:p>
              </w:tc>
              <w:tc>
                <w:tcPr>
                  <w:tcW w:w="3051" w:type="pct"/>
                  <w:tcBorders>
                    <w:tl2br w:val="nil"/>
                    <w:tr2bl w:val="nil"/>
                  </w:tcBorders>
                  <w:vAlign w:val="center"/>
                </w:tcPr>
                <w:p>
                  <w:pPr>
                    <w:widowControl/>
                    <w:adjustRightInd w:val="0"/>
                    <w:snapToGrid w:val="0"/>
                    <w:jc w:val="center"/>
                    <w:rPr>
                      <w:rFonts w:hint="default"/>
                      <w:color w:val="auto"/>
                      <w:kern w:val="0"/>
                      <w:szCs w:val="21"/>
                      <w:highlight w:val="none"/>
                      <w:lang w:eastAsia="zh-CN"/>
                    </w:rPr>
                  </w:pPr>
                  <w:r>
                    <w:rPr>
                      <w:rFonts w:hint="default"/>
                      <w:color w:val="auto"/>
                      <w:kern w:val="0"/>
                      <w:szCs w:val="21"/>
                      <w:highlight w:val="none"/>
                      <w:lang w:eastAsia="zh-CN"/>
                    </w:rPr>
                    <w:t>洒水喷淋、车间密闭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85" w:type="pct"/>
                  <w:vMerge w:val="continue"/>
                  <w:tcBorders>
                    <w:tl2br w:val="nil"/>
                    <w:tr2bl w:val="nil"/>
                  </w:tcBorders>
                  <w:vAlign w:val="center"/>
                </w:tcPr>
                <w:p>
                  <w:pPr>
                    <w:widowControl/>
                    <w:adjustRightInd w:val="0"/>
                    <w:snapToGrid w:val="0"/>
                    <w:jc w:val="center"/>
                    <w:rPr>
                      <w:b/>
                      <w:color w:val="auto"/>
                      <w:kern w:val="0"/>
                      <w:szCs w:val="21"/>
                    </w:rPr>
                  </w:pPr>
                </w:p>
              </w:tc>
              <w:tc>
                <w:tcPr>
                  <w:tcW w:w="441" w:type="pct"/>
                  <w:vMerge w:val="continue"/>
                  <w:tcBorders>
                    <w:tl2br w:val="nil"/>
                    <w:tr2bl w:val="nil"/>
                  </w:tcBorders>
                  <w:vAlign w:val="center"/>
                </w:tcPr>
                <w:p>
                  <w:pPr>
                    <w:widowControl/>
                    <w:adjustRightInd w:val="0"/>
                    <w:snapToGrid w:val="0"/>
                    <w:jc w:val="center"/>
                    <w:rPr>
                      <w:color w:val="auto"/>
                      <w:kern w:val="0"/>
                      <w:szCs w:val="21"/>
                    </w:rPr>
                  </w:pPr>
                </w:p>
              </w:tc>
              <w:tc>
                <w:tcPr>
                  <w:tcW w:w="1020" w:type="pct"/>
                  <w:tcBorders>
                    <w:tl2br w:val="nil"/>
                    <w:tr2bl w:val="nil"/>
                  </w:tcBorders>
                  <w:vAlign w:val="center"/>
                </w:tcPr>
                <w:p>
                  <w:pPr>
                    <w:widowControl/>
                    <w:adjustRightInd w:val="0"/>
                    <w:snapToGrid w:val="0"/>
                    <w:jc w:val="center"/>
                    <w:rPr>
                      <w:color w:val="auto"/>
                      <w:kern w:val="0"/>
                      <w:szCs w:val="21"/>
                    </w:rPr>
                  </w:pPr>
                  <w:r>
                    <w:rPr>
                      <w:rFonts w:hint="eastAsia"/>
                      <w:color w:val="auto"/>
                      <w:szCs w:val="21"/>
                    </w:rPr>
                    <w:t>运输扬尘</w:t>
                  </w:r>
                </w:p>
              </w:tc>
              <w:tc>
                <w:tcPr>
                  <w:tcW w:w="3051" w:type="pct"/>
                  <w:tcBorders>
                    <w:tl2br w:val="nil"/>
                    <w:tr2bl w:val="nil"/>
                  </w:tcBorders>
                  <w:vAlign w:val="center"/>
                </w:tcPr>
                <w:p>
                  <w:pPr>
                    <w:widowControl/>
                    <w:adjustRightInd w:val="0"/>
                    <w:snapToGrid w:val="0"/>
                    <w:jc w:val="center"/>
                    <w:rPr>
                      <w:color w:val="auto"/>
                      <w:kern w:val="0"/>
                      <w:szCs w:val="21"/>
                    </w:rPr>
                  </w:pPr>
                  <w:r>
                    <w:rPr>
                      <w:rFonts w:hint="eastAsia"/>
                      <w:color w:val="auto"/>
                      <w:szCs w:val="21"/>
                    </w:rPr>
                    <w:t>厂区道路硬化，定期洒水和车辆加盖防尘布等。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5" w:type="pct"/>
                  <w:vMerge w:val="continue"/>
                  <w:tcBorders>
                    <w:tl2br w:val="nil"/>
                    <w:tr2bl w:val="nil"/>
                  </w:tcBorders>
                  <w:vAlign w:val="center"/>
                </w:tcPr>
                <w:p>
                  <w:pPr>
                    <w:widowControl/>
                    <w:jc w:val="left"/>
                    <w:rPr>
                      <w:b/>
                      <w:color w:val="auto"/>
                      <w:kern w:val="0"/>
                      <w:szCs w:val="21"/>
                    </w:rPr>
                  </w:pPr>
                </w:p>
              </w:tc>
              <w:tc>
                <w:tcPr>
                  <w:tcW w:w="441" w:type="pct"/>
                  <w:vMerge w:val="restart"/>
                  <w:tcBorders>
                    <w:tl2br w:val="nil"/>
                    <w:tr2bl w:val="nil"/>
                  </w:tcBorders>
                  <w:vAlign w:val="center"/>
                </w:tcPr>
                <w:p>
                  <w:pPr>
                    <w:widowControl/>
                    <w:adjustRightInd w:val="0"/>
                    <w:snapToGrid w:val="0"/>
                    <w:jc w:val="center"/>
                    <w:rPr>
                      <w:color w:val="auto"/>
                      <w:kern w:val="0"/>
                      <w:szCs w:val="21"/>
                    </w:rPr>
                  </w:pPr>
                  <w:r>
                    <w:rPr>
                      <w:color w:val="auto"/>
                      <w:kern w:val="0"/>
                      <w:szCs w:val="21"/>
                    </w:rPr>
                    <w:t>废水</w:t>
                  </w:r>
                </w:p>
              </w:tc>
              <w:tc>
                <w:tcPr>
                  <w:tcW w:w="1020" w:type="pct"/>
                  <w:tcBorders>
                    <w:tl2br w:val="nil"/>
                    <w:tr2bl w:val="nil"/>
                  </w:tcBorders>
                  <w:vAlign w:val="center"/>
                </w:tcPr>
                <w:p>
                  <w:pPr>
                    <w:widowControl/>
                    <w:adjustRightInd w:val="0"/>
                    <w:snapToGrid w:val="0"/>
                    <w:jc w:val="center"/>
                    <w:rPr>
                      <w:color w:val="auto"/>
                      <w:kern w:val="0"/>
                      <w:szCs w:val="21"/>
                    </w:rPr>
                  </w:pPr>
                  <w:r>
                    <w:rPr>
                      <w:rFonts w:hint="eastAsia"/>
                      <w:color w:val="auto"/>
                      <w:kern w:val="0"/>
                      <w:szCs w:val="21"/>
                    </w:rPr>
                    <w:t>地埋式一体化污水处理设施</w:t>
                  </w:r>
                </w:p>
              </w:tc>
              <w:tc>
                <w:tcPr>
                  <w:tcW w:w="3051" w:type="pct"/>
                  <w:tcBorders>
                    <w:tl2br w:val="nil"/>
                    <w:tr2bl w:val="nil"/>
                  </w:tcBorders>
                  <w:vAlign w:val="center"/>
                </w:tcPr>
                <w:p>
                  <w:pPr>
                    <w:widowControl/>
                    <w:adjustRightInd w:val="0"/>
                    <w:snapToGrid w:val="0"/>
                    <w:jc w:val="center"/>
                    <w:rPr>
                      <w:color w:val="auto"/>
                      <w:kern w:val="0"/>
                      <w:szCs w:val="21"/>
                    </w:rPr>
                  </w:pPr>
                  <w:r>
                    <w:rPr>
                      <w:color w:val="auto"/>
                      <w:kern w:val="0"/>
                      <w:szCs w:val="21"/>
                    </w:rPr>
                    <w:t>用于处理生活污水</w:t>
                  </w:r>
                  <w:r>
                    <w:rPr>
                      <w:rFonts w:hint="eastAsia"/>
                      <w:color w:val="auto"/>
                      <w:kern w:val="0"/>
                      <w:szCs w:val="21"/>
                    </w:rPr>
                    <w:t>，</w:t>
                  </w:r>
                  <w:r>
                    <w:rPr>
                      <w:color w:val="auto"/>
                      <w:szCs w:val="21"/>
                    </w:rPr>
                    <w:t>处理</w:t>
                  </w:r>
                  <w:r>
                    <w:rPr>
                      <w:rFonts w:hint="eastAsia"/>
                      <w:color w:val="auto"/>
                      <w:szCs w:val="21"/>
                    </w:rPr>
                    <w:t>达标后用于厂区绿化、道路扬尘及车辆冲洗。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85" w:type="pct"/>
                  <w:vMerge w:val="continue"/>
                  <w:tcBorders>
                    <w:tl2br w:val="nil"/>
                    <w:tr2bl w:val="nil"/>
                  </w:tcBorders>
                  <w:vAlign w:val="center"/>
                </w:tcPr>
                <w:p>
                  <w:pPr>
                    <w:widowControl/>
                    <w:jc w:val="left"/>
                    <w:rPr>
                      <w:b/>
                      <w:color w:val="auto"/>
                      <w:kern w:val="0"/>
                      <w:szCs w:val="21"/>
                    </w:rPr>
                  </w:pPr>
                </w:p>
              </w:tc>
              <w:tc>
                <w:tcPr>
                  <w:tcW w:w="441" w:type="pct"/>
                  <w:vMerge w:val="continue"/>
                  <w:tcBorders>
                    <w:tl2br w:val="nil"/>
                    <w:tr2bl w:val="nil"/>
                  </w:tcBorders>
                  <w:vAlign w:val="center"/>
                </w:tcPr>
                <w:p>
                  <w:pPr>
                    <w:widowControl/>
                    <w:jc w:val="left"/>
                    <w:rPr>
                      <w:color w:val="auto"/>
                      <w:kern w:val="0"/>
                      <w:szCs w:val="21"/>
                    </w:rPr>
                  </w:pPr>
                </w:p>
              </w:tc>
              <w:tc>
                <w:tcPr>
                  <w:tcW w:w="1020" w:type="pct"/>
                  <w:tcBorders>
                    <w:tl2br w:val="nil"/>
                    <w:tr2bl w:val="nil"/>
                  </w:tcBorders>
                  <w:vAlign w:val="center"/>
                </w:tcPr>
                <w:p>
                  <w:pPr>
                    <w:widowControl/>
                    <w:adjustRightInd w:val="0"/>
                    <w:snapToGrid w:val="0"/>
                    <w:jc w:val="center"/>
                    <w:rPr>
                      <w:color w:val="auto"/>
                      <w:szCs w:val="21"/>
                    </w:rPr>
                  </w:pPr>
                  <w:r>
                    <w:rPr>
                      <w:rFonts w:hint="eastAsia"/>
                      <w:color w:val="auto"/>
                      <w:szCs w:val="21"/>
                    </w:rPr>
                    <w:t>沉淀池</w:t>
                  </w:r>
                </w:p>
              </w:tc>
              <w:tc>
                <w:tcPr>
                  <w:tcW w:w="3051" w:type="pct"/>
                  <w:tcBorders>
                    <w:tl2br w:val="nil"/>
                    <w:tr2bl w:val="nil"/>
                  </w:tcBorders>
                  <w:vAlign w:val="center"/>
                </w:tcPr>
                <w:p>
                  <w:pPr>
                    <w:widowControl/>
                    <w:adjustRightInd w:val="0"/>
                    <w:snapToGrid w:val="0"/>
                    <w:jc w:val="center"/>
                    <w:rPr>
                      <w:color w:val="auto"/>
                      <w:kern w:val="0"/>
                      <w:szCs w:val="21"/>
                    </w:rPr>
                  </w:pPr>
                  <w:r>
                    <w:rPr>
                      <w:rFonts w:hint="eastAsia"/>
                      <w:color w:val="auto"/>
                      <w:kern w:val="0"/>
                      <w:szCs w:val="21"/>
                    </w:rPr>
                    <w:t>生产废水经</w:t>
                  </w:r>
                  <w:r>
                    <w:rPr>
                      <w:rFonts w:hint="eastAsia"/>
                      <w:color w:val="auto"/>
                      <w:kern w:val="0"/>
                      <w:szCs w:val="21"/>
                      <w:lang w:val="en-US" w:eastAsia="zh-CN"/>
                    </w:rPr>
                    <w:t>300m</w:t>
                  </w:r>
                  <w:r>
                    <w:rPr>
                      <w:rFonts w:hint="eastAsia"/>
                      <w:color w:val="auto"/>
                      <w:kern w:val="0"/>
                      <w:szCs w:val="21"/>
                      <w:vertAlign w:val="superscript"/>
                      <w:lang w:val="en-US" w:eastAsia="zh-CN"/>
                    </w:rPr>
                    <w:t>3</w:t>
                  </w:r>
                  <w:r>
                    <w:rPr>
                      <w:rFonts w:hint="eastAsia"/>
                      <w:color w:val="auto"/>
                      <w:kern w:val="0"/>
                      <w:szCs w:val="21"/>
                    </w:rPr>
                    <w:t>三级沉淀池处理后回用于生产用水，不外排。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85" w:type="pct"/>
                  <w:vMerge w:val="continue"/>
                  <w:tcBorders>
                    <w:tl2br w:val="nil"/>
                    <w:tr2bl w:val="nil"/>
                  </w:tcBorders>
                  <w:vAlign w:val="center"/>
                </w:tcPr>
                <w:p>
                  <w:pPr>
                    <w:widowControl/>
                    <w:jc w:val="left"/>
                    <w:rPr>
                      <w:b/>
                      <w:color w:val="auto"/>
                      <w:kern w:val="0"/>
                      <w:szCs w:val="21"/>
                    </w:rPr>
                  </w:pPr>
                </w:p>
              </w:tc>
              <w:tc>
                <w:tcPr>
                  <w:tcW w:w="1462" w:type="pct"/>
                  <w:gridSpan w:val="2"/>
                  <w:tcBorders>
                    <w:tl2br w:val="nil"/>
                    <w:tr2bl w:val="nil"/>
                  </w:tcBorders>
                  <w:vAlign w:val="center"/>
                </w:tcPr>
                <w:p>
                  <w:pPr>
                    <w:widowControl/>
                    <w:adjustRightInd w:val="0"/>
                    <w:snapToGrid w:val="0"/>
                    <w:jc w:val="center"/>
                    <w:rPr>
                      <w:color w:val="auto"/>
                      <w:szCs w:val="21"/>
                    </w:rPr>
                  </w:pPr>
                  <w:r>
                    <w:rPr>
                      <w:rFonts w:hint="eastAsia"/>
                      <w:color w:val="auto"/>
                      <w:kern w:val="0"/>
                      <w:szCs w:val="21"/>
                    </w:rPr>
                    <w:t>噪声</w:t>
                  </w:r>
                </w:p>
              </w:tc>
              <w:tc>
                <w:tcPr>
                  <w:tcW w:w="3051" w:type="pct"/>
                  <w:tcBorders>
                    <w:tl2br w:val="nil"/>
                    <w:tr2bl w:val="nil"/>
                  </w:tcBorders>
                  <w:vAlign w:val="center"/>
                </w:tcPr>
                <w:p>
                  <w:pPr>
                    <w:widowControl/>
                    <w:adjustRightInd w:val="0"/>
                    <w:snapToGrid w:val="0"/>
                    <w:jc w:val="center"/>
                    <w:rPr>
                      <w:color w:val="auto"/>
                      <w:kern w:val="0"/>
                      <w:szCs w:val="21"/>
                    </w:rPr>
                  </w:pPr>
                  <w:r>
                    <w:rPr>
                      <w:rFonts w:hint="eastAsia"/>
                      <w:color w:val="auto"/>
                      <w:kern w:val="0"/>
                      <w:szCs w:val="21"/>
                    </w:rPr>
                    <w:t>选用低噪声设备，采取降噪、隔声等措施。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85" w:type="pct"/>
                  <w:vMerge w:val="continue"/>
                  <w:tcBorders>
                    <w:tl2br w:val="nil"/>
                    <w:tr2bl w:val="nil"/>
                  </w:tcBorders>
                  <w:vAlign w:val="center"/>
                </w:tcPr>
                <w:p>
                  <w:pPr>
                    <w:widowControl/>
                    <w:jc w:val="left"/>
                    <w:rPr>
                      <w:b/>
                      <w:color w:val="auto"/>
                      <w:kern w:val="0"/>
                      <w:szCs w:val="21"/>
                    </w:rPr>
                  </w:pPr>
                </w:p>
              </w:tc>
              <w:tc>
                <w:tcPr>
                  <w:tcW w:w="441" w:type="pct"/>
                  <w:vMerge w:val="restart"/>
                  <w:tcBorders>
                    <w:tl2br w:val="nil"/>
                    <w:tr2bl w:val="nil"/>
                  </w:tcBorders>
                  <w:vAlign w:val="center"/>
                </w:tcPr>
                <w:p>
                  <w:pPr>
                    <w:widowControl/>
                    <w:adjustRightInd w:val="0"/>
                    <w:snapToGrid w:val="0"/>
                    <w:jc w:val="center"/>
                    <w:rPr>
                      <w:color w:val="auto"/>
                      <w:kern w:val="0"/>
                      <w:szCs w:val="21"/>
                    </w:rPr>
                  </w:pPr>
                  <w:r>
                    <w:rPr>
                      <w:color w:val="auto"/>
                      <w:kern w:val="0"/>
                      <w:szCs w:val="21"/>
                    </w:rPr>
                    <w:t>固废</w:t>
                  </w:r>
                </w:p>
              </w:tc>
              <w:tc>
                <w:tcPr>
                  <w:tcW w:w="1020" w:type="pct"/>
                  <w:tcBorders>
                    <w:tl2br w:val="nil"/>
                    <w:tr2bl w:val="nil"/>
                  </w:tcBorders>
                  <w:vAlign w:val="center"/>
                </w:tcPr>
                <w:p>
                  <w:pPr>
                    <w:widowControl/>
                    <w:adjustRightInd w:val="0"/>
                    <w:snapToGrid w:val="0"/>
                    <w:jc w:val="center"/>
                    <w:rPr>
                      <w:color w:val="auto"/>
                      <w:kern w:val="0"/>
                      <w:szCs w:val="21"/>
                    </w:rPr>
                  </w:pPr>
                  <w:r>
                    <w:rPr>
                      <w:rFonts w:hint="eastAsia"/>
                      <w:color w:val="auto"/>
                      <w:kern w:val="0"/>
                      <w:szCs w:val="21"/>
                    </w:rPr>
                    <w:t>生活垃圾</w:t>
                  </w:r>
                </w:p>
              </w:tc>
              <w:tc>
                <w:tcPr>
                  <w:tcW w:w="3051" w:type="pct"/>
                  <w:tcBorders>
                    <w:tl2br w:val="nil"/>
                    <w:tr2bl w:val="nil"/>
                  </w:tcBorders>
                  <w:vAlign w:val="center"/>
                </w:tcPr>
                <w:p>
                  <w:pPr>
                    <w:widowControl/>
                    <w:adjustRightInd w:val="0"/>
                    <w:snapToGrid w:val="0"/>
                    <w:jc w:val="center"/>
                    <w:rPr>
                      <w:color w:val="auto"/>
                      <w:kern w:val="0"/>
                      <w:szCs w:val="21"/>
                    </w:rPr>
                  </w:pPr>
                  <w:r>
                    <w:rPr>
                      <w:rFonts w:hint="eastAsia"/>
                      <w:bCs/>
                      <w:color w:val="auto"/>
                      <w:szCs w:val="21"/>
                    </w:rPr>
                    <w:t>集中收集，</w:t>
                  </w:r>
                  <w:r>
                    <w:rPr>
                      <w:color w:val="auto"/>
                      <w:szCs w:val="21"/>
                    </w:rPr>
                    <w:t>定期</w:t>
                  </w:r>
                  <w:r>
                    <w:rPr>
                      <w:rFonts w:hint="eastAsia"/>
                      <w:color w:val="auto"/>
                      <w:szCs w:val="21"/>
                    </w:rPr>
                    <w:t>运</w:t>
                  </w:r>
                  <w:r>
                    <w:rPr>
                      <w:color w:val="auto"/>
                      <w:szCs w:val="21"/>
                    </w:rPr>
                    <w:t>至垃圾焚烧厂处理</w:t>
                  </w:r>
                  <w:r>
                    <w:rPr>
                      <w:rFonts w:hint="eastAsia"/>
                      <w:color w:val="auto"/>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485" w:type="pct"/>
                  <w:vMerge w:val="continue"/>
                  <w:tcBorders>
                    <w:tl2br w:val="nil"/>
                    <w:tr2bl w:val="nil"/>
                  </w:tcBorders>
                  <w:vAlign w:val="center"/>
                </w:tcPr>
                <w:p>
                  <w:pPr>
                    <w:widowControl/>
                    <w:jc w:val="left"/>
                    <w:rPr>
                      <w:b/>
                      <w:color w:val="auto"/>
                      <w:kern w:val="0"/>
                      <w:szCs w:val="21"/>
                    </w:rPr>
                  </w:pPr>
                </w:p>
              </w:tc>
              <w:tc>
                <w:tcPr>
                  <w:tcW w:w="441" w:type="pct"/>
                  <w:vMerge w:val="continue"/>
                  <w:tcBorders>
                    <w:tl2br w:val="nil"/>
                    <w:tr2bl w:val="nil"/>
                  </w:tcBorders>
                  <w:vAlign w:val="center"/>
                </w:tcPr>
                <w:p>
                  <w:pPr>
                    <w:widowControl/>
                    <w:adjustRightInd w:val="0"/>
                    <w:snapToGrid w:val="0"/>
                    <w:jc w:val="center"/>
                    <w:rPr>
                      <w:color w:val="auto"/>
                      <w:kern w:val="0"/>
                      <w:szCs w:val="21"/>
                    </w:rPr>
                  </w:pPr>
                </w:p>
              </w:tc>
              <w:tc>
                <w:tcPr>
                  <w:tcW w:w="1020" w:type="pct"/>
                  <w:tcBorders>
                    <w:tl2br w:val="nil"/>
                    <w:tr2bl w:val="nil"/>
                  </w:tcBorders>
                  <w:vAlign w:val="center"/>
                </w:tcPr>
                <w:p>
                  <w:pPr>
                    <w:widowControl/>
                    <w:adjustRightInd w:val="0"/>
                    <w:snapToGrid w:val="0"/>
                    <w:jc w:val="center"/>
                    <w:rPr>
                      <w:color w:val="auto"/>
                      <w:kern w:val="0"/>
                      <w:szCs w:val="21"/>
                    </w:rPr>
                  </w:pPr>
                  <w:r>
                    <w:rPr>
                      <w:rFonts w:hint="eastAsia"/>
                      <w:color w:val="auto"/>
                      <w:kern w:val="0"/>
                      <w:szCs w:val="21"/>
                    </w:rPr>
                    <w:t>分拣出的未燃尽垃圾</w:t>
                  </w:r>
                </w:p>
              </w:tc>
              <w:tc>
                <w:tcPr>
                  <w:tcW w:w="3051" w:type="pct"/>
                  <w:tcBorders>
                    <w:tl2br w:val="nil"/>
                    <w:tr2bl w:val="nil"/>
                  </w:tcBorders>
                  <w:vAlign w:val="center"/>
                </w:tcPr>
                <w:p>
                  <w:pPr>
                    <w:widowControl/>
                    <w:adjustRightInd w:val="0"/>
                    <w:snapToGrid w:val="0"/>
                    <w:jc w:val="center"/>
                    <w:rPr>
                      <w:bCs/>
                      <w:color w:val="auto"/>
                      <w:szCs w:val="21"/>
                    </w:rPr>
                  </w:pPr>
                  <w:r>
                    <w:rPr>
                      <w:rFonts w:hint="eastAsia"/>
                      <w:bCs/>
                      <w:color w:val="auto"/>
                      <w:szCs w:val="21"/>
                    </w:rPr>
                    <w:t>集中收集，</w:t>
                  </w:r>
                  <w:r>
                    <w:rPr>
                      <w:color w:val="auto"/>
                      <w:szCs w:val="21"/>
                    </w:rPr>
                    <w:t>定期</w:t>
                  </w:r>
                  <w:r>
                    <w:rPr>
                      <w:rFonts w:hint="eastAsia"/>
                      <w:color w:val="auto"/>
                      <w:szCs w:val="21"/>
                    </w:rPr>
                    <w:t>运</w:t>
                  </w:r>
                  <w:r>
                    <w:rPr>
                      <w:color w:val="auto"/>
                      <w:szCs w:val="21"/>
                    </w:rPr>
                    <w:t>至垃圾焚烧厂处理</w:t>
                  </w:r>
                  <w:r>
                    <w:rPr>
                      <w:rFonts w:hint="eastAsia"/>
                      <w:color w:val="auto"/>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485" w:type="pct"/>
                  <w:vMerge w:val="continue"/>
                  <w:tcBorders>
                    <w:tl2br w:val="nil"/>
                    <w:tr2bl w:val="nil"/>
                  </w:tcBorders>
                  <w:vAlign w:val="center"/>
                </w:tcPr>
                <w:p>
                  <w:pPr>
                    <w:widowControl/>
                    <w:jc w:val="left"/>
                    <w:rPr>
                      <w:b/>
                      <w:color w:val="auto"/>
                      <w:kern w:val="0"/>
                      <w:szCs w:val="21"/>
                    </w:rPr>
                  </w:pPr>
                </w:p>
              </w:tc>
              <w:tc>
                <w:tcPr>
                  <w:tcW w:w="441" w:type="pct"/>
                  <w:vMerge w:val="continue"/>
                  <w:tcBorders>
                    <w:tl2br w:val="nil"/>
                    <w:tr2bl w:val="nil"/>
                  </w:tcBorders>
                  <w:vAlign w:val="center"/>
                </w:tcPr>
                <w:p>
                  <w:pPr>
                    <w:widowControl/>
                    <w:adjustRightInd w:val="0"/>
                    <w:snapToGrid w:val="0"/>
                    <w:jc w:val="center"/>
                    <w:rPr>
                      <w:color w:val="auto"/>
                      <w:kern w:val="0"/>
                      <w:szCs w:val="21"/>
                    </w:rPr>
                  </w:pPr>
                </w:p>
              </w:tc>
              <w:tc>
                <w:tcPr>
                  <w:tcW w:w="1020" w:type="pct"/>
                  <w:tcBorders>
                    <w:tl2br w:val="nil"/>
                    <w:tr2bl w:val="nil"/>
                  </w:tcBorders>
                  <w:vAlign w:val="center"/>
                </w:tcPr>
                <w:p>
                  <w:pPr>
                    <w:widowControl/>
                    <w:adjustRightInd w:val="0"/>
                    <w:snapToGrid w:val="0"/>
                    <w:jc w:val="center"/>
                    <w:rPr>
                      <w:color w:val="auto"/>
                      <w:kern w:val="0"/>
                      <w:szCs w:val="21"/>
                    </w:rPr>
                  </w:pPr>
                  <w:r>
                    <w:rPr>
                      <w:rFonts w:hint="eastAsia"/>
                      <w:color w:val="auto"/>
                      <w:szCs w:val="21"/>
                    </w:rPr>
                    <w:t>沉淀池沉渣</w:t>
                  </w:r>
                </w:p>
              </w:tc>
              <w:tc>
                <w:tcPr>
                  <w:tcW w:w="3051" w:type="pct"/>
                  <w:tcBorders>
                    <w:tl2br w:val="nil"/>
                    <w:tr2bl w:val="nil"/>
                  </w:tcBorders>
                  <w:vAlign w:val="center"/>
                </w:tcPr>
                <w:p>
                  <w:pPr>
                    <w:widowControl/>
                    <w:adjustRightInd w:val="0"/>
                    <w:snapToGrid w:val="0"/>
                    <w:jc w:val="center"/>
                    <w:rPr>
                      <w:color w:val="auto"/>
                      <w:kern w:val="0"/>
                      <w:szCs w:val="21"/>
                    </w:rPr>
                  </w:pPr>
                  <w:r>
                    <w:rPr>
                      <w:rFonts w:hint="eastAsia"/>
                      <w:color w:val="auto"/>
                      <w:szCs w:val="21"/>
                    </w:rPr>
                    <w:t>经压滤处理作为制砖原料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485" w:type="pct"/>
                  <w:vMerge w:val="continue"/>
                  <w:tcBorders>
                    <w:tl2br w:val="nil"/>
                    <w:tr2bl w:val="nil"/>
                  </w:tcBorders>
                  <w:vAlign w:val="center"/>
                </w:tcPr>
                <w:p>
                  <w:pPr>
                    <w:widowControl/>
                    <w:jc w:val="left"/>
                    <w:rPr>
                      <w:b/>
                      <w:color w:val="auto"/>
                      <w:kern w:val="0"/>
                      <w:szCs w:val="21"/>
                    </w:rPr>
                  </w:pPr>
                </w:p>
              </w:tc>
              <w:tc>
                <w:tcPr>
                  <w:tcW w:w="441" w:type="pct"/>
                  <w:vMerge w:val="continue"/>
                  <w:tcBorders>
                    <w:tl2br w:val="nil"/>
                    <w:tr2bl w:val="nil"/>
                  </w:tcBorders>
                  <w:vAlign w:val="center"/>
                </w:tcPr>
                <w:p>
                  <w:pPr>
                    <w:widowControl/>
                    <w:adjustRightInd w:val="0"/>
                    <w:snapToGrid w:val="0"/>
                    <w:jc w:val="center"/>
                    <w:rPr>
                      <w:color w:val="auto"/>
                      <w:kern w:val="0"/>
                      <w:szCs w:val="21"/>
                    </w:rPr>
                  </w:pPr>
                </w:p>
              </w:tc>
              <w:tc>
                <w:tcPr>
                  <w:tcW w:w="1020" w:type="pct"/>
                  <w:tcBorders>
                    <w:tl2br w:val="nil"/>
                    <w:tr2bl w:val="nil"/>
                  </w:tcBorders>
                  <w:vAlign w:val="center"/>
                </w:tcPr>
                <w:p>
                  <w:pPr>
                    <w:widowControl/>
                    <w:adjustRightInd w:val="0"/>
                    <w:snapToGrid w:val="0"/>
                    <w:jc w:val="center"/>
                    <w:rPr>
                      <w:color w:val="auto"/>
                      <w:szCs w:val="21"/>
                    </w:rPr>
                  </w:pPr>
                  <w:r>
                    <w:rPr>
                      <w:rFonts w:hint="eastAsia"/>
                      <w:color w:val="auto"/>
                      <w:szCs w:val="21"/>
                    </w:rPr>
                    <w:t>金属废渣</w:t>
                  </w:r>
                </w:p>
              </w:tc>
              <w:tc>
                <w:tcPr>
                  <w:tcW w:w="3051" w:type="pct"/>
                  <w:tcBorders>
                    <w:tl2br w:val="nil"/>
                    <w:tr2bl w:val="nil"/>
                  </w:tcBorders>
                  <w:vAlign w:val="center"/>
                </w:tcPr>
                <w:p>
                  <w:pPr>
                    <w:widowControl/>
                    <w:adjustRightInd w:val="0"/>
                    <w:snapToGrid w:val="0"/>
                    <w:jc w:val="center"/>
                    <w:rPr>
                      <w:color w:val="auto"/>
                      <w:szCs w:val="21"/>
                    </w:rPr>
                  </w:pPr>
                  <w:r>
                    <w:rPr>
                      <w:rFonts w:hint="eastAsia"/>
                      <w:color w:val="auto"/>
                      <w:szCs w:val="21"/>
                    </w:rPr>
                    <w:t>回收外售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485" w:type="pct"/>
                  <w:vMerge w:val="continue"/>
                  <w:tcBorders>
                    <w:tl2br w:val="nil"/>
                    <w:tr2bl w:val="nil"/>
                  </w:tcBorders>
                  <w:vAlign w:val="center"/>
                </w:tcPr>
                <w:p>
                  <w:pPr>
                    <w:widowControl/>
                    <w:jc w:val="left"/>
                    <w:rPr>
                      <w:b/>
                      <w:color w:val="auto"/>
                      <w:kern w:val="0"/>
                      <w:szCs w:val="21"/>
                    </w:rPr>
                  </w:pPr>
                </w:p>
              </w:tc>
              <w:tc>
                <w:tcPr>
                  <w:tcW w:w="1462" w:type="pct"/>
                  <w:gridSpan w:val="2"/>
                  <w:tcBorders>
                    <w:tl2br w:val="nil"/>
                    <w:tr2bl w:val="nil"/>
                  </w:tcBorders>
                  <w:vAlign w:val="center"/>
                </w:tcPr>
                <w:p>
                  <w:pPr>
                    <w:widowControl/>
                    <w:adjustRightInd w:val="0"/>
                    <w:snapToGrid w:val="0"/>
                    <w:jc w:val="center"/>
                    <w:rPr>
                      <w:color w:val="auto"/>
                      <w:szCs w:val="21"/>
                      <w:highlight w:val="none"/>
                    </w:rPr>
                  </w:pPr>
                  <w:r>
                    <w:rPr>
                      <w:rFonts w:hint="eastAsia"/>
                      <w:color w:val="auto"/>
                      <w:szCs w:val="21"/>
                      <w:highlight w:val="none"/>
                    </w:rPr>
                    <w:t>生态</w:t>
                  </w:r>
                </w:p>
              </w:tc>
              <w:tc>
                <w:tcPr>
                  <w:tcW w:w="3051" w:type="pct"/>
                  <w:tcBorders>
                    <w:tl2br w:val="nil"/>
                    <w:tr2bl w:val="nil"/>
                  </w:tcBorders>
                  <w:vAlign w:val="center"/>
                </w:tcPr>
                <w:p>
                  <w:pPr>
                    <w:widowControl/>
                    <w:adjustRightInd w:val="0"/>
                    <w:snapToGrid w:val="0"/>
                    <w:jc w:val="center"/>
                    <w:rPr>
                      <w:color w:val="auto"/>
                      <w:szCs w:val="21"/>
                      <w:highlight w:val="none"/>
                    </w:rPr>
                  </w:pPr>
                  <w:r>
                    <w:rPr>
                      <w:rFonts w:hint="eastAsia"/>
                      <w:color w:val="auto"/>
                      <w:szCs w:val="21"/>
                      <w:highlight w:val="none"/>
                    </w:rPr>
                    <w:t>配套绿化4580m</w:t>
                  </w:r>
                  <w:r>
                    <w:rPr>
                      <w:rFonts w:hint="eastAsia"/>
                      <w:color w:val="auto"/>
                      <w:szCs w:val="21"/>
                      <w:highlight w:val="none"/>
                      <w:vertAlign w:val="superscript"/>
                    </w:rPr>
                    <w:t>2</w:t>
                  </w:r>
                  <w:r>
                    <w:rPr>
                      <w:rFonts w:hint="eastAsia"/>
                      <w:color w:val="auto"/>
                      <w:szCs w:val="21"/>
                      <w:highlight w:val="none"/>
                    </w:rPr>
                    <w:t>，主要以适宜本地生长的植被为主。</w:t>
                  </w:r>
                </w:p>
              </w:tc>
            </w:tr>
          </w:tbl>
          <w:p>
            <w:pPr>
              <w:spacing w:line="480" w:lineRule="exact"/>
              <w:ind w:firstLine="422" w:firstLineChars="200"/>
              <w:rPr>
                <w:rFonts w:hint="default" w:eastAsia="宋体"/>
                <w:b/>
                <w:bCs/>
                <w:color w:val="auto"/>
                <w:lang w:val="en-US" w:eastAsia="zh-CN"/>
              </w:rPr>
            </w:pPr>
            <w:r>
              <w:rPr>
                <w:rFonts w:hint="eastAsia"/>
                <w:b/>
                <w:bCs/>
                <w:color w:val="auto"/>
              </w:rPr>
              <w:t>2.3产品方案</w:t>
            </w:r>
          </w:p>
          <w:p>
            <w:pPr>
              <w:adjustRightInd w:val="0"/>
              <w:snapToGrid w:val="0"/>
              <w:spacing w:line="480" w:lineRule="exact"/>
              <w:ind w:firstLine="420" w:firstLineChars="200"/>
              <w:rPr>
                <w:color w:val="auto"/>
                <w:szCs w:val="21"/>
              </w:rPr>
            </w:pPr>
            <w:r>
              <w:rPr>
                <w:rFonts w:hint="eastAsia"/>
                <w:color w:val="auto"/>
                <w:szCs w:val="21"/>
              </w:rPr>
              <w:t>本项目为利用生活垃圾焚烧发电后炉渣进行制造环保砖，项目建成后，预计年分选炉渣</w:t>
            </w:r>
            <w:r>
              <w:rPr>
                <w:rFonts w:hint="eastAsia"/>
                <w:color w:val="auto"/>
                <w:szCs w:val="21"/>
                <w:lang w:val="en-US" w:eastAsia="zh-CN"/>
              </w:rPr>
              <w:t>4.38</w:t>
            </w:r>
            <w:r>
              <w:rPr>
                <w:rFonts w:hint="eastAsia"/>
                <w:color w:val="auto"/>
                <w:szCs w:val="21"/>
              </w:rPr>
              <w:t>万吨，产品方案见表2-2。</w:t>
            </w:r>
          </w:p>
          <w:p>
            <w:pPr>
              <w:pStyle w:val="35"/>
              <w:rPr>
                <w:rFonts w:hint="default"/>
                <w:b/>
                <w:bCs w:val="0"/>
                <w:color w:val="auto"/>
                <w:szCs w:val="21"/>
                <w:highlight w:val="none"/>
              </w:rPr>
            </w:pPr>
            <w:r>
              <w:rPr>
                <w:rFonts w:hint="default"/>
                <w:b/>
                <w:bCs w:val="0"/>
                <w:color w:val="auto"/>
                <w:szCs w:val="21"/>
              </w:rPr>
              <w:t>表</w:t>
            </w:r>
            <w:r>
              <w:rPr>
                <w:b/>
                <w:bCs w:val="0"/>
                <w:color w:val="auto"/>
                <w:szCs w:val="21"/>
              </w:rPr>
              <w:t xml:space="preserve">2-2  </w:t>
            </w:r>
            <w:r>
              <w:rPr>
                <w:b/>
                <w:bCs w:val="0"/>
                <w:color w:val="auto"/>
                <w:szCs w:val="21"/>
                <w:highlight w:val="none"/>
              </w:rPr>
              <w:t xml:space="preserve">  项目产品方案</w:t>
            </w:r>
          </w:p>
          <w:tbl>
            <w:tblPr>
              <w:tblStyle w:val="23"/>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7"/>
              <w:gridCol w:w="994"/>
              <w:gridCol w:w="919"/>
              <w:gridCol w:w="2655"/>
              <w:gridCol w:w="24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6" w:hRule="atLeast"/>
                <w:tblHeader/>
                <w:jc w:val="center"/>
              </w:trPr>
              <w:tc>
                <w:tcPr>
                  <w:tcW w:w="693" w:type="pct"/>
                  <w:tcBorders>
                    <w:tl2br w:val="nil"/>
                    <w:tr2bl w:val="nil"/>
                  </w:tcBorders>
                  <w:vAlign w:val="center"/>
                </w:tcPr>
                <w:p>
                  <w:pPr>
                    <w:spacing w:line="360" w:lineRule="exact"/>
                    <w:jc w:val="center"/>
                    <w:rPr>
                      <w:b/>
                      <w:bCs w:val="0"/>
                      <w:color w:val="auto"/>
                      <w:szCs w:val="21"/>
                    </w:rPr>
                  </w:pPr>
                  <w:r>
                    <w:rPr>
                      <w:rFonts w:hint="eastAsia"/>
                      <w:b/>
                      <w:bCs w:val="0"/>
                      <w:color w:val="auto"/>
                      <w:szCs w:val="21"/>
                    </w:rPr>
                    <w:t>产品名称</w:t>
                  </w:r>
                </w:p>
              </w:tc>
              <w:tc>
                <w:tcPr>
                  <w:tcW w:w="606" w:type="pct"/>
                  <w:tcBorders>
                    <w:tl2br w:val="nil"/>
                    <w:tr2bl w:val="nil"/>
                  </w:tcBorders>
                  <w:vAlign w:val="center"/>
                </w:tcPr>
                <w:p>
                  <w:pPr>
                    <w:spacing w:line="360" w:lineRule="exact"/>
                    <w:jc w:val="center"/>
                    <w:rPr>
                      <w:b/>
                      <w:bCs w:val="0"/>
                      <w:color w:val="auto"/>
                      <w:szCs w:val="21"/>
                    </w:rPr>
                  </w:pPr>
                  <w:r>
                    <w:rPr>
                      <w:rFonts w:hint="eastAsia"/>
                      <w:b/>
                      <w:bCs w:val="0"/>
                      <w:color w:val="auto"/>
                      <w:szCs w:val="21"/>
                    </w:rPr>
                    <w:t>产量</w:t>
                  </w:r>
                </w:p>
              </w:tc>
              <w:tc>
                <w:tcPr>
                  <w:tcW w:w="560" w:type="pct"/>
                  <w:tcBorders>
                    <w:tl2br w:val="nil"/>
                    <w:tr2bl w:val="nil"/>
                  </w:tcBorders>
                  <w:vAlign w:val="center"/>
                </w:tcPr>
                <w:p>
                  <w:pPr>
                    <w:spacing w:line="360" w:lineRule="exact"/>
                    <w:jc w:val="center"/>
                    <w:rPr>
                      <w:b/>
                      <w:bCs w:val="0"/>
                      <w:color w:val="auto"/>
                      <w:szCs w:val="21"/>
                    </w:rPr>
                  </w:pPr>
                  <w:r>
                    <w:rPr>
                      <w:rFonts w:hint="eastAsia"/>
                      <w:b/>
                      <w:bCs w:val="0"/>
                      <w:color w:val="auto"/>
                      <w:szCs w:val="21"/>
                    </w:rPr>
                    <w:t>单位</w:t>
                  </w:r>
                </w:p>
              </w:tc>
              <w:tc>
                <w:tcPr>
                  <w:tcW w:w="1619" w:type="pct"/>
                  <w:tcBorders>
                    <w:tl2br w:val="nil"/>
                    <w:tr2bl w:val="nil"/>
                  </w:tcBorders>
                  <w:vAlign w:val="center"/>
                </w:tcPr>
                <w:p>
                  <w:pPr>
                    <w:spacing w:line="360" w:lineRule="exact"/>
                    <w:jc w:val="center"/>
                    <w:rPr>
                      <w:rFonts w:hint="eastAsia" w:eastAsia="宋体"/>
                      <w:b/>
                      <w:bCs w:val="0"/>
                      <w:color w:val="auto"/>
                      <w:szCs w:val="21"/>
                      <w:lang w:val="en-US" w:eastAsia="zh-CN"/>
                    </w:rPr>
                  </w:pPr>
                  <w:r>
                    <w:rPr>
                      <w:rFonts w:hint="eastAsia"/>
                      <w:b/>
                      <w:bCs w:val="0"/>
                      <w:color w:val="auto"/>
                      <w:szCs w:val="21"/>
                      <w:lang w:val="en-US" w:eastAsia="zh-CN"/>
                    </w:rPr>
                    <w:t>规格尺寸</w:t>
                  </w:r>
                </w:p>
              </w:tc>
              <w:tc>
                <w:tcPr>
                  <w:tcW w:w="1520" w:type="pct"/>
                  <w:tcBorders>
                    <w:tl2br w:val="nil"/>
                    <w:tr2bl w:val="nil"/>
                  </w:tcBorders>
                  <w:vAlign w:val="center"/>
                </w:tcPr>
                <w:p>
                  <w:pPr>
                    <w:spacing w:line="360" w:lineRule="exact"/>
                    <w:jc w:val="center"/>
                    <w:rPr>
                      <w:rFonts w:hint="eastAsia" w:eastAsia="宋体"/>
                      <w:b/>
                      <w:bCs w:val="0"/>
                      <w:color w:val="auto"/>
                      <w:szCs w:val="21"/>
                      <w:lang w:val="en-US" w:eastAsia="zh-CN"/>
                    </w:rPr>
                  </w:pPr>
                  <w:r>
                    <w:rPr>
                      <w:rFonts w:hint="eastAsia"/>
                      <w:b/>
                      <w:bCs w:val="0"/>
                      <w:color w:val="auto"/>
                      <w:szCs w:val="21"/>
                      <w:lang w:val="en-US" w:eastAsia="zh-CN"/>
                    </w:rPr>
                    <w:t>环保砖执行标准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693" w:type="pct"/>
                  <w:tcBorders>
                    <w:tl2br w:val="nil"/>
                    <w:tr2bl w:val="nil"/>
                  </w:tcBorders>
                  <w:shd w:val="clear" w:color="auto" w:fill="auto"/>
                  <w:vAlign w:val="center"/>
                </w:tcPr>
                <w:p>
                  <w:pPr>
                    <w:spacing w:line="360" w:lineRule="exact"/>
                    <w:jc w:val="center"/>
                    <w:rPr>
                      <w:color w:val="auto"/>
                      <w:szCs w:val="21"/>
                    </w:rPr>
                  </w:pPr>
                  <w:r>
                    <w:rPr>
                      <w:rFonts w:hint="eastAsia"/>
                      <w:color w:val="auto"/>
                      <w:szCs w:val="21"/>
                    </w:rPr>
                    <w:t>环保砖</w:t>
                  </w:r>
                </w:p>
              </w:tc>
              <w:tc>
                <w:tcPr>
                  <w:tcW w:w="606" w:type="pct"/>
                  <w:tcBorders>
                    <w:tl2br w:val="nil"/>
                    <w:tr2bl w:val="nil"/>
                  </w:tcBorders>
                  <w:shd w:val="clear" w:color="auto" w:fill="auto"/>
                  <w:vAlign w:val="center"/>
                </w:tcPr>
                <w:p>
                  <w:pPr>
                    <w:spacing w:line="360" w:lineRule="exact"/>
                    <w:jc w:val="center"/>
                    <w:rPr>
                      <w:color w:val="auto"/>
                      <w:szCs w:val="21"/>
                    </w:rPr>
                  </w:pPr>
                  <w:r>
                    <w:rPr>
                      <w:rFonts w:hint="eastAsia"/>
                      <w:color w:val="auto"/>
                      <w:szCs w:val="21"/>
                      <w:lang w:val="en-US" w:eastAsia="zh-CN"/>
                    </w:rPr>
                    <w:t>1455</w:t>
                  </w:r>
                  <w:r>
                    <w:rPr>
                      <w:rFonts w:hint="eastAsia"/>
                      <w:color w:val="auto"/>
                      <w:szCs w:val="21"/>
                    </w:rPr>
                    <w:t>万</w:t>
                  </w:r>
                </w:p>
              </w:tc>
              <w:tc>
                <w:tcPr>
                  <w:tcW w:w="560" w:type="pct"/>
                  <w:tcBorders>
                    <w:tl2br w:val="nil"/>
                    <w:tr2bl w:val="nil"/>
                  </w:tcBorders>
                  <w:shd w:val="clear" w:color="auto" w:fill="auto"/>
                  <w:vAlign w:val="center"/>
                </w:tcPr>
                <w:p>
                  <w:pPr>
                    <w:spacing w:line="360" w:lineRule="exact"/>
                    <w:jc w:val="center"/>
                    <w:rPr>
                      <w:color w:val="auto"/>
                      <w:szCs w:val="21"/>
                    </w:rPr>
                  </w:pPr>
                  <w:r>
                    <w:rPr>
                      <w:rFonts w:hint="eastAsia"/>
                      <w:color w:val="auto"/>
                      <w:szCs w:val="21"/>
                    </w:rPr>
                    <w:t>块/a</w:t>
                  </w:r>
                </w:p>
              </w:tc>
              <w:tc>
                <w:tcPr>
                  <w:tcW w:w="1619" w:type="pct"/>
                  <w:tcBorders>
                    <w:tl2br w:val="nil"/>
                    <w:tr2bl w:val="nil"/>
                  </w:tcBorders>
                  <w:shd w:val="clear" w:color="auto" w:fill="auto"/>
                  <w:vAlign w:val="center"/>
                </w:tcPr>
                <w:p>
                  <w:pPr>
                    <w:spacing w:line="360" w:lineRule="exact"/>
                    <w:jc w:val="center"/>
                    <w:rPr>
                      <w:rFonts w:hint="default" w:eastAsia="宋体"/>
                      <w:color w:val="auto"/>
                      <w:szCs w:val="21"/>
                      <w:highlight w:val="none"/>
                      <w:lang w:val="en-US" w:eastAsia="zh-CN"/>
                    </w:rPr>
                  </w:pPr>
                  <w:r>
                    <w:rPr>
                      <w:rFonts w:hint="eastAsia"/>
                      <w:color w:val="auto"/>
                      <w:szCs w:val="21"/>
                      <w:highlight w:val="none"/>
                      <w:lang w:val="en-US" w:eastAsia="zh-CN"/>
                    </w:rPr>
                    <w:t>标准尺寸为240×115×53mm，单块重3.3kg。其它尺寸根据需求方确定。</w:t>
                  </w:r>
                </w:p>
              </w:tc>
              <w:tc>
                <w:tcPr>
                  <w:tcW w:w="1520" w:type="pct"/>
                  <w:tcBorders>
                    <w:tl2br w:val="nil"/>
                    <w:tr2bl w:val="nil"/>
                  </w:tcBorders>
                  <w:shd w:val="clear" w:color="auto" w:fill="auto"/>
                  <w:vAlign w:val="center"/>
                </w:tcPr>
                <w:p>
                  <w:pPr>
                    <w:spacing w:line="360" w:lineRule="exact"/>
                    <w:jc w:val="center"/>
                    <w:rPr>
                      <w:rFonts w:hint="default" w:eastAsia="宋体"/>
                      <w:color w:val="auto"/>
                      <w:szCs w:val="21"/>
                      <w:highlight w:val="none"/>
                      <w:lang w:val="en-US" w:eastAsia="zh-CN"/>
                    </w:rPr>
                  </w:pPr>
                  <w:r>
                    <w:rPr>
                      <w:rFonts w:hint="eastAsia"/>
                      <w:color w:val="auto"/>
                      <w:szCs w:val="21"/>
                      <w:highlight w:val="none"/>
                      <w:lang w:val="en-US" w:eastAsia="zh-CN"/>
                    </w:rPr>
                    <w:t>《中华人民共和国建材行业标准 非烧结垃圾尾矿砖》JC/T422-2007</w:t>
                  </w:r>
                </w:p>
              </w:tc>
            </w:tr>
          </w:tbl>
          <w:p>
            <w:pPr>
              <w:spacing w:line="480" w:lineRule="exact"/>
              <w:ind w:firstLine="422" w:firstLineChars="200"/>
              <w:rPr>
                <w:b/>
                <w:bCs/>
                <w:color w:val="auto"/>
              </w:rPr>
            </w:pPr>
            <w:r>
              <w:rPr>
                <w:rFonts w:hint="eastAsia"/>
                <w:b/>
                <w:bCs/>
                <w:color w:val="auto"/>
              </w:rPr>
              <w:t>2.4</w:t>
            </w:r>
            <w:r>
              <w:rPr>
                <w:b/>
                <w:bCs/>
                <w:color w:val="auto"/>
              </w:rPr>
              <w:t>主要设备</w:t>
            </w:r>
          </w:p>
          <w:p>
            <w:pPr>
              <w:adjustRightInd w:val="0"/>
              <w:snapToGrid w:val="0"/>
              <w:spacing w:line="480" w:lineRule="exact"/>
              <w:ind w:firstLine="420" w:firstLineChars="200"/>
              <w:rPr>
                <w:color w:val="auto"/>
                <w:szCs w:val="21"/>
              </w:rPr>
            </w:pPr>
            <w:r>
              <w:rPr>
                <w:color w:val="auto"/>
                <w:szCs w:val="21"/>
              </w:rPr>
              <w:t>本项目主要设备见表2</w:t>
            </w:r>
            <w:r>
              <w:rPr>
                <w:rFonts w:hint="eastAsia"/>
                <w:color w:val="auto"/>
                <w:szCs w:val="21"/>
              </w:rPr>
              <w:t>-3。</w:t>
            </w:r>
          </w:p>
          <w:p>
            <w:pPr>
              <w:pStyle w:val="35"/>
              <w:rPr>
                <w:rFonts w:hint="default"/>
                <w:color w:val="auto"/>
                <w:szCs w:val="21"/>
              </w:rPr>
            </w:pPr>
            <w:r>
              <w:rPr>
                <w:rFonts w:hint="default"/>
                <w:color w:val="auto"/>
                <w:szCs w:val="21"/>
              </w:rPr>
              <w:t>表</w:t>
            </w:r>
            <w:r>
              <w:rPr>
                <w:color w:val="auto"/>
                <w:szCs w:val="21"/>
              </w:rPr>
              <w:t>2-3    主要</w:t>
            </w:r>
            <w:r>
              <w:rPr>
                <w:rFonts w:hint="default"/>
                <w:color w:val="auto"/>
                <w:szCs w:val="21"/>
              </w:rPr>
              <w:t>设备一览表</w:t>
            </w:r>
          </w:p>
          <w:tbl>
            <w:tblPr>
              <w:tblStyle w:val="22"/>
              <w:tblW w:w="499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2"/>
              <w:gridCol w:w="3129"/>
              <w:gridCol w:w="856"/>
              <w:gridCol w:w="768"/>
              <w:gridCol w:w="1415"/>
              <w:gridCol w:w="135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410" w:type="pct"/>
                  <w:tcBorders>
                    <w:tl2br w:val="nil"/>
                    <w:tr2bl w:val="nil"/>
                  </w:tcBorders>
                  <w:vAlign w:val="center"/>
                </w:tcPr>
                <w:p>
                  <w:pPr>
                    <w:widowControl/>
                    <w:adjustRightInd w:val="0"/>
                    <w:snapToGrid w:val="0"/>
                    <w:jc w:val="center"/>
                    <w:rPr>
                      <w:b/>
                      <w:color w:val="auto"/>
                      <w:kern w:val="0"/>
                      <w:szCs w:val="21"/>
                    </w:rPr>
                  </w:pPr>
                  <w:r>
                    <w:rPr>
                      <w:b/>
                      <w:color w:val="auto"/>
                      <w:kern w:val="0"/>
                      <w:szCs w:val="21"/>
                    </w:rPr>
                    <w:t>序号</w:t>
                  </w:r>
                </w:p>
              </w:tc>
              <w:tc>
                <w:tcPr>
                  <w:tcW w:w="1909" w:type="pct"/>
                  <w:tcBorders>
                    <w:tl2br w:val="nil"/>
                    <w:tr2bl w:val="nil"/>
                  </w:tcBorders>
                  <w:vAlign w:val="center"/>
                </w:tcPr>
                <w:p>
                  <w:pPr>
                    <w:widowControl/>
                    <w:adjustRightInd w:val="0"/>
                    <w:snapToGrid w:val="0"/>
                    <w:jc w:val="center"/>
                    <w:rPr>
                      <w:b/>
                      <w:color w:val="auto"/>
                      <w:kern w:val="0"/>
                      <w:szCs w:val="21"/>
                    </w:rPr>
                  </w:pPr>
                  <w:r>
                    <w:rPr>
                      <w:rFonts w:hint="eastAsia"/>
                      <w:b/>
                      <w:color w:val="auto"/>
                      <w:kern w:val="0"/>
                      <w:szCs w:val="21"/>
                    </w:rPr>
                    <w:t>名称</w:t>
                  </w:r>
                </w:p>
              </w:tc>
              <w:tc>
                <w:tcPr>
                  <w:tcW w:w="522" w:type="pct"/>
                  <w:tcBorders>
                    <w:tl2br w:val="nil"/>
                    <w:tr2bl w:val="nil"/>
                  </w:tcBorders>
                  <w:vAlign w:val="center"/>
                </w:tcPr>
                <w:p>
                  <w:pPr>
                    <w:widowControl/>
                    <w:adjustRightInd w:val="0"/>
                    <w:snapToGrid w:val="0"/>
                    <w:jc w:val="center"/>
                    <w:rPr>
                      <w:b/>
                      <w:color w:val="auto"/>
                      <w:kern w:val="0"/>
                      <w:szCs w:val="21"/>
                    </w:rPr>
                  </w:pPr>
                  <w:r>
                    <w:rPr>
                      <w:rFonts w:hint="eastAsia"/>
                      <w:b/>
                      <w:color w:val="auto"/>
                      <w:kern w:val="0"/>
                      <w:szCs w:val="21"/>
                    </w:rPr>
                    <w:t>单位</w:t>
                  </w:r>
                </w:p>
              </w:tc>
              <w:tc>
                <w:tcPr>
                  <w:tcW w:w="468" w:type="pct"/>
                  <w:tcBorders>
                    <w:tl2br w:val="nil"/>
                    <w:tr2bl w:val="nil"/>
                  </w:tcBorders>
                  <w:vAlign w:val="center"/>
                </w:tcPr>
                <w:p>
                  <w:pPr>
                    <w:widowControl/>
                    <w:adjustRightInd w:val="0"/>
                    <w:snapToGrid w:val="0"/>
                    <w:jc w:val="center"/>
                    <w:rPr>
                      <w:rFonts w:hint="eastAsia" w:ascii="Times New Roman" w:hAnsi="Times New Roman" w:eastAsia="宋体" w:cs="Times New Roman"/>
                      <w:b/>
                      <w:color w:val="auto"/>
                      <w:kern w:val="0"/>
                      <w:sz w:val="21"/>
                      <w:szCs w:val="21"/>
                      <w:lang w:val="en-US" w:eastAsia="zh-CN" w:bidi="ar-SA"/>
                    </w:rPr>
                  </w:pPr>
                  <w:r>
                    <w:rPr>
                      <w:rFonts w:hint="eastAsia"/>
                      <w:b/>
                      <w:color w:val="auto"/>
                      <w:kern w:val="0"/>
                      <w:szCs w:val="21"/>
                    </w:rPr>
                    <w:t>数量</w:t>
                  </w:r>
                </w:p>
              </w:tc>
              <w:tc>
                <w:tcPr>
                  <w:tcW w:w="863" w:type="pct"/>
                  <w:tcBorders>
                    <w:tl2br w:val="nil"/>
                    <w:tr2bl w:val="nil"/>
                  </w:tcBorders>
                  <w:vAlign w:val="center"/>
                </w:tcPr>
                <w:p>
                  <w:pPr>
                    <w:widowControl/>
                    <w:adjustRightInd w:val="0"/>
                    <w:snapToGrid w:val="0"/>
                    <w:jc w:val="center"/>
                    <w:rPr>
                      <w:rFonts w:hint="eastAsia" w:eastAsia="宋体"/>
                      <w:b/>
                      <w:color w:val="auto"/>
                      <w:kern w:val="0"/>
                      <w:szCs w:val="21"/>
                      <w:highlight w:val="none"/>
                      <w:lang w:eastAsia="zh-CN"/>
                    </w:rPr>
                  </w:pPr>
                  <w:r>
                    <w:rPr>
                      <w:rFonts w:hint="eastAsia"/>
                      <w:b/>
                      <w:color w:val="auto"/>
                      <w:kern w:val="0"/>
                      <w:szCs w:val="21"/>
                      <w:highlight w:val="none"/>
                      <w:lang w:eastAsia="zh-CN"/>
                    </w:rPr>
                    <w:t>型号规格</w:t>
                  </w:r>
                </w:p>
              </w:tc>
              <w:tc>
                <w:tcPr>
                  <w:tcW w:w="825" w:type="pct"/>
                  <w:tcBorders>
                    <w:tl2br w:val="nil"/>
                    <w:tr2bl w:val="nil"/>
                  </w:tcBorders>
                  <w:vAlign w:val="center"/>
                </w:tcPr>
                <w:p>
                  <w:pPr>
                    <w:widowControl/>
                    <w:adjustRightInd w:val="0"/>
                    <w:snapToGrid w:val="0"/>
                    <w:jc w:val="center"/>
                    <w:rPr>
                      <w:rFonts w:hint="eastAsia" w:eastAsia="宋体"/>
                      <w:b/>
                      <w:color w:val="auto"/>
                      <w:kern w:val="0"/>
                      <w:szCs w:val="21"/>
                      <w:highlight w:val="none"/>
                      <w:lang w:eastAsia="zh-CN"/>
                    </w:rPr>
                  </w:pPr>
                  <w:r>
                    <w:rPr>
                      <w:rFonts w:hint="eastAsia"/>
                      <w:b/>
                      <w:color w:val="auto"/>
                      <w:kern w:val="0"/>
                      <w:szCs w:val="21"/>
                      <w:highlight w:val="none"/>
                      <w:lang w:eastAsia="zh-CN"/>
                    </w:rPr>
                    <w:t>处理规模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0" w:type="pct"/>
                  <w:tcBorders>
                    <w:tl2br w:val="nil"/>
                    <w:tr2bl w:val="nil"/>
                  </w:tcBorders>
                  <w:vAlign w:val="center"/>
                </w:tcPr>
                <w:p>
                  <w:pPr>
                    <w:widowControl/>
                    <w:adjustRightInd w:val="0"/>
                    <w:snapToGrid w:val="0"/>
                    <w:jc w:val="center"/>
                    <w:rPr>
                      <w:bCs/>
                      <w:color w:val="auto"/>
                      <w:kern w:val="0"/>
                      <w:szCs w:val="21"/>
                    </w:rPr>
                  </w:pPr>
                  <w:r>
                    <w:rPr>
                      <w:bCs/>
                      <w:color w:val="auto"/>
                      <w:kern w:val="0"/>
                      <w:szCs w:val="21"/>
                    </w:rPr>
                    <w:t>1</w:t>
                  </w:r>
                </w:p>
              </w:tc>
              <w:tc>
                <w:tcPr>
                  <w:tcW w:w="1909" w:type="pct"/>
                  <w:tcBorders>
                    <w:tl2br w:val="nil"/>
                    <w:tr2bl w:val="nil"/>
                  </w:tcBorders>
                  <w:vAlign w:val="center"/>
                </w:tcPr>
                <w:p>
                  <w:pPr>
                    <w:widowControl/>
                    <w:adjustRightInd w:val="0"/>
                    <w:snapToGrid w:val="0"/>
                    <w:jc w:val="center"/>
                    <w:rPr>
                      <w:bCs/>
                      <w:color w:val="auto"/>
                      <w:kern w:val="0"/>
                      <w:szCs w:val="21"/>
                    </w:rPr>
                  </w:pPr>
                  <w:r>
                    <w:rPr>
                      <w:rFonts w:hint="eastAsia"/>
                      <w:bCs/>
                      <w:color w:val="auto"/>
                      <w:kern w:val="0"/>
                      <w:szCs w:val="21"/>
                    </w:rPr>
                    <w:t>喂给料机</w:t>
                  </w:r>
                </w:p>
              </w:tc>
              <w:tc>
                <w:tcPr>
                  <w:tcW w:w="522" w:type="pct"/>
                  <w:tcBorders>
                    <w:tl2br w:val="nil"/>
                    <w:tr2bl w:val="nil"/>
                  </w:tcBorders>
                  <w:vAlign w:val="center"/>
                </w:tcPr>
                <w:p>
                  <w:pPr>
                    <w:widowControl/>
                    <w:adjustRightInd w:val="0"/>
                    <w:snapToGrid w:val="0"/>
                    <w:jc w:val="center"/>
                    <w:rPr>
                      <w:bCs/>
                      <w:color w:val="auto"/>
                      <w:kern w:val="0"/>
                      <w:szCs w:val="21"/>
                    </w:rPr>
                  </w:pPr>
                  <w:r>
                    <w:rPr>
                      <w:rFonts w:hint="eastAsia"/>
                      <w:bCs/>
                      <w:color w:val="auto"/>
                      <w:kern w:val="0"/>
                      <w:szCs w:val="21"/>
                    </w:rPr>
                    <w:t>台</w:t>
                  </w:r>
                </w:p>
              </w:tc>
              <w:tc>
                <w:tcPr>
                  <w:tcW w:w="468" w:type="pct"/>
                  <w:tcBorders>
                    <w:tl2br w:val="nil"/>
                    <w:tr2bl w:val="nil"/>
                  </w:tcBorders>
                  <w:vAlign w:val="center"/>
                </w:tcPr>
                <w:p>
                  <w:pPr>
                    <w:widowControl/>
                    <w:snapToGrid w:val="0"/>
                    <w:spacing w:before="0" w:beforeAutospacing="0" w:after="0" w:afterAutospacing="0" w:line="240" w:lineRule="auto"/>
                    <w:jc w:val="center"/>
                    <w:textAlignment w:val="baseline"/>
                    <w:rPr>
                      <w:rFonts w:ascii="Times New Roman" w:hAnsi="Times New Roman" w:eastAsia="宋体" w:cs="Times New Roman"/>
                      <w:bCs/>
                      <w:color w:val="auto"/>
                      <w:kern w:val="0"/>
                      <w:sz w:val="21"/>
                      <w:szCs w:val="21"/>
                      <w:lang w:val="en-US" w:eastAsia="zh-CN" w:bidi="ar-SA"/>
                    </w:rPr>
                  </w:pPr>
                  <w:r>
                    <w:rPr>
                      <w:rFonts w:ascii="Times New Roman" w:hAnsi="Times New Roman" w:eastAsia="宋体" w:cs="Times New Roman"/>
                      <w:b w:val="0"/>
                      <w:bCs/>
                      <w:i w:val="0"/>
                      <w:caps w:val="0"/>
                      <w:color w:val="auto"/>
                      <w:spacing w:val="0"/>
                      <w:w w:val="100"/>
                      <w:kern w:val="0"/>
                      <w:sz w:val="21"/>
                      <w:szCs w:val="21"/>
                    </w:rPr>
                    <w:t>1</w:t>
                  </w:r>
                </w:p>
              </w:tc>
              <w:tc>
                <w:tcPr>
                  <w:tcW w:w="863" w:type="pct"/>
                  <w:tcBorders>
                    <w:tl2br w:val="nil"/>
                    <w:tr2bl w:val="nil"/>
                  </w:tcBorders>
                  <w:vAlign w:val="center"/>
                </w:tcPr>
                <w:p>
                  <w:pPr>
                    <w:widowControl/>
                    <w:snapToGrid w:val="0"/>
                    <w:spacing w:before="0" w:beforeAutospacing="0" w:after="0" w:afterAutospacing="0" w:line="240" w:lineRule="auto"/>
                    <w:jc w:val="center"/>
                    <w:textAlignment w:val="baseline"/>
                    <w:rPr>
                      <w:bCs/>
                      <w:color w:val="auto"/>
                      <w:kern w:val="0"/>
                      <w:szCs w:val="21"/>
                    </w:rPr>
                  </w:pPr>
                  <w:r>
                    <w:rPr>
                      <w:rFonts w:ascii="Times New Roman" w:hAnsi="Times New Roman" w:eastAsia="宋体" w:cs="Times New Roman"/>
                      <w:b w:val="0"/>
                      <w:bCs/>
                      <w:i w:val="0"/>
                      <w:caps w:val="0"/>
                      <w:color w:val="auto"/>
                      <w:spacing w:val="0"/>
                      <w:w w:val="100"/>
                      <w:kern w:val="0"/>
                      <w:sz w:val="20"/>
                      <w:szCs w:val="21"/>
                    </w:rPr>
                    <w:t>18kw</w:t>
                  </w:r>
                </w:p>
              </w:tc>
              <w:tc>
                <w:tcPr>
                  <w:tcW w:w="825" w:type="pct"/>
                  <w:tcBorders>
                    <w:tl2br w:val="nil"/>
                    <w:tr2bl w:val="nil"/>
                  </w:tcBorders>
                  <w:vAlign w:val="center"/>
                </w:tcPr>
                <w:p>
                  <w:pPr>
                    <w:widowControl/>
                    <w:snapToGrid w:val="0"/>
                    <w:spacing w:before="0" w:beforeAutospacing="0" w:after="0" w:afterAutospacing="0" w:line="240" w:lineRule="auto"/>
                    <w:jc w:val="center"/>
                    <w:textAlignment w:val="baseline"/>
                    <w:rPr>
                      <w:bCs/>
                      <w:color w:val="auto"/>
                      <w:kern w:val="0"/>
                      <w:szCs w:val="21"/>
                    </w:rPr>
                  </w:pPr>
                  <w:r>
                    <w:rPr>
                      <w:rFonts w:ascii="Times New Roman" w:hAnsi="Times New Roman" w:eastAsia="宋体" w:cs="Times New Roman"/>
                      <w:b w:val="0"/>
                      <w:bCs/>
                      <w:i w:val="0"/>
                      <w:caps w:val="0"/>
                      <w:color w:val="auto"/>
                      <w:spacing w:val="0"/>
                      <w:w w:val="100"/>
                      <w:kern w:val="0"/>
                      <w:sz w:val="20"/>
                      <w:szCs w:val="21"/>
                    </w:rPr>
                    <w:t>800吨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410" w:type="pct"/>
                  <w:tcBorders>
                    <w:tl2br w:val="nil"/>
                    <w:tr2bl w:val="nil"/>
                  </w:tcBorders>
                  <w:vAlign w:val="center"/>
                </w:tcPr>
                <w:p>
                  <w:pPr>
                    <w:widowControl/>
                    <w:adjustRightInd w:val="0"/>
                    <w:snapToGrid w:val="0"/>
                    <w:jc w:val="center"/>
                    <w:rPr>
                      <w:bCs/>
                      <w:color w:val="auto"/>
                      <w:kern w:val="0"/>
                      <w:szCs w:val="21"/>
                    </w:rPr>
                  </w:pPr>
                  <w:r>
                    <w:rPr>
                      <w:bCs/>
                      <w:color w:val="auto"/>
                      <w:kern w:val="0"/>
                      <w:szCs w:val="21"/>
                    </w:rPr>
                    <w:t>2</w:t>
                  </w:r>
                </w:p>
              </w:tc>
              <w:tc>
                <w:tcPr>
                  <w:tcW w:w="1909" w:type="pct"/>
                  <w:tcBorders>
                    <w:tl2br w:val="nil"/>
                    <w:tr2bl w:val="nil"/>
                  </w:tcBorders>
                  <w:vAlign w:val="center"/>
                </w:tcPr>
                <w:p>
                  <w:pPr>
                    <w:widowControl/>
                    <w:adjustRightInd w:val="0"/>
                    <w:snapToGrid w:val="0"/>
                    <w:jc w:val="center"/>
                    <w:rPr>
                      <w:bCs/>
                      <w:color w:val="auto"/>
                      <w:kern w:val="0"/>
                      <w:szCs w:val="21"/>
                    </w:rPr>
                  </w:pPr>
                  <w:r>
                    <w:rPr>
                      <w:rFonts w:hint="eastAsia"/>
                      <w:bCs/>
                      <w:color w:val="auto"/>
                      <w:kern w:val="0"/>
                      <w:szCs w:val="21"/>
                    </w:rPr>
                    <w:t>防尘鄂式破碎机</w:t>
                  </w:r>
                </w:p>
              </w:tc>
              <w:tc>
                <w:tcPr>
                  <w:tcW w:w="522" w:type="pct"/>
                  <w:tcBorders>
                    <w:tl2br w:val="nil"/>
                    <w:tr2bl w:val="nil"/>
                  </w:tcBorders>
                  <w:vAlign w:val="center"/>
                </w:tcPr>
                <w:p>
                  <w:pPr>
                    <w:widowControl/>
                    <w:adjustRightInd w:val="0"/>
                    <w:snapToGrid w:val="0"/>
                    <w:jc w:val="center"/>
                    <w:rPr>
                      <w:bCs/>
                      <w:color w:val="auto"/>
                      <w:kern w:val="0"/>
                      <w:szCs w:val="21"/>
                    </w:rPr>
                  </w:pPr>
                  <w:r>
                    <w:rPr>
                      <w:rFonts w:hint="eastAsia"/>
                      <w:bCs/>
                      <w:color w:val="auto"/>
                      <w:kern w:val="0"/>
                      <w:szCs w:val="21"/>
                    </w:rPr>
                    <w:t>台</w:t>
                  </w:r>
                </w:p>
              </w:tc>
              <w:tc>
                <w:tcPr>
                  <w:tcW w:w="468" w:type="pct"/>
                  <w:tcBorders>
                    <w:tl2br w:val="nil"/>
                    <w:tr2bl w:val="nil"/>
                  </w:tcBorders>
                  <w:vAlign w:val="center"/>
                </w:tcPr>
                <w:p>
                  <w:pPr>
                    <w:widowControl/>
                    <w:snapToGrid w:val="0"/>
                    <w:spacing w:before="0" w:beforeAutospacing="0" w:after="0" w:afterAutospacing="0" w:line="240" w:lineRule="auto"/>
                    <w:jc w:val="center"/>
                    <w:textAlignment w:val="baseline"/>
                    <w:rPr>
                      <w:rFonts w:hint="eastAsia" w:ascii="Times New Roman" w:hAnsi="Times New Roman" w:eastAsia="宋体" w:cs="Times New Roman"/>
                      <w:bCs/>
                      <w:color w:val="auto"/>
                      <w:kern w:val="0"/>
                      <w:sz w:val="21"/>
                      <w:szCs w:val="21"/>
                      <w:lang w:val="en-US" w:eastAsia="zh-CN" w:bidi="ar-SA"/>
                    </w:rPr>
                  </w:pPr>
                  <w:r>
                    <w:rPr>
                      <w:rFonts w:hint="eastAsia"/>
                      <w:b w:val="0"/>
                      <w:bCs/>
                      <w:i w:val="0"/>
                      <w:caps w:val="0"/>
                      <w:color w:val="auto"/>
                      <w:spacing w:val="0"/>
                      <w:w w:val="100"/>
                      <w:kern w:val="0"/>
                      <w:sz w:val="21"/>
                      <w:szCs w:val="21"/>
                    </w:rPr>
                    <w:t>1</w:t>
                  </w:r>
                </w:p>
              </w:tc>
              <w:tc>
                <w:tcPr>
                  <w:tcW w:w="863" w:type="pct"/>
                  <w:tcBorders>
                    <w:tl2br w:val="nil"/>
                    <w:tr2bl w:val="nil"/>
                  </w:tcBorders>
                  <w:vAlign w:val="center"/>
                </w:tcPr>
                <w:p>
                  <w:pPr>
                    <w:widowControl/>
                    <w:snapToGrid w:val="0"/>
                    <w:spacing w:before="0" w:beforeAutospacing="0" w:after="0" w:afterAutospacing="0" w:line="240" w:lineRule="auto"/>
                    <w:jc w:val="center"/>
                    <w:textAlignment w:val="baseline"/>
                    <w:rPr>
                      <w:rFonts w:hint="eastAsia"/>
                      <w:bCs/>
                      <w:color w:val="auto"/>
                      <w:kern w:val="0"/>
                      <w:szCs w:val="21"/>
                    </w:rPr>
                  </w:pPr>
                  <w:r>
                    <w:rPr>
                      <w:rFonts w:hint="eastAsia"/>
                      <w:b w:val="0"/>
                      <w:bCs/>
                      <w:i w:val="0"/>
                      <w:caps w:val="0"/>
                      <w:color w:val="auto"/>
                      <w:spacing w:val="0"/>
                      <w:w w:val="100"/>
                      <w:kern w:val="0"/>
                      <w:sz w:val="20"/>
                      <w:szCs w:val="21"/>
                    </w:rPr>
                    <w:t>600X900</w:t>
                  </w:r>
                </w:p>
              </w:tc>
              <w:tc>
                <w:tcPr>
                  <w:tcW w:w="825" w:type="pct"/>
                  <w:tcBorders>
                    <w:tl2br w:val="nil"/>
                    <w:tr2bl w:val="nil"/>
                  </w:tcBorders>
                  <w:vAlign w:val="center"/>
                </w:tcPr>
                <w:p>
                  <w:pPr>
                    <w:widowControl/>
                    <w:snapToGrid w:val="0"/>
                    <w:spacing w:before="0" w:beforeAutospacing="0" w:after="0" w:afterAutospacing="0" w:line="240" w:lineRule="auto"/>
                    <w:jc w:val="center"/>
                    <w:textAlignment w:val="baseline"/>
                    <w:rPr>
                      <w:rFonts w:hint="eastAsia"/>
                      <w:bCs/>
                      <w:color w:val="auto"/>
                      <w:kern w:val="0"/>
                      <w:szCs w:val="21"/>
                    </w:rPr>
                  </w:pPr>
                  <w:r>
                    <w:rPr>
                      <w:rFonts w:hint="eastAsia"/>
                      <w:b w:val="0"/>
                      <w:bCs/>
                      <w:i w:val="0"/>
                      <w:caps w:val="0"/>
                      <w:color w:val="auto"/>
                      <w:spacing w:val="0"/>
                      <w:w w:val="100"/>
                      <w:kern w:val="0"/>
                      <w:sz w:val="20"/>
                      <w:szCs w:val="21"/>
                    </w:rPr>
                    <w:t>1200吨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0" w:type="pct"/>
                  <w:tcBorders>
                    <w:tl2br w:val="nil"/>
                    <w:tr2bl w:val="nil"/>
                  </w:tcBorders>
                  <w:vAlign w:val="center"/>
                </w:tcPr>
                <w:p>
                  <w:pPr>
                    <w:widowControl/>
                    <w:adjustRightInd w:val="0"/>
                    <w:snapToGrid w:val="0"/>
                    <w:jc w:val="center"/>
                    <w:rPr>
                      <w:bCs/>
                      <w:color w:val="auto"/>
                      <w:kern w:val="0"/>
                      <w:szCs w:val="21"/>
                    </w:rPr>
                  </w:pPr>
                  <w:r>
                    <w:rPr>
                      <w:bCs/>
                      <w:color w:val="auto"/>
                      <w:kern w:val="0"/>
                      <w:szCs w:val="21"/>
                    </w:rPr>
                    <w:t>3</w:t>
                  </w:r>
                </w:p>
              </w:tc>
              <w:tc>
                <w:tcPr>
                  <w:tcW w:w="1909" w:type="pct"/>
                  <w:tcBorders>
                    <w:tl2br w:val="nil"/>
                    <w:tr2bl w:val="nil"/>
                  </w:tcBorders>
                  <w:vAlign w:val="center"/>
                </w:tcPr>
                <w:p>
                  <w:pPr>
                    <w:widowControl/>
                    <w:adjustRightInd w:val="0"/>
                    <w:snapToGrid w:val="0"/>
                    <w:jc w:val="center"/>
                    <w:rPr>
                      <w:bCs/>
                      <w:color w:val="auto"/>
                      <w:kern w:val="0"/>
                      <w:szCs w:val="21"/>
                    </w:rPr>
                  </w:pPr>
                  <w:r>
                    <w:rPr>
                      <w:rFonts w:hint="eastAsia"/>
                      <w:bCs/>
                      <w:color w:val="auto"/>
                      <w:kern w:val="0"/>
                      <w:szCs w:val="21"/>
                    </w:rPr>
                    <w:t>防尘反击式破碎机</w:t>
                  </w:r>
                </w:p>
              </w:tc>
              <w:tc>
                <w:tcPr>
                  <w:tcW w:w="522" w:type="pct"/>
                  <w:tcBorders>
                    <w:tl2br w:val="nil"/>
                    <w:tr2bl w:val="nil"/>
                  </w:tcBorders>
                  <w:vAlign w:val="center"/>
                </w:tcPr>
                <w:p>
                  <w:pPr>
                    <w:widowControl/>
                    <w:adjustRightInd w:val="0"/>
                    <w:snapToGrid w:val="0"/>
                    <w:jc w:val="center"/>
                    <w:rPr>
                      <w:bCs/>
                      <w:color w:val="auto"/>
                      <w:kern w:val="0"/>
                      <w:szCs w:val="21"/>
                    </w:rPr>
                  </w:pPr>
                  <w:r>
                    <w:rPr>
                      <w:bCs/>
                      <w:color w:val="auto"/>
                      <w:kern w:val="0"/>
                      <w:szCs w:val="21"/>
                    </w:rPr>
                    <w:t>台</w:t>
                  </w:r>
                </w:p>
              </w:tc>
              <w:tc>
                <w:tcPr>
                  <w:tcW w:w="468" w:type="pct"/>
                  <w:tcBorders>
                    <w:tl2br w:val="nil"/>
                    <w:tr2bl w:val="nil"/>
                  </w:tcBorders>
                  <w:vAlign w:val="center"/>
                </w:tcPr>
                <w:p>
                  <w:pPr>
                    <w:widowControl/>
                    <w:snapToGrid w:val="0"/>
                    <w:spacing w:before="0" w:beforeAutospacing="0" w:after="0" w:afterAutospacing="0" w:line="240" w:lineRule="auto"/>
                    <w:jc w:val="center"/>
                    <w:textAlignment w:val="baseline"/>
                    <w:rPr>
                      <w:rFonts w:hint="eastAsia" w:ascii="Times New Roman" w:hAnsi="Times New Roman" w:eastAsia="宋体" w:cs="Times New Roman"/>
                      <w:bCs/>
                      <w:color w:val="auto"/>
                      <w:kern w:val="0"/>
                      <w:sz w:val="21"/>
                      <w:szCs w:val="21"/>
                      <w:lang w:val="en-US" w:eastAsia="zh-CN" w:bidi="ar-SA"/>
                    </w:rPr>
                  </w:pPr>
                  <w:r>
                    <w:rPr>
                      <w:rFonts w:hint="eastAsia"/>
                      <w:b w:val="0"/>
                      <w:bCs/>
                      <w:i w:val="0"/>
                      <w:caps w:val="0"/>
                      <w:color w:val="auto"/>
                      <w:spacing w:val="0"/>
                      <w:w w:val="100"/>
                      <w:kern w:val="0"/>
                      <w:sz w:val="21"/>
                      <w:szCs w:val="21"/>
                    </w:rPr>
                    <w:t>1</w:t>
                  </w:r>
                </w:p>
              </w:tc>
              <w:tc>
                <w:tcPr>
                  <w:tcW w:w="863" w:type="pct"/>
                  <w:tcBorders>
                    <w:tl2br w:val="nil"/>
                    <w:tr2bl w:val="nil"/>
                  </w:tcBorders>
                  <w:vAlign w:val="center"/>
                </w:tcPr>
                <w:p>
                  <w:pPr>
                    <w:widowControl/>
                    <w:snapToGrid w:val="0"/>
                    <w:spacing w:before="0" w:beforeAutospacing="0" w:after="0" w:afterAutospacing="0" w:line="240" w:lineRule="auto"/>
                    <w:jc w:val="center"/>
                    <w:textAlignment w:val="baseline"/>
                    <w:rPr>
                      <w:rFonts w:hint="eastAsia"/>
                      <w:bCs/>
                      <w:color w:val="auto"/>
                      <w:kern w:val="0"/>
                      <w:szCs w:val="21"/>
                    </w:rPr>
                  </w:pPr>
                  <w:r>
                    <w:rPr>
                      <w:rFonts w:hint="eastAsia"/>
                      <w:b w:val="0"/>
                      <w:bCs/>
                      <w:i w:val="0"/>
                      <w:caps w:val="0"/>
                      <w:color w:val="auto"/>
                      <w:spacing w:val="0"/>
                      <w:w w:val="100"/>
                      <w:kern w:val="0"/>
                      <w:sz w:val="20"/>
                      <w:szCs w:val="21"/>
                    </w:rPr>
                    <w:t>800型</w:t>
                  </w:r>
                </w:p>
              </w:tc>
              <w:tc>
                <w:tcPr>
                  <w:tcW w:w="825" w:type="pct"/>
                  <w:tcBorders>
                    <w:tl2br w:val="nil"/>
                    <w:tr2bl w:val="nil"/>
                  </w:tcBorders>
                  <w:vAlign w:val="center"/>
                </w:tcPr>
                <w:p>
                  <w:pPr>
                    <w:widowControl/>
                    <w:snapToGrid w:val="0"/>
                    <w:spacing w:before="0" w:beforeAutospacing="0" w:after="0" w:afterAutospacing="0" w:line="240" w:lineRule="auto"/>
                    <w:jc w:val="center"/>
                    <w:textAlignment w:val="baseline"/>
                    <w:rPr>
                      <w:rFonts w:hint="eastAsia"/>
                      <w:bCs/>
                      <w:color w:val="auto"/>
                      <w:kern w:val="0"/>
                      <w:szCs w:val="21"/>
                    </w:rPr>
                  </w:pPr>
                  <w:r>
                    <w:rPr>
                      <w:rFonts w:hint="eastAsia"/>
                      <w:b w:val="0"/>
                      <w:bCs/>
                      <w:i w:val="0"/>
                      <w:caps w:val="0"/>
                      <w:color w:val="auto"/>
                      <w:spacing w:val="0"/>
                      <w:w w:val="100"/>
                      <w:kern w:val="0"/>
                      <w:sz w:val="20"/>
                      <w:szCs w:val="21"/>
                    </w:rPr>
                    <w:t>1000吨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0" w:type="pct"/>
                  <w:tcBorders>
                    <w:tl2br w:val="nil"/>
                    <w:tr2bl w:val="nil"/>
                  </w:tcBorders>
                  <w:vAlign w:val="center"/>
                </w:tcPr>
                <w:p>
                  <w:pPr>
                    <w:widowControl/>
                    <w:adjustRightInd w:val="0"/>
                    <w:snapToGrid w:val="0"/>
                    <w:jc w:val="center"/>
                    <w:rPr>
                      <w:bCs/>
                      <w:color w:val="auto"/>
                      <w:kern w:val="0"/>
                      <w:szCs w:val="21"/>
                    </w:rPr>
                  </w:pPr>
                  <w:r>
                    <w:rPr>
                      <w:bCs/>
                      <w:color w:val="auto"/>
                      <w:kern w:val="0"/>
                      <w:szCs w:val="21"/>
                    </w:rPr>
                    <w:t>4</w:t>
                  </w:r>
                </w:p>
              </w:tc>
              <w:tc>
                <w:tcPr>
                  <w:tcW w:w="1909" w:type="pct"/>
                  <w:tcBorders>
                    <w:tl2br w:val="nil"/>
                    <w:tr2bl w:val="nil"/>
                  </w:tcBorders>
                  <w:vAlign w:val="center"/>
                </w:tcPr>
                <w:p>
                  <w:pPr>
                    <w:widowControl/>
                    <w:adjustRightInd w:val="0"/>
                    <w:snapToGrid w:val="0"/>
                    <w:jc w:val="center"/>
                    <w:rPr>
                      <w:bCs/>
                      <w:color w:val="auto"/>
                      <w:kern w:val="0"/>
                      <w:szCs w:val="21"/>
                    </w:rPr>
                  </w:pPr>
                  <w:r>
                    <w:rPr>
                      <w:rFonts w:hint="eastAsia"/>
                      <w:bCs/>
                      <w:color w:val="auto"/>
                      <w:kern w:val="0"/>
                      <w:szCs w:val="21"/>
                    </w:rPr>
                    <w:t>辊式制砂机</w:t>
                  </w:r>
                </w:p>
              </w:tc>
              <w:tc>
                <w:tcPr>
                  <w:tcW w:w="522" w:type="pct"/>
                  <w:tcBorders>
                    <w:tl2br w:val="nil"/>
                    <w:tr2bl w:val="nil"/>
                  </w:tcBorders>
                  <w:vAlign w:val="center"/>
                </w:tcPr>
                <w:p>
                  <w:pPr>
                    <w:widowControl/>
                    <w:adjustRightInd w:val="0"/>
                    <w:snapToGrid w:val="0"/>
                    <w:jc w:val="center"/>
                    <w:rPr>
                      <w:bCs/>
                      <w:color w:val="auto"/>
                      <w:kern w:val="0"/>
                      <w:szCs w:val="21"/>
                    </w:rPr>
                  </w:pPr>
                  <w:r>
                    <w:rPr>
                      <w:bCs/>
                      <w:color w:val="auto"/>
                      <w:kern w:val="0"/>
                      <w:szCs w:val="21"/>
                    </w:rPr>
                    <w:t>台</w:t>
                  </w:r>
                </w:p>
              </w:tc>
              <w:tc>
                <w:tcPr>
                  <w:tcW w:w="468" w:type="pct"/>
                  <w:tcBorders>
                    <w:tl2br w:val="nil"/>
                    <w:tr2bl w:val="nil"/>
                  </w:tcBorders>
                  <w:vAlign w:val="center"/>
                </w:tcPr>
                <w:p>
                  <w:pPr>
                    <w:widowControl/>
                    <w:snapToGrid w:val="0"/>
                    <w:spacing w:before="0" w:beforeAutospacing="0" w:after="0" w:afterAutospacing="0" w:line="240" w:lineRule="auto"/>
                    <w:jc w:val="center"/>
                    <w:textAlignment w:val="baseline"/>
                    <w:rPr>
                      <w:rFonts w:hint="eastAsia" w:ascii="Times New Roman" w:hAnsi="Times New Roman" w:eastAsia="宋体" w:cs="Times New Roman"/>
                      <w:bCs/>
                      <w:color w:val="auto"/>
                      <w:kern w:val="0"/>
                      <w:sz w:val="21"/>
                      <w:szCs w:val="21"/>
                      <w:lang w:val="en-US" w:eastAsia="zh-CN" w:bidi="ar-SA"/>
                    </w:rPr>
                  </w:pPr>
                  <w:r>
                    <w:rPr>
                      <w:rFonts w:hint="eastAsia"/>
                      <w:b w:val="0"/>
                      <w:bCs/>
                      <w:i w:val="0"/>
                      <w:caps w:val="0"/>
                      <w:color w:val="auto"/>
                      <w:spacing w:val="0"/>
                      <w:w w:val="100"/>
                      <w:kern w:val="0"/>
                      <w:sz w:val="21"/>
                      <w:szCs w:val="21"/>
                    </w:rPr>
                    <w:t>1</w:t>
                  </w:r>
                </w:p>
              </w:tc>
              <w:tc>
                <w:tcPr>
                  <w:tcW w:w="863" w:type="pct"/>
                  <w:tcBorders>
                    <w:tl2br w:val="nil"/>
                    <w:tr2bl w:val="nil"/>
                  </w:tcBorders>
                  <w:vAlign w:val="center"/>
                </w:tcPr>
                <w:p>
                  <w:pPr>
                    <w:widowControl/>
                    <w:snapToGrid w:val="0"/>
                    <w:spacing w:before="0" w:beforeAutospacing="0" w:after="0" w:afterAutospacing="0" w:line="240" w:lineRule="auto"/>
                    <w:jc w:val="center"/>
                    <w:textAlignment w:val="baseline"/>
                    <w:rPr>
                      <w:rFonts w:hint="eastAsia"/>
                      <w:bCs/>
                      <w:color w:val="auto"/>
                      <w:kern w:val="0"/>
                      <w:szCs w:val="21"/>
                    </w:rPr>
                  </w:pPr>
                  <w:r>
                    <w:rPr>
                      <w:rFonts w:hint="eastAsia"/>
                      <w:b w:val="0"/>
                      <w:i w:val="0"/>
                      <w:caps w:val="0"/>
                      <w:color w:val="auto"/>
                      <w:spacing w:val="0"/>
                      <w:w w:val="100"/>
                      <w:sz w:val="20"/>
                    </w:rPr>
                    <w:t>1000×600</w:t>
                  </w:r>
                </w:p>
              </w:tc>
              <w:tc>
                <w:tcPr>
                  <w:tcW w:w="825" w:type="pct"/>
                  <w:tcBorders>
                    <w:tl2br w:val="nil"/>
                    <w:tr2bl w:val="nil"/>
                  </w:tcBorders>
                  <w:vAlign w:val="center"/>
                </w:tcPr>
                <w:p>
                  <w:pPr>
                    <w:widowControl/>
                    <w:snapToGrid w:val="0"/>
                    <w:spacing w:before="0" w:beforeAutospacing="0" w:after="0" w:afterAutospacing="0" w:line="240" w:lineRule="auto"/>
                    <w:jc w:val="center"/>
                    <w:textAlignment w:val="baseline"/>
                    <w:rPr>
                      <w:rFonts w:hint="eastAsia"/>
                      <w:bCs/>
                      <w:color w:val="auto"/>
                      <w:kern w:val="0"/>
                      <w:szCs w:val="21"/>
                    </w:rPr>
                  </w:pPr>
                  <w:r>
                    <w:rPr>
                      <w:rFonts w:hint="eastAsia"/>
                      <w:b w:val="0"/>
                      <w:bCs/>
                      <w:i w:val="0"/>
                      <w:caps w:val="0"/>
                      <w:color w:val="auto"/>
                      <w:spacing w:val="0"/>
                      <w:w w:val="100"/>
                      <w:kern w:val="0"/>
                      <w:sz w:val="20"/>
                      <w:szCs w:val="21"/>
                    </w:rPr>
                    <w:t>880吨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0" w:type="pct"/>
                  <w:tcBorders>
                    <w:tl2br w:val="nil"/>
                    <w:tr2bl w:val="nil"/>
                  </w:tcBorders>
                  <w:vAlign w:val="center"/>
                </w:tcPr>
                <w:p>
                  <w:pPr>
                    <w:widowControl/>
                    <w:adjustRightInd w:val="0"/>
                    <w:snapToGrid w:val="0"/>
                    <w:jc w:val="center"/>
                    <w:rPr>
                      <w:bCs/>
                      <w:color w:val="auto"/>
                      <w:kern w:val="0"/>
                      <w:szCs w:val="21"/>
                    </w:rPr>
                  </w:pPr>
                  <w:r>
                    <w:rPr>
                      <w:bCs/>
                      <w:color w:val="auto"/>
                      <w:kern w:val="0"/>
                      <w:szCs w:val="21"/>
                    </w:rPr>
                    <w:t>5</w:t>
                  </w:r>
                </w:p>
              </w:tc>
              <w:tc>
                <w:tcPr>
                  <w:tcW w:w="1909" w:type="pct"/>
                  <w:tcBorders>
                    <w:tl2br w:val="nil"/>
                    <w:tr2bl w:val="nil"/>
                  </w:tcBorders>
                  <w:vAlign w:val="center"/>
                </w:tcPr>
                <w:p>
                  <w:pPr>
                    <w:widowControl/>
                    <w:adjustRightInd w:val="0"/>
                    <w:snapToGrid w:val="0"/>
                    <w:jc w:val="center"/>
                    <w:rPr>
                      <w:bCs/>
                      <w:color w:val="auto"/>
                      <w:kern w:val="0"/>
                      <w:szCs w:val="21"/>
                    </w:rPr>
                  </w:pPr>
                  <w:r>
                    <w:rPr>
                      <w:rFonts w:hint="eastAsia"/>
                      <w:bCs/>
                      <w:color w:val="auto"/>
                      <w:kern w:val="0"/>
                      <w:szCs w:val="21"/>
                    </w:rPr>
                    <w:t>振动筛</w:t>
                  </w:r>
                </w:p>
              </w:tc>
              <w:tc>
                <w:tcPr>
                  <w:tcW w:w="522" w:type="pct"/>
                  <w:tcBorders>
                    <w:tl2br w:val="nil"/>
                    <w:tr2bl w:val="nil"/>
                  </w:tcBorders>
                  <w:vAlign w:val="center"/>
                </w:tcPr>
                <w:p>
                  <w:pPr>
                    <w:widowControl/>
                    <w:adjustRightInd w:val="0"/>
                    <w:snapToGrid w:val="0"/>
                    <w:jc w:val="center"/>
                    <w:rPr>
                      <w:bCs/>
                      <w:color w:val="auto"/>
                      <w:kern w:val="0"/>
                      <w:szCs w:val="21"/>
                    </w:rPr>
                  </w:pPr>
                  <w:r>
                    <w:rPr>
                      <w:rFonts w:hint="eastAsia"/>
                      <w:bCs/>
                      <w:color w:val="auto"/>
                      <w:kern w:val="0"/>
                      <w:szCs w:val="21"/>
                    </w:rPr>
                    <w:t>套</w:t>
                  </w:r>
                </w:p>
              </w:tc>
              <w:tc>
                <w:tcPr>
                  <w:tcW w:w="468" w:type="pct"/>
                  <w:tcBorders>
                    <w:tl2br w:val="nil"/>
                    <w:tr2bl w:val="nil"/>
                  </w:tcBorders>
                  <w:vAlign w:val="center"/>
                </w:tcPr>
                <w:p>
                  <w:pPr>
                    <w:widowControl/>
                    <w:snapToGrid w:val="0"/>
                    <w:spacing w:before="0" w:beforeAutospacing="0" w:after="0" w:afterAutospacing="0" w:line="240" w:lineRule="auto"/>
                    <w:jc w:val="center"/>
                    <w:textAlignment w:val="baseline"/>
                    <w:rPr>
                      <w:rFonts w:hint="eastAsia" w:ascii="Times New Roman" w:hAnsi="Times New Roman" w:eastAsia="宋体" w:cs="Times New Roman"/>
                      <w:bCs/>
                      <w:color w:val="auto"/>
                      <w:kern w:val="0"/>
                      <w:sz w:val="21"/>
                      <w:szCs w:val="21"/>
                      <w:lang w:val="en-US" w:eastAsia="zh-CN" w:bidi="ar-SA"/>
                    </w:rPr>
                  </w:pPr>
                  <w:r>
                    <w:rPr>
                      <w:rFonts w:hint="eastAsia"/>
                      <w:b w:val="0"/>
                      <w:bCs/>
                      <w:i w:val="0"/>
                      <w:caps w:val="0"/>
                      <w:color w:val="auto"/>
                      <w:spacing w:val="0"/>
                      <w:w w:val="100"/>
                      <w:kern w:val="0"/>
                      <w:sz w:val="21"/>
                      <w:szCs w:val="21"/>
                    </w:rPr>
                    <w:t>2</w:t>
                  </w:r>
                </w:p>
              </w:tc>
              <w:tc>
                <w:tcPr>
                  <w:tcW w:w="863" w:type="pct"/>
                  <w:tcBorders>
                    <w:tl2br w:val="nil"/>
                    <w:tr2bl w:val="nil"/>
                  </w:tcBorders>
                  <w:vAlign w:val="center"/>
                </w:tcPr>
                <w:p>
                  <w:pPr>
                    <w:widowControl/>
                    <w:snapToGrid w:val="0"/>
                    <w:spacing w:before="0" w:beforeAutospacing="0" w:after="0" w:afterAutospacing="0" w:line="240" w:lineRule="auto"/>
                    <w:jc w:val="center"/>
                    <w:textAlignment w:val="baseline"/>
                    <w:rPr>
                      <w:rFonts w:hint="eastAsia"/>
                      <w:bCs/>
                      <w:color w:val="auto"/>
                      <w:kern w:val="0"/>
                      <w:szCs w:val="21"/>
                    </w:rPr>
                  </w:pPr>
                  <w:r>
                    <w:rPr>
                      <w:rFonts w:hint="eastAsia"/>
                      <w:b w:val="0"/>
                      <w:bCs/>
                      <w:i w:val="0"/>
                      <w:caps w:val="0"/>
                      <w:color w:val="auto"/>
                      <w:spacing w:val="0"/>
                      <w:w w:val="100"/>
                      <w:kern w:val="0"/>
                      <w:sz w:val="20"/>
                      <w:szCs w:val="21"/>
                    </w:rPr>
                    <w:t>S2460</w:t>
                  </w:r>
                </w:p>
              </w:tc>
              <w:tc>
                <w:tcPr>
                  <w:tcW w:w="825" w:type="pct"/>
                  <w:tcBorders>
                    <w:tl2br w:val="nil"/>
                    <w:tr2bl w:val="nil"/>
                  </w:tcBorders>
                  <w:vAlign w:val="center"/>
                </w:tcPr>
                <w:p>
                  <w:pPr>
                    <w:widowControl/>
                    <w:snapToGrid w:val="0"/>
                    <w:spacing w:before="0" w:beforeAutospacing="0" w:after="0" w:afterAutospacing="0" w:line="240" w:lineRule="auto"/>
                    <w:jc w:val="center"/>
                    <w:textAlignment w:val="baseline"/>
                    <w:rPr>
                      <w:rFonts w:hint="eastAsia"/>
                      <w:bCs/>
                      <w:color w:val="auto"/>
                      <w:kern w:val="0"/>
                      <w:szCs w:val="21"/>
                    </w:rPr>
                  </w:pPr>
                  <w:r>
                    <w:rPr>
                      <w:rFonts w:hint="eastAsia"/>
                      <w:b w:val="0"/>
                      <w:bCs/>
                      <w:i w:val="0"/>
                      <w:caps w:val="0"/>
                      <w:color w:val="auto"/>
                      <w:spacing w:val="0"/>
                      <w:w w:val="100"/>
                      <w:kern w:val="0"/>
                      <w:sz w:val="20"/>
                      <w:szCs w:val="21"/>
                    </w:rPr>
                    <w:t>1100吨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0" w:type="pct"/>
                  <w:tcBorders>
                    <w:tl2br w:val="nil"/>
                    <w:tr2bl w:val="nil"/>
                  </w:tcBorders>
                  <w:vAlign w:val="center"/>
                </w:tcPr>
                <w:p>
                  <w:pPr>
                    <w:widowControl/>
                    <w:adjustRightInd w:val="0"/>
                    <w:snapToGrid w:val="0"/>
                    <w:jc w:val="center"/>
                    <w:rPr>
                      <w:bCs/>
                      <w:color w:val="auto"/>
                      <w:kern w:val="0"/>
                      <w:szCs w:val="21"/>
                    </w:rPr>
                  </w:pPr>
                  <w:r>
                    <w:rPr>
                      <w:bCs/>
                      <w:color w:val="auto"/>
                      <w:kern w:val="0"/>
                      <w:szCs w:val="21"/>
                    </w:rPr>
                    <w:t>6</w:t>
                  </w:r>
                </w:p>
              </w:tc>
              <w:tc>
                <w:tcPr>
                  <w:tcW w:w="1909" w:type="pct"/>
                  <w:tcBorders>
                    <w:tl2br w:val="nil"/>
                    <w:tr2bl w:val="nil"/>
                  </w:tcBorders>
                  <w:vAlign w:val="center"/>
                </w:tcPr>
                <w:p>
                  <w:pPr>
                    <w:widowControl/>
                    <w:adjustRightInd w:val="0"/>
                    <w:snapToGrid w:val="0"/>
                    <w:jc w:val="center"/>
                    <w:rPr>
                      <w:bCs/>
                      <w:color w:val="auto"/>
                      <w:kern w:val="0"/>
                      <w:szCs w:val="21"/>
                    </w:rPr>
                  </w:pPr>
                  <w:r>
                    <w:rPr>
                      <w:rFonts w:hint="eastAsia"/>
                      <w:bCs/>
                      <w:color w:val="auto"/>
                      <w:kern w:val="0"/>
                      <w:szCs w:val="21"/>
                    </w:rPr>
                    <w:t>除铁器</w:t>
                  </w:r>
                </w:p>
              </w:tc>
              <w:tc>
                <w:tcPr>
                  <w:tcW w:w="522" w:type="pct"/>
                  <w:tcBorders>
                    <w:tl2br w:val="nil"/>
                    <w:tr2bl w:val="nil"/>
                  </w:tcBorders>
                  <w:vAlign w:val="center"/>
                </w:tcPr>
                <w:p>
                  <w:pPr>
                    <w:widowControl/>
                    <w:adjustRightInd w:val="0"/>
                    <w:snapToGrid w:val="0"/>
                    <w:jc w:val="center"/>
                    <w:rPr>
                      <w:bCs/>
                      <w:color w:val="auto"/>
                      <w:kern w:val="0"/>
                      <w:szCs w:val="21"/>
                    </w:rPr>
                  </w:pPr>
                  <w:r>
                    <w:rPr>
                      <w:rFonts w:hint="eastAsia"/>
                      <w:bCs/>
                      <w:color w:val="auto"/>
                      <w:kern w:val="0"/>
                      <w:szCs w:val="21"/>
                    </w:rPr>
                    <w:t>套</w:t>
                  </w:r>
                </w:p>
              </w:tc>
              <w:tc>
                <w:tcPr>
                  <w:tcW w:w="468" w:type="pct"/>
                  <w:tcBorders>
                    <w:tl2br w:val="nil"/>
                    <w:tr2bl w:val="nil"/>
                  </w:tcBorders>
                  <w:vAlign w:val="center"/>
                </w:tcPr>
                <w:p>
                  <w:pPr>
                    <w:widowControl/>
                    <w:snapToGrid w:val="0"/>
                    <w:spacing w:before="0" w:beforeAutospacing="0" w:after="0" w:afterAutospacing="0" w:line="240" w:lineRule="auto"/>
                    <w:jc w:val="center"/>
                    <w:textAlignment w:val="baseline"/>
                    <w:rPr>
                      <w:rFonts w:hint="eastAsia" w:ascii="Times New Roman" w:hAnsi="Times New Roman" w:eastAsia="宋体" w:cs="Times New Roman"/>
                      <w:bCs/>
                      <w:color w:val="auto"/>
                      <w:kern w:val="0"/>
                      <w:sz w:val="21"/>
                      <w:szCs w:val="21"/>
                      <w:lang w:val="en-US" w:eastAsia="zh-CN" w:bidi="ar-SA"/>
                    </w:rPr>
                  </w:pPr>
                  <w:r>
                    <w:rPr>
                      <w:rFonts w:hint="eastAsia"/>
                      <w:b w:val="0"/>
                      <w:bCs/>
                      <w:i w:val="0"/>
                      <w:caps w:val="0"/>
                      <w:color w:val="auto"/>
                      <w:spacing w:val="0"/>
                      <w:w w:val="100"/>
                      <w:kern w:val="0"/>
                      <w:sz w:val="21"/>
                      <w:szCs w:val="21"/>
                    </w:rPr>
                    <w:t>1</w:t>
                  </w:r>
                </w:p>
              </w:tc>
              <w:tc>
                <w:tcPr>
                  <w:tcW w:w="863" w:type="pct"/>
                  <w:tcBorders>
                    <w:tl2br w:val="nil"/>
                    <w:tr2bl w:val="nil"/>
                  </w:tcBorders>
                  <w:vAlign w:val="center"/>
                </w:tcPr>
                <w:p>
                  <w:pPr>
                    <w:widowControl/>
                    <w:snapToGrid w:val="0"/>
                    <w:spacing w:before="0" w:beforeAutospacing="0" w:after="0" w:afterAutospacing="0" w:line="240" w:lineRule="auto"/>
                    <w:jc w:val="center"/>
                    <w:textAlignment w:val="baseline"/>
                    <w:rPr>
                      <w:rFonts w:hint="eastAsia"/>
                      <w:bCs/>
                      <w:color w:val="auto"/>
                      <w:kern w:val="0"/>
                      <w:szCs w:val="21"/>
                    </w:rPr>
                  </w:pPr>
                  <w:r>
                    <w:rPr>
                      <w:rFonts w:hint="eastAsia"/>
                      <w:b w:val="0"/>
                      <w:bCs/>
                      <w:i w:val="0"/>
                      <w:caps w:val="0"/>
                      <w:color w:val="auto"/>
                      <w:spacing w:val="0"/>
                      <w:w w:val="100"/>
                      <w:kern w:val="0"/>
                      <w:sz w:val="20"/>
                      <w:szCs w:val="21"/>
                    </w:rPr>
                    <w:t>RCYB4（3KW）</w:t>
                  </w:r>
                </w:p>
              </w:tc>
              <w:tc>
                <w:tcPr>
                  <w:tcW w:w="825" w:type="pct"/>
                  <w:tcBorders>
                    <w:tl2br w:val="nil"/>
                    <w:tr2bl w:val="nil"/>
                  </w:tcBorders>
                  <w:vAlign w:val="center"/>
                </w:tcPr>
                <w:p>
                  <w:pPr>
                    <w:widowControl/>
                    <w:snapToGrid w:val="0"/>
                    <w:spacing w:before="0" w:beforeAutospacing="0" w:after="0" w:afterAutospacing="0" w:line="240" w:lineRule="auto"/>
                    <w:jc w:val="center"/>
                    <w:textAlignment w:val="baseline"/>
                    <w:rPr>
                      <w:rFonts w:hint="eastAsia"/>
                      <w:bCs/>
                      <w:color w:val="auto"/>
                      <w:kern w:val="0"/>
                      <w:szCs w:val="21"/>
                    </w:rPr>
                  </w:pPr>
                  <w:r>
                    <w:rPr>
                      <w:rFonts w:hint="eastAsia"/>
                      <w:b w:val="0"/>
                      <w:bCs/>
                      <w:i w:val="0"/>
                      <w:caps w:val="0"/>
                      <w:color w:val="auto"/>
                      <w:spacing w:val="0"/>
                      <w:w w:val="100"/>
                      <w:kern w:val="0"/>
                      <w:sz w:val="20"/>
                      <w:szCs w:val="21"/>
                    </w:rPr>
                    <w:t>30t/h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0" w:type="pct"/>
                  <w:tcBorders>
                    <w:tl2br w:val="nil"/>
                    <w:tr2bl w:val="nil"/>
                  </w:tcBorders>
                  <w:vAlign w:val="center"/>
                </w:tcPr>
                <w:p>
                  <w:pPr>
                    <w:widowControl/>
                    <w:adjustRightInd w:val="0"/>
                    <w:snapToGrid w:val="0"/>
                    <w:jc w:val="center"/>
                    <w:rPr>
                      <w:bCs/>
                      <w:color w:val="auto"/>
                      <w:kern w:val="0"/>
                      <w:szCs w:val="21"/>
                    </w:rPr>
                  </w:pPr>
                  <w:r>
                    <w:rPr>
                      <w:bCs/>
                      <w:color w:val="auto"/>
                      <w:kern w:val="0"/>
                      <w:szCs w:val="21"/>
                    </w:rPr>
                    <w:t>7</w:t>
                  </w:r>
                </w:p>
              </w:tc>
              <w:tc>
                <w:tcPr>
                  <w:tcW w:w="1909" w:type="pct"/>
                  <w:tcBorders>
                    <w:tl2br w:val="nil"/>
                    <w:tr2bl w:val="nil"/>
                  </w:tcBorders>
                  <w:vAlign w:val="center"/>
                </w:tcPr>
                <w:p>
                  <w:pPr>
                    <w:widowControl/>
                    <w:adjustRightInd w:val="0"/>
                    <w:snapToGrid w:val="0"/>
                    <w:jc w:val="center"/>
                    <w:rPr>
                      <w:bCs/>
                      <w:color w:val="auto"/>
                      <w:kern w:val="0"/>
                      <w:szCs w:val="21"/>
                    </w:rPr>
                  </w:pPr>
                  <w:r>
                    <w:rPr>
                      <w:rFonts w:hint="eastAsia"/>
                      <w:bCs/>
                      <w:color w:val="auto"/>
                      <w:kern w:val="0"/>
                      <w:szCs w:val="21"/>
                    </w:rPr>
                    <w:t>粉磨机</w:t>
                  </w:r>
                </w:p>
              </w:tc>
              <w:tc>
                <w:tcPr>
                  <w:tcW w:w="522" w:type="pct"/>
                  <w:tcBorders>
                    <w:tl2br w:val="nil"/>
                    <w:tr2bl w:val="nil"/>
                  </w:tcBorders>
                  <w:vAlign w:val="center"/>
                </w:tcPr>
                <w:p>
                  <w:pPr>
                    <w:widowControl/>
                    <w:adjustRightInd w:val="0"/>
                    <w:snapToGrid w:val="0"/>
                    <w:jc w:val="center"/>
                    <w:rPr>
                      <w:bCs/>
                      <w:color w:val="auto"/>
                      <w:kern w:val="0"/>
                      <w:szCs w:val="21"/>
                    </w:rPr>
                  </w:pPr>
                  <w:r>
                    <w:rPr>
                      <w:rFonts w:hint="eastAsia"/>
                      <w:bCs/>
                      <w:color w:val="auto"/>
                      <w:kern w:val="0"/>
                      <w:szCs w:val="21"/>
                    </w:rPr>
                    <w:t>套</w:t>
                  </w:r>
                </w:p>
              </w:tc>
              <w:tc>
                <w:tcPr>
                  <w:tcW w:w="468" w:type="pct"/>
                  <w:tcBorders>
                    <w:tl2br w:val="nil"/>
                    <w:tr2bl w:val="nil"/>
                  </w:tcBorders>
                  <w:vAlign w:val="center"/>
                </w:tcPr>
                <w:p>
                  <w:pPr>
                    <w:widowControl/>
                    <w:snapToGrid w:val="0"/>
                    <w:spacing w:before="0" w:beforeAutospacing="0" w:after="0" w:afterAutospacing="0" w:line="240" w:lineRule="auto"/>
                    <w:jc w:val="center"/>
                    <w:textAlignment w:val="baseline"/>
                    <w:rPr>
                      <w:rFonts w:hint="eastAsia" w:ascii="Times New Roman" w:hAnsi="Times New Roman" w:eastAsia="宋体" w:cs="Times New Roman"/>
                      <w:bCs/>
                      <w:color w:val="auto"/>
                      <w:kern w:val="0"/>
                      <w:sz w:val="21"/>
                      <w:szCs w:val="21"/>
                      <w:lang w:val="en-US" w:eastAsia="zh-CN" w:bidi="ar-SA"/>
                    </w:rPr>
                  </w:pPr>
                  <w:r>
                    <w:rPr>
                      <w:rFonts w:hint="eastAsia"/>
                      <w:b w:val="0"/>
                      <w:bCs/>
                      <w:i w:val="0"/>
                      <w:caps w:val="0"/>
                      <w:color w:val="auto"/>
                      <w:spacing w:val="0"/>
                      <w:w w:val="100"/>
                      <w:kern w:val="0"/>
                      <w:sz w:val="21"/>
                      <w:szCs w:val="21"/>
                    </w:rPr>
                    <w:t>4</w:t>
                  </w:r>
                </w:p>
              </w:tc>
              <w:tc>
                <w:tcPr>
                  <w:tcW w:w="863" w:type="pct"/>
                  <w:tcBorders>
                    <w:tl2br w:val="nil"/>
                    <w:tr2bl w:val="nil"/>
                  </w:tcBorders>
                  <w:vAlign w:val="center"/>
                </w:tcPr>
                <w:p>
                  <w:pPr>
                    <w:widowControl/>
                    <w:snapToGrid w:val="0"/>
                    <w:spacing w:before="0" w:beforeAutospacing="0" w:after="0" w:afterAutospacing="0" w:line="240" w:lineRule="auto"/>
                    <w:jc w:val="center"/>
                    <w:textAlignment w:val="baseline"/>
                    <w:rPr>
                      <w:rFonts w:hint="eastAsia"/>
                      <w:bCs/>
                      <w:color w:val="auto"/>
                      <w:kern w:val="0"/>
                      <w:szCs w:val="21"/>
                    </w:rPr>
                  </w:pPr>
                  <w:r>
                    <w:rPr>
                      <w:rFonts w:hint="eastAsia"/>
                      <w:b w:val="0"/>
                      <w:bCs/>
                      <w:i w:val="0"/>
                      <w:caps w:val="0"/>
                      <w:color w:val="auto"/>
                      <w:spacing w:val="0"/>
                      <w:w w:val="100"/>
                      <w:kern w:val="0"/>
                      <w:sz w:val="20"/>
                      <w:szCs w:val="21"/>
                    </w:rPr>
                    <w:t>JM—400</w:t>
                  </w:r>
                </w:p>
              </w:tc>
              <w:tc>
                <w:tcPr>
                  <w:tcW w:w="825" w:type="pct"/>
                  <w:tcBorders>
                    <w:tl2br w:val="nil"/>
                    <w:tr2bl w:val="nil"/>
                  </w:tcBorders>
                  <w:vAlign w:val="center"/>
                </w:tcPr>
                <w:p>
                  <w:pPr>
                    <w:widowControl/>
                    <w:snapToGrid w:val="0"/>
                    <w:spacing w:before="0" w:beforeAutospacing="0" w:after="0" w:afterAutospacing="0" w:line="240" w:lineRule="auto"/>
                    <w:jc w:val="center"/>
                    <w:textAlignment w:val="baseline"/>
                    <w:rPr>
                      <w:rFonts w:hint="eastAsia"/>
                      <w:bCs/>
                      <w:color w:val="auto"/>
                      <w:kern w:val="0"/>
                      <w:szCs w:val="21"/>
                    </w:rPr>
                  </w:pPr>
                  <w:r>
                    <w:rPr>
                      <w:rFonts w:hint="eastAsia"/>
                      <w:b w:val="0"/>
                      <w:bCs/>
                      <w:i w:val="0"/>
                      <w:caps w:val="0"/>
                      <w:color w:val="auto"/>
                      <w:spacing w:val="0"/>
                      <w:w w:val="100"/>
                      <w:kern w:val="0"/>
                      <w:sz w:val="20"/>
                      <w:szCs w:val="21"/>
                    </w:rPr>
                    <w:t>120吨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0" w:type="pct"/>
                  <w:tcBorders>
                    <w:tl2br w:val="nil"/>
                    <w:tr2bl w:val="nil"/>
                  </w:tcBorders>
                  <w:vAlign w:val="center"/>
                </w:tcPr>
                <w:p>
                  <w:pPr>
                    <w:widowControl/>
                    <w:adjustRightInd w:val="0"/>
                    <w:snapToGrid w:val="0"/>
                    <w:jc w:val="center"/>
                    <w:rPr>
                      <w:bCs/>
                      <w:color w:val="auto"/>
                      <w:kern w:val="0"/>
                      <w:szCs w:val="21"/>
                    </w:rPr>
                  </w:pPr>
                  <w:r>
                    <w:rPr>
                      <w:bCs/>
                      <w:color w:val="auto"/>
                      <w:kern w:val="0"/>
                      <w:szCs w:val="21"/>
                    </w:rPr>
                    <w:t>8</w:t>
                  </w:r>
                </w:p>
              </w:tc>
              <w:tc>
                <w:tcPr>
                  <w:tcW w:w="1909" w:type="pct"/>
                  <w:tcBorders>
                    <w:tl2br w:val="nil"/>
                    <w:tr2bl w:val="nil"/>
                  </w:tcBorders>
                  <w:vAlign w:val="center"/>
                </w:tcPr>
                <w:p>
                  <w:pPr>
                    <w:widowControl/>
                    <w:adjustRightInd w:val="0"/>
                    <w:snapToGrid w:val="0"/>
                    <w:jc w:val="center"/>
                    <w:rPr>
                      <w:bCs/>
                      <w:color w:val="auto"/>
                      <w:kern w:val="0"/>
                      <w:szCs w:val="21"/>
                    </w:rPr>
                  </w:pPr>
                  <w:r>
                    <w:rPr>
                      <w:rFonts w:hint="eastAsia"/>
                      <w:bCs/>
                      <w:color w:val="auto"/>
                      <w:kern w:val="0"/>
                      <w:szCs w:val="21"/>
                    </w:rPr>
                    <w:t>螺旋脱膜机</w:t>
                  </w:r>
                </w:p>
              </w:tc>
              <w:tc>
                <w:tcPr>
                  <w:tcW w:w="522" w:type="pct"/>
                  <w:tcBorders>
                    <w:tl2br w:val="nil"/>
                    <w:tr2bl w:val="nil"/>
                  </w:tcBorders>
                  <w:vAlign w:val="center"/>
                </w:tcPr>
                <w:p>
                  <w:pPr>
                    <w:widowControl/>
                    <w:adjustRightInd w:val="0"/>
                    <w:snapToGrid w:val="0"/>
                    <w:jc w:val="center"/>
                    <w:rPr>
                      <w:bCs/>
                      <w:color w:val="auto"/>
                      <w:kern w:val="0"/>
                      <w:szCs w:val="21"/>
                    </w:rPr>
                  </w:pPr>
                  <w:r>
                    <w:rPr>
                      <w:rFonts w:hint="eastAsia"/>
                      <w:bCs/>
                      <w:color w:val="auto"/>
                      <w:kern w:val="0"/>
                      <w:szCs w:val="21"/>
                    </w:rPr>
                    <w:t>台</w:t>
                  </w:r>
                </w:p>
              </w:tc>
              <w:tc>
                <w:tcPr>
                  <w:tcW w:w="468" w:type="pct"/>
                  <w:tcBorders>
                    <w:tl2br w:val="nil"/>
                    <w:tr2bl w:val="nil"/>
                  </w:tcBorders>
                  <w:vAlign w:val="center"/>
                </w:tcPr>
                <w:p>
                  <w:pPr>
                    <w:widowControl/>
                    <w:snapToGrid w:val="0"/>
                    <w:spacing w:before="0" w:beforeAutospacing="0" w:after="0" w:afterAutospacing="0" w:line="240" w:lineRule="auto"/>
                    <w:jc w:val="center"/>
                    <w:textAlignment w:val="baseline"/>
                    <w:rPr>
                      <w:rFonts w:hint="eastAsia" w:ascii="Times New Roman" w:hAnsi="Times New Roman" w:eastAsia="宋体" w:cs="Times New Roman"/>
                      <w:bCs/>
                      <w:color w:val="auto"/>
                      <w:kern w:val="0"/>
                      <w:sz w:val="21"/>
                      <w:szCs w:val="21"/>
                      <w:lang w:val="en-US" w:eastAsia="zh-CN" w:bidi="ar-SA"/>
                    </w:rPr>
                  </w:pPr>
                  <w:r>
                    <w:rPr>
                      <w:rFonts w:hint="eastAsia"/>
                      <w:b w:val="0"/>
                      <w:bCs/>
                      <w:i w:val="0"/>
                      <w:caps w:val="0"/>
                      <w:color w:val="auto"/>
                      <w:spacing w:val="0"/>
                      <w:w w:val="100"/>
                      <w:kern w:val="0"/>
                      <w:sz w:val="21"/>
                      <w:szCs w:val="21"/>
                    </w:rPr>
                    <w:t>4</w:t>
                  </w:r>
                </w:p>
              </w:tc>
              <w:tc>
                <w:tcPr>
                  <w:tcW w:w="863" w:type="pct"/>
                  <w:tcBorders>
                    <w:tl2br w:val="nil"/>
                    <w:tr2bl w:val="nil"/>
                  </w:tcBorders>
                  <w:vAlign w:val="center"/>
                </w:tcPr>
                <w:p>
                  <w:pPr>
                    <w:widowControl/>
                    <w:snapToGrid w:val="0"/>
                    <w:spacing w:before="0" w:beforeAutospacing="0" w:after="0" w:afterAutospacing="0" w:line="240" w:lineRule="auto"/>
                    <w:jc w:val="center"/>
                    <w:textAlignment w:val="baseline"/>
                    <w:rPr>
                      <w:rFonts w:hint="eastAsia"/>
                      <w:bCs/>
                      <w:color w:val="auto"/>
                      <w:kern w:val="0"/>
                      <w:szCs w:val="21"/>
                    </w:rPr>
                  </w:pPr>
                  <w:r>
                    <w:rPr>
                      <w:rFonts w:hint="eastAsia"/>
                      <w:b w:val="0"/>
                      <w:bCs/>
                      <w:i w:val="0"/>
                      <w:caps w:val="0"/>
                      <w:color w:val="auto"/>
                      <w:spacing w:val="0"/>
                      <w:w w:val="100"/>
                      <w:kern w:val="0"/>
                      <w:sz w:val="20"/>
                      <w:szCs w:val="21"/>
                    </w:rPr>
                    <w:t>xsj150</w:t>
                  </w:r>
                </w:p>
              </w:tc>
              <w:tc>
                <w:tcPr>
                  <w:tcW w:w="825" w:type="pct"/>
                  <w:tcBorders>
                    <w:tl2br w:val="nil"/>
                    <w:tr2bl w:val="nil"/>
                  </w:tcBorders>
                  <w:vAlign w:val="center"/>
                </w:tcPr>
                <w:p>
                  <w:pPr>
                    <w:widowControl/>
                    <w:snapToGrid w:val="0"/>
                    <w:spacing w:before="0" w:beforeAutospacing="0" w:after="0" w:afterAutospacing="0" w:line="240" w:lineRule="auto"/>
                    <w:jc w:val="center"/>
                    <w:textAlignment w:val="baseline"/>
                    <w:rPr>
                      <w:rFonts w:hint="eastAsia"/>
                      <w:bCs/>
                      <w:color w:val="auto"/>
                      <w:kern w:val="0"/>
                      <w:szCs w:val="21"/>
                    </w:rPr>
                  </w:pPr>
                  <w:r>
                    <w:rPr>
                      <w:rFonts w:hint="eastAsia"/>
                      <w:b w:val="0"/>
                      <w:bCs/>
                      <w:i w:val="0"/>
                      <w:caps w:val="0"/>
                      <w:color w:val="auto"/>
                      <w:spacing w:val="0"/>
                      <w:w w:val="100"/>
                      <w:kern w:val="0"/>
                      <w:sz w:val="20"/>
                      <w:szCs w:val="21"/>
                    </w:rPr>
                    <w:t>150/h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0" w:type="pct"/>
                  <w:tcBorders>
                    <w:tl2br w:val="nil"/>
                    <w:tr2bl w:val="nil"/>
                  </w:tcBorders>
                  <w:vAlign w:val="center"/>
                </w:tcPr>
                <w:p>
                  <w:pPr>
                    <w:widowControl/>
                    <w:adjustRightInd w:val="0"/>
                    <w:snapToGrid w:val="0"/>
                    <w:jc w:val="center"/>
                    <w:rPr>
                      <w:bCs/>
                      <w:color w:val="auto"/>
                      <w:kern w:val="0"/>
                      <w:szCs w:val="21"/>
                    </w:rPr>
                  </w:pPr>
                  <w:r>
                    <w:rPr>
                      <w:bCs/>
                      <w:color w:val="auto"/>
                      <w:kern w:val="0"/>
                      <w:szCs w:val="21"/>
                    </w:rPr>
                    <w:t>9</w:t>
                  </w:r>
                </w:p>
              </w:tc>
              <w:tc>
                <w:tcPr>
                  <w:tcW w:w="1909" w:type="pct"/>
                  <w:tcBorders>
                    <w:tl2br w:val="nil"/>
                    <w:tr2bl w:val="nil"/>
                  </w:tcBorders>
                  <w:vAlign w:val="center"/>
                </w:tcPr>
                <w:p>
                  <w:pPr>
                    <w:widowControl/>
                    <w:adjustRightInd w:val="0"/>
                    <w:snapToGrid w:val="0"/>
                    <w:jc w:val="center"/>
                    <w:rPr>
                      <w:bCs/>
                      <w:color w:val="auto"/>
                      <w:kern w:val="0"/>
                      <w:szCs w:val="21"/>
                    </w:rPr>
                  </w:pPr>
                  <w:r>
                    <w:rPr>
                      <w:rFonts w:hint="eastAsia"/>
                      <w:bCs/>
                      <w:color w:val="auto"/>
                      <w:kern w:val="0"/>
                      <w:szCs w:val="21"/>
                    </w:rPr>
                    <w:t>滚动分级筛</w:t>
                  </w:r>
                </w:p>
              </w:tc>
              <w:tc>
                <w:tcPr>
                  <w:tcW w:w="522" w:type="pct"/>
                  <w:tcBorders>
                    <w:tl2br w:val="nil"/>
                    <w:tr2bl w:val="nil"/>
                  </w:tcBorders>
                  <w:vAlign w:val="center"/>
                </w:tcPr>
                <w:p>
                  <w:pPr>
                    <w:widowControl/>
                    <w:adjustRightInd w:val="0"/>
                    <w:snapToGrid w:val="0"/>
                    <w:jc w:val="center"/>
                    <w:rPr>
                      <w:bCs/>
                      <w:color w:val="auto"/>
                      <w:kern w:val="0"/>
                      <w:szCs w:val="21"/>
                    </w:rPr>
                  </w:pPr>
                  <w:r>
                    <w:rPr>
                      <w:bCs/>
                      <w:color w:val="auto"/>
                      <w:kern w:val="0"/>
                      <w:szCs w:val="21"/>
                    </w:rPr>
                    <w:t>套</w:t>
                  </w:r>
                </w:p>
              </w:tc>
              <w:tc>
                <w:tcPr>
                  <w:tcW w:w="468" w:type="pct"/>
                  <w:tcBorders>
                    <w:tl2br w:val="nil"/>
                    <w:tr2bl w:val="nil"/>
                  </w:tcBorders>
                  <w:vAlign w:val="center"/>
                </w:tcPr>
                <w:p>
                  <w:pPr>
                    <w:widowControl/>
                    <w:snapToGrid w:val="0"/>
                    <w:spacing w:before="0" w:beforeAutospacing="0" w:after="0" w:afterAutospacing="0" w:line="240" w:lineRule="auto"/>
                    <w:jc w:val="center"/>
                    <w:textAlignment w:val="baseline"/>
                    <w:rPr>
                      <w:rFonts w:hint="eastAsia" w:ascii="Times New Roman" w:hAnsi="Times New Roman" w:eastAsia="宋体" w:cs="Times New Roman"/>
                      <w:bCs/>
                      <w:color w:val="auto"/>
                      <w:kern w:val="0"/>
                      <w:sz w:val="21"/>
                      <w:szCs w:val="21"/>
                      <w:lang w:val="en-US" w:eastAsia="zh-CN" w:bidi="ar-SA"/>
                    </w:rPr>
                  </w:pPr>
                  <w:r>
                    <w:rPr>
                      <w:rFonts w:hint="eastAsia"/>
                      <w:b w:val="0"/>
                      <w:bCs/>
                      <w:i w:val="0"/>
                      <w:caps w:val="0"/>
                      <w:color w:val="auto"/>
                      <w:spacing w:val="0"/>
                      <w:w w:val="100"/>
                      <w:kern w:val="0"/>
                      <w:sz w:val="21"/>
                      <w:szCs w:val="21"/>
                    </w:rPr>
                    <w:t>2</w:t>
                  </w:r>
                </w:p>
              </w:tc>
              <w:tc>
                <w:tcPr>
                  <w:tcW w:w="863" w:type="pct"/>
                  <w:tcBorders>
                    <w:tl2br w:val="nil"/>
                    <w:tr2bl w:val="nil"/>
                  </w:tcBorders>
                  <w:vAlign w:val="center"/>
                </w:tcPr>
                <w:p>
                  <w:pPr>
                    <w:widowControl/>
                    <w:snapToGrid w:val="0"/>
                    <w:spacing w:before="0" w:beforeAutospacing="0" w:after="0" w:afterAutospacing="0" w:line="240" w:lineRule="auto"/>
                    <w:jc w:val="center"/>
                    <w:textAlignment w:val="baseline"/>
                    <w:rPr>
                      <w:rFonts w:hint="eastAsia"/>
                      <w:bCs/>
                      <w:color w:val="auto"/>
                      <w:kern w:val="0"/>
                      <w:szCs w:val="21"/>
                    </w:rPr>
                  </w:pPr>
                  <w:r>
                    <w:rPr>
                      <w:rFonts w:hint="eastAsia"/>
                      <w:b w:val="0"/>
                      <w:bCs/>
                      <w:i w:val="0"/>
                      <w:caps w:val="0"/>
                      <w:color w:val="auto"/>
                      <w:spacing w:val="0"/>
                      <w:w w:val="100"/>
                      <w:kern w:val="0"/>
                      <w:sz w:val="20"/>
                      <w:szCs w:val="21"/>
                    </w:rPr>
                    <w:t>1.2X6</w:t>
                  </w:r>
                </w:p>
              </w:tc>
              <w:tc>
                <w:tcPr>
                  <w:tcW w:w="825" w:type="pct"/>
                  <w:tcBorders>
                    <w:tl2br w:val="nil"/>
                    <w:tr2bl w:val="nil"/>
                  </w:tcBorders>
                  <w:vAlign w:val="center"/>
                </w:tcPr>
                <w:p>
                  <w:pPr>
                    <w:widowControl/>
                    <w:snapToGrid w:val="0"/>
                    <w:spacing w:before="0" w:beforeAutospacing="0" w:after="0" w:afterAutospacing="0" w:line="240" w:lineRule="auto"/>
                    <w:jc w:val="center"/>
                    <w:textAlignment w:val="baseline"/>
                    <w:rPr>
                      <w:rFonts w:hint="eastAsia"/>
                      <w:bCs/>
                      <w:color w:val="auto"/>
                      <w:kern w:val="0"/>
                      <w:szCs w:val="21"/>
                    </w:rPr>
                  </w:pPr>
                  <w:r>
                    <w:rPr>
                      <w:rFonts w:hint="eastAsia"/>
                      <w:b w:val="0"/>
                      <w:bCs/>
                      <w:i w:val="0"/>
                      <w:caps w:val="0"/>
                      <w:color w:val="auto"/>
                      <w:spacing w:val="0"/>
                      <w:w w:val="100"/>
                      <w:kern w:val="0"/>
                      <w:sz w:val="20"/>
                      <w:szCs w:val="21"/>
                    </w:rPr>
                    <w:t>1300吨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0" w:type="pct"/>
                  <w:tcBorders>
                    <w:tl2br w:val="nil"/>
                    <w:tr2bl w:val="nil"/>
                  </w:tcBorders>
                  <w:vAlign w:val="center"/>
                </w:tcPr>
                <w:p>
                  <w:pPr>
                    <w:widowControl/>
                    <w:adjustRightInd w:val="0"/>
                    <w:snapToGrid w:val="0"/>
                    <w:jc w:val="center"/>
                    <w:rPr>
                      <w:bCs/>
                      <w:color w:val="auto"/>
                      <w:kern w:val="0"/>
                      <w:szCs w:val="21"/>
                    </w:rPr>
                  </w:pPr>
                  <w:r>
                    <w:rPr>
                      <w:bCs/>
                      <w:color w:val="auto"/>
                      <w:kern w:val="0"/>
                      <w:szCs w:val="21"/>
                    </w:rPr>
                    <w:t>10</w:t>
                  </w:r>
                </w:p>
              </w:tc>
              <w:tc>
                <w:tcPr>
                  <w:tcW w:w="1909" w:type="pct"/>
                  <w:tcBorders>
                    <w:tl2br w:val="nil"/>
                    <w:tr2bl w:val="nil"/>
                  </w:tcBorders>
                  <w:vAlign w:val="center"/>
                </w:tcPr>
                <w:p>
                  <w:pPr>
                    <w:widowControl/>
                    <w:adjustRightInd w:val="0"/>
                    <w:snapToGrid w:val="0"/>
                    <w:jc w:val="center"/>
                    <w:rPr>
                      <w:bCs/>
                      <w:color w:val="auto"/>
                      <w:kern w:val="0"/>
                      <w:szCs w:val="21"/>
                    </w:rPr>
                  </w:pPr>
                  <w:r>
                    <w:rPr>
                      <w:rFonts w:hint="eastAsia"/>
                      <w:bCs/>
                      <w:color w:val="auto"/>
                      <w:kern w:val="0"/>
                      <w:szCs w:val="21"/>
                    </w:rPr>
                    <w:t>泥块破碎粉化机</w:t>
                  </w:r>
                </w:p>
              </w:tc>
              <w:tc>
                <w:tcPr>
                  <w:tcW w:w="522" w:type="pct"/>
                  <w:tcBorders>
                    <w:tl2br w:val="nil"/>
                    <w:tr2bl w:val="nil"/>
                  </w:tcBorders>
                  <w:vAlign w:val="center"/>
                </w:tcPr>
                <w:p>
                  <w:pPr>
                    <w:widowControl/>
                    <w:adjustRightInd w:val="0"/>
                    <w:snapToGrid w:val="0"/>
                    <w:jc w:val="center"/>
                    <w:rPr>
                      <w:bCs/>
                      <w:color w:val="auto"/>
                      <w:kern w:val="0"/>
                      <w:szCs w:val="21"/>
                    </w:rPr>
                  </w:pPr>
                  <w:r>
                    <w:rPr>
                      <w:rFonts w:hint="eastAsia"/>
                      <w:bCs/>
                      <w:color w:val="auto"/>
                      <w:kern w:val="0"/>
                      <w:szCs w:val="21"/>
                    </w:rPr>
                    <w:t>台</w:t>
                  </w:r>
                </w:p>
              </w:tc>
              <w:tc>
                <w:tcPr>
                  <w:tcW w:w="468" w:type="pct"/>
                  <w:tcBorders>
                    <w:tl2br w:val="nil"/>
                    <w:tr2bl w:val="nil"/>
                  </w:tcBorders>
                  <w:vAlign w:val="center"/>
                </w:tcPr>
                <w:p>
                  <w:pPr>
                    <w:widowControl/>
                    <w:snapToGrid w:val="0"/>
                    <w:spacing w:before="0" w:beforeAutospacing="0" w:after="0" w:afterAutospacing="0" w:line="240" w:lineRule="auto"/>
                    <w:jc w:val="center"/>
                    <w:textAlignment w:val="baseline"/>
                    <w:rPr>
                      <w:rFonts w:hint="eastAsia" w:ascii="Times New Roman" w:hAnsi="Times New Roman" w:eastAsia="宋体" w:cs="Times New Roman"/>
                      <w:bCs/>
                      <w:color w:val="auto"/>
                      <w:kern w:val="0"/>
                      <w:sz w:val="21"/>
                      <w:szCs w:val="21"/>
                      <w:lang w:val="en-US" w:eastAsia="zh-CN" w:bidi="ar-SA"/>
                    </w:rPr>
                  </w:pPr>
                  <w:r>
                    <w:rPr>
                      <w:rFonts w:hint="eastAsia"/>
                      <w:b w:val="0"/>
                      <w:bCs/>
                      <w:i w:val="0"/>
                      <w:caps w:val="0"/>
                      <w:color w:val="auto"/>
                      <w:spacing w:val="0"/>
                      <w:w w:val="100"/>
                      <w:kern w:val="0"/>
                      <w:sz w:val="21"/>
                      <w:szCs w:val="21"/>
                    </w:rPr>
                    <w:t>2</w:t>
                  </w:r>
                </w:p>
              </w:tc>
              <w:tc>
                <w:tcPr>
                  <w:tcW w:w="863" w:type="pct"/>
                  <w:tcBorders>
                    <w:tl2br w:val="nil"/>
                    <w:tr2bl w:val="nil"/>
                  </w:tcBorders>
                  <w:vAlign w:val="center"/>
                </w:tcPr>
                <w:p>
                  <w:pPr>
                    <w:widowControl/>
                    <w:snapToGrid w:val="0"/>
                    <w:spacing w:before="0" w:beforeAutospacing="0" w:after="0" w:afterAutospacing="0" w:line="240" w:lineRule="auto"/>
                    <w:jc w:val="center"/>
                    <w:textAlignment w:val="baseline"/>
                    <w:rPr>
                      <w:rFonts w:hint="eastAsia"/>
                      <w:bCs/>
                      <w:color w:val="auto"/>
                      <w:kern w:val="0"/>
                      <w:szCs w:val="21"/>
                    </w:rPr>
                  </w:pPr>
                  <w:r>
                    <w:rPr>
                      <w:rFonts w:hint="eastAsia"/>
                      <w:b w:val="0"/>
                      <w:bCs/>
                      <w:i w:val="0"/>
                      <w:caps w:val="0"/>
                      <w:color w:val="auto"/>
                      <w:spacing w:val="0"/>
                      <w:w w:val="100"/>
                      <w:kern w:val="0"/>
                      <w:sz w:val="20"/>
                      <w:szCs w:val="21"/>
                    </w:rPr>
                    <w:t>2pgc400X250</w:t>
                  </w:r>
                </w:p>
              </w:tc>
              <w:tc>
                <w:tcPr>
                  <w:tcW w:w="825" w:type="pct"/>
                  <w:tcBorders>
                    <w:tl2br w:val="nil"/>
                    <w:tr2bl w:val="nil"/>
                  </w:tcBorders>
                  <w:vAlign w:val="center"/>
                </w:tcPr>
                <w:p>
                  <w:pPr>
                    <w:widowControl/>
                    <w:snapToGrid w:val="0"/>
                    <w:spacing w:before="0" w:beforeAutospacing="0" w:after="0" w:afterAutospacing="0" w:line="240" w:lineRule="auto"/>
                    <w:jc w:val="center"/>
                    <w:textAlignment w:val="baseline"/>
                    <w:rPr>
                      <w:rFonts w:hint="eastAsia"/>
                      <w:bCs/>
                      <w:color w:val="auto"/>
                      <w:kern w:val="0"/>
                      <w:szCs w:val="21"/>
                    </w:rPr>
                  </w:pPr>
                  <w:r>
                    <w:rPr>
                      <w:rFonts w:hint="eastAsia"/>
                      <w:b w:val="0"/>
                      <w:bCs/>
                      <w:i w:val="0"/>
                      <w:caps w:val="0"/>
                      <w:color w:val="auto"/>
                      <w:spacing w:val="0"/>
                      <w:w w:val="100"/>
                      <w:kern w:val="0"/>
                      <w:sz w:val="20"/>
                      <w:szCs w:val="21"/>
                    </w:rPr>
                    <w:t>108吨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0" w:type="pct"/>
                  <w:tcBorders>
                    <w:tl2br w:val="nil"/>
                    <w:tr2bl w:val="nil"/>
                  </w:tcBorders>
                  <w:vAlign w:val="center"/>
                </w:tcPr>
                <w:p>
                  <w:pPr>
                    <w:widowControl/>
                    <w:adjustRightInd w:val="0"/>
                    <w:snapToGrid w:val="0"/>
                    <w:jc w:val="center"/>
                    <w:rPr>
                      <w:bCs/>
                      <w:color w:val="auto"/>
                      <w:kern w:val="0"/>
                      <w:szCs w:val="21"/>
                    </w:rPr>
                  </w:pPr>
                  <w:r>
                    <w:rPr>
                      <w:bCs/>
                      <w:color w:val="auto"/>
                      <w:kern w:val="0"/>
                      <w:szCs w:val="21"/>
                    </w:rPr>
                    <w:t>11</w:t>
                  </w:r>
                </w:p>
              </w:tc>
              <w:tc>
                <w:tcPr>
                  <w:tcW w:w="1909" w:type="pct"/>
                  <w:tcBorders>
                    <w:tl2br w:val="nil"/>
                    <w:tr2bl w:val="nil"/>
                  </w:tcBorders>
                  <w:vAlign w:val="center"/>
                </w:tcPr>
                <w:p>
                  <w:pPr>
                    <w:widowControl/>
                    <w:adjustRightInd w:val="0"/>
                    <w:snapToGrid w:val="0"/>
                    <w:jc w:val="center"/>
                    <w:rPr>
                      <w:bCs/>
                      <w:color w:val="auto"/>
                      <w:kern w:val="0"/>
                      <w:szCs w:val="21"/>
                    </w:rPr>
                  </w:pPr>
                  <w:r>
                    <w:rPr>
                      <w:rFonts w:hint="eastAsia"/>
                      <w:bCs/>
                      <w:color w:val="auto"/>
                      <w:kern w:val="0"/>
                      <w:szCs w:val="21"/>
                    </w:rPr>
                    <w:t>拌和机</w:t>
                  </w:r>
                </w:p>
              </w:tc>
              <w:tc>
                <w:tcPr>
                  <w:tcW w:w="522" w:type="pct"/>
                  <w:tcBorders>
                    <w:tl2br w:val="nil"/>
                    <w:tr2bl w:val="nil"/>
                  </w:tcBorders>
                  <w:vAlign w:val="center"/>
                </w:tcPr>
                <w:p>
                  <w:pPr>
                    <w:widowControl/>
                    <w:adjustRightInd w:val="0"/>
                    <w:snapToGrid w:val="0"/>
                    <w:jc w:val="center"/>
                    <w:rPr>
                      <w:bCs/>
                      <w:color w:val="auto"/>
                      <w:kern w:val="0"/>
                      <w:szCs w:val="21"/>
                    </w:rPr>
                  </w:pPr>
                  <w:r>
                    <w:rPr>
                      <w:rFonts w:hint="eastAsia"/>
                      <w:bCs/>
                      <w:color w:val="auto"/>
                      <w:kern w:val="0"/>
                      <w:szCs w:val="21"/>
                    </w:rPr>
                    <w:t>台</w:t>
                  </w:r>
                </w:p>
              </w:tc>
              <w:tc>
                <w:tcPr>
                  <w:tcW w:w="468" w:type="pct"/>
                  <w:tcBorders>
                    <w:tl2br w:val="nil"/>
                    <w:tr2bl w:val="nil"/>
                  </w:tcBorders>
                  <w:vAlign w:val="center"/>
                </w:tcPr>
                <w:p>
                  <w:pPr>
                    <w:widowControl/>
                    <w:snapToGrid w:val="0"/>
                    <w:spacing w:before="0" w:beforeAutospacing="0" w:after="0" w:afterAutospacing="0" w:line="240" w:lineRule="auto"/>
                    <w:jc w:val="center"/>
                    <w:textAlignment w:val="baseline"/>
                    <w:rPr>
                      <w:rFonts w:hint="eastAsia" w:ascii="Times New Roman" w:hAnsi="Times New Roman" w:eastAsia="宋体" w:cs="Times New Roman"/>
                      <w:bCs/>
                      <w:color w:val="auto"/>
                      <w:kern w:val="0"/>
                      <w:sz w:val="21"/>
                      <w:szCs w:val="21"/>
                      <w:lang w:val="en-US" w:eastAsia="zh-CN" w:bidi="ar-SA"/>
                    </w:rPr>
                  </w:pPr>
                  <w:r>
                    <w:rPr>
                      <w:rFonts w:hint="eastAsia"/>
                      <w:b w:val="0"/>
                      <w:bCs/>
                      <w:i w:val="0"/>
                      <w:caps w:val="0"/>
                      <w:color w:val="auto"/>
                      <w:spacing w:val="0"/>
                      <w:w w:val="100"/>
                      <w:kern w:val="0"/>
                      <w:sz w:val="21"/>
                      <w:szCs w:val="21"/>
                    </w:rPr>
                    <w:t>4</w:t>
                  </w:r>
                </w:p>
              </w:tc>
              <w:tc>
                <w:tcPr>
                  <w:tcW w:w="863" w:type="pct"/>
                  <w:tcBorders>
                    <w:tl2br w:val="nil"/>
                    <w:tr2bl w:val="nil"/>
                  </w:tcBorders>
                  <w:vAlign w:val="center"/>
                </w:tcPr>
                <w:p>
                  <w:pPr>
                    <w:widowControl/>
                    <w:snapToGrid w:val="0"/>
                    <w:spacing w:before="0" w:beforeAutospacing="0" w:after="0" w:afterAutospacing="0" w:line="240" w:lineRule="auto"/>
                    <w:jc w:val="center"/>
                    <w:textAlignment w:val="baseline"/>
                    <w:rPr>
                      <w:rFonts w:hint="eastAsia"/>
                      <w:bCs/>
                      <w:color w:val="auto"/>
                      <w:kern w:val="0"/>
                      <w:szCs w:val="21"/>
                    </w:rPr>
                  </w:pPr>
                  <w:r>
                    <w:rPr>
                      <w:rFonts w:hint="eastAsia"/>
                      <w:b w:val="0"/>
                      <w:bCs/>
                      <w:i w:val="0"/>
                      <w:caps w:val="0"/>
                      <w:color w:val="auto"/>
                      <w:spacing w:val="0"/>
                      <w:w w:val="100"/>
                      <w:kern w:val="0"/>
                      <w:sz w:val="20"/>
                      <w:szCs w:val="21"/>
                    </w:rPr>
                    <w:t>js500型</w:t>
                  </w:r>
                </w:p>
              </w:tc>
              <w:tc>
                <w:tcPr>
                  <w:tcW w:w="825" w:type="pct"/>
                  <w:tcBorders>
                    <w:tl2br w:val="nil"/>
                    <w:tr2bl w:val="nil"/>
                  </w:tcBorders>
                  <w:vAlign w:val="center"/>
                </w:tcPr>
                <w:p>
                  <w:pPr>
                    <w:widowControl/>
                    <w:snapToGrid w:val="0"/>
                    <w:spacing w:before="0" w:beforeAutospacing="0" w:after="0" w:afterAutospacing="0" w:line="240" w:lineRule="auto"/>
                    <w:jc w:val="center"/>
                    <w:textAlignment w:val="baseline"/>
                    <w:rPr>
                      <w:rFonts w:hint="eastAsia"/>
                      <w:bCs/>
                      <w:color w:val="auto"/>
                      <w:kern w:val="0"/>
                      <w:szCs w:val="21"/>
                    </w:rPr>
                  </w:pPr>
                  <w:r>
                    <w:rPr>
                      <w:rFonts w:hint="eastAsia"/>
                      <w:b w:val="0"/>
                      <w:bCs/>
                      <w:i w:val="0"/>
                      <w:caps w:val="0"/>
                      <w:color w:val="auto"/>
                      <w:spacing w:val="0"/>
                      <w:w w:val="100"/>
                      <w:kern w:val="0"/>
                      <w:sz w:val="20"/>
                      <w:szCs w:val="21"/>
                    </w:rPr>
                    <w:t>300吨/h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0" w:type="pct"/>
                  <w:tcBorders>
                    <w:tl2br w:val="nil"/>
                    <w:tr2bl w:val="nil"/>
                  </w:tcBorders>
                  <w:vAlign w:val="center"/>
                </w:tcPr>
                <w:p>
                  <w:pPr>
                    <w:widowControl/>
                    <w:adjustRightInd w:val="0"/>
                    <w:snapToGrid w:val="0"/>
                    <w:jc w:val="center"/>
                    <w:rPr>
                      <w:bCs/>
                      <w:color w:val="auto"/>
                      <w:kern w:val="0"/>
                      <w:szCs w:val="21"/>
                    </w:rPr>
                  </w:pPr>
                  <w:r>
                    <w:rPr>
                      <w:bCs/>
                      <w:color w:val="auto"/>
                      <w:kern w:val="0"/>
                      <w:szCs w:val="21"/>
                    </w:rPr>
                    <w:t>12</w:t>
                  </w:r>
                </w:p>
              </w:tc>
              <w:tc>
                <w:tcPr>
                  <w:tcW w:w="1909" w:type="pct"/>
                  <w:tcBorders>
                    <w:tl2br w:val="nil"/>
                    <w:tr2bl w:val="nil"/>
                  </w:tcBorders>
                  <w:vAlign w:val="center"/>
                </w:tcPr>
                <w:p>
                  <w:pPr>
                    <w:widowControl/>
                    <w:adjustRightInd w:val="0"/>
                    <w:snapToGrid w:val="0"/>
                    <w:jc w:val="center"/>
                    <w:rPr>
                      <w:bCs/>
                      <w:color w:val="auto"/>
                      <w:kern w:val="0"/>
                      <w:szCs w:val="21"/>
                    </w:rPr>
                  </w:pPr>
                  <w:r>
                    <w:rPr>
                      <w:rFonts w:hint="eastAsia"/>
                      <w:bCs/>
                      <w:color w:val="auto"/>
                      <w:kern w:val="0"/>
                      <w:szCs w:val="21"/>
                    </w:rPr>
                    <w:t>固化专用成型机</w:t>
                  </w:r>
                </w:p>
              </w:tc>
              <w:tc>
                <w:tcPr>
                  <w:tcW w:w="522" w:type="pct"/>
                  <w:tcBorders>
                    <w:tl2br w:val="nil"/>
                    <w:tr2bl w:val="nil"/>
                  </w:tcBorders>
                  <w:vAlign w:val="center"/>
                </w:tcPr>
                <w:p>
                  <w:pPr>
                    <w:widowControl/>
                    <w:adjustRightInd w:val="0"/>
                    <w:snapToGrid w:val="0"/>
                    <w:jc w:val="center"/>
                    <w:rPr>
                      <w:bCs/>
                      <w:color w:val="auto"/>
                      <w:kern w:val="0"/>
                      <w:szCs w:val="21"/>
                    </w:rPr>
                  </w:pPr>
                  <w:r>
                    <w:rPr>
                      <w:rFonts w:hint="eastAsia"/>
                      <w:bCs/>
                      <w:color w:val="auto"/>
                      <w:kern w:val="0"/>
                      <w:szCs w:val="21"/>
                    </w:rPr>
                    <w:t>台</w:t>
                  </w:r>
                </w:p>
              </w:tc>
              <w:tc>
                <w:tcPr>
                  <w:tcW w:w="468" w:type="pct"/>
                  <w:tcBorders>
                    <w:tl2br w:val="nil"/>
                    <w:tr2bl w:val="nil"/>
                  </w:tcBorders>
                  <w:vAlign w:val="center"/>
                </w:tcPr>
                <w:p>
                  <w:pPr>
                    <w:widowControl/>
                    <w:snapToGrid w:val="0"/>
                    <w:spacing w:before="0" w:beforeAutospacing="0" w:after="0" w:afterAutospacing="0" w:line="240" w:lineRule="auto"/>
                    <w:jc w:val="center"/>
                    <w:textAlignment w:val="baseline"/>
                    <w:rPr>
                      <w:rFonts w:hint="eastAsia" w:ascii="Times New Roman" w:hAnsi="Times New Roman" w:eastAsia="宋体" w:cs="Times New Roman"/>
                      <w:bCs/>
                      <w:color w:val="auto"/>
                      <w:kern w:val="0"/>
                      <w:sz w:val="21"/>
                      <w:szCs w:val="21"/>
                      <w:lang w:val="en-US" w:eastAsia="zh-CN" w:bidi="ar-SA"/>
                    </w:rPr>
                  </w:pPr>
                  <w:r>
                    <w:rPr>
                      <w:rFonts w:hint="eastAsia"/>
                      <w:b w:val="0"/>
                      <w:bCs/>
                      <w:i w:val="0"/>
                      <w:caps w:val="0"/>
                      <w:color w:val="auto"/>
                      <w:spacing w:val="0"/>
                      <w:w w:val="100"/>
                      <w:kern w:val="0"/>
                      <w:sz w:val="21"/>
                      <w:szCs w:val="21"/>
                    </w:rPr>
                    <w:t>2</w:t>
                  </w:r>
                </w:p>
              </w:tc>
              <w:tc>
                <w:tcPr>
                  <w:tcW w:w="863" w:type="pct"/>
                  <w:tcBorders>
                    <w:tl2br w:val="nil"/>
                    <w:tr2bl w:val="nil"/>
                  </w:tcBorders>
                  <w:vAlign w:val="center"/>
                </w:tcPr>
                <w:p>
                  <w:pPr>
                    <w:widowControl/>
                    <w:snapToGrid w:val="0"/>
                    <w:spacing w:before="0" w:beforeAutospacing="0" w:after="0" w:afterAutospacing="0" w:line="240" w:lineRule="auto"/>
                    <w:jc w:val="center"/>
                    <w:textAlignment w:val="baseline"/>
                    <w:rPr>
                      <w:rFonts w:hint="eastAsia"/>
                      <w:bCs/>
                      <w:color w:val="auto"/>
                      <w:kern w:val="0"/>
                      <w:szCs w:val="21"/>
                    </w:rPr>
                  </w:pPr>
                  <w:r>
                    <w:rPr>
                      <w:rFonts w:hint="eastAsia"/>
                      <w:b w:val="0"/>
                      <w:i w:val="0"/>
                      <w:caps w:val="0"/>
                      <w:color w:val="auto"/>
                      <w:spacing w:val="0"/>
                      <w:w w:val="100"/>
                      <w:sz w:val="20"/>
                    </w:rPr>
                    <w:t>63MCY14-113</w:t>
                  </w:r>
                </w:p>
              </w:tc>
              <w:tc>
                <w:tcPr>
                  <w:tcW w:w="825" w:type="pct"/>
                  <w:tcBorders>
                    <w:tl2br w:val="nil"/>
                    <w:tr2bl w:val="nil"/>
                  </w:tcBorders>
                  <w:vAlign w:val="center"/>
                </w:tcPr>
                <w:p>
                  <w:pPr>
                    <w:widowControl/>
                    <w:snapToGrid w:val="0"/>
                    <w:spacing w:before="0" w:beforeAutospacing="0" w:after="0" w:afterAutospacing="0" w:line="240" w:lineRule="auto"/>
                    <w:jc w:val="center"/>
                    <w:textAlignment w:val="baseline"/>
                    <w:rPr>
                      <w:rFonts w:hint="eastAsia"/>
                      <w:bCs/>
                      <w:color w:val="auto"/>
                      <w:kern w:val="0"/>
                      <w:szCs w:val="21"/>
                    </w:rPr>
                  </w:pPr>
                  <w:r>
                    <w:rPr>
                      <w:rFonts w:hint="eastAsia"/>
                      <w:b w:val="0"/>
                      <w:bCs/>
                      <w:i w:val="0"/>
                      <w:caps w:val="0"/>
                      <w:color w:val="auto"/>
                      <w:spacing w:val="0"/>
                      <w:w w:val="100"/>
                      <w:kern w:val="0"/>
                      <w:sz w:val="20"/>
                      <w:szCs w:val="21"/>
                    </w:rPr>
                    <w:t>十万砖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0" w:type="pct"/>
                  <w:tcBorders>
                    <w:tl2br w:val="nil"/>
                    <w:tr2bl w:val="nil"/>
                  </w:tcBorders>
                  <w:vAlign w:val="center"/>
                </w:tcPr>
                <w:p>
                  <w:pPr>
                    <w:widowControl/>
                    <w:adjustRightInd w:val="0"/>
                    <w:snapToGrid w:val="0"/>
                    <w:jc w:val="center"/>
                    <w:rPr>
                      <w:bCs/>
                      <w:color w:val="auto"/>
                      <w:kern w:val="0"/>
                      <w:szCs w:val="21"/>
                    </w:rPr>
                  </w:pPr>
                  <w:r>
                    <w:rPr>
                      <w:rFonts w:hint="eastAsia"/>
                      <w:bCs/>
                      <w:color w:val="auto"/>
                      <w:kern w:val="0"/>
                      <w:szCs w:val="21"/>
                    </w:rPr>
                    <w:t>13</w:t>
                  </w:r>
                </w:p>
              </w:tc>
              <w:tc>
                <w:tcPr>
                  <w:tcW w:w="1909" w:type="pct"/>
                  <w:tcBorders>
                    <w:tl2br w:val="nil"/>
                    <w:tr2bl w:val="nil"/>
                  </w:tcBorders>
                  <w:vAlign w:val="center"/>
                </w:tcPr>
                <w:p>
                  <w:pPr>
                    <w:widowControl/>
                    <w:adjustRightInd w:val="0"/>
                    <w:snapToGrid w:val="0"/>
                    <w:jc w:val="center"/>
                    <w:rPr>
                      <w:bCs/>
                      <w:color w:val="auto"/>
                      <w:kern w:val="0"/>
                      <w:szCs w:val="21"/>
                    </w:rPr>
                  </w:pPr>
                  <w:r>
                    <w:rPr>
                      <w:rFonts w:hint="eastAsia"/>
                      <w:bCs/>
                      <w:color w:val="auto"/>
                      <w:kern w:val="0"/>
                      <w:szCs w:val="21"/>
                    </w:rPr>
                    <w:t>砖块码垛机</w:t>
                  </w:r>
                </w:p>
              </w:tc>
              <w:tc>
                <w:tcPr>
                  <w:tcW w:w="522" w:type="pct"/>
                  <w:tcBorders>
                    <w:tl2br w:val="nil"/>
                    <w:tr2bl w:val="nil"/>
                  </w:tcBorders>
                  <w:vAlign w:val="center"/>
                </w:tcPr>
                <w:p>
                  <w:pPr>
                    <w:widowControl/>
                    <w:adjustRightInd w:val="0"/>
                    <w:snapToGrid w:val="0"/>
                    <w:jc w:val="center"/>
                    <w:rPr>
                      <w:bCs/>
                      <w:color w:val="auto"/>
                      <w:kern w:val="0"/>
                      <w:szCs w:val="21"/>
                    </w:rPr>
                  </w:pPr>
                  <w:r>
                    <w:rPr>
                      <w:rFonts w:hint="eastAsia"/>
                      <w:bCs/>
                      <w:color w:val="auto"/>
                      <w:kern w:val="0"/>
                      <w:szCs w:val="21"/>
                    </w:rPr>
                    <w:t>台</w:t>
                  </w:r>
                </w:p>
              </w:tc>
              <w:tc>
                <w:tcPr>
                  <w:tcW w:w="468" w:type="pct"/>
                  <w:tcBorders>
                    <w:tl2br w:val="nil"/>
                    <w:tr2bl w:val="nil"/>
                  </w:tcBorders>
                  <w:vAlign w:val="center"/>
                </w:tcPr>
                <w:p>
                  <w:pPr>
                    <w:widowControl/>
                    <w:snapToGrid w:val="0"/>
                    <w:spacing w:before="0" w:beforeAutospacing="0" w:after="0" w:afterAutospacing="0" w:line="240" w:lineRule="auto"/>
                    <w:jc w:val="center"/>
                    <w:textAlignment w:val="baseline"/>
                    <w:rPr>
                      <w:rFonts w:hint="eastAsia" w:ascii="Times New Roman" w:hAnsi="Times New Roman" w:eastAsia="宋体" w:cs="Times New Roman"/>
                      <w:bCs/>
                      <w:color w:val="auto"/>
                      <w:kern w:val="0"/>
                      <w:sz w:val="21"/>
                      <w:szCs w:val="21"/>
                      <w:lang w:val="en-US" w:eastAsia="zh-CN" w:bidi="ar-SA"/>
                    </w:rPr>
                  </w:pPr>
                  <w:r>
                    <w:rPr>
                      <w:rFonts w:hint="eastAsia"/>
                      <w:b w:val="0"/>
                      <w:bCs/>
                      <w:i w:val="0"/>
                      <w:caps w:val="0"/>
                      <w:color w:val="auto"/>
                      <w:spacing w:val="0"/>
                      <w:w w:val="100"/>
                      <w:kern w:val="0"/>
                      <w:sz w:val="21"/>
                      <w:szCs w:val="21"/>
                    </w:rPr>
                    <w:t>2</w:t>
                  </w:r>
                </w:p>
              </w:tc>
              <w:tc>
                <w:tcPr>
                  <w:tcW w:w="863" w:type="pct"/>
                  <w:tcBorders>
                    <w:tl2br w:val="nil"/>
                    <w:tr2bl w:val="nil"/>
                  </w:tcBorders>
                  <w:vAlign w:val="center"/>
                </w:tcPr>
                <w:p>
                  <w:pPr>
                    <w:widowControl/>
                    <w:snapToGrid w:val="0"/>
                    <w:spacing w:before="0" w:beforeAutospacing="0" w:after="0" w:afterAutospacing="0" w:line="240" w:lineRule="auto"/>
                    <w:jc w:val="center"/>
                    <w:textAlignment w:val="baseline"/>
                    <w:rPr>
                      <w:rFonts w:hint="eastAsia"/>
                      <w:bCs/>
                      <w:color w:val="auto"/>
                      <w:kern w:val="0"/>
                      <w:szCs w:val="21"/>
                    </w:rPr>
                  </w:pPr>
                  <w:r>
                    <w:rPr>
                      <w:rFonts w:hint="eastAsia"/>
                      <w:b w:val="0"/>
                      <w:bCs/>
                      <w:i w:val="0"/>
                      <w:caps w:val="0"/>
                      <w:color w:val="auto"/>
                      <w:spacing w:val="0"/>
                      <w:w w:val="100"/>
                      <w:kern w:val="0"/>
                      <w:sz w:val="20"/>
                      <w:szCs w:val="21"/>
                    </w:rPr>
                    <w:t>YTJ019—12</w:t>
                  </w:r>
                </w:p>
              </w:tc>
              <w:tc>
                <w:tcPr>
                  <w:tcW w:w="825" w:type="pct"/>
                  <w:tcBorders>
                    <w:tl2br w:val="nil"/>
                    <w:tr2bl w:val="nil"/>
                  </w:tcBorders>
                  <w:vAlign w:val="center"/>
                </w:tcPr>
                <w:p>
                  <w:pPr>
                    <w:widowControl/>
                    <w:snapToGrid w:val="0"/>
                    <w:spacing w:before="0" w:beforeAutospacing="0" w:after="0" w:afterAutospacing="0" w:line="240" w:lineRule="auto"/>
                    <w:jc w:val="center"/>
                    <w:textAlignment w:val="baseline"/>
                    <w:rPr>
                      <w:rFonts w:hint="eastAsia"/>
                      <w:bCs/>
                      <w:color w:val="auto"/>
                      <w:kern w:val="0"/>
                      <w:szCs w:val="21"/>
                    </w:rPr>
                  </w:pPr>
                  <w:r>
                    <w:rPr>
                      <w:rFonts w:hint="eastAsia"/>
                      <w:b w:val="0"/>
                      <w:bCs/>
                      <w:i w:val="0"/>
                      <w:caps w:val="0"/>
                      <w:color w:val="auto"/>
                      <w:spacing w:val="0"/>
                      <w:w w:val="100"/>
                      <w:kern w:val="0"/>
                      <w:sz w:val="20"/>
                      <w:szCs w:val="21"/>
                    </w:rPr>
                    <w:t>1.5万块/h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0" w:type="pct"/>
                  <w:tcBorders>
                    <w:tl2br w:val="nil"/>
                    <w:tr2bl w:val="nil"/>
                  </w:tcBorders>
                  <w:vAlign w:val="center"/>
                </w:tcPr>
                <w:p>
                  <w:pPr>
                    <w:widowControl/>
                    <w:adjustRightInd w:val="0"/>
                    <w:snapToGrid w:val="0"/>
                    <w:jc w:val="center"/>
                    <w:rPr>
                      <w:bCs/>
                      <w:color w:val="auto"/>
                      <w:kern w:val="0"/>
                      <w:szCs w:val="21"/>
                    </w:rPr>
                  </w:pPr>
                  <w:r>
                    <w:rPr>
                      <w:rFonts w:hint="eastAsia"/>
                      <w:bCs/>
                      <w:color w:val="auto"/>
                      <w:kern w:val="0"/>
                      <w:szCs w:val="21"/>
                    </w:rPr>
                    <w:t>14</w:t>
                  </w:r>
                </w:p>
              </w:tc>
              <w:tc>
                <w:tcPr>
                  <w:tcW w:w="1909" w:type="pct"/>
                  <w:tcBorders>
                    <w:tl2br w:val="nil"/>
                    <w:tr2bl w:val="nil"/>
                  </w:tcBorders>
                  <w:vAlign w:val="center"/>
                </w:tcPr>
                <w:p>
                  <w:pPr>
                    <w:widowControl/>
                    <w:adjustRightInd w:val="0"/>
                    <w:snapToGrid w:val="0"/>
                    <w:jc w:val="center"/>
                    <w:rPr>
                      <w:bCs/>
                      <w:color w:val="auto"/>
                      <w:kern w:val="0"/>
                      <w:szCs w:val="21"/>
                    </w:rPr>
                  </w:pPr>
                  <w:r>
                    <w:rPr>
                      <w:rFonts w:hint="eastAsia"/>
                      <w:bCs/>
                      <w:color w:val="auto"/>
                      <w:kern w:val="0"/>
                      <w:szCs w:val="21"/>
                    </w:rPr>
                    <w:t>压滤固液分离机</w:t>
                  </w:r>
                </w:p>
              </w:tc>
              <w:tc>
                <w:tcPr>
                  <w:tcW w:w="522" w:type="pct"/>
                  <w:tcBorders>
                    <w:tl2br w:val="nil"/>
                    <w:tr2bl w:val="nil"/>
                  </w:tcBorders>
                  <w:vAlign w:val="center"/>
                </w:tcPr>
                <w:p>
                  <w:pPr>
                    <w:widowControl/>
                    <w:adjustRightInd w:val="0"/>
                    <w:snapToGrid w:val="0"/>
                    <w:jc w:val="center"/>
                    <w:rPr>
                      <w:bCs/>
                      <w:color w:val="auto"/>
                      <w:kern w:val="0"/>
                      <w:szCs w:val="21"/>
                    </w:rPr>
                  </w:pPr>
                  <w:r>
                    <w:rPr>
                      <w:rFonts w:hint="eastAsia"/>
                      <w:bCs/>
                      <w:color w:val="auto"/>
                      <w:kern w:val="0"/>
                      <w:szCs w:val="21"/>
                    </w:rPr>
                    <w:t>台</w:t>
                  </w:r>
                </w:p>
              </w:tc>
              <w:tc>
                <w:tcPr>
                  <w:tcW w:w="468" w:type="pct"/>
                  <w:tcBorders>
                    <w:tl2br w:val="nil"/>
                    <w:tr2bl w:val="nil"/>
                  </w:tcBorders>
                  <w:vAlign w:val="center"/>
                </w:tcPr>
                <w:p>
                  <w:pPr>
                    <w:widowControl/>
                    <w:snapToGrid w:val="0"/>
                    <w:spacing w:before="0" w:beforeAutospacing="0" w:after="0" w:afterAutospacing="0" w:line="240" w:lineRule="auto"/>
                    <w:jc w:val="center"/>
                    <w:textAlignment w:val="baseline"/>
                    <w:rPr>
                      <w:rFonts w:hint="eastAsia" w:ascii="Times New Roman" w:hAnsi="Times New Roman" w:eastAsia="宋体" w:cs="Times New Roman"/>
                      <w:bCs/>
                      <w:color w:val="auto"/>
                      <w:kern w:val="0"/>
                      <w:sz w:val="21"/>
                      <w:szCs w:val="21"/>
                      <w:lang w:val="en-US" w:eastAsia="zh-CN" w:bidi="ar-SA"/>
                    </w:rPr>
                  </w:pPr>
                  <w:r>
                    <w:rPr>
                      <w:rFonts w:hint="eastAsia"/>
                      <w:b w:val="0"/>
                      <w:bCs/>
                      <w:i w:val="0"/>
                      <w:caps w:val="0"/>
                      <w:color w:val="auto"/>
                      <w:spacing w:val="0"/>
                      <w:w w:val="100"/>
                      <w:kern w:val="0"/>
                      <w:sz w:val="21"/>
                      <w:szCs w:val="21"/>
                    </w:rPr>
                    <w:t>4</w:t>
                  </w:r>
                </w:p>
              </w:tc>
              <w:tc>
                <w:tcPr>
                  <w:tcW w:w="863" w:type="pct"/>
                  <w:tcBorders>
                    <w:tl2br w:val="nil"/>
                    <w:tr2bl w:val="nil"/>
                  </w:tcBorders>
                  <w:vAlign w:val="center"/>
                </w:tcPr>
                <w:p>
                  <w:pPr>
                    <w:widowControl/>
                    <w:snapToGrid w:val="0"/>
                    <w:spacing w:before="0" w:beforeAutospacing="0" w:after="0" w:afterAutospacing="0" w:line="240" w:lineRule="auto"/>
                    <w:jc w:val="center"/>
                    <w:textAlignment w:val="baseline"/>
                    <w:rPr>
                      <w:rFonts w:hint="eastAsia"/>
                      <w:bCs/>
                      <w:color w:val="auto"/>
                      <w:kern w:val="0"/>
                      <w:szCs w:val="21"/>
                    </w:rPr>
                  </w:pPr>
                  <w:r>
                    <w:rPr>
                      <w:rFonts w:hint="eastAsia"/>
                      <w:b w:val="0"/>
                      <w:bCs/>
                      <w:i w:val="0"/>
                      <w:caps w:val="0"/>
                      <w:color w:val="auto"/>
                      <w:spacing w:val="0"/>
                      <w:w w:val="100"/>
                      <w:kern w:val="0"/>
                      <w:sz w:val="20"/>
                      <w:szCs w:val="21"/>
                    </w:rPr>
                    <w:t>XMYZ40/1500</w:t>
                  </w:r>
                </w:p>
              </w:tc>
              <w:tc>
                <w:tcPr>
                  <w:tcW w:w="825" w:type="pct"/>
                  <w:tcBorders>
                    <w:tl2br w:val="nil"/>
                    <w:tr2bl w:val="nil"/>
                  </w:tcBorders>
                  <w:vAlign w:val="center"/>
                </w:tcPr>
                <w:p>
                  <w:pPr>
                    <w:widowControl/>
                    <w:snapToGrid w:val="0"/>
                    <w:spacing w:before="0" w:beforeAutospacing="0" w:after="0" w:afterAutospacing="0" w:line="240" w:lineRule="auto"/>
                    <w:jc w:val="center"/>
                    <w:textAlignment w:val="baseline"/>
                    <w:rPr>
                      <w:rFonts w:hint="eastAsia"/>
                      <w:bCs/>
                      <w:color w:val="auto"/>
                      <w:kern w:val="0"/>
                      <w:szCs w:val="21"/>
                    </w:rPr>
                  </w:pPr>
                  <w:r>
                    <w:rPr>
                      <w:rFonts w:hint="eastAsia"/>
                      <w:b w:val="0"/>
                      <w:bCs/>
                      <w:i w:val="0"/>
                      <w:caps w:val="0"/>
                      <w:color w:val="auto"/>
                      <w:spacing w:val="0"/>
                      <w:w w:val="100"/>
                      <w:kern w:val="0"/>
                      <w:sz w:val="20"/>
                      <w:szCs w:val="21"/>
                    </w:rPr>
                    <w:t>单台100t/h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0" w:type="pct"/>
                  <w:tcBorders>
                    <w:tl2br w:val="nil"/>
                    <w:tr2bl w:val="nil"/>
                  </w:tcBorders>
                  <w:vAlign w:val="center"/>
                </w:tcPr>
                <w:p>
                  <w:pPr>
                    <w:widowControl/>
                    <w:adjustRightInd w:val="0"/>
                    <w:snapToGrid w:val="0"/>
                    <w:jc w:val="center"/>
                    <w:rPr>
                      <w:bCs/>
                      <w:color w:val="auto"/>
                      <w:kern w:val="0"/>
                      <w:szCs w:val="21"/>
                    </w:rPr>
                  </w:pPr>
                  <w:r>
                    <w:rPr>
                      <w:rFonts w:hint="eastAsia"/>
                      <w:bCs/>
                      <w:color w:val="auto"/>
                      <w:kern w:val="0"/>
                      <w:szCs w:val="21"/>
                    </w:rPr>
                    <w:t>15</w:t>
                  </w:r>
                </w:p>
              </w:tc>
              <w:tc>
                <w:tcPr>
                  <w:tcW w:w="1909" w:type="pct"/>
                  <w:tcBorders>
                    <w:tl2br w:val="nil"/>
                    <w:tr2bl w:val="nil"/>
                  </w:tcBorders>
                  <w:vAlign w:val="center"/>
                </w:tcPr>
                <w:p>
                  <w:pPr>
                    <w:widowControl/>
                    <w:adjustRightInd w:val="0"/>
                    <w:snapToGrid w:val="0"/>
                    <w:jc w:val="center"/>
                    <w:rPr>
                      <w:rFonts w:hint="eastAsia" w:ascii="Times New Roman" w:hAnsi="Times New Roman" w:eastAsia="宋体" w:cs="Times New Roman"/>
                      <w:bCs/>
                      <w:color w:val="auto"/>
                      <w:kern w:val="0"/>
                      <w:sz w:val="21"/>
                      <w:szCs w:val="21"/>
                      <w:lang w:val="en-US" w:eastAsia="zh-CN" w:bidi="ar-SA"/>
                    </w:rPr>
                  </w:pPr>
                  <w:r>
                    <w:rPr>
                      <w:rFonts w:hint="eastAsia"/>
                      <w:bCs/>
                      <w:color w:val="auto"/>
                      <w:kern w:val="0"/>
                      <w:szCs w:val="21"/>
                      <w:lang w:eastAsia="zh-CN"/>
                    </w:rPr>
                    <w:t>水泥筒仓</w:t>
                  </w:r>
                </w:p>
              </w:tc>
              <w:tc>
                <w:tcPr>
                  <w:tcW w:w="522" w:type="pct"/>
                  <w:tcBorders>
                    <w:tl2br w:val="nil"/>
                    <w:tr2bl w:val="nil"/>
                  </w:tcBorders>
                  <w:vAlign w:val="center"/>
                </w:tcPr>
                <w:p>
                  <w:pPr>
                    <w:widowControl/>
                    <w:adjustRightInd w:val="0"/>
                    <w:snapToGrid w:val="0"/>
                    <w:jc w:val="center"/>
                    <w:rPr>
                      <w:rFonts w:hint="eastAsia" w:ascii="Times New Roman" w:hAnsi="Times New Roman" w:eastAsia="宋体" w:cs="Times New Roman"/>
                      <w:bCs/>
                      <w:color w:val="auto"/>
                      <w:kern w:val="0"/>
                      <w:sz w:val="21"/>
                      <w:szCs w:val="21"/>
                      <w:lang w:val="en-US" w:eastAsia="zh-CN" w:bidi="ar-SA"/>
                    </w:rPr>
                  </w:pPr>
                  <w:r>
                    <w:rPr>
                      <w:rFonts w:hint="eastAsia"/>
                      <w:bCs/>
                      <w:color w:val="auto"/>
                      <w:kern w:val="0"/>
                      <w:szCs w:val="21"/>
                      <w:lang w:eastAsia="zh-CN"/>
                    </w:rPr>
                    <w:t>座</w:t>
                  </w:r>
                </w:p>
              </w:tc>
              <w:tc>
                <w:tcPr>
                  <w:tcW w:w="468" w:type="pct"/>
                  <w:tcBorders>
                    <w:tl2br w:val="nil"/>
                    <w:tr2bl w:val="nil"/>
                  </w:tcBorders>
                  <w:vAlign w:val="center"/>
                </w:tcPr>
                <w:p>
                  <w:pPr>
                    <w:widowControl/>
                    <w:snapToGrid w:val="0"/>
                    <w:spacing w:before="0" w:beforeAutospacing="0" w:after="0" w:afterAutospacing="0" w:line="240" w:lineRule="auto"/>
                    <w:jc w:val="center"/>
                    <w:textAlignment w:val="baseline"/>
                    <w:rPr>
                      <w:rFonts w:hint="eastAsia" w:ascii="Times New Roman" w:hAnsi="Times New Roman" w:eastAsia="宋体" w:cs="Times New Roman"/>
                      <w:bCs/>
                      <w:color w:val="auto"/>
                      <w:kern w:val="0"/>
                      <w:sz w:val="21"/>
                      <w:szCs w:val="21"/>
                      <w:lang w:val="en-US" w:eastAsia="zh-CN" w:bidi="ar-SA"/>
                    </w:rPr>
                  </w:pPr>
                  <w:r>
                    <w:rPr>
                      <w:rFonts w:hint="eastAsia"/>
                      <w:b w:val="0"/>
                      <w:bCs/>
                      <w:i w:val="0"/>
                      <w:caps w:val="0"/>
                      <w:color w:val="auto"/>
                      <w:spacing w:val="0"/>
                      <w:w w:val="100"/>
                      <w:kern w:val="0"/>
                      <w:sz w:val="21"/>
                      <w:szCs w:val="21"/>
                      <w:lang w:val="en-US" w:eastAsia="zh-CN"/>
                    </w:rPr>
                    <w:t>2</w:t>
                  </w:r>
                </w:p>
              </w:tc>
              <w:tc>
                <w:tcPr>
                  <w:tcW w:w="863" w:type="pct"/>
                  <w:tcBorders>
                    <w:tl2br w:val="nil"/>
                    <w:tr2bl w:val="nil"/>
                  </w:tcBorders>
                  <w:vAlign w:val="center"/>
                </w:tcPr>
                <w:p>
                  <w:pPr>
                    <w:widowControl/>
                    <w:snapToGrid w:val="0"/>
                    <w:spacing w:before="0" w:beforeAutospacing="0" w:after="0" w:afterAutospacing="0" w:line="240" w:lineRule="auto"/>
                    <w:jc w:val="center"/>
                    <w:textAlignment w:val="baseline"/>
                    <w:rPr>
                      <w:rFonts w:hint="eastAsia" w:ascii="Times New Roman" w:hAnsi="Times New Roman" w:eastAsia="宋体" w:cs="Times New Roman"/>
                      <w:bCs/>
                      <w:color w:val="auto"/>
                      <w:kern w:val="0"/>
                      <w:sz w:val="21"/>
                      <w:szCs w:val="21"/>
                      <w:lang w:val="en-US" w:eastAsia="zh-CN" w:bidi="ar-SA"/>
                    </w:rPr>
                  </w:pPr>
                  <w:r>
                    <w:rPr>
                      <w:rFonts w:hint="eastAsia"/>
                      <w:b w:val="0"/>
                      <w:bCs/>
                      <w:i w:val="0"/>
                      <w:caps w:val="0"/>
                      <w:color w:val="auto"/>
                      <w:spacing w:val="0"/>
                      <w:w w:val="100"/>
                      <w:kern w:val="0"/>
                      <w:sz w:val="20"/>
                      <w:szCs w:val="21"/>
                      <w:lang w:val="en-US" w:eastAsia="zh-CN"/>
                    </w:rPr>
                    <w:t>3X12.5</w:t>
                  </w:r>
                </w:p>
              </w:tc>
              <w:tc>
                <w:tcPr>
                  <w:tcW w:w="825" w:type="pct"/>
                  <w:tcBorders>
                    <w:tl2br w:val="nil"/>
                    <w:tr2bl w:val="nil"/>
                  </w:tcBorders>
                  <w:vAlign w:val="center"/>
                </w:tcPr>
                <w:p>
                  <w:pPr>
                    <w:widowControl/>
                    <w:snapToGrid w:val="0"/>
                    <w:spacing w:before="0" w:beforeAutospacing="0" w:after="0" w:afterAutospacing="0" w:line="240" w:lineRule="auto"/>
                    <w:jc w:val="center"/>
                    <w:textAlignment w:val="baseline"/>
                    <w:rPr>
                      <w:rFonts w:hint="eastAsia" w:ascii="Times New Roman" w:hAnsi="Times New Roman" w:eastAsia="宋体" w:cs="Times New Roman"/>
                      <w:bCs/>
                      <w:color w:val="auto"/>
                      <w:kern w:val="0"/>
                      <w:sz w:val="21"/>
                      <w:szCs w:val="21"/>
                      <w:lang w:val="en-US" w:eastAsia="zh-CN" w:bidi="ar-SA"/>
                    </w:rPr>
                  </w:pPr>
                  <w:r>
                    <w:rPr>
                      <w:rFonts w:hint="eastAsia"/>
                      <w:b w:val="0"/>
                      <w:bCs/>
                      <w:i w:val="0"/>
                      <w:caps w:val="0"/>
                      <w:color w:val="auto"/>
                      <w:spacing w:val="0"/>
                      <w:w w:val="100"/>
                      <w:kern w:val="0"/>
                      <w:sz w:val="20"/>
                      <w:szCs w:val="21"/>
                      <w:lang w:val="en-US" w:eastAsia="zh-CN"/>
                    </w:rPr>
                    <w:t>单台容量100吨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0" w:type="pct"/>
                  <w:tcBorders>
                    <w:tl2br w:val="nil"/>
                    <w:tr2bl w:val="nil"/>
                  </w:tcBorders>
                  <w:vAlign w:val="center"/>
                </w:tcPr>
                <w:p>
                  <w:pPr>
                    <w:widowControl/>
                    <w:adjustRightInd w:val="0"/>
                    <w:snapToGrid w:val="0"/>
                    <w:jc w:val="center"/>
                    <w:rPr>
                      <w:bCs/>
                      <w:color w:val="auto"/>
                      <w:kern w:val="0"/>
                      <w:szCs w:val="21"/>
                    </w:rPr>
                  </w:pPr>
                  <w:r>
                    <w:rPr>
                      <w:rFonts w:hint="eastAsia"/>
                      <w:bCs/>
                      <w:color w:val="auto"/>
                      <w:kern w:val="0"/>
                      <w:szCs w:val="21"/>
                    </w:rPr>
                    <w:t>16</w:t>
                  </w:r>
                </w:p>
              </w:tc>
              <w:tc>
                <w:tcPr>
                  <w:tcW w:w="1909" w:type="pct"/>
                  <w:tcBorders>
                    <w:tl2br w:val="nil"/>
                    <w:tr2bl w:val="nil"/>
                  </w:tcBorders>
                  <w:vAlign w:val="center"/>
                </w:tcPr>
                <w:p>
                  <w:pPr>
                    <w:widowControl/>
                    <w:adjustRightInd w:val="0"/>
                    <w:snapToGrid w:val="0"/>
                    <w:jc w:val="center"/>
                    <w:rPr>
                      <w:rFonts w:hint="eastAsia" w:ascii="Times New Roman" w:hAnsi="Times New Roman" w:eastAsia="宋体" w:cs="Times New Roman"/>
                      <w:bCs/>
                      <w:color w:val="auto"/>
                      <w:kern w:val="0"/>
                      <w:sz w:val="21"/>
                      <w:szCs w:val="21"/>
                      <w:lang w:val="en-US" w:eastAsia="zh-CN" w:bidi="ar-SA"/>
                    </w:rPr>
                  </w:pPr>
                  <w:r>
                    <w:rPr>
                      <w:rFonts w:hint="eastAsia"/>
                      <w:bCs/>
                      <w:color w:val="auto"/>
                      <w:kern w:val="0"/>
                      <w:szCs w:val="21"/>
                    </w:rPr>
                    <w:t>水泵</w:t>
                  </w:r>
                </w:p>
              </w:tc>
              <w:tc>
                <w:tcPr>
                  <w:tcW w:w="522" w:type="pct"/>
                  <w:tcBorders>
                    <w:tl2br w:val="nil"/>
                    <w:tr2bl w:val="nil"/>
                  </w:tcBorders>
                  <w:vAlign w:val="center"/>
                </w:tcPr>
                <w:p>
                  <w:pPr>
                    <w:widowControl/>
                    <w:adjustRightInd w:val="0"/>
                    <w:snapToGrid w:val="0"/>
                    <w:jc w:val="center"/>
                    <w:rPr>
                      <w:rFonts w:hint="eastAsia" w:ascii="Times New Roman" w:hAnsi="Times New Roman" w:eastAsia="宋体" w:cs="Times New Roman"/>
                      <w:bCs/>
                      <w:color w:val="auto"/>
                      <w:kern w:val="0"/>
                      <w:sz w:val="21"/>
                      <w:szCs w:val="21"/>
                      <w:lang w:val="en-US" w:eastAsia="zh-CN" w:bidi="ar-SA"/>
                    </w:rPr>
                  </w:pPr>
                  <w:r>
                    <w:rPr>
                      <w:rFonts w:hint="eastAsia"/>
                      <w:bCs/>
                      <w:color w:val="auto"/>
                      <w:kern w:val="0"/>
                      <w:szCs w:val="21"/>
                    </w:rPr>
                    <w:t>1台</w:t>
                  </w:r>
                </w:p>
              </w:tc>
              <w:tc>
                <w:tcPr>
                  <w:tcW w:w="468" w:type="pct"/>
                  <w:tcBorders>
                    <w:tl2br w:val="nil"/>
                    <w:tr2bl w:val="nil"/>
                  </w:tcBorders>
                  <w:vAlign w:val="center"/>
                </w:tcPr>
                <w:p>
                  <w:pPr>
                    <w:widowControl/>
                    <w:snapToGrid w:val="0"/>
                    <w:spacing w:before="0" w:beforeAutospacing="0" w:after="0" w:afterAutospacing="0" w:line="240" w:lineRule="auto"/>
                    <w:jc w:val="center"/>
                    <w:textAlignment w:val="baseline"/>
                    <w:rPr>
                      <w:rFonts w:hint="eastAsia" w:ascii="Times New Roman" w:hAnsi="Times New Roman" w:eastAsia="宋体" w:cs="Times New Roman"/>
                      <w:bCs/>
                      <w:color w:val="auto"/>
                      <w:kern w:val="0"/>
                      <w:sz w:val="21"/>
                      <w:szCs w:val="21"/>
                      <w:lang w:val="en-US" w:eastAsia="zh-CN" w:bidi="ar-SA"/>
                    </w:rPr>
                  </w:pPr>
                  <w:r>
                    <w:rPr>
                      <w:rFonts w:hint="eastAsia"/>
                      <w:b w:val="0"/>
                      <w:bCs/>
                      <w:i w:val="0"/>
                      <w:caps w:val="0"/>
                      <w:color w:val="auto"/>
                      <w:spacing w:val="0"/>
                      <w:w w:val="100"/>
                      <w:kern w:val="0"/>
                      <w:sz w:val="21"/>
                      <w:szCs w:val="21"/>
                    </w:rPr>
                    <w:t>1</w:t>
                  </w:r>
                </w:p>
              </w:tc>
              <w:tc>
                <w:tcPr>
                  <w:tcW w:w="863" w:type="pct"/>
                  <w:tcBorders>
                    <w:tl2br w:val="nil"/>
                    <w:tr2bl w:val="nil"/>
                  </w:tcBorders>
                  <w:vAlign w:val="center"/>
                </w:tcPr>
                <w:p>
                  <w:pPr>
                    <w:widowControl/>
                    <w:snapToGrid w:val="0"/>
                    <w:spacing w:before="0" w:beforeAutospacing="0" w:after="0" w:afterAutospacing="0" w:line="240" w:lineRule="auto"/>
                    <w:jc w:val="center"/>
                    <w:textAlignment w:val="baseline"/>
                    <w:rPr>
                      <w:rFonts w:hint="eastAsia" w:ascii="Times New Roman" w:hAnsi="Times New Roman" w:eastAsia="宋体" w:cs="Times New Roman"/>
                      <w:bCs/>
                      <w:color w:val="auto"/>
                      <w:kern w:val="0"/>
                      <w:sz w:val="21"/>
                      <w:szCs w:val="21"/>
                      <w:lang w:val="en-US" w:eastAsia="zh-CN" w:bidi="ar-SA"/>
                    </w:rPr>
                  </w:pPr>
                  <w:r>
                    <w:rPr>
                      <w:rFonts w:hint="eastAsia"/>
                      <w:b w:val="0"/>
                      <w:bCs/>
                      <w:i w:val="0"/>
                      <w:caps w:val="0"/>
                      <w:color w:val="auto"/>
                      <w:spacing w:val="0"/>
                      <w:w w:val="100"/>
                      <w:kern w:val="0"/>
                      <w:sz w:val="20"/>
                      <w:szCs w:val="21"/>
                    </w:rPr>
                    <w:t>55kw</w:t>
                  </w:r>
                </w:p>
              </w:tc>
              <w:tc>
                <w:tcPr>
                  <w:tcW w:w="825" w:type="pct"/>
                  <w:tcBorders>
                    <w:tl2br w:val="nil"/>
                    <w:tr2bl w:val="nil"/>
                  </w:tcBorders>
                  <w:vAlign w:val="center"/>
                </w:tcPr>
                <w:p>
                  <w:pPr>
                    <w:widowControl/>
                    <w:snapToGrid w:val="0"/>
                    <w:spacing w:before="0" w:beforeAutospacing="0" w:after="0" w:afterAutospacing="0" w:line="240" w:lineRule="auto"/>
                    <w:jc w:val="center"/>
                    <w:textAlignment w:val="baseline"/>
                    <w:rPr>
                      <w:rFonts w:hint="eastAsia" w:ascii="Times New Roman" w:hAnsi="Times New Roman" w:eastAsia="宋体" w:cs="Times New Roman"/>
                      <w:bCs/>
                      <w:color w:val="auto"/>
                      <w:kern w:val="0"/>
                      <w:sz w:val="21"/>
                      <w:szCs w:val="21"/>
                      <w:lang w:val="en-US" w:eastAsia="zh-CN" w:bidi="ar-SA"/>
                    </w:rPr>
                  </w:pPr>
                  <w:r>
                    <w:rPr>
                      <w:rFonts w:hint="eastAsia"/>
                      <w:b w:val="0"/>
                      <w:bCs/>
                      <w:i w:val="0"/>
                      <w:caps w:val="0"/>
                      <w:color w:val="auto"/>
                      <w:spacing w:val="0"/>
                      <w:w w:val="100"/>
                      <w:kern w:val="0"/>
                      <w:sz w:val="20"/>
                      <w:szCs w:val="21"/>
                    </w:rPr>
                    <w:t>120t/h</w:t>
                  </w:r>
                </w:p>
              </w:tc>
            </w:tr>
          </w:tbl>
          <w:p>
            <w:pPr>
              <w:spacing w:line="480" w:lineRule="exact"/>
              <w:ind w:firstLine="422" w:firstLineChars="200"/>
              <w:rPr>
                <w:b/>
                <w:bCs/>
                <w:color w:val="auto"/>
              </w:rPr>
            </w:pPr>
            <w:r>
              <w:rPr>
                <w:rFonts w:hint="eastAsia"/>
                <w:b/>
                <w:bCs/>
                <w:color w:val="auto"/>
              </w:rPr>
              <w:t>2.5 原辅材料及能耗</w:t>
            </w:r>
          </w:p>
          <w:p>
            <w:pPr>
              <w:adjustRightInd w:val="0"/>
              <w:snapToGrid w:val="0"/>
              <w:spacing w:line="480" w:lineRule="exact"/>
              <w:ind w:firstLine="420" w:firstLineChars="200"/>
              <w:rPr>
                <w:color w:val="auto"/>
                <w:szCs w:val="21"/>
              </w:rPr>
            </w:pPr>
            <w:r>
              <w:rPr>
                <w:rFonts w:hint="eastAsia"/>
                <w:color w:val="auto"/>
                <w:szCs w:val="21"/>
              </w:rPr>
              <w:t>本项目运营期主要原辅材料用量表如表2-4所示。</w:t>
            </w:r>
          </w:p>
          <w:p>
            <w:pPr>
              <w:pStyle w:val="35"/>
              <w:rPr>
                <w:rFonts w:hint="default"/>
                <w:color w:val="auto"/>
                <w:szCs w:val="21"/>
                <w:shd w:val="clear" w:color="auto" w:fill="FFC000"/>
                <w:lang w:val="zh-CN"/>
              </w:rPr>
            </w:pPr>
            <w:r>
              <w:rPr>
                <w:color w:val="auto"/>
                <w:szCs w:val="21"/>
                <w:lang w:val="zh-CN"/>
              </w:rPr>
              <w:t>表</w:t>
            </w:r>
            <w:r>
              <w:rPr>
                <w:color w:val="auto"/>
                <w:szCs w:val="21"/>
              </w:rPr>
              <w:t>2-4</w:t>
            </w:r>
            <w:r>
              <w:rPr>
                <w:color w:val="auto"/>
                <w:szCs w:val="21"/>
                <w:lang w:val="zh-CN"/>
              </w:rPr>
              <w:t xml:space="preserve">  </w:t>
            </w:r>
            <w:r>
              <w:rPr>
                <w:rFonts w:hint="eastAsia"/>
                <w:color w:val="auto"/>
                <w:szCs w:val="21"/>
                <w:lang w:val="en-US" w:eastAsia="zh-CN"/>
              </w:rPr>
              <w:t xml:space="preserve">  </w:t>
            </w:r>
            <w:r>
              <w:rPr>
                <w:color w:val="auto"/>
                <w:szCs w:val="21"/>
                <w:lang w:val="zh-CN"/>
              </w:rPr>
              <w:t>项目主要原辅材料用量表</w:t>
            </w:r>
          </w:p>
          <w:tbl>
            <w:tblPr>
              <w:tblStyle w:val="22"/>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3"/>
              <w:gridCol w:w="1344"/>
              <w:gridCol w:w="1247"/>
              <w:gridCol w:w="865"/>
              <w:gridCol w:w="2735"/>
              <w:gridCol w:w="11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69" w:type="pct"/>
                  <w:gridSpan w:val="2"/>
                  <w:tcBorders>
                    <w:tl2br w:val="nil"/>
                    <w:tr2bl w:val="nil"/>
                  </w:tcBorders>
                  <w:vAlign w:val="center"/>
                </w:tcPr>
                <w:p>
                  <w:pPr>
                    <w:jc w:val="center"/>
                    <w:rPr>
                      <w:b/>
                      <w:color w:val="auto"/>
                      <w:szCs w:val="21"/>
                    </w:rPr>
                  </w:pPr>
                  <w:r>
                    <w:rPr>
                      <w:b/>
                      <w:color w:val="auto"/>
                      <w:szCs w:val="21"/>
                    </w:rPr>
                    <w:t>名称</w:t>
                  </w:r>
                </w:p>
              </w:tc>
              <w:tc>
                <w:tcPr>
                  <w:tcW w:w="760" w:type="pct"/>
                  <w:tcBorders>
                    <w:tl2br w:val="nil"/>
                    <w:tr2bl w:val="nil"/>
                  </w:tcBorders>
                  <w:vAlign w:val="center"/>
                </w:tcPr>
                <w:p>
                  <w:pPr>
                    <w:jc w:val="center"/>
                    <w:rPr>
                      <w:b/>
                      <w:color w:val="auto"/>
                      <w:szCs w:val="21"/>
                    </w:rPr>
                  </w:pPr>
                  <w:r>
                    <w:rPr>
                      <w:b/>
                      <w:color w:val="auto"/>
                      <w:szCs w:val="21"/>
                    </w:rPr>
                    <w:t>单位</w:t>
                  </w:r>
                </w:p>
              </w:tc>
              <w:tc>
                <w:tcPr>
                  <w:tcW w:w="527" w:type="pct"/>
                  <w:tcBorders>
                    <w:tl2br w:val="nil"/>
                    <w:tr2bl w:val="nil"/>
                  </w:tcBorders>
                  <w:vAlign w:val="center"/>
                </w:tcPr>
                <w:p>
                  <w:pPr>
                    <w:jc w:val="center"/>
                    <w:rPr>
                      <w:b/>
                      <w:color w:val="auto"/>
                      <w:szCs w:val="21"/>
                    </w:rPr>
                  </w:pPr>
                  <w:r>
                    <w:rPr>
                      <w:b/>
                      <w:color w:val="auto"/>
                      <w:szCs w:val="21"/>
                    </w:rPr>
                    <w:t>年消耗</w:t>
                  </w:r>
                </w:p>
              </w:tc>
              <w:tc>
                <w:tcPr>
                  <w:tcW w:w="1667" w:type="pct"/>
                  <w:tcBorders>
                    <w:tl2br w:val="nil"/>
                    <w:tr2bl w:val="nil"/>
                  </w:tcBorders>
                  <w:vAlign w:val="center"/>
                </w:tcPr>
                <w:p>
                  <w:pPr>
                    <w:jc w:val="center"/>
                    <w:rPr>
                      <w:b/>
                      <w:color w:val="auto"/>
                      <w:szCs w:val="21"/>
                    </w:rPr>
                  </w:pPr>
                  <w:r>
                    <w:rPr>
                      <w:b/>
                      <w:color w:val="auto"/>
                      <w:szCs w:val="21"/>
                    </w:rPr>
                    <w:t>来源及储运方式</w:t>
                  </w:r>
                </w:p>
              </w:tc>
              <w:tc>
                <w:tcPr>
                  <w:tcW w:w="674" w:type="pct"/>
                  <w:tcBorders>
                    <w:tl2br w:val="nil"/>
                    <w:tr2bl w:val="nil"/>
                  </w:tcBorders>
                  <w:vAlign w:val="center"/>
                </w:tcPr>
                <w:p>
                  <w:pPr>
                    <w:jc w:val="center"/>
                    <w:rPr>
                      <w:b/>
                      <w:color w:val="auto"/>
                      <w:szCs w:val="21"/>
                    </w:rPr>
                  </w:pPr>
                  <w:r>
                    <w:rPr>
                      <w:rFonts w:hint="eastAsia"/>
                      <w:b/>
                      <w:color w:val="auto"/>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0" w:type="pct"/>
                  <w:vMerge w:val="restart"/>
                  <w:tcBorders>
                    <w:tl2br w:val="nil"/>
                    <w:tr2bl w:val="nil"/>
                  </w:tcBorders>
                  <w:vAlign w:val="center"/>
                </w:tcPr>
                <w:p>
                  <w:pPr>
                    <w:jc w:val="center"/>
                    <w:rPr>
                      <w:color w:val="auto"/>
                      <w:szCs w:val="21"/>
                    </w:rPr>
                  </w:pPr>
                  <w:r>
                    <w:rPr>
                      <w:rFonts w:hint="eastAsia"/>
                      <w:color w:val="auto"/>
                      <w:szCs w:val="21"/>
                    </w:rPr>
                    <w:t>原辅材料</w:t>
                  </w:r>
                </w:p>
              </w:tc>
              <w:tc>
                <w:tcPr>
                  <w:tcW w:w="819" w:type="pct"/>
                  <w:tcBorders>
                    <w:tl2br w:val="nil"/>
                    <w:tr2bl w:val="nil"/>
                  </w:tcBorders>
                  <w:shd w:val="clear" w:color="auto" w:fill="auto"/>
                  <w:vAlign w:val="center"/>
                </w:tcPr>
                <w:p>
                  <w:pPr>
                    <w:jc w:val="center"/>
                    <w:rPr>
                      <w:color w:val="auto"/>
                      <w:szCs w:val="21"/>
                    </w:rPr>
                  </w:pPr>
                  <w:r>
                    <w:rPr>
                      <w:color w:val="auto"/>
                      <w:szCs w:val="21"/>
                    </w:rPr>
                    <w:t>炉渣</w:t>
                  </w:r>
                </w:p>
              </w:tc>
              <w:tc>
                <w:tcPr>
                  <w:tcW w:w="760" w:type="pct"/>
                  <w:tcBorders>
                    <w:tl2br w:val="nil"/>
                    <w:tr2bl w:val="nil"/>
                  </w:tcBorders>
                  <w:shd w:val="clear" w:color="auto" w:fill="auto"/>
                  <w:vAlign w:val="center"/>
                </w:tcPr>
                <w:p>
                  <w:pPr>
                    <w:jc w:val="center"/>
                    <w:rPr>
                      <w:color w:val="auto"/>
                      <w:szCs w:val="21"/>
                    </w:rPr>
                  </w:pPr>
                  <w:r>
                    <w:rPr>
                      <w:rFonts w:hint="eastAsia"/>
                      <w:color w:val="auto"/>
                      <w:szCs w:val="21"/>
                    </w:rPr>
                    <w:t>万t/a</w:t>
                  </w:r>
                </w:p>
              </w:tc>
              <w:tc>
                <w:tcPr>
                  <w:tcW w:w="527" w:type="pct"/>
                  <w:tcBorders>
                    <w:tl2br w:val="nil"/>
                    <w:tr2bl w:val="nil"/>
                  </w:tcBorders>
                  <w:shd w:val="clear" w:color="auto" w:fill="auto"/>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4.38</w:t>
                  </w:r>
                </w:p>
              </w:tc>
              <w:tc>
                <w:tcPr>
                  <w:tcW w:w="1667" w:type="pct"/>
                  <w:tcBorders>
                    <w:tl2br w:val="nil"/>
                    <w:tr2bl w:val="nil"/>
                  </w:tcBorders>
                  <w:shd w:val="clear" w:color="auto" w:fill="auto"/>
                  <w:vAlign w:val="center"/>
                </w:tcPr>
                <w:p>
                  <w:pPr>
                    <w:jc w:val="center"/>
                    <w:rPr>
                      <w:color w:val="auto"/>
                      <w:szCs w:val="21"/>
                    </w:rPr>
                  </w:pPr>
                  <w:r>
                    <w:rPr>
                      <w:rFonts w:hint="eastAsia"/>
                      <w:color w:val="auto"/>
                      <w:szCs w:val="21"/>
                    </w:rPr>
                    <w:t>昌吉市生活垃圾焚烧发电厂</w:t>
                  </w:r>
                </w:p>
              </w:tc>
              <w:tc>
                <w:tcPr>
                  <w:tcW w:w="674" w:type="pct"/>
                  <w:tcBorders>
                    <w:tl2br w:val="nil"/>
                    <w:tr2bl w:val="nil"/>
                  </w:tcBorders>
                  <w:shd w:val="clear" w:color="auto" w:fill="auto"/>
                  <w:vAlign w:val="center"/>
                </w:tcPr>
                <w:p>
                  <w:pPr>
                    <w:jc w:val="center"/>
                    <w:rPr>
                      <w:color w:val="auto"/>
                      <w:szCs w:val="21"/>
                    </w:rPr>
                  </w:pPr>
                  <w:r>
                    <w:rPr>
                      <w:rFonts w:hint="eastAsia"/>
                      <w:color w:val="auto"/>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0" w:type="pct"/>
                  <w:vMerge w:val="continue"/>
                  <w:tcBorders>
                    <w:tl2br w:val="nil"/>
                    <w:tr2bl w:val="nil"/>
                  </w:tcBorders>
                  <w:vAlign w:val="center"/>
                </w:tcPr>
                <w:p>
                  <w:pPr>
                    <w:jc w:val="center"/>
                    <w:rPr>
                      <w:color w:val="auto"/>
                      <w:szCs w:val="21"/>
                    </w:rPr>
                  </w:pPr>
                </w:p>
              </w:tc>
              <w:tc>
                <w:tcPr>
                  <w:tcW w:w="819" w:type="pct"/>
                  <w:tcBorders>
                    <w:tl2br w:val="nil"/>
                    <w:tr2bl w:val="nil"/>
                  </w:tcBorders>
                  <w:shd w:val="clear" w:color="auto" w:fill="auto"/>
                  <w:vAlign w:val="center"/>
                </w:tcPr>
                <w:p>
                  <w:pPr>
                    <w:jc w:val="center"/>
                    <w:rPr>
                      <w:color w:val="auto"/>
                      <w:szCs w:val="21"/>
                    </w:rPr>
                  </w:pPr>
                  <w:r>
                    <w:rPr>
                      <w:rFonts w:hint="eastAsia"/>
                      <w:color w:val="auto"/>
                      <w:szCs w:val="21"/>
                    </w:rPr>
                    <w:t>水泥</w:t>
                  </w:r>
                </w:p>
              </w:tc>
              <w:tc>
                <w:tcPr>
                  <w:tcW w:w="760" w:type="pct"/>
                  <w:tcBorders>
                    <w:tl2br w:val="nil"/>
                    <w:tr2bl w:val="nil"/>
                  </w:tcBorders>
                  <w:shd w:val="clear" w:color="auto" w:fill="auto"/>
                  <w:vAlign w:val="center"/>
                </w:tcPr>
                <w:p>
                  <w:pPr>
                    <w:jc w:val="center"/>
                    <w:rPr>
                      <w:color w:val="auto"/>
                      <w:szCs w:val="21"/>
                    </w:rPr>
                  </w:pPr>
                  <w:r>
                    <w:rPr>
                      <w:rFonts w:hint="eastAsia"/>
                      <w:color w:val="auto"/>
                      <w:szCs w:val="21"/>
                    </w:rPr>
                    <w:t>t/a</w:t>
                  </w:r>
                </w:p>
              </w:tc>
              <w:tc>
                <w:tcPr>
                  <w:tcW w:w="527" w:type="pct"/>
                  <w:tcBorders>
                    <w:tl2br w:val="nil"/>
                    <w:tr2bl w:val="nil"/>
                  </w:tcBorders>
                  <w:shd w:val="clear" w:color="auto" w:fill="auto"/>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4533</w:t>
                  </w:r>
                </w:p>
              </w:tc>
              <w:tc>
                <w:tcPr>
                  <w:tcW w:w="1667" w:type="pct"/>
                  <w:tcBorders>
                    <w:tl2br w:val="nil"/>
                    <w:tr2bl w:val="nil"/>
                  </w:tcBorders>
                  <w:shd w:val="clear" w:color="auto" w:fill="auto"/>
                  <w:vAlign w:val="center"/>
                </w:tcPr>
                <w:p>
                  <w:pPr>
                    <w:jc w:val="center"/>
                    <w:rPr>
                      <w:color w:val="auto"/>
                      <w:spacing w:val="-6"/>
                      <w:szCs w:val="21"/>
                    </w:rPr>
                  </w:pPr>
                  <w:r>
                    <w:rPr>
                      <w:rFonts w:hint="eastAsia"/>
                      <w:color w:val="auto"/>
                      <w:spacing w:val="-6"/>
                      <w:szCs w:val="21"/>
                    </w:rPr>
                    <w:t>外购</w:t>
                  </w:r>
                </w:p>
              </w:tc>
              <w:tc>
                <w:tcPr>
                  <w:tcW w:w="674" w:type="pct"/>
                  <w:tcBorders>
                    <w:tl2br w:val="nil"/>
                    <w:tr2bl w:val="nil"/>
                  </w:tcBorders>
                  <w:shd w:val="clear" w:color="auto" w:fill="auto"/>
                  <w:vAlign w:val="center"/>
                </w:tcPr>
                <w:p>
                  <w:pPr>
                    <w:jc w:val="center"/>
                    <w:rPr>
                      <w:color w:val="auto"/>
                      <w:szCs w:val="21"/>
                    </w:rPr>
                  </w:pPr>
                  <w:r>
                    <w:rPr>
                      <w:rFonts w:hint="eastAsia"/>
                      <w:color w:val="auto"/>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550" w:type="pct"/>
                  <w:vMerge w:val="restart"/>
                  <w:tcBorders>
                    <w:tl2br w:val="nil"/>
                    <w:tr2bl w:val="nil"/>
                  </w:tcBorders>
                  <w:vAlign w:val="center"/>
                </w:tcPr>
                <w:p>
                  <w:pPr>
                    <w:jc w:val="center"/>
                    <w:rPr>
                      <w:color w:val="auto"/>
                      <w:szCs w:val="21"/>
                    </w:rPr>
                  </w:pPr>
                  <w:r>
                    <w:rPr>
                      <w:color w:val="auto"/>
                      <w:szCs w:val="21"/>
                    </w:rPr>
                    <w:t>能源</w:t>
                  </w:r>
                </w:p>
              </w:tc>
              <w:tc>
                <w:tcPr>
                  <w:tcW w:w="819" w:type="pct"/>
                  <w:tcBorders>
                    <w:tl2br w:val="nil"/>
                    <w:tr2bl w:val="nil"/>
                  </w:tcBorders>
                  <w:vAlign w:val="center"/>
                </w:tcPr>
                <w:p>
                  <w:pPr>
                    <w:jc w:val="center"/>
                    <w:rPr>
                      <w:color w:val="auto"/>
                      <w:szCs w:val="21"/>
                    </w:rPr>
                  </w:pPr>
                  <w:r>
                    <w:rPr>
                      <w:color w:val="auto"/>
                      <w:szCs w:val="21"/>
                    </w:rPr>
                    <w:t>电</w:t>
                  </w:r>
                </w:p>
              </w:tc>
              <w:tc>
                <w:tcPr>
                  <w:tcW w:w="760" w:type="pct"/>
                  <w:tcBorders>
                    <w:tl2br w:val="nil"/>
                    <w:tr2bl w:val="nil"/>
                  </w:tcBorders>
                  <w:vAlign w:val="center"/>
                </w:tcPr>
                <w:p>
                  <w:pPr>
                    <w:jc w:val="center"/>
                    <w:rPr>
                      <w:color w:val="auto"/>
                      <w:szCs w:val="21"/>
                    </w:rPr>
                  </w:pPr>
                  <w:r>
                    <w:rPr>
                      <w:rFonts w:hint="eastAsia"/>
                      <w:color w:val="auto"/>
                      <w:szCs w:val="21"/>
                    </w:rPr>
                    <w:t>万kW·h</w:t>
                  </w:r>
                  <w:r>
                    <w:rPr>
                      <w:color w:val="auto"/>
                      <w:szCs w:val="21"/>
                    </w:rPr>
                    <w:t>/a</w:t>
                  </w:r>
                </w:p>
              </w:tc>
              <w:tc>
                <w:tcPr>
                  <w:tcW w:w="527" w:type="pct"/>
                  <w:tcBorders>
                    <w:tl2br w:val="nil"/>
                    <w:tr2bl w:val="nil"/>
                  </w:tcBorders>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0.53</w:t>
                  </w:r>
                </w:p>
              </w:tc>
              <w:tc>
                <w:tcPr>
                  <w:tcW w:w="1667" w:type="pct"/>
                  <w:tcBorders>
                    <w:tl2br w:val="nil"/>
                    <w:tr2bl w:val="nil"/>
                  </w:tcBorders>
                  <w:vAlign w:val="center"/>
                </w:tcPr>
                <w:p>
                  <w:pPr>
                    <w:jc w:val="center"/>
                    <w:rPr>
                      <w:color w:val="auto"/>
                      <w:szCs w:val="21"/>
                    </w:rPr>
                  </w:pPr>
                  <w:r>
                    <w:rPr>
                      <w:rFonts w:hint="eastAsia"/>
                      <w:color w:val="auto"/>
                      <w:szCs w:val="21"/>
                    </w:rPr>
                    <w:t>市政电网</w:t>
                  </w:r>
                </w:p>
              </w:tc>
              <w:tc>
                <w:tcPr>
                  <w:tcW w:w="674" w:type="pct"/>
                  <w:tcBorders>
                    <w:tl2br w:val="nil"/>
                    <w:tr2bl w:val="nil"/>
                  </w:tcBorders>
                  <w:vAlign w:val="center"/>
                </w:tcPr>
                <w:p>
                  <w:pPr>
                    <w:jc w:val="center"/>
                    <w:rPr>
                      <w:color w:val="auto"/>
                      <w:szCs w:val="21"/>
                    </w:rPr>
                  </w:pPr>
                  <w:r>
                    <w:rPr>
                      <w:color w:val="auto"/>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0" w:type="pct"/>
                  <w:vMerge w:val="continue"/>
                  <w:tcBorders>
                    <w:tl2br w:val="nil"/>
                    <w:tr2bl w:val="nil"/>
                  </w:tcBorders>
                  <w:vAlign w:val="center"/>
                </w:tcPr>
                <w:p>
                  <w:pPr>
                    <w:jc w:val="center"/>
                    <w:rPr>
                      <w:color w:val="auto"/>
                      <w:szCs w:val="21"/>
                    </w:rPr>
                  </w:pPr>
                </w:p>
              </w:tc>
              <w:tc>
                <w:tcPr>
                  <w:tcW w:w="819" w:type="pct"/>
                  <w:vMerge w:val="restart"/>
                  <w:tcBorders>
                    <w:tl2br w:val="nil"/>
                    <w:tr2bl w:val="nil"/>
                  </w:tcBorders>
                  <w:vAlign w:val="center"/>
                </w:tcPr>
                <w:p>
                  <w:pPr>
                    <w:jc w:val="center"/>
                    <w:rPr>
                      <w:color w:val="auto"/>
                      <w:szCs w:val="21"/>
                    </w:rPr>
                  </w:pPr>
                  <w:r>
                    <w:rPr>
                      <w:color w:val="auto"/>
                      <w:szCs w:val="21"/>
                    </w:rPr>
                    <w:t>水</w:t>
                  </w:r>
                </w:p>
              </w:tc>
              <w:tc>
                <w:tcPr>
                  <w:tcW w:w="760" w:type="pct"/>
                  <w:tcBorders>
                    <w:tl2br w:val="nil"/>
                    <w:tr2bl w:val="nil"/>
                  </w:tcBorders>
                  <w:vAlign w:val="center"/>
                </w:tcPr>
                <w:p>
                  <w:pPr>
                    <w:jc w:val="center"/>
                    <w:rPr>
                      <w:color w:val="auto"/>
                      <w:szCs w:val="21"/>
                    </w:rPr>
                  </w:pPr>
                  <w:r>
                    <w:rPr>
                      <w:color w:val="auto"/>
                      <w:szCs w:val="21"/>
                    </w:rPr>
                    <w:t>m</w:t>
                  </w:r>
                  <w:r>
                    <w:rPr>
                      <w:color w:val="auto"/>
                      <w:szCs w:val="21"/>
                      <w:vertAlign w:val="superscript"/>
                    </w:rPr>
                    <w:t>3</w:t>
                  </w:r>
                  <w:r>
                    <w:rPr>
                      <w:rFonts w:hint="eastAsia"/>
                      <w:color w:val="auto"/>
                      <w:szCs w:val="21"/>
                    </w:rPr>
                    <w:t>/a</w:t>
                  </w:r>
                </w:p>
              </w:tc>
              <w:tc>
                <w:tcPr>
                  <w:tcW w:w="527" w:type="pct"/>
                  <w:tcBorders>
                    <w:tl2br w:val="nil"/>
                    <w:tr2bl w:val="nil"/>
                  </w:tcBorders>
                  <w:vAlign w:val="center"/>
                </w:tcPr>
                <w:p>
                  <w:pPr>
                    <w:jc w:val="center"/>
                    <w:rPr>
                      <w:color w:val="auto"/>
                      <w:szCs w:val="21"/>
                      <w:highlight w:val="none"/>
                    </w:rPr>
                  </w:pPr>
                  <w:r>
                    <w:rPr>
                      <w:rFonts w:hint="eastAsia"/>
                      <w:color w:val="auto"/>
                      <w:szCs w:val="21"/>
                      <w:highlight w:val="none"/>
                    </w:rPr>
                    <w:t>1980</w:t>
                  </w:r>
                </w:p>
              </w:tc>
              <w:tc>
                <w:tcPr>
                  <w:tcW w:w="1667" w:type="pct"/>
                  <w:tcBorders>
                    <w:tl2br w:val="nil"/>
                    <w:tr2bl w:val="nil"/>
                  </w:tcBorders>
                  <w:vAlign w:val="center"/>
                </w:tcPr>
                <w:p>
                  <w:pPr>
                    <w:jc w:val="center"/>
                    <w:rPr>
                      <w:color w:val="auto"/>
                      <w:szCs w:val="21"/>
                    </w:rPr>
                  </w:pPr>
                  <w:r>
                    <w:rPr>
                      <w:rFonts w:hint="eastAsia"/>
                      <w:color w:val="auto"/>
                      <w:szCs w:val="21"/>
                    </w:rPr>
                    <w:t>和谐二村自来水管网</w:t>
                  </w:r>
                </w:p>
              </w:tc>
              <w:tc>
                <w:tcPr>
                  <w:tcW w:w="674" w:type="pct"/>
                  <w:tcBorders>
                    <w:tl2br w:val="nil"/>
                    <w:tr2bl w:val="nil"/>
                  </w:tcBorders>
                  <w:vAlign w:val="center"/>
                </w:tcPr>
                <w:p>
                  <w:pPr>
                    <w:jc w:val="center"/>
                    <w:rPr>
                      <w:color w:val="auto"/>
                      <w:szCs w:val="21"/>
                    </w:rPr>
                  </w:pPr>
                  <w:r>
                    <w:rPr>
                      <w:color w:val="auto"/>
                      <w:szCs w:val="21"/>
                    </w:rPr>
                    <w:t>生活用水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50" w:type="pct"/>
                  <w:vMerge w:val="continue"/>
                  <w:tcBorders>
                    <w:tl2br w:val="nil"/>
                    <w:tr2bl w:val="nil"/>
                  </w:tcBorders>
                  <w:vAlign w:val="center"/>
                </w:tcPr>
                <w:p>
                  <w:pPr>
                    <w:jc w:val="center"/>
                    <w:rPr>
                      <w:color w:val="auto"/>
                      <w:szCs w:val="21"/>
                    </w:rPr>
                  </w:pPr>
                </w:p>
              </w:tc>
              <w:tc>
                <w:tcPr>
                  <w:tcW w:w="819" w:type="pct"/>
                  <w:vMerge w:val="continue"/>
                  <w:tcBorders>
                    <w:tl2br w:val="nil"/>
                    <w:tr2bl w:val="nil"/>
                  </w:tcBorders>
                  <w:vAlign w:val="center"/>
                </w:tcPr>
                <w:p>
                  <w:pPr>
                    <w:jc w:val="center"/>
                    <w:rPr>
                      <w:color w:val="auto"/>
                      <w:szCs w:val="21"/>
                    </w:rPr>
                  </w:pPr>
                </w:p>
              </w:tc>
              <w:tc>
                <w:tcPr>
                  <w:tcW w:w="760" w:type="pct"/>
                  <w:tcBorders>
                    <w:tl2br w:val="nil"/>
                    <w:tr2bl w:val="nil"/>
                  </w:tcBorders>
                  <w:vAlign w:val="center"/>
                </w:tcPr>
                <w:p>
                  <w:pPr>
                    <w:jc w:val="center"/>
                    <w:rPr>
                      <w:color w:val="auto"/>
                      <w:szCs w:val="21"/>
                    </w:rPr>
                  </w:pPr>
                  <w:r>
                    <w:rPr>
                      <w:color w:val="auto"/>
                      <w:szCs w:val="21"/>
                    </w:rPr>
                    <w:t>m</w:t>
                  </w:r>
                  <w:r>
                    <w:rPr>
                      <w:color w:val="auto"/>
                      <w:szCs w:val="21"/>
                      <w:vertAlign w:val="superscript"/>
                    </w:rPr>
                    <w:t>3</w:t>
                  </w:r>
                  <w:r>
                    <w:rPr>
                      <w:rFonts w:hint="eastAsia"/>
                      <w:color w:val="auto"/>
                      <w:szCs w:val="21"/>
                    </w:rPr>
                    <w:t>/a</w:t>
                  </w:r>
                </w:p>
              </w:tc>
              <w:tc>
                <w:tcPr>
                  <w:tcW w:w="527" w:type="pct"/>
                  <w:tcBorders>
                    <w:tl2br w:val="nil"/>
                    <w:tr2bl w:val="nil"/>
                  </w:tcBorders>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5015</w:t>
                  </w:r>
                </w:p>
              </w:tc>
              <w:tc>
                <w:tcPr>
                  <w:tcW w:w="1667" w:type="pct"/>
                  <w:tcBorders>
                    <w:tl2br w:val="nil"/>
                    <w:tr2bl w:val="nil"/>
                  </w:tcBorders>
                  <w:vAlign w:val="center"/>
                </w:tcPr>
                <w:p>
                  <w:pPr>
                    <w:jc w:val="center"/>
                    <w:rPr>
                      <w:color w:val="auto"/>
                      <w:szCs w:val="21"/>
                    </w:rPr>
                  </w:pPr>
                  <w:r>
                    <w:rPr>
                      <w:rFonts w:hint="eastAsia"/>
                      <w:color w:val="auto"/>
                      <w:szCs w:val="21"/>
                    </w:rPr>
                    <w:t>昌吉市生活污水处理厂中水</w:t>
                  </w:r>
                </w:p>
              </w:tc>
              <w:tc>
                <w:tcPr>
                  <w:tcW w:w="674" w:type="pct"/>
                  <w:tcBorders>
                    <w:tl2br w:val="nil"/>
                    <w:tr2bl w:val="nil"/>
                  </w:tcBorders>
                  <w:vAlign w:val="center"/>
                </w:tcPr>
                <w:p>
                  <w:pPr>
                    <w:jc w:val="center"/>
                    <w:rPr>
                      <w:color w:val="auto"/>
                      <w:szCs w:val="21"/>
                    </w:rPr>
                  </w:pPr>
                  <w:r>
                    <w:rPr>
                      <w:rFonts w:hint="eastAsia"/>
                      <w:color w:val="auto"/>
                      <w:szCs w:val="21"/>
                    </w:rPr>
                    <w:t>生产用水</w:t>
                  </w:r>
                </w:p>
              </w:tc>
            </w:tr>
          </w:tbl>
          <w:p>
            <w:pPr>
              <w:adjustRightInd w:val="0"/>
              <w:snapToGrid w:val="0"/>
              <w:spacing w:line="480" w:lineRule="exact"/>
              <w:ind w:firstLine="420" w:firstLineChars="200"/>
              <w:rPr>
                <w:color w:val="auto"/>
                <w:szCs w:val="21"/>
              </w:rPr>
            </w:pPr>
            <w:r>
              <w:rPr>
                <w:rFonts w:hint="eastAsia"/>
                <w:color w:val="auto"/>
                <w:szCs w:val="21"/>
              </w:rPr>
              <w:t>炉渣的物理性质：</w:t>
            </w:r>
          </w:p>
          <w:p>
            <w:pPr>
              <w:adjustRightInd w:val="0"/>
              <w:snapToGrid w:val="0"/>
              <w:spacing w:line="480" w:lineRule="exact"/>
              <w:ind w:firstLine="420" w:firstLineChars="200"/>
              <w:rPr>
                <w:color w:val="auto"/>
                <w:szCs w:val="21"/>
              </w:rPr>
            </w:pPr>
            <w:r>
              <w:rPr>
                <w:rFonts w:hint="eastAsia"/>
                <w:color w:val="auto"/>
                <w:szCs w:val="21"/>
              </w:rPr>
              <w:t>本项目处理的炉渣主要来源于昌吉市生活垃圾焚烧发电厂，生活垃圾焚烧后，大约会产生20%的炉渣，炉渣中含有一些金属元素，具有一定的资源化回收价值。该生活垃圾焚烧发电厂炉渣的物质组成主要包括无法燃烧的金属块、玻璃、陶瓷和砖头、石块、砂土等，此外还含有金属氧化物和未完全燃烧的木质素（来自纸皮、木片（块）），塑胶(来自塑料和人造纤维等)等有机物，粒度分布范围较大，粒径在几微米到十几厘米不等。</w:t>
            </w:r>
          </w:p>
          <w:p>
            <w:pPr>
              <w:pStyle w:val="35"/>
              <w:rPr>
                <w:rFonts w:hint="default"/>
                <w:color w:val="auto"/>
                <w:szCs w:val="21"/>
                <w:lang w:val="zh-CN"/>
              </w:rPr>
            </w:pPr>
            <w:r>
              <w:rPr>
                <w:color w:val="auto"/>
                <w:szCs w:val="21"/>
                <w:lang w:val="zh-CN"/>
              </w:rPr>
              <w:t>表</w:t>
            </w:r>
            <w:r>
              <w:rPr>
                <w:color w:val="auto"/>
                <w:szCs w:val="21"/>
              </w:rPr>
              <w:t>2-5</w:t>
            </w:r>
            <w:r>
              <w:rPr>
                <w:color w:val="auto"/>
                <w:szCs w:val="21"/>
                <w:lang w:val="zh-CN"/>
              </w:rPr>
              <w:t xml:space="preserve"> </w:t>
            </w:r>
            <w:r>
              <w:rPr>
                <w:rFonts w:hint="eastAsia"/>
                <w:color w:val="auto"/>
                <w:szCs w:val="21"/>
                <w:lang w:val="en-US" w:eastAsia="zh-CN"/>
              </w:rPr>
              <w:t xml:space="preserve">   </w:t>
            </w:r>
            <w:r>
              <w:rPr>
                <w:color w:val="auto"/>
                <w:szCs w:val="21"/>
                <w:lang w:val="zh-CN"/>
              </w:rPr>
              <w:t>生活垃圾焚烧炉渣理化性质</w:t>
            </w:r>
          </w:p>
          <w:tbl>
            <w:tblPr>
              <w:tblStyle w:val="22"/>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6"/>
              <w:gridCol w:w="4971"/>
              <w:gridCol w:w="1336"/>
              <w:gridCol w:w="12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72" w:hRule="atLeast"/>
                <w:jc w:val="center"/>
              </w:trPr>
              <w:tc>
                <w:tcPr>
                  <w:tcW w:w="709" w:type="dxa"/>
                  <w:tcBorders>
                    <w:tl2br w:val="nil"/>
                    <w:tr2bl w:val="nil"/>
                  </w:tcBorders>
                  <w:vAlign w:val="center"/>
                </w:tcPr>
                <w:p>
                  <w:pPr>
                    <w:spacing w:line="240" w:lineRule="atLeast"/>
                    <w:jc w:val="center"/>
                    <w:rPr>
                      <w:b/>
                      <w:color w:val="auto"/>
                      <w:szCs w:val="21"/>
                    </w:rPr>
                  </w:pPr>
                  <w:r>
                    <w:rPr>
                      <w:b/>
                      <w:color w:val="auto"/>
                      <w:szCs w:val="21"/>
                    </w:rPr>
                    <w:t>名称</w:t>
                  </w:r>
                </w:p>
              </w:tc>
              <w:tc>
                <w:tcPr>
                  <w:tcW w:w="5314" w:type="dxa"/>
                  <w:tcBorders>
                    <w:tl2br w:val="nil"/>
                    <w:tr2bl w:val="nil"/>
                  </w:tcBorders>
                  <w:vAlign w:val="center"/>
                </w:tcPr>
                <w:p>
                  <w:pPr>
                    <w:spacing w:line="240" w:lineRule="atLeast"/>
                    <w:jc w:val="center"/>
                    <w:rPr>
                      <w:b/>
                      <w:color w:val="auto"/>
                      <w:szCs w:val="21"/>
                    </w:rPr>
                  </w:pPr>
                  <w:r>
                    <w:rPr>
                      <w:b/>
                      <w:color w:val="auto"/>
                      <w:szCs w:val="21"/>
                    </w:rPr>
                    <w:t>理化性质</w:t>
                  </w:r>
                </w:p>
              </w:tc>
              <w:tc>
                <w:tcPr>
                  <w:tcW w:w="1417" w:type="dxa"/>
                  <w:tcBorders>
                    <w:tl2br w:val="nil"/>
                    <w:tr2bl w:val="nil"/>
                  </w:tcBorders>
                  <w:vAlign w:val="center"/>
                </w:tcPr>
                <w:p>
                  <w:pPr>
                    <w:spacing w:line="240" w:lineRule="atLeast"/>
                    <w:jc w:val="center"/>
                    <w:rPr>
                      <w:b/>
                      <w:color w:val="auto"/>
                      <w:szCs w:val="21"/>
                    </w:rPr>
                  </w:pPr>
                  <w:r>
                    <w:rPr>
                      <w:b/>
                      <w:color w:val="auto"/>
                      <w:szCs w:val="21"/>
                    </w:rPr>
                    <w:t>燃烧爆炸性</w:t>
                  </w:r>
                </w:p>
              </w:tc>
              <w:tc>
                <w:tcPr>
                  <w:tcW w:w="1290" w:type="dxa"/>
                  <w:tcBorders>
                    <w:tl2br w:val="nil"/>
                    <w:tr2bl w:val="nil"/>
                  </w:tcBorders>
                  <w:vAlign w:val="center"/>
                </w:tcPr>
                <w:p>
                  <w:pPr>
                    <w:spacing w:line="240" w:lineRule="atLeast"/>
                    <w:jc w:val="center"/>
                    <w:rPr>
                      <w:b/>
                      <w:color w:val="auto"/>
                      <w:szCs w:val="21"/>
                    </w:rPr>
                  </w:pPr>
                  <w:r>
                    <w:rPr>
                      <w:b/>
                      <w:color w:val="auto"/>
                      <w:szCs w:val="21"/>
                    </w:rPr>
                    <w:t>毒性毒理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l2br w:val="nil"/>
                    <w:tr2bl w:val="nil"/>
                  </w:tcBorders>
                  <w:vAlign w:val="center"/>
                </w:tcPr>
                <w:p>
                  <w:pPr>
                    <w:spacing w:line="240" w:lineRule="atLeast"/>
                    <w:jc w:val="center"/>
                    <w:rPr>
                      <w:color w:val="auto"/>
                      <w:szCs w:val="21"/>
                    </w:rPr>
                  </w:pPr>
                  <w:r>
                    <w:rPr>
                      <w:color w:val="auto"/>
                      <w:szCs w:val="21"/>
                    </w:rPr>
                    <w:t>生活垃圾焚烧炉渣</w:t>
                  </w:r>
                </w:p>
              </w:tc>
              <w:tc>
                <w:tcPr>
                  <w:tcW w:w="5314" w:type="dxa"/>
                  <w:tcBorders>
                    <w:tl2br w:val="nil"/>
                    <w:tr2bl w:val="nil"/>
                  </w:tcBorders>
                  <w:vAlign w:val="center"/>
                </w:tcPr>
                <w:p>
                  <w:pPr>
                    <w:spacing w:line="240" w:lineRule="atLeast"/>
                    <w:jc w:val="center"/>
                    <w:rPr>
                      <w:color w:val="auto"/>
                      <w:szCs w:val="21"/>
                    </w:rPr>
                  </w:pPr>
                  <w:r>
                    <w:rPr>
                      <w:color w:val="auto"/>
                      <w:szCs w:val="21"/>
                    </w:rPr>
                    <w:t>炉渣是一种浅灰色的锅炉底渣，随着含碳量的增加颜色变深。炉渣是由陶瓷和砖石碎片、石头、玻璃、熔渣、铁和其他金属及可燃物组成的不均匀混合物。大颗粒炉渣(&gt;20mm)以陶瓷、砖块和铁为主，小颗粒炉渣主要为熔渣和玻璃。炉渣粒径分布主要集中在2~50mm的范围(约占60~70%)。通过电子显微镜观察表明，炉渣是由多种粒子构成，其中非晶体颗粒占总量的50%以上。其颗粒组成为漂珠占0.1%-0.3%，实心微珠占45%-58%，碳粒占1%-3%，不规则多孔体占28%-39%，石英占5%-8%，其他占5%。</w:t>
                  </w:r>
                </w:p>
              </w:tc>
              <w:tc>
                <w:tcPr>
                  <w:tcW w:w="1417" w:type="dxa"/>
                  <w:tcBorders>
                    <w:tl2br w:val="nil"/>
                    <w:tr2bl w:val="nil"/>
                  </w:tcBorders>
                  <w:vAlign w:val="center"/>
                </w:tcPr>
                <w:p>
                  <w:pPr>
                    <w:spacing w:line="240" w:lineRule="atLeast"/>
                    <w:jc w:val="center"/>
                    <w:rPr>
                      <w:color w:val="auto"/>
                      <w:szCs w:val="21"/>
                    </w:rPr>
                  </w:pPr>
                  <w:r>
                    <w:rPr>
                      <w:color w:val="auto"/>
                      <w:szCs w:val="21"/>
                    </w:rPr>
                    <w:t>不燃不爆</w:t>
                  </w:r>
                </w:p>
              </w:tc>
              <w:tc>
                <w:tcPr>
                  <w:tcW w:w="1290" w:type="dxa"/>
                  <w:tcBorders>
                    <w:tl2br w:val="nil"/>
                    <w:tr2bl w:val="nil"/>
                  </w:tcBorders>
                  <w:vAlign w:val="center"/>
                </w:tcPr>
                <w:p>
                  <w:pPr>
                    <w:spacing w:line="240" w:lineRule="atLeast"/>
                    <w:jc w:val="center"/>
                    <w:rPr>
                      <w:color w:val="auto"/>
                      <w:szCs w:val="21"/>
                    </w:rPr>
                  </w:pPr>
                  <w:r>
                    <w:rPr>
                      <w:color w:val="auto"/>
                      <w:szCs w:val="21"/>
                    </w:rPr>
                    <w:t>无毒性</w:t>
                  </w:r>
                </w:p>
              </w:tc>
            </w:tr>
          </w:tbl>
          <w:p>
            <w:pPr>
              <w:pStyle w:val="41"/>
              <w:spacing w:line="480" w:lineRule="exact"/>
              <w:ind w:firstLine="420" w:firstLineChars="200"/>
              <w:jc w:val="both"/>
              <w:rPr>
                <w:rFonts w:ascii="Times New Roman" w:eastAsia="宋体" w:cs="Times New Roman"/>
                <w:color w:val="auto"/>
                <w:sz w:val="21"/>
                <w:szCs w:val="21"/>
              </w:rPr>
            </w:pPr>
            <w:r>
              <w:rPr>
                <w:rFonts w:hint="eastAsia" w:ascii="Times New Roman" w:eastAsia="宋体" w:cs="Times New Roman"/>
                <w:color w:val="auto"/>
                <w:kern w:val="2"/>
                <w:sz w:val="21"/>
                <w:szCs w:val="21"/>
              </w:rPr>
              <w:t>本项目生产过程中使用的生活垃圾焚烧炉渣</w:t>
            </w:r>
            <w:r>
              <w:rPr>
                <w:rFonts w:hint="eastAsia" w:ascii="Times New Roman" w:eastAsia="宋体" w:cs="Times New Roman"/>
                <w:color w:val="auto"/>
                <w:kern w:val="2"/>
                <w:sz w:val="21"/>
                <w:szCs w:val="21"/>
                <w:lang w:eastAsia="zh-CN"/>
              </w:rPr>
              <w:t>不在《国家危险废物名录（</w:t>
            </w:r>
            <w:r>
              <w:rPr>
                <w:rFonts w:hint="eastAsia" w:ascii="Times New Roman" w:eastAsia="宋体" w:cs="Times New Roman"/>
                <w:color w:val="auto"/>
                <w:kern w:val="2"/>
                <w:sz w:val="21"/>
                <w:szCs w:val="21"/>
                <w:lang w:val="en-US" w:eastAsia="zh-CN"/>
              </w:rPr>
              <w:t>2021年版</w:t>
            </w:r>
            <w:r>
              <w:rPr>
                <w:rFonts w:hint="eastAsia" w:ascii="Times New Roman" w:eastAsia="宋体" w:cs="Times New Roman"/>
                <w:color w:val="auto"/>
                <w:kern w:val="2"/>
                <w:sz w:val="21"/>
                <w:szCs w:val="21"/>
                <w:lang w:eastAsia="zh-CN"/>
              </w:rPr>
              <w:t>）》所列名单中，属于《固体废物鉴别标准</w:t>
            </w:r>
            <w:r>
              <w:rPr>
                <w:rFonts w:hint="eastAsia" w:ascii="Times New Roman" w:eastAsia="宋体" w:cs="Times New Roman"/>
                <w:color w:val="auto"/>
                <w:kern w:val="2"/>
                <w:sz w:val="21"/>
                <w:szCs w:val="21"/>
                <w:lang w:val="en-US" w:eastAsia="zh-CN"/>
              </w:rPr>
              <w:t xml:space="preserve"> </w:t>
            </w:r>
            <w:r>
              <w:rPr>
                <w:rFonts w:hint="eastAsia" w:ascii="Times New Roman" w:eastAsia="宋体" w:cs="Times New Roman"/>
                <w:color w:val="auto"/>
                <w:kern w:val="2"/>
                <w:sz w:val="21"/>
                <w:szCs w:val="21"/>
                <w:lang w:eastAsia="zh-CN"/>
              </w:rPr>
              <w:t>通则》中</w:t>
            </w:r>
            <w:r>
              <w:rPr>
                <w:rFonts w:hint="eastAsia" w:ascii="Times New Roman" w:eastAsia="宋体" w:cs="Times New Roman"/>
                <w:color w:val="auto"/>
                <w:kern w:val="2"/>
                <w:sz w:val="21"/>
                <w:szCs w:val="21"/>
                <w:lang w:val="en-US" w:eastAsia="zh-CN"/>
              </w:rPr>
              <w:t>4.3 h）固体废物焚烧炉产生的飞灰、底渣等灰渣；</w:t>
            </w:r>
            <w:r>
              <w:rPr>
                <w:rFonts w:hint="eastAsia" w:ascii="Times New Roman" w:hAnsi="Times New Roman" w:eastAsia="宋体" w:cs="Times New Roman"/>
                <w:bCs/>
                <w:color w:val="auto"/>
                <w:kern w:val="0"/>
                <w:sz w:val="21"/>
                <w:szCs w:val="21"/>
                <w:lang w:val="en-US" w:eastAsia="zh-CN" w:bidi="ar-SA"/>
              </w:rPr>
              <w:t>且根据《中山市天乙能源有限公司垃圾焚烧发电厂炉渣综合利用项目环境影响报告表》中所做的炉渣浸出实验数据，生活垃圾焚烧后炉渣各项指标均未超出《危险废物鉴别标准 浸出毒性鉴别》（GB5085.3-2007）“表1 浸出毒性鉴别标准值”，但报告中的指标数量不足以判定炉渣是否属于第Ⅰ类一般固废，因此将其归为第Ⅱ类一般固废，不属于危险废物，可直接进行生产处理。</w:t>
            </w:r>
            <w:r>
              <w:rPr>
                <w:rFonts w:hint="eastAsia" w:ascii="Times New Roman" w:eastAsia="宋体" w:cs="Times New Roman"/>
                <w:color w:val="auto"/>
                <w:kern w:val="2"/>
                <w:sz w:val="21"/>
                <w:szCs w:val="21"/>
              </w:rPr>
              <w:t>国内同类生活垃圾焚烧厂炉渣用于建材行业、铺路等，已得到实践应用，是较为合理可行的处置措施，不但防止对环境造成污染，而且可以达到资源化利用的目的。生活垃圾焚烧飞灰属于危险废物，禁止接收生活垃圾焚烧飞灰作为制砖原料。</w:t>
            </w:r>
          </w:p>
          <w:p>
            <w:pPr>
              <w:pStyle w:val="41"/>
              <w:spacing w:line="480" w:lineRule="exact"/>
              <w:ind w:firstLine="420" w:firstLineChars="200"/>
              <w:rPr>
                <w:rFonts w:ascii="Times New Roman" w:eastAsia="宋体" w:cs="Times New Roman"/>
                <w:color w:val="auto"/>
                <w:kern w:val="2"/>
                <w:sz w:val="21"/>
                <w:szCs w:val="21"/>
              </w:rPr>
            </w:pPr>
            <w:r>
              <w:rPr>
                <w:rFonts w:hint="eastAsia" w:ascii="Times New Roman" w:eastAsia="宋体" w:cs="Times New Roman"/>
                <w:color w:val="auto"/>
                <w:kern w:val="2"/>
                <w:sz w:val="21"/>
                <w:szCs w:val="21"/>
              </w:rPr>
              <w:t>项目物料平衡见表2-6。</w:t>
            </w:r>
          </w:p>
          <w:p>
            <w:pPr>
              <w:pStyle w:val="35"/>
              <w:rPr>
                <w:rFonts w:hint="default"/>
                <w:color w:val="auto"/>
                <w:szCs w:val="21"/>
                <w:highlight w:val="none"/>
              </w:rPr>
            </w:pPr>
            <w:r>
              <w:rPr>
                <w:color w:val="auto"/>
                <w:szCs w:val="21"/>
                <w:highlight w:val="none"/>
              </w:rPr>
              <w:t>表2-6项目物料平衡表</w:t>
            </w:r>
          </w:p>
          <w:tbl>
            <w:tblPr>
              <w:tblStyle w:val="23"/>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1612"/>
              <w:gridCol w:w="1829"/>
              <w:gridCol w:w="1520"/>
              <w:gridCol w:w="21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76" w:type="pct"/>
                  <w:gridSpan w:val="2"/>
                  <w:tcBorders>
                    <w:tl2br w:val="nil"/>
                    <w:tr2bl w:val="nil"/>
                  </w:tcBorders>
                  <w:shd w:val="clear" w:color="auto" w:fill="auto"/>
                  <w:vAlign w:val="center"/>
                </w:tcPr>
                <w:p>
                  <w:pPr>
                    <w:adjustRightInd w:val="0"/>
                    <w:snapToGrid w:val="0"/>
                    <w:jc w:val="center"/>
                    <w:rPr>
                      <w:b/>
                      <w:bCs/>
                      <w:color w:val="auto"/>
                      <w:szCs w:val="21"/>
                    </w:rPr>
                  </w:pPr>
                  <w:r>
                    <w:rPr>
                      <w:b/>
                      <w:bCs/>
                      <w:color w:val="auto"/>
                      <w:szCs w:val="21"/>
                    </w:rPr>
                    <w:t>进料</w:t>
                  </w:r>
                </w:p>
              </w:tc>
              <w:tc>
                <w:tcPr>
                  <w:tcW w:w="3323" w:type="pct"/>
                  <w:gridSpan w:val="3"/>
                  <w:tcBorders>
                    <w:tl2br w:val="nil"/>
                    <w:tr2bl w:val="nil"/>
                  </w:tcBorders>
                  <w:shd w:val="clear" w:color="auto" w:fill="auto"/>
                  <w:vAlign w:val="center"/>
                </w:tcPr>
                <w:p>
                  <w:pPr>
                    <w:adjustRightInd w:val="0"/>
                    <w:snapToGrid w:val="0"/>
                    <w:jc w:val="center"/>
                    <w:rPr>
                      <w:b/>
                      <w:bCs/>
                      <w:color w:val="auto"/>
                      <w:szCs w:val="21"/>
                    </w:rPr>
                  </w:pPr>
                  <w:r>
                    <w:rPr>
                      <w:b/>
                      <w:bCs/>
                      <w:color w:val="auto"/>
                      <w:szCs w:val="21"/>
                    </w:rPr>
                    <w:t>出料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3" w:type="pct"/>
                  <w:tcBorders>
                    <w:tl2br w:val="nil"/>
                    <w:tr2bl w:val="nil"/>
                  </w:tcBorders>
                  <w:shd w:val="clear" w:color="auto" w:fill="auto"/>
                  <w:vAlign w:val="center"/>
                </w:tcPr>
                <w:p>
                  <w:pPr>
                    <w:adjustRightInd w:val="0"/>
                    <w:snapToGrid w:val="0"/>
                    <w:jc w:val="center"/>
                    <w:rPr>
                      <w:b/>
                      <w:bCs/>
                      <w:color w:val="auto"/>
                      <w:szCs w:val="21"/>
                    </w:rPr>
                  </w:pPr>
                  <w:r>
                    <w:rPr>
                      <w:b/>
                      <w:bCs/>
                      <w:color w:val="auto"/>
                      <w:szCs w:val="21"/>
                    </w:rPr>
                    <w:t>名称</w:t>
                  </w:r>
                </w:p>
              </w:tc>
              <w:tc>
                <w:tcPr>
                  <w:tcW w:w="983" w:type="pct"/>
                  <w:tcBorders>
                    <w:tl2br w:val="nil"/>
                    <w:tr2bl w:val="nil"/>
                  </w:tcBorders>
                  <w:shd w:val="clear" w:color="auto" w:fill="auto"/>
                  <w:vAlign w:val="center"/>
                </w:tcPr>
                <w:p>
                  <w:pPr>
                    <w:adjustRightInd w:val="0"/>
                    <w:snapToGrid w:val="0"/>
                    <w:jc w:val="center"/>
                    <w:rPr>
                      <w:b/>
                      <w:bCs/>
                      <w:color w:val="auto"/>
                      <w:szCs w:val="21"/>
                    </w:rPr>
                  </w:pPr>
                  <w:r>
                    <w:rPr>
                      <w:b/>
                      <w:bCs/>
                      <w:color w:val="auto"/>
                      <w:szCs w:val="21"/>
                    </w:rPr>
                    <w:t>年用量（t/a）</w:t>
                  </w:r>
                </w:p>
              </w:tc>
              <w:tc>
                <w:tcPr>
                  <w:tcW w:w="1115" w:type="pct"/>
                  <w:tcBorders>
                    <w:tl2br w:val="nil"/>
                    <w:tr2bl w:val="nil"/>
                  </w:tcBorders>
                  <w:shd w:val="clear" w:color="auto" w:fill="auto"/>
                  <w:vAlign w:val="center"/>
                </w:tcPr>
                <w:p>
                  <w:pPr>
                    <w:adjustRightInd w:val="0"/>
                    <w:snapToGrid w:val="0"/>
                    <w:jc w:val="center"/>
                    <w:rPr>
                      <w:b/>
                      <w:bCs/>
                      <w:color w:val="auto"/>
                      <w:szCs w:val="21"/>
                    </w:rPr>
                  </w:pPr>
                  <w:r>
                    <w:rPr>
                      <w:b/>
                      <w:bCs/>
                      <w:color w:val="auto"/>
                      <w:szCs w:val="21"/>
                    </w:rPr>
                    <w:t>产品</w:t>
                  </w:r>
                </w:p>
              </w:tc>
              <w:tc>
                <w:tcPr>
                  <w:tcW w:w="927" w:type="pct"/>
                  <w:tcBorders>
                    <w:tl2br w:val="nil"/>
                    <w:tr2bl w:val="nil"/>
                  </w:tcBorders>
                  <w:shd w:val="clear" w:color="auto" w:fill="auto"/>
                  <w:vAlign w:val="center"/>
                </w:tcPr>
                <w:p>
                  <w:pPr>
                    <w:adjustRightInd w:val="0"/>
                    <w:snapToGrid w:val="0"/>
                    <w:jc w:val="center"/>
                    <w:rPr>
                      <w:b/>
                      <w:bCs/>
                      <w:color w:val="auto"/>
                      <w:szCs w:val="21"/>
                    </w:rPr>
                  </w:pPr>
                  <w:r>
                    <w:rPr>
                      <w:b/>
                      <w:bCs/>
                      <w:color w:val="auto"/>
                      <w:szCs w:val="21"/>
                    </w:rPr>
                    <w:t>产生量（t/a）</w:t>
                  </w:r>
                </w:p>
              </w:tc>
              <w:tc>
                <w:tcPr>
                  <w:tcW w:w="1281" w:type="pct"/>
                  <w:tcBorders>
                    <w:tl2br w:val="nil"/>
                    <w:tr2bl w:val="nil"/>
                  </w:tcBorders>
                  <w:shd w:val="clear" w:color="auto" w:fill="auto"/>
                  <w:vAlign w:val="center"/>
                </w:tcPr>
                <w:p>
                  <w:pPr>
                    <w:adjustRightInd w:val="0"/>
                    <w:snapToGrid w:val="0"/>
                    <w:jc w:val="center"/>
                    <w:rPr>
                      <w:b/>
                      <w:bCs/>
                      <w:color w:val="auto"/>
                      <w:szCs w:val="21"/>
                    </w:rPr>
                  </w:pPr>
                  <w:r>
                    <w:rPr>
                      <w:b/>
                      <w:bCs/>
                      <w:color w:val="auto"/>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693" w:type="pct"/>
                  <w:tcBorders>
                    <w:tl2br w:val="nil"/>
                    <w:tr2bl w:val="nil"/>
                  </w:tcBorders>
                  <w:shd w:val="clear" w:color="auto" w:fill="auto"/>
                  <w:vAlign w:val="center"/>
                </w:tcPr>
                <w:p>
                  <w:pPr>
                    <w:adjustRightInd w:val="0"/>
                    <w:snapToGrid w:val="0"/>
                    <w:jc w:val="center"/>
                    <w:rPr>
                      <w:color w:val="auto"/>
                      <w:szCs w:val="21"/>
                    </w:rPr>
                  </w:pPr>
                  <w:r>
                    <w:rPr>
                      <w:color w:val="auto"/>
                      <w:szCs w:val="21"/>
                    </w:rPr>
                    <w:t>炉渣</w:t>
                  </w:r>
                </w:p>
              </w:tc>
              <w:tc>
                <w:tcPr>
                  <w:tcW w:w="983" w:type="pct"/>
                  <w:tcBorders>
                    <w:tl2br w:val="nil"/>
                    <w:tr2bl w:val="nil"/>
                  </w:tcBorders>
                  <w:shd w:val="clear" w:color="auto" w:fill="auto"/>
                  <w:vAlign w:val="center"/>
                </w:tcPr>
                <w:p>
                  <w:pPr>
                    <w:adjustRightInd w:val="0"/>
                    <w:snapToGrid w:val="0"/>
                    <w:jc w:val="center"/>
                    <w:rPr>
                      <w:color w:val="auto"/>
                      <w:szCs w:val="21"/>
                    </w:rPr>
                  </w:pPr>
                  <w:r>
                    <w:rPr>
                      <w:rFonts w:hint="eastAsia"/>
                      <w:color w:val="auto"/>
                      <w:szCs w:val="21"/>
                      <w:lang w:val="en-US" w:eastAsia="zh-CN"/>
                    </w:rPr>
                    <w:t>4.38</w:t>
                  </w:r>
                  <w:r>
                    <w:rPr>
                      <w:color w:val="auto"/>
                      <w:szCs w:val="21"/>
                    </w:rPr>
                    <w:t>万</w:t>
                  </w:r>
                </w:p>
              </w:tc>
              <w:tc>
                <w:tcPr>
                  <w:tcW w:w="1115" w:type="pct"/>
                  <w:tcBorders>
                    <w:tl2br w:val="nil"/>
                    <w:tr2bl w:val="nil"/>
                  </w:tcBorders>
                  <w:shd w:val="clear" w:color="auto" w:fill="auto"/>
                  <w:vAlign w:val="center"/>
                </w:tcPr>
                <w:p>
                  <w:pPr>
                    <w:adjustRightInd w:val="0"/>
                    <w:snapToGrid w:val="0"/>
                    <w:jc w:val="center"/>
                    <w:rPr>
                      <w:color w:val="auto"/>
                      <w:szCs w:val="21"/>
                    </w:rPr>
                  </w:pPr>
                  <w:r>
                    <w:rPr>
                      <w:color w:val="auto"/>
                      <w:szCs w:val="21"/>
                    </w:rPr>
                    <w:t>回收金属</w:t>
                  </w:r>
                </w:p>
              </w:tc>
              <w:tc>
                <w:tcPr>
                  <w:tcW w:w="927" w:type="pct"/>
                  <w:tcBorders>
                    <w:tl2br w:val="nil"/>
                    <w:tr2bl w:val="nil"/>
                  </w:tcBorders>
                  <w:shd w:val="clear" w:color="auto" w:fill="auto"/>
                  <w:vAlign w:val="center"/>
                </w:tcPr>
                <w:p>
                  <w:pPr>
                    <w:adjustRightInd w:val="0"/>
                    <w:snapToGrid w:val="0"/>
                    <w:jc w:val="center"/>
                    <w:rPr>
                      <w:rFonts w:hint="default" w:eastAsia="宋体"/>
                      <w:color w:val="auto"/>
                      <w:szCs w:val="21"/>
                      <w:lang w:val="en-US" w:eastAsia="zh-CN"/>
                    </w:rPr>
                  </w:pPr>
                  <w:r>
                    <w:rPr>
                      <w:rFonts w:hint="eastAsia"/>
                      <w:color w:val="auto"/>
                      <w:szCs w:val="21"/>
                      <w:lang w:val="en-US" w:eastAsia="zh-CN"/>
                    </w:rPr>
                    <w:t>1138.8</w:t>
                  </w:r>
                </w:p>
              </w:tc>
              <w:tc>
                <w:tcPr>
                  <w:tcW w:w="1281" w:type="pct"/>
                  <w:tcBorders>
                    <w:tl2br w:val="nil"/>
                    <w:tr2bl w:val="nil"/>
                  </w:tcBorders>
                  <w:shd w:val="clear" w:color="auto" w:fill="auto"/>
                  <w:vAlign w:val="center"/>
                </w:tcPr>
                <w:p>
                  <w:pPr>
                    <w:adjustRightInd w:val="0"/>
                    <w:snapToGrid w:val="0"/>
                    <w:jc w:val="center"/>
                    <w:rPr>
                      <w:color w:val="auto"/>
                      <w:szCs w:val="21"/>
                    </w:rPr>
                  </w:pPr>
                  <w:r>
                    <w:rPr>
                      <w:color w:val="auto"/>
                      <w:szCs w:val="21"/>
                    </w:rPr>
                    <w:t>作为产品外售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693" w:type="pct"/>
                  <w:tcBorders>
                    <w:tl2br w:val="nil"/>
                    <w:tr2bl w:val="nil"/>
                  </w:tcBorders>
                  <w:shd w:val="clear" w:color="auto" w:fill="auto"/>
                  <w:vAlign w:val="center"/>
                </w:tcPr>
                <w:p>
                  <w:pPr>
                    <w:adjustRightInd w:val="0"/>
                    <w:snapToGrid w:val="0"/>
                    <w:jc w:val="center"/>
                    <w:rPr>
                      <w:color w:val="auto"/>
                      <w:szCs w:val="21"/>
                    </w:rPr>
                  </w:pPr>
                  <w:r>
                    <w:rPr>
                      <w:color w:val="auto"/>
                      <w:szCs w:val="21"/>
                    </w:rPr>
                    <w:t>水泥</w:t>
                  </w:r>
                </w:p>
              </w:tc>
              <w:tc>
                <w:tcPr>
                  <w:tcW w:w="983" w:type="pct"/>
                  <w:tcBorders>
                    <w:tl2br w:val="nil"/>
                    <w:tr2bl w:val="nil"/>
                  </w:tcBorders>
                  <w:shd w:val="clear" w:color="auto" w:fill="auto"/>
                  <w:vAlign w:val="center"/>
                </w:tcPr>
                <w:p>
                  <w:pPr>
                    <w:adjustRightInd w:val="0"/>
                    <w:snapToGrid w:val="0"/>
                    <w:jc w:val="center"/>
                    <w:rPr>
                      <w:rFonts w:hint="default"/>
                      <w:color w:val="auto"/>
                      <w:szCs w:val="21"/>
                      <w:lang w:val="en-US"/>
                    </w:rPr>
                  </w:pPr>
                  <w:r>
                    <w:rPr>
                      <w:rFonts w:hint="eastAsia"/>
                      <w:color w:val="auto"/>
                      <w:szCs w:val="21"/>
                      <w:lang w:val="en-US" w:eastAsia="zh-CN"/>
                    </w:rPr>
                    <w:t>4533</w:t>
                  </w:r>
                </w:p>
              </w:tc>
              <w:tc>
                <w:tcPr>
                  <w:tcW w:w="1115" w:type="pct"/>
                  <w:tcBorders>
                    <w:tl2br w:val="nil"/>
                    <w:tr2bl w:val="nil"/>
                  </w:tcBorders>
                  <w:shd w:val="clear" w:color="auto" w:fill="auto"/>
                  <w:vAlign w:val="center"/>
                </w:tcPr>
                <w:p>
                  <w:pPr>
                    <w:adjustRightInd w:val="0"/>
                    <w:snapToGrid w:val="0"/>
                    <w:jc w:val="center"/>
                    <w:rPr>
                      <w:color w:val="auto"/>
                      <w:szCs w:val="21"/>
                    </w:rPr>
                  </w:pPr>
                  <w:r>
                    <w:rPr>
                      <w:rFonts w:hint="eastAsia"/>
                      <w:color w:val="auto"/>
                    </w:rPr>
                    <w:t>分拣出的未燃尽垃圾</w:t>
                  </w:r>
                </w:p>
              </w:tc>
              <w:tc>
                <w:tcPr>
                  <w:tcW w:w="927" w:type="pct"/>
                  <w:tcBorders>
                    <w:tl2br w:val="nil"/>
                    <w:tr2bl w:val="nil"/>
                  </w:tcBorders>
                  <w:shd w:val="clear" w:color="auto" w:fill="auto"/>
                  <w:vAlign w:val="center"/>
                </w:tcPr>
                <w:p>
                  <w:pPr>
                    <w:adjustRightInd w:val="0"/>
                    <w:snapToGrid w:val="0"/>
                    <w:jc w:val="center"/>
                    <w:rPr>
                      <w:rFonts w:hint="default" w:eastAsia="宋体"/>
                      <w:color w:val="auto"/>
                      <w:szCs w:val="21"/>
                      <w:lang w:val="en-US" w:eastAsia="zh-CN"/>
                    </w:rPr>
                  </w:pPr>
                  <w:r>
                    <w:rPr>
                      <w:rFonts w:hint="eastAsia"/>
                      <w:color w:val="auto"/>
                      <w:szCs w:val="21"/>
                      <w:lang w:val="en-US" w:eastAsia="zh-CN"/>
                    </w:rPr>
                    <w:t>1883.4</w:t>
                  </w:r>
                </w:p>
              </w:tc>
              <w:tc>
                <w:tcPr>
                  <w:tcW w:w="1281" w:type="pct"/>
                  <w:tcBorders>
                    <w:tl2br w:val="nil"/>
                    <w:tr2bl w:val="nil"/>
                  </w:tcBorders>
                  <w:shd w:val="clear" w:color="auto" w:fill="auto"/>
                  <w:vAlign w:val="center"/>
                </w:tcPr>
                <w:p>
                  <w:pPr>
                    <w:adjustRightInd w:val="0"/>
                    <w:snapToGrid w:val="0"/>
                    <w:jc w:val="center"/>
                    <w:rPr>
                      <w:color w:val="auto"/>
                      <w:szCs w:val="21"/>
                    </w:rPr>
                  </w:pPr>
                  <w:r>
                    <w:rPr>
                      <w:color w:val="auto"/>
                      <w:szCs w:val="21"/>
                    </w:rPr>
                    <w:t>交由昌吉生活垃圾焚烧发电厂再处理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3" w:type="pct"/>
                  <w:tcBorders>
                    <w:tl2br w:val="nil"/>
                    <w:tr2bl w:val="nil"/>
                  </w:tcBorders>
                  <w:shd w:val="clear" w:color="auto" w:fill="auto"/>
                  <w:vAlign w:val="center"/>
                </w:tcPr>
                <w:p>
                  <w:pPr>
                    <w:adjustRightInd w:val="0"/>
                    <w:snapToGrid w:val="0"/>
                    <w:jc w:val="center"/>
                    <w:rPr>
                      <w:color w:val="auto"/>
                      <w:szCs w:val="21"/>
                    </w:rPr>
                  </w:pPr>
                  <w:r>
                    <w:rPr>
                      <w:rFonts w:hint="eastAsia"/>
                      <w:color w:val="auto"/>
                      <w:szCs w:val="21"/>
                    </w:rPr>
                    <w:t>制砖用</w:t>
                  </w:r>
                  <w:r>
                    <w:rPr>
                      <w:color w:val="auto"/>
                      <w:szCs w:val="21"/>
                    </w:rPr>
                    <w:t>水</w:t>
                  </w:r>
                </w:p>
              </w:tc>
              <w:tc>
                <w:tcPr>
                  <w:tcW w:w="983" w:type="pct"/>
                  <w:tcBorders>
                    <w:tl2br w:val="nil"/>
                    <w:tr2bl w:val="nil"/>
                  </w:tcBorders>
                  <w:shd w:val="clear" w:color="auto" w:fill="auto"/>
                  <w:vAlign w:val="center"/>
                </w:tcPr>
                <w:p>
                  <w:pPr>
                    <w:adjustRightInd w:val="0"/>
                    <w:snapToGrid w:val="0"/>
                    <w:jc w:val="center"/>
                    <w:rPr>
                      <w:rFonts w:hint="default" w:eastAsia="宋体"/>
                      <w:color w:val="auto"/>
                      <w:lang w:val="en-US" w:eastAsia="zh-CN"/>
                    </w:rPr>
                  </w:pPr>
                  <w:r>
                    <w:rPr>
                      <w:rFonts w:hint="eastAsia"/>
                      <w:color w:val="auto"/>
                      <w:lang w:val="en-US" w:eastAsia="zh-CN"/>
                    </w:rPr>
                    <w:t>2716</w:t>
                  </w:r>
                </w:p>
              </w:tc>
              <w:tc>
                <w:tcPr>
                  <w:tcW w:w="1115" w:type="pct"/>
                  <w:tcBorders>
                    <w:tl2br w:val="nil"/>
                    <w:tr2bl w:val="nil"/>
                  </w:tcBorders>
                  <w:shd w:val="clear" w:color="auto" w:fill="auto"/>
                  <w:vAlign w:val="center"/>
                </w:tcPr>
                <w:p>
                  <w:pPr>
                    <w:adjustRightInd w:val="0"/>
                    <w:snapToGrid w:val="0"/>
                    <w:jc w:val="center"/>
                    <w:rPr>
                      <w:color w:val="auto"/>
                      <w:szCs w:val="21"/>
                    </w:rPr>
                  </w:pPr>
                  <w:r>
                    <w:rPr>
                      <w:color w:val="auto"/>
                      <w:szCs w:val="21"/>
                    </w:rPr>
                    <w:t>环保砖</w:t>
                  </w:r>
                </w:p>
              </w:tc>
              <w:tc>
                <w:tcPr>
                  <w:tcW w:w="927" w:type="pct"/>
                  <w:tcBorders>
                    <w:tl2br w:val="nil"/>
                    <w:tr2bl w:val="nil"/>
                  </w:tcBorders>
                  <w:shd w:val="clear" w:color="auto" w:fill="auto"/>
                  <w:vAlign w:val="center"/>
                </w:tcPr>
                <w:p>
                  <w:pPr>
                    <w:adjustRightInd w:val="0"/>
                    <w:snapToGrid w:val="0"/>
                    <w:jc w:val="center"/>
                    <w:rPr>
                      <w:rFonts w:hint="default"/>
                      <w:color w:val="auto"/>
                      <w:szCs w:val="21"/>
                      <w:highlight w:val="none"/>
                      <w:lang w:val="en-US"/>
                    </w:rPr>
                  </w:pPr>
                  <w:r>
                    <w:rPr>
                      <w:rFonts w:hint="eastAsia"/>
                      <w:color w:val="auto"/>
                      <w:szCs w:val="21"/>
                      <w:highlight w:val="none"/>
                      <w:lang w:val="en-US" w:eastAsia="zh-CN"/>
                    </w:rPr>
                    <w:t>48026.8</w:t>
                  </w:r>
                </w:p>
              </w:tc>
              <w:tc>
                <w:tcPr>
                  <w:tcW w:w="1281" w:type="pct"/>
                  <w:tcBorders>
                    <w:tl2br w:val="nil"/>
                    <w:tr2bl w:val="nil"/>
                  </w:tcBorders>
                  <w:shd w:val="clear" w:color="auto" w:fill="auto"/>
                  <w:vAlign w:val="center"/>
                </w:tcPr>
                <w:p>
                  <w:pPr>
                    <w:adjustRightInd w:val="0"/>
                    <w:snapToGrid w:val="0"/>
                    <w:jc w:val="center"/>
                    <w:rPr>
                      <w:color w:val="auto"/>
                      <w:szCs w:val="21"/>
                    </w:rPr>
                  </w:pPr>
                  <w:r>
                    <w:rPr>
                      <w:rFonts w:hint="eastAsia"/>
                      <w:color w:val="auto"/>
                      <w:szCs w:val="21"/>
                    </w:rPr>
                    <w:t>外售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3" w:type="pct"/>
                  <w:tcBorders>
                    <w:tl2br w:val="nil"/>
                    <w:tr2bl w:val="nil"/>
                  </w:tcBorders>
                  <w:shd w:val="clear" w:color="auto" w:fill="auto"/>
                  <w:vAlign w:val="center"/>
                </w:tcPr>
                <w:p>
                  <w:pPr>
                    <w:adjustRightInd w:val="0"/>
                    <w:snapToGrid w:val="0"/>
                    <w:jc w:val="center"/>
                    <w:rPr>
                      <w:color w:val="auto"/>
                      <w:szCs w:val="21"/>
                    </w:rPr>
                  </w:pPr>
                </w:p>
              </w:tc>
              <w:tc>
                <w:tcPr>
                  <w:tcW w:w="983" w:type="pct"/>
                  <w:tcBorders>
                    <w:tl2br w:val="nil"/>
                    <w:tr2bl w:val="nil"/>
                  </w:tcBorders>
                  <w:shd w:val="clear" w:color="auto" w:fill="auto"/>
                  <w:vAlign w:val="center"/>
                </w:tcPr>
                <w:p>
                  <w:pPr>
                    <w:adjustRightInd w:val="0"/>
                    <w:snapToGrid w:val="0"/>
                    <w:jc w:val="center"/>
                    <w:rPr>
                      <w:color w:val="auto"/>
                      <w:szCs w:val="21"/>
                    </w:rPr>
                  </w:pPr>
                </w:p>
              </w:tc>
              <w:tc>
                <w:tcPr>
                  <w:tcW w:w="1115" w:type="pct"/>
                  <w:tcBorders>
                    <w:tl2br w:val="nil"/>
                    <w:tr2bl w:val="nil"/>
                  </w:tcBorders>
                  <w:shd w:val="clear" w:color="auto" w:fill="auto"/>
                  <w:vAlign w:val="center"/>
                </w:tcPr>
                <w:p>
                  <w:pPr>
                    <w:adjustRightInd w:val="0"/>
                    <w:snapToGrid w:val="0"/>
                    <w:jc w:val="center"/>
                    <w:rPr>
                      <w:color w:val="auto"/>
                      <w:szCs w:val="21"/>
                    </w:rPr>
                  </w:pPr>
                  <w:r>
                    <w:rPr>
                      <w:rFonts w:hint="eastAsia"/>
                      <w:color w:val="auto"/>
                      <w:szCs w:val="21"/>
                      <w:lang w:eastAsia="zh-CN"/>
                    </w:rPr>
                    <w:t>有组织</w:t>
                  </w:r>
                  <w:r>
                    <w:rPr>
                      <w:rFonts w:hint="eastAsia"/>
                      <w:color w:val="auto"/>
                      <w:szCs w:val="21"/>
                    </w:rPr>
                    <w:t>排放</w:t>
                  </w:r>
                  <w:r>
                    <w:rPr>
                      <w:color w:val="auto"/>
                      <w:szCs w:val="21"/>
                    </w:rPr>
                    <w:t>粉尘</w:t>
                  </w:r>
                </w:p>
              </w:tc>
              <w:tc>
                <w:tcPr>
                  <w:tcW w:w="927" w:type="pct"/>
                  <w:tcBorders>
                    <w:tl2br w:val="nil"/>
                    <w:tr2bl w:val="nil"/>
                  </w:tcBorders>
                  <w:shd w:val="clear" w:color="auto" w:fill="auto"/>
                  <w:vAlign w:val="center"/>
                </w:tcPr>
                <w:p>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0.29</w:t>
                  </w:r>
                </w:p>
              </w:tc>
              <w:tc>
                <w:tcPr>
                  <w:tcW w:w="1281" w:type="pct"/>
                  <w:vMerge w:val="restart"/>
                  <w:tcBorders>
                    <w:tl2br w:val="nil"/>
                    <w:tr2bl w:val="nil"/>
                  </w:tcBorders>
                  <w:shd w:val="clear" w:color="auto" w:fill="auto"/>
                  <w:vAlign w:val="center"/>
                </w:tcPr>
                <w:p>
                  <w:pPr>
                    <w:adjustRightInd w:val="0"/>
                    <w:snapToGrid w:val="0"/>
                    <w:jc w:val="center"/>
                    <w:rPr>
                      <w:color w:val="auto"/>
                      <w:szCs w:val="21"/>
                    </w:rPr>
                  </w:pPr>
                  <w:r>
                    <w:rPr>
                      <w:color w:val="auto"/>
                      <w:szCs w:val="21"/>
                    </w:rPr>
                    <w:t>通过大气环境外排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3" w:type="pct"/>
                  <w:tcBorders>
                    <w:tl2br w:val="nil"/>
                    <w:tr2bl w:val="nil"/>
                  </w:tcBorders>
                  <w:shd w:val="clear" w:color="auto" w:fill="auto"/>
                  <w:vAlign w:val="center"/>
                </w:tcPr>
                <w:p>
                  <w:pPr>
                    <w:adjustRightInd w:val="0"/>
                    <w:snapToGrid w:val="0"/>
                    <w:jc w:val="center"/>
                    <w:rPr>
                      <w:rFonts w:hint="eastAsia" w:eastAsia="宋体"/>
                      <w:color w:val="auto"/>
                      <w:szCs w:val="21"/>
                      <w:lang w:eastAsia="zh-CN"/>
                    </w:rPr>
                  </w:pPr>
                </w:p>
              </w:tc>
              <w:tc>
                <w:tcPr>
                  <w:tcW w:w="983" w:type="pct"/>
                  <w:tcBorders>
                    <w:tl2br w:val="nil"/>
                    <w:tr2bl w:val="nil"/>
                  </w:tcBorders>
                  <w:shd w:val="clear" w:color="auto" w:fill="auto"/>
                  <w:vAlign w:val="center"/>
                </w:tcPr>
                <w:p>
                  <w:pPr>
                    <w:adjustRightInd w:val="0"/>
                    <w:snapToGrid w:val="0"/>
                    <w:jc w:val="center"/>
                    <w:rPr>
                      <w:color w:val="auto"/>
                      <w:szCs w:val="21"/>
                    </w:rPr>
                  </w:pPr>
                </w:p>
              </w:tc>
              <w:tc>
                <w:tcPr>
                  <w:tcW w:w="1115" w:type="pct"/>
                  <w:tcBorders>
                    <w:tl2br w:val="nil"/>
                    <w:tr2bl w:val="nil"/>
                  </w:tcBorders>
                  <w:shd w:val="clear" w:color="auto" w:fill="auto"/>
                  <w:vAlign w:val="center"/>
                </w:tcPr>
                <w:p>
                  <w:pPr>
                    <w:adjustRightInd w:val="0"/>
                    <w:snapToGrid w:val="0"/>
                    <w:jc w:val="center"/>
                    <w:rPr>
                      <w:rFonts w:hint="eastAsia"/>
                      <w:color w:val="auto"/>
                      <w:szCs w:val="21"/>
                      <w:lang w:eastAsia="zh-CN"/>
                    </w:rPr>
                  </w:pPr>
                  <w:r>
                    <w:rPr>
                      <w:rFonts w:hint="eastAsia"/>
                      <w:color w:val="auto"/>
                      <w:szCs w:val="21"/>
                      <w:lang w:eastAsia="zh-CN"/>
                    </w:rPr>
                    <w:t>无组织排放粉尘（除道路扬尘外）</w:t>
                  </w:r>
                </w:p>
              </w:tc>
              <w:tc>
                <w:tcPr>
                  <w:tcW w:w="927" w:type="pct"/>
                  <w:tcBorders>
                    <w:tl2br w:val="nil"/>
                    <w:tr2bl w:val="nil"/>
                  </w:tcBorders>
                  <w:shd w:val="clear" w:color="auto" w:fill="auto"/>
                  <w:vAlign w:val="center"/>
                </w:tcPr>
                <w:p>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0.082</w:t>
                  </w:r>
                </w:p>
              </w:tc>
              <w:tc>
                <w:tcPr>
                  <w:tcW w:w="1281" w:type="pct"/>
                  <w:vMerge w:val="continue"/>
                  <w:tcBorders>
                    <w:tl2br w:val="nil"/>
                    <w:tr2bl w:val="nil"/>
                  </w:tcBorders>
                  <w:shd w:val="clear" w:color="auto" w:fill="auto"/>
                  <w:vAlign w:val="center"/>
                </w:tcPr>
                <w:p>
                  <w:pPr>
                    <w:adjustRightInd w:val="0"/>
                    <w:snapToGrid w:val="0"/>
                    <w:jc w:val="center"/>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3" w:type="pct"/>
                  <w:tcBorders>
                    <w:tl2br w:val="nil"/>
                    <w:tr2bl w:val="nil"/>
                  </w:tcBorders>
                  <w:shd w:val="clear" w:color="auto" w:fill="auto"/>
                  <w:vAlign w:val="center"/>
                </w:tcPr>
                <w:p>
                  <w:pPr>
                    <w:adjustRightInd w:val="0"/>
                    <w:snapToGrid w:val="0"/>
                    <w:jc w:val="center"/>
                    <w:rPr>
                      <w:b/>
                      <w:bCs/>
                      <w:color w:val="auto"/>
                      <w:szCs w:val="21"/>
                    </w:rPr>
                  </w:pPr>
                  <w:r>
                    <w:rPr>
                      <w:b/>
                      <w:bCs/>
                      <w:color w:val="auto"/>
                      <w:szCs w:val="21"/>
                    </w:rPr>
                    <w:t>合计</w:t>
                  </w:r>
                </w:p>
              </w:tc>
              <w:tc>
                <w:tcPr>
                  <w:tcW w:w="983" w:type="pct"/>
                  <w:tcBorders>
                    <w:tl2br w:val="nil"/>
                    <w:tr2bl w:val="nil"/>
                  </w:tcBorders>
                  <w:shd w:val="clear" w:color="auto" w:fill="auto"/>
                  <w:vAlign w:val="center"/>
                </w:tcPr>
                <w:p>
                  <w:pPr>
                    <w:adjustRightInd w:val="0"/>
                    <w:snapToGrid w:val="0"/>
                    <w:jc w:val="center"/>
                    <w:rPr>
                      <w:b/>
                      <w:bCs/>
                      <w:color w:val="auto"/>
                      <w:szCs w:val="21"/>
                    </w:rPr>
                  </w:pPr>
                  <w:r>
                    <w:rPr>
                      <w:rFonts w:hint="eastAsia"/>
                      <w:b/>
                      <w:bCs/>
                      <w:color w:val="auto"/>
                      <w:szCs w:val="21"/>
                      <w:lang w:val="en-US" w:eastAsia="zh-CN"/>
                    </w:rPr>
                    <w:t>5.105</w:t>
                  </w:r>
                  <w:r>
                    <w:rPr>
                      <w:b/>
                      <w:bCs/>
                      <w:color w:val="auto"/>
                      <w:szCs w:val="21"/>
                    </w:rPr>
                    <w:t>万</w:t>
                  </w:r>
                </w:p>
              </w:tc>
              <w:tc>
                <w:tcPr>
                  <w:tcW w:w="1115" w:type="pct"/>
                  <w:tcBorders>
                    <w:tl2br w:val="nil"/>
                    <w:tr2bl w:val="nil"/>
                  </w:tcBorders>
                  <w:shd w:val="clear" w:color="auto" w:fill="auto"/>
                  <w:vAlign w:val="center"/>
                </w:tcPr>
                <w:p>
                  <w:pPr>
                    <w:adjustRightInd w:val="0"/>
                    <w:snapToGrid w:val="0"/>
                    <w:jc w:val="center"/>
                    <w:rPr>
                      <w:b/>
                      <w:bCs/>
                      <w:color w:val="auto"/>
                      <w:szCs w:val="21"/>
                    </w:rPr>
                  </w:pPr>
                  <w:r>
                    <w:rPr>
                      <w:b/>
                      <w:bCs/>
                      <w:color w:val="auto"/>
                      <w:szCs w:val="21"/>
                    </w:rPr>
                    <w:t>合计</w:t>
                  </w:r>
                </w:p>
              </w:tc>
              <w:tc>
                <w:tcPr>
                  <w:tcW w:w="927" w:type="pct"/>
                  <w:tcBorders>
                    <w:tl2br w:val="nil"/>
                    <w:tr2bl w:val="nil"/>
                  </w:tcBorders>
                  <w:shd w:val="clear" w:color="auto" w:fill="auto"/>
                  <w:vAlign w:val="center"/>
                </w:tcPr>
                <w:p>
                  <w:pPr>
                    <w:adjustRightInd w:val="0"/>
                    <w:snapToGrid w:val="0"/>
                    <w:jc w:val="center"/>
                    <w:rPr>
                      <w:b/>
                      <w:bCs/>
                      <w:color w:val="auto"/>
                      <w:szCs w:val="21"/>
                    </w:rPr>
                  </w:pPr>
                  <w:r>
                    <w:rPr>
                      <w:rFonts w:hint="eastAsia"/>
                      <w:b/>
                      <w:bCs/>
                      <w:color w:val="auto"/>
                      <w:szCs w:val="21"/>
                      <w:lang w:val="en-US" w:eastAsia="zh-CN"/>
                    </w:rPr>
                    <w:t>5.105</w:t>
                  </w:r>
                  <w:r>
                    <w:rPr>
                      <w:rFonts w:hint="eastAsia"/>
                      <w:b/>
                      <w:bCs/>
                      <w:color w:val="auto"/>
                      <w:szCs w:val="21"/>
                    </w:rPr>
                    <w:t>万</w:t>
                  </w:r>
                </w:p>
              </w:tc>
              <w:tc>
                <w:tcPr>
                  <w:tcW w:w="1281" w:type="pct"/>
                  <w:tcBorders>
                    <w:tl2br w:val="nil"/>
                    <w:tr2bl w:val="nil"/>
                  </w:tcBorders>
                  <w:shd w:val="clear" w:color="auto" w:fill="auto"/>
                  <w:vAlign w:val="center"/>
                </w:tcPr>
                <w:p>
                  <w:pPr>
                    <w:adjustRightInd w:val="0"/>
                    <w:snapToGrid w:val="0"/>
                    <w:jc w:val="center"/>
                    <w:rPr>
                      <w:color w:val="auto"/>
                      <w:szCs w:val="21"/>
                    </w:rPr>
                  </w:pPr>
                </w:p>
              </w:tc>
            </w:tr>
          </w:tbl>
          <w:p>
            <w:pPr>
              <w:spacing w:line="480" w:lineRule="exact"/>
              <w:ind w:firstLine="422" w:firstLineChars="200"/>
              <w:rPr>
                <w:b/>
                <w:bCs/>
                <w:color w:val="auto"/>
              </w:rPr>
            </w:pPr>
            <w:r>
              <w:rPr>
                <w:rFonts w:hint="eastAsia"/>
                <w:b/>
                <w:bCs/>
                <w:color w:val="auto"/>
              </w:rPr>
              <w:t>2.6公用</w:t>
            </w:r>
            <w:r>
              <w:rPr>
                <w:b/>
                <w:bCs/>
                <w:color w:val="auto"/>
              </w:rPr>
              <w:t>工程</w:t>
            </w:r>
          </w:p>
          <w:p>
            <w:pPr>
              <w:spacing w:line="480" w:lineRule="exact"/>
              <w:ind w:firstLine="422" w:firstLineChars="200"/>
              <w:rPr>
                <w:b/>
                <w:bCs/>
                <w:color w:val="auto"/>
              </w:rPr>
            </w:pPr>
            <w:r>
              <w:rPr>
                <w:rFonts w:hint="eastAsia"/>
                <w:b/>
                <w:bCs/>
                <w:color w:val="auto"/>
              </w:rPr>
              <w:t>2.6.1</w:t>
            </w:r>
            <w:r>
              <w:rPr>
                <w:b/>
                <w:bCs/>
                <w:color w:val="auto"/>
              </w:rPr>
              <w:t>给水</w:t>
            </w:r>
          </w:p>
          <w:p>
            <w:pPr>
              <w:adjustRightInd w:val="0"/>
              <w:snapToGrid w:val="0"/>
              <w:spacing w:line="480" w:lineRule="exact"/>
              <w:ind w:firstLine="420" w:firstLineChars="200"/>
              <w:rPr>
                <w:color w:val="auto"/>
                <w:szCs w:val="21"/>
              </w:rPr>
            </w:pPr>
            <w:r>
              <w:rPr>
                <w:rFonts w:hint="eastAsia"/>
                <w:color w:val="auto"/>
                <w:szCs w:val="21"/>
              </w:rPr>
              <w:t>（1）生活用水</w:t>
            </w:r>
          </w:p>
          <w:p>
            <w:pPr>
              <w:adjustRightInd w:val="0"/>
              <w:snapToGrid w:val="0"/>
              <w:spacing w:line="480" w:lineRule="exact"/>
              <w:ind w:firstLine="420" w:firstLineChars="200"/>
              <w:rPr>
                <w:rFonts w:hint="eastAsia" w:eastAsia="宋体"/>
                <w:color w:val="auto"/>
                <w:szCs w:val="21"/>
                <w:lang w:eastAsia="zh-CN"/>
              </w:rPr>
            </w:pPr>
            <w:r>
              <w:rPr>
                <w:rFonts w:hint="eastAsia"/>
                <w:color w:val="auto"/>
                <w:szCs w:val="21"/>
              </w:rPr>
              <w:t>项目员工人数为60人，均在厂内食宿。根据《关于印发新疆维吾尔自治区工业和生活用水定额的通知》（新政发办[2007]105号），员工办公生活用水量以100L/d·人计，则员工生活用水总量为6m</w:t>
            </w:r>
            <w:r>
              <w:rPr>
                <w:rFonts w:hint="eastAsia"/>
                <w:color w:val="auto"/>
                <w:szCs w:val="21"/>
                <w:vertAlign w:val="superscript"/>
              </w:rPr>
              <w:t>3</w:t>
            </w:r>
            <w:r>
              <w:rPr>
                <w:rFonts w:hint="eastAsia"/>
                <w:color w:val="auto"/>
                <w:szCs w:val="21"/>
              </w:rPr>
              <w:t>/d（1980m</w:t>
            </w:r>
            <w:r>
              <w:rPr>
                <w:rFonts w:hint="eastAsia"/>
                <w:color w:val="auto"/>
                <w:szCs w:val="21"/>
                <w:vertAlign w:val="superscript"/>
              </w:rPr>
              <w:t>3</w:t>
            </w:r>
            <w:r>
              <w:rPr>
                <w:rFonts w:hint="eastAsia"/>
                <w:color w:val="auto"/>
                <w:szCs w:val="21"/>
              </w:rPr>
              <w:t>/a）。本项目生活用水取用昌吉市庙儿沟乡和谐二村管网自来水。</w:t>
            </w:r>
            <w:r>
              <w:rPr>
                <w:rFonts w:hint="eastAsia"/>
                <w:color w:val="auto"/>
                <w:szCs w:val="21"/>
                <w:lang w:eastAsia="zh-CN"/>
              </w:rPr>
              <w:t>用罐车拉运至厂区。</w:t>
            </w:r>
          </w:p>
          <w:p>
            <w:pPr>
              <w:adjustRightInd w:val="0"/>
              <w:snapToGrid w:val="0"/>
              <w:spacing w:line="480" w:lineRule="exact"/>
              <w:ind w:firstLine="420" w:firstLineChars="200"/>
              <w:rPr>
                <w:color w:val="auto"/>
                <w:szCs w:val="21"/>
              </w:rPr>
            </w:pPr>
            <w:r>
              <w:rPr>
                <w:rFonts w:hint="eastAsia"/>
                <w:color w:val="auto"/>
                <w:szCs w:val="21"/>
              </w:rPr>
              <w:t>（2）生产用水</w:t>
            </w:r>
          </w:p>
          <w:p>
            <w:pPr>
              <w:adjustRightInd w:val="0"/>
              <w:snapToGrid w:val="0"/>
              <w:spacing w:line="480" w:lineRule="exact"/>
              <w:ind w:firstLine="420" w:firstLineChars="200"/>
              <w:rPr>
                <w:rFonts w:hint="eastAsia" w:eastAsia="宋体"/>
                <w:color w:val="auto"/>
                <w:szCs w:val="21"/>
                <w:lang w:eastAsia="zh-CN"/>
              </w:rPr>
            </w:pPr>
            <w:r>
              <w:rPr>
                <w:rFonts w:hint="eastAsia"/>
                <w:color w:val="auto"/>
                <w:szCs w:val="21"/>
              </w:rPr>
              <w:t>主要为炉渣处理用水、抑尘用水、车辆冲洗用水、制砖用水等。生产用水水源为昌吉市城北污水处理厂的中水，中水使用量为</w:t>
            </w:r>
            <w:r>
              <w:rPr>
                <w:rFonts w:hint="eastAsia"/>
                <w:color w:val="auto"/>
                <w:szCs w:val="21"/>
                <w:lang w:val="en-US" w:eastAsia="zh-CN"/>
              </w:rPr>
              <w:t>15.2</w:t>
            </w:r>
            <w:r>
              <w:rPr>
                <w:rFonts w:hint="eastAsia"/>
                <w:color w:val="auto"/>
                <w:szCs w:val="21"/>
              </w:rPr>
              <w:t>m</w:t>
            </w:r>
            <w:r>
              <w:rPr>
                <w:rFonts w:hint="eastAsia"/>
                <w:color w:val="auto"/>
                <w:szCs w:val="21"/>
                <w:vertAlign w:val="superscript"/>
              </w:rPr>
              <w:t>3</w:t>
            </w:r>
            <w:r>
              <w:rPr>
                <w:rFonts w:hint="eastAsia"/>
                <w:color w:val="auto"/>
                <w:szCs w:val="21"/>
              </w:rPr>
              <w:t>/d，该污水处理厂日处理规模为5万m</w:t>
            </w:r>
            <w:r>
              <w:rPr>
                <w:rFonts w:hint="eastAsia"/>
                <w:color w:val="auto"/>
                <w:szCs w:val="21"/>
                <w:vertAlign w:val="superscript"/>
              </w:rPr>
              <w:t>3</w:t>
            </w:r>
            <w:r>
              <w:rPr>
                <w:rFonts w:hint="eastAsia"/>
                <w:color w:val="auto"/>
                <w:szCs w:val="21"/>
              </w:rPr>
              <w:t>/d，可满足本项目生产用水的需求。</w:t>
            </w:r>
            <w:r>
              <w:rPr>
                <w:rFonts w:hint="eastAsia"/>
                <w:color w:val="auto"/>
                <w:szCs w:val="21"/>
                <w:lang w:eastAsia="zh-CN"/>
              </w:rPr>
              <w:t>生产中水由罐车拉运至厂区。</w:t>
            </w:r>
          </w:p>
          <w:p>
            <w:pPr>
              <w:adjustRightInd w:val="0"/>
              <w:snapToGrid w:val="0"/>
              <w:spacing w:line="480" w:lineRule="exact"/>
              <w:ind w:firstLine="420" w:firstLineChars="200"/>
              <w:rPr>
                <w:color w:val="auto"/>
                <w:szCs w:val="21"/>
                <w:shd w:val="clear" w:color="auto" w:fill="FFC000"/>
              </w:rPr>
            </w:pPr>
            <w:r>
              <w:rPr>
                <w:rFonts w:hint="eastAsia"/>
                <w:color w:val="auto"/>
                <w:szCs w:val="21"/>
              </w:rPr>
              <w:t>按照《建筑给水排水设计规范》所制定的各项用水定额并经类比分析，各项用水指标见表2-7。由表可知，项目用水量为</w:t>
            </w:r>
            <w:r>
              <w:rPr>
                <w:rFonts w:hint="eastAsia"/>
                <w:color w:val="auto"/>
                <w:szCs w:val="21"/>
                <w:lang w:val="en-US" w:eastAsia="zh-CN"/>
              </w:rPr>
              <w:t>6995</w:t>
            </w:r>
            <w:r>
              <w:rPr>
                <w:rFonts w:hint="eastAsia"/>
                <w:color w:val="auto"/>
                <w:szCs w:val="21"/>
              </w:rPr>
              <w:t>m</w:t>
            </w:r>
            <w:r>
              <w:rPr>
                <w:rFonts w:hint="eastAsia"/>
                <w:color w:val="auto"/>
                <w:szCs w:val="21"/>
                <w:vertAlign w:val="superscript"/>
              </w:rPr>
              <w:t>3</w:t>
            </w:r>
            <w:r>
              <w:rPr>
                <w:rFonts w:hint="eastAsia"/>
                <w:color w:val="auto"/>
                <w:szCs w:val="21"/>
              </w:rPr>
              <w:t>/a，其中中水使用量为</w:t>
            </w:r>
            <w:r>
              <w:rPr>
                <w:rFonts w:hint="eastAsia"/>
                <w:color w:val="auto"/>
                <w:szCs w:val="21"/>
                <w:lang w:val="en-US" w:eastAsia="zh-CN"/>
              </w:rPr>
              <w:t>5015</w:t>
            </w:r>
            <w:r>
              <w:rPr>
                <w:rFonts w:hint="eastAsia"/>
                <w:color w:val="auto"/>
                <w:szCs w:val="21"/>
              </w:rPr>
              <w:t>m</w:t>
            </w:r>
            <w:r>
              <w:rPr>
                <w:rFonts w:hint="eastAsia"/>
                <w:color w:val="auto"/>
                <w:szCs w:val="21"/>
                <w:vertAlign w:val="superscript"/>
              </w:rPr>
              <w:t>3</w:t>
            </w:r>
            <w:r>
              <w:rPr>
                <w:rFonts w:hint="eastAsia"/>
                <w:color w:val="auto"/>
                <w:szCs w:val="21"/>
              </w:rPr>
              <w:t>/a，新鲜水用量1980m</w:t>
            </w:r>
            <w:r>
              <w:rPr>
                <w:rFonts w:hint="eastAsia"/>
                <w:color w:val="auto"/>
                <w:szCs w:val="21"/>
                <w:vertAlign w:val="superscript"/>
              </w:rPr>
              <w:t>3</w:t>
            </w:r>
            <w:r>
              <w:rPr>
                <w:rFonts w:hint="eastAsia"/>
                <w:color w:val="auto"/>
                <w:szCs w:val="21"/>
              </w:rPr>
              <w:t>/a。</w:t>
            </w:r>
          </w:p>
          <w:p>
            <w:pPr>
              <w:keepNext w:val="0"/>
              <w:keepLines w:val="0"/>
              <w:pageBreakBefore w:val="0"/>
              <w:widowControl w:val="0"/>
              <w:kinsoku/>
              <w:wordWrap/>
              <w:overflowPunct/>
              <w:topLinePunct w:val="0"/>
              <w:autoSpaceDE/>
              <w:autoSpaceDN/>
              <w:bidi w:val="0"/>
              <w:adjustRightInd w:val="0"/>
              <w:snapToGrid w:val="0"/>
              <w:spacing w:line="480" w:lineRule="exact"/>
              <w:ind w:firstLine="422" w:firstLineChars="200"/>
              <w:jc w:val="center"/>
              <w:textAlignment w:val="auto"/>
              <w:rPr>
                <w:rFonts w:hint="eastAsia"/>
                <w:b/>
                <w:bCs/>
                <w:color w:val="auto"/>
                <w:szCs w:val="21"/>
              </w:rPr>
            </w:pPr>
          </w:p>
          <w:p>
            <w:pPr>
              <w:keepNext w:val="0"/>
              <w:keepLines w:val="0"/>
              <w:pageBreakBefore w:val="0"/>
              <w:widowControl w:val="0"/>
              <w:kinsoku/>
              <w:wordWrap/>
              <w:overflowPunct/>
              <w:topLinePunct w:val="0"/>
              <w:autoSpaceDE/>
              <w:autoSpaceDN/>
              <w:bidi w:val="0"/>
              <w:adjustRightInd w:val="0"/>
              <w:snapToGrid w:val="0"/>
              <w:spacing w:line="480" w:lineRule="exact"/>
              <w:ind w:firstLine="422" w:firstLineChars="200"/>
              <w:jc w:val="center"/>
              <w:textAlignment w:val="auto"/>
              <w:rPr>
                <w:b/>
                <w:bCs/>
                <w:color w:val="auto"/>
                <w:szCs w:val="21"/>
                <w:shd w:val="clear" w:color="auto" w:fill="FFC000"/>
              </w:rPr>
            </w:pPr>
            <w:r>
              <w:rPr>
                <w:rFonts w:hint="eastAsia"/>
                <w:b/>
                <w:bCs/>
                <w:color w:val="auto"/>
                <w:szCs w:val="21"/>
              </w:rPr>
              <w:t>表2-7    项目用水类型及用水量</w:t>
            </w:r>
          </w:p>
          <w:tbl>
            <w:tblPr>
              <w:tblStyle w:val="23"/>
              <w:tblpPr w:leftFromText="180" w:rightFromText="180" w:vertAnchor="text" w:horzAnchor="page" w:tblpX="141" w:tblpY="138"/>
              <w:tblOverlap w:val="never"/>
              <w:tblW w:w="826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484"/>
              <w:gridCol w:w="1241"/>
              <w:gridCol w:w="2250"/>
              <w:gridCol w:w="15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3191" w:type="dxa"/>
                  <w:gridSpan w:val="2"/>
                  <w:tcBorders>
                    <w:tl2br w:val="nil"/>
                    <w:tr2bl w:val="nil"/>
                  </w:tcBorders>
                  <w:vAlign w:val="center"/>
                </w:tcPr>
                <w:p>
                  <w:pPr>
                    <w:pStyle w:val="15"/>
                    <w:spacing w:after="0" w:line="240" w:lineRule="auto"/>
                    <w:jc w:val="center"/>
                    <w:rPr>
                      <w:rFonts w:eastAsia="宋体"/>
                      <w:b/>
                      <w:bCs/>
                      <w:color w:val="auto"/>
                      <w:szCs w:val="21"/>
                    </w:rPr>
                  </w:pPr>
                  <w:r>
                    <w:rPr>
                      <w:rFonts w:eastAsia="宋体"/>
                      <w:b/>
                      <w:bCs/>
                      <w:color w:val="auto"/>
                      <w:szCs w:val="21"/>
                    </w:rPr>
                    <w:t>用水对象</w:t>
                  </w:r>
                </w:p>
              </w:tc>
              <w:tc>
                <w:tcPr>
                  <w:tcW w:w="1241" w:type="dxa"/>
                  <w:tcBorders>
                    <w:tl2br w:val="nil"/>
                    <w:tr2bl w:val="nil"/>
                  </w:tcBorders>
                  <w:vAlign w:val="center"/>
                </w:tcPr>
                <w:p>
                  <w:pPr>
                    <w:pStyle w:val="15"/>
                    <w:spacing w:after="0" w:line="240" w:lineRule="auto"/>
                    <w:jc w:val="center"/>
                    <w:rPr>
                      <w:rFonts w:eastAsia="宋体"/>
                      <w:b/>
                      <w:bCs/>
                      <w:color w:val="auto"/>
                      <w:szCs w:val="21"/>
                    </w:rPr>
                  </w:pPr>
                  <w:r>
                    <w:rPr>
                      <w:rFonts w:eastAsia="宋体"/>
                      <w:b/>
                      <w:bCs/>
                      <w:color w:val="auto"/>
                      <w:szCs w:val="21"/>
                    </w:rPr>
                    <w:t>人数或面积</w:t>
                  </w:r>
                </w:p>
              </w:tc>
              <w:tc>
                <w:tcPr>
                  <w:tcW w:w="2250" w:type="dxa"/>
                  <w:tcBorders>
                    <w:tl2br w:val="nil"/>
                    <w:tr2bl w:val="nil"/>
                  </w:tcBorders>
                  <w:vAlign w:val="center"/>
                </w:tcPr>
                <w:p>
                  <w:pPr>
                    <w:pStyle w:val="15"/>
                    <w:spacing w:after="0" w:line="240" w:lineRule="auto"/>
                    <w:jc w:val="center"/>
                    <w:rPr>
                      <w:rFonts w:eastAsia="宋体"/>
                      <w:b/>
                      <w:bCs/>
                      <w:color w:val="auto"/>
                      <w:szCs w:val="21"/>
                    </w:rPr>
                  </w:pPr>
                  <w:r>
                    <w:rPr>
                      <w:rFonts w:eastAsia="宋体"/>
                      <w:b/>
                      <w:bCs/>
                      <w:color w:val="auto"/>
                      <w:szCs w:val="21"/>
                    </w:rPr>
                    <w:t>用水量定额（最高）</w:t>
                  </w:r>
                </w:p>
              </w:tc>
              <w:tc>
                <w:tcPr>
                  <w:tcW w:w="1580" w:type="dxa"/>
                  <w:tcBorders>
                    <w:tl2br w:val="nil"/>
                    <w:tr2bl w:val="nil"/>
                  </w:tcBorders>
                  <w:vAlign w:val="center"/>
                </w:tcPr>
                <w:p>
                  <w:pPr>
                    <w:pStyle w:val="15"/>
                    <w:spacing w:after="0" w:line="240" w:lineRule="auto"/>
                    <w:jc w:val="center"/>
                    <w:rPr>
                      <w:rFonts w:eastAsia="宋体"/>
                      <w:b/>
                      <w:bCs/>
                      <w:color w:val="auto"/>
                      <w:szCs w:val="21"/>
                    </w:rPr>
                  </w:pPr>
                  <w:r>
                    <w:rPr>
                      <w:rFonts w:eastAsia="宋体"/>
                      <w:b/>
                      <w:bCs/>
                      <w:color w:val="auto"/>
                      <w:szCs w:val="21"/>
                    </w:rPr>
                    <w:t>用水量（m</w:t>
                  </w:r>
                  <w:r>
                    <w:rPr>
                      <w:rFonts w:eastAsia="宋体"/>
                      <w:b/>
                      <w:bCs/>
                      <w:color w:val="auto"/>
                      <w:szCs w:val="21"/>
                      <w:vertAlign w:val="superscript"/>
                    </w:rPr>
                    <w:t>3</w:t>
                  </w:r>
                  <w:r>
                    <w:rPr>
                      <w:rFonts w:eastAsia="宋体"/>
                      <w:b/>
                      <w:bCs/>
                      <w:color w:val="auto"/>
                      <w:szCs w:val="21"/>
                    </w:rPr>
                    <w: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91" w:type="dxa"/>
                  <w:gridSpan w:val="2"/>
                  <w:tcBorders>
                    <w:tl2br w:val="nil"/>
                    <w:tr2bl w:val="nil"/>
                  </w:tcBorders>
                  <w:vAlign w:val="center"/>
                </w:tcPr>
                <w:p>
                  <w:pPr>
                    <w:pStyle w:val="15"/>
                    <w:spacing w:after="0" w:line="240" w:lineRule="auto"/>
                    <w:jc w:val="center"/>
                    <w:rPr>
                      <w:rFonts w:eastAsia="宋体"/>
                      <w:color w:val="auto"/>
                      <w:szCs w:val="21"/>
                    </w:rPr>
                  </w:pPr>
                  <w:r>
                    <w:rPr>
                      <w:rFonts w:eastAsia="宋体"/>
                      <w:color w:val="auto"/>
                      <w:szCs w:val="21"/>
                    </w:rPr>
                    <w:t>生活用水</w:t>
                  </w:r>
                </w:p>
              </w:tc>
              <w:tc>
                <w:tcPr>
                  <w:tcW w:w="1241" w:type="dxa"/>
                  <w:tcBorders>
                    <w:tl2br w:val="nil"/>
                    <w:tr2bl w:val="nil"/>
                  </w:tcBorders>
                  <w:vAlign w:val="center"/>
                </w:tcPr>
                <w:p>
                  <w:pPr>
                    <w:pStyle w:val="15"/>
                    <w:spacing w:after="0" w:line="240" w:lineRule="auto"/>
                    <w:jc w:val="center"/>
                    <w:rPr>
                      <w:rFonts w:eastAsia="宋体"/>
                      <w:color w:val="auto"/>
                      <w:szCs w:val="21"/>
                    </w:rPr>
                  </w:pPr>
                  <w:r>
                    <w:rPr>
                      <w:rFonts w:eastAsia="宋体"/>
                      <w:color w:val="auto"/>
                      <w:szCs w:val="21"/>
                    </w:rPr>
                    <w:t>60人</w:t>
                  </w:r>
                </w:p>
              </w:tc>
              <w:tc>
                <w:tcPr>
                  <w:tcW w:w="2250" w:type="dxa"/>
                  <w:tcBorders>
                    <w:tl2br w:val="nil"/>
                    <w:tr2bl w:val="nil"/>
                  </w:tcBorders>
                  <w:vAlign w:val="center"/>
                </w:tcPr>
                <w:p>
                  <w:pPr>
                    <w:pStyle w:val="15"/>
                    <w:spacing w:after="0" w:line="240" w:lineRule="auto"/>
                    <w:jc w:val="center"/>
                    <w:rPr>
                      <w:rFonts w:eastAsia="宋体"/>
                      <w:color w:val="auto"/>
                      <w:szCs w:val="21"/>
                    </w:rPr>
                  </w:pPr>
                  <w:r>
                    <w:rPr>
                      <w:rFonts w:eastAsia="宋体"/>
                      <w:color w:val="auto"/>
                      <w:szCs w:val="21"/>
                    </w:rPr>
                    <w:t>100L/人·天</w:t>
                  </w:r>
                </w:p>
              </w:tc>
              <w:tc>
                <w:tcPr>
                  <w:tcW w:w="1580" w:type="dxa"/>
                  <w:tcBorders>
                    <w:tl2br w:val="nil"/>
                    <w:tr2bl w:val="nil"/>
                  </w:tcBorders>
                  <w:vAlign w:val="center"/>
                </w:tcPr>
                <w:p>
                  <w:pPr>
                    <w:pStyle w:val="15"/>
                    <w:spacing w:after="0" w:line="240" w:lineRule="auto"/>
                    <w:jc w:val="center"/>
                    <w:rPr>
                      <w:rFonts w:eastAsia="宋体"/>
                      <w:color w:val="auto"/>
                      <w:szCs w:val="21"/>
                    </w:rPr>
                  </w:pPr>
                  <w:r>
                    <w:rPr>
                      <w:rFonts w:eastAsia="宋体"/>
                      <w:color w:val="auto"/>
                      <w:szCs w:val="21"/>
                    </w:rPr>
                    <w:t>1980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7" w:type="dxa"/>
                  <w:vMerge w:val="restart"/>
                  <w:tcBorders>
                    <w:tl2br w:val="nil"/>
                    <w:tr2bl w:val="nil"/>
                  </w:tcBorders>
                  <w:vAlign w:val="center"/>
                </w:tcPr>
                <w:p>
                  <w:pPr>
                    <w:pStyle w:val="15"/>
                    <w:spacing w:after="0" w:line="240" w:lineRule="auto"/>
                    <w:jc w:val="center"/>
                    <w:rPr>
                      <w:rFonts w:eastAsia="宋体"/>
                      <w:color w:val="auto"/>
                      <w:szCs w:val="21"/>
                    </w:rPr>
                  </w:pPr>
                  <w:r>
                    <w:rPr>
                      <w:rFonts w:eastAsia="宋体"/>
                      <w:color w:val="auto"/>
                      <w:szCs w:val="21"/>
                    </w:rPr>
                    <w:t>生产用水</w:t>
                  </w:r>
                </w:p>
              </w:tc>
              <w:tc>
                <w:tcPr>
                  <w:tcW w:w="2484" w:type="dxa"/>
                  <w:tcBorders>
                    <w:tl2br w:val="nil"/>
                    <w:tr2bl w:val="nil"/>
                  </w:tcBorders>
                  <w:vAlign w:val="center"/>
                </w:tcPr>
                <w:p>
                  <w:pPr>
                    <w:pStyle w:val="15"/>
                    <w:spacing w:after="0" w:line="240" w:lineRule="auto"/>
                    <w:jc w:val="center"/>
                    <w:rPr>
                      <w:rFonts w:eastAsia="宋体"/>
                      <w:color w:val="auto"/>
                      <w:szCs w:val="21"/>
                    </w:rPr>
                  </w:pPr>
                  <w:r>
                    <w:rPr>
                      <w:rFonts w:eastAsia="宋体"/>
                      <w:color w:val="auto"/>
                      <w:szCs w:val="21"/>
                    </w:rPr>
                    <w:t>厂房防尘洒水</w:t>
                  </w:r>
                </w:p>
              </w:tc>
              <w:tc>
                <w:tcPr>
                  <w:tcW w:w="1241" w:type="dxa"/>
                  <w:tcBorders>
                    <w:tl2br w:val="nil"/>
                    <w:tr2bl w:val="nil"/>
                  </w:tcBorders>
                  <w:vAlign w:val="center"/>
                </w:tcPr>
                <w:p>
                  <w:pPr>
                    <w:pStyle w:val="15"/>
                    <w:spacing w:after="0" w:line="240" w:lineRule="auto"/>
                    <w:jc w:val="center"/>
                    <w:rPr>
                      <w:rFonts w:eastAsia="宋体"/>
                      <w:color w:val="auto"/>
                      <w:szCs w:val="21"/>
                      <w:vertAlign w:val="superscript"/>
                    </w:rPr>
                  </w:pPr>
                  <w:r>
                    <w:rPr>
                      <w:rFonts w:eastAsia="宋体"/>
                      <w:color w:val="auto"/>
                      <w:szCs w:val="21"/>
                    </w:rPr>
                    <w:t>1800m</w:t>
                  </w:r>
                  <w:r>
                    <w:rPr>
                      <w:rFonts w:eastAsia="宋体"/>
                      <w:color w:val="auto"/>
                      <w:szCs w:val="21"/>
                      <w:vertAlign w:val="superscript"/>
                    </w:rPr>
                    <w:t>2</w:t>
                  </w:r>
                </w:p>
              </w:tc>
              <w:tc>
                <w:tcPr>
                  <w:tcW w:w="2250" w:type="dxa"/>
                  <w:tcBorders>
                    <w:tl2br w:val="nil"/>
                    <w:tr2bl w:val="nil"/>
                  </w:tcBorders>
                  <w:vAlign w:val="center"/>
                </w:tcPr>
                <w:p>
                  <w:pPr>
                    <w:pStyle w:val="15"/>
                    <w:spacing w:after="0" w:line="240" w:lineRule="auto"/>
                    <w:jc w:val="center"/>
                    <w:rPr>
                      <w:rFonts w:eastAsia="宋体"/>
                      <w:color w:val="auto"/>
                      <w:szCs w:val="21"/>
                    </w:rPr>
                  </w:pPr>
                  <w:r>
                    <w:rPr>
                      <w:rFonts w:eastAsia="宋体"/>
                      <w:color w:val="auto"/>
                      <w:szCs w:val="21"/>
                    </w:rPr>
                    <w:t>1.0L/m</w:t>
                  </w:r>
                  <w:r>
                    <w:rPr>
                      <w:rFonts w:eastAsia="宋体"/>
                      <w:color w:val="auto"/>
                      <w:szCs w:val="21"/>
                      <w:vertAlign w:val="superscript"/>
                    </w:rPr>
                    <w:t>2</w:t>
                  </w:r>
                  <w:r>
                    <w:rPr>
                      <w:rFonts w:eastAsia="宋体"/>
                      <w:color w:val="auto"/>
                      <w:szCs w:val="21"/>
                    </w:rPr>
                    <w:t>，2次/d</w:t>
                  </w:r>
                </w:p>
              </w:tc>
              <w:tc>
                <w:tcPr>
                  <w:tcW w:w="1580" w:type="dxa"/>
                  <w:tcBorders>
                    <w:tl2br w:val="nil"/>
                    <w:tr2bl w:val="nil"/>
                  </w:tcBorders>
                  <w:vAlign w:val="center"/>
                </w:tcPr>
                <w:p>
                  <w:pPr>
                    <w:pStyle w:val="15"/>
                    <w:spacing w:after="0" w:line="240" w:lineRule="auto"/>
                    <w:jc w:val="center"/>
                    <w:rPr>
                      <w:rFonts w:eastAsia="宋体"/>
                      <w:color w:val="auto"/>
                      <w:szCs w:val="21"/>
                    </w:rPr>
                  </w:pPr>
                  <w:r>
                    <w:rPr>
                      <w:rFonts w:eastAsia="宋体"/>
                      <w:color w:val="auto"/>
                      <w:szCs w:val="21"/>
                    </w:rPr>
                    <w:t>1188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7" w:type="dxa"/>
                  <w:vMerge w:val="continue"/>
                  <w:tcBorders>
                    <w:tl2br w:val="nil"/>
                    <w:tr2bl w:val="nil"/>
                  </w:tcBorders>
                  <w:vAlign w:val="center"/>
                </w:tcPr>
                <w:p>
                  <w:pPr>
                    <w:pStyle w:val="15"/>
                    <w:spacing w:after="0" w:line="240" w:lineRule="auto"/>
                    <w:jc w:val="center"/>
                    <w:rPr>
                      <w:rFonts w:eastAsia="宋体"/>
                      <w:color w:val="auto"/>
                      <w:szCs w:val="21"/>
                    </w:rPr>
                  </w:pPr>
                </w:p>
              </w:tc>
              <w:tc>
                <w:tcPr>
                  <w:tcW w:w="2484" w:type="dxa"/>
                  <w:tcBorders>
                    <w:tl2br w:val="nil"/>
                    <w:tr2bl w:val="nil"/>
                  </w:tcBorders>
                  <w:vAlign w:val="center"/>
                </w:tcPr>
                <w:p>
                  <w:pPr>
                    <w:pStyle w:val="15"/>
                    <w:spacing w:after="0" w:line="240" w:lineRule="auto"/>
                    <w:jc w:val="center"/>
                    <w:rPr>
                      <w:rFonts w:eastAsia="宋体"/>
                      <w:color w:val="auto"/>
                      <w:szCs w:val="21"/>
                    </w:rPr>
                  </w:pPr>
                  <w:r>
                    <w:rPr>
                      <w:rFonts w:eastAsia="宋体"/>
                      <w:color w:val="auto"/>
                      <w:szCs w:val="21"/>
                    </w:rPr>
                    <w:t>炉渣处理工艺用水</w:t>
                  </w:r>
                </w:p>
              </w:tc>
              <w:tc>
                <w:tcPr>
                  <w:tcW w:w="1241" w:type="dxa"/>
                  <w:tcBorders>
                    <w:tl2br w:val="nil"/>
                    <w:tr2bl w:val="nil"/>
                  </w:tcBorders>
                  <w:vAlign w:val="center"/>
                </w:tcPr>
                <w:p>
                  <w:pPr>
                    <w:pStyle w:val="15"/>
                    <w:spacing w:after="0" w:line="240" w:lineRule="auto"/>
                    <w:jc w:val="center"/>
                    <w:rPr>
                      <w:rFonts w:eastAsia="宋体"/>
                      <w:color w:val="auto"/>
                      <w:szCs w:val="21"/>
                    </w:rPr>
                  </w:pPr>
                  <w:r>
                    <w:rPr>
                      <w:rFonts w:hint="eastAsia" w:eastAsia="宋体"/>
                      <w:color w:val="auto"/>
                      <w:szCs w:val="21"/>
                      <w:lang w:val="en-US" w:eastAsia="zh-CN"/>
                    </w:rPr>
                    <w:t>132.73</w:t>
                  </w:r>
                  <w:r>
                    <w:rPr>
                      <w:rFonts w:eastAsia="宋体"/>
                      <w:color w:val="auto"/>
                      <w:szCs w:val="21"/>
                    </w:rPr>
                    <w:t>t/d</w:t>
                  </w:r>
                </w:p>
              </w:tc>
              <w:tc>
                <w:tcPr>
                  <w:tcW w:w="2250" w:type="dxa"/>
                  <w:tcBorders>
                    <w:tl2br w:val="nil"/>
                    <w:tr2bl w:val="nil"/>
                  </w:tcBorders>
                  <w:shd w:val="clear" w:color="auto" w:fill="auto"/>
                  <w:vAlign w:val="center"/>
                </w:tcPr>
                <w:p>
                  <w:pPr>
                    <w:pStyle w:val="15"/>
                    <w:spacing w:after="0" w:line="240" w:lineRule="auto"/>
                    <w:jc w:val="center"/>
                    <w:rPr>
                      <w:rFonts w:eastAsia="宋体"/>
                      <w:color w:val="auto"/>
                      <w:szCs w:val="21"/>
                      <w:vertAlign w:val="superscript"/>
                    </w:rPr>
                  </w:pPr>
                  <w:r>
                    <w:rPr>
                      <w:rFonts w:eastAsia="宋体"/>
                      <w:color w:val="auto"/>
                      <w:szCs w:val="21"/>
                    </w:rPr>
                    <w:t>0.025m</w:t>
                  </w:r>
                  <w:r>
                    <w:rPr>
                      <w:rFonts w:eastAsia="宋体"/>
                      <w:color w:val="auto"/>
                      <w:szCs w:val="21"/>
                      <w:vertAlign w:val="superscript"/>
                    </w:rPr>
                    <w:t>3</w:t>
                  </w:r>
                  <w:r>
                    <w:rPr>
                      <w:rFonts w:eastAsia="宋体"/>
                      <w:color w:val="auto"/>
                      <w:szCs w:val="21"/>
                    </w:rPr>
                    <w:t>/t炉渣</w:t>
                  </w:r>
                </w:p>
              </w:tc>
              <w:tc>
                <w:tcPr>
                  <w:tcW w:w="1580" w:type="dxa"/>
                  <w:tcBorders>
                    <w:tl2br w:val="nil"/>
                    <w:tr2bl w:val="nil"/>
                  </w:tcBorders>
                  <w:shd w:val="clear" w:color="auto" w:fill="auto"/>
                  <w:vAlign w:val="center"/>
                </w:tcPr>
                <w:p>
                  <w:pPr>
                    <w:pStyle w:val="15"/>
                    <w:spacing w:after="0" w:line="240" w:lineRule="auto"/>
                    <w:jc w:val="center"/>
                    <w:rPr>
                      <w:rFonts w:hint="default" w:eastAsia="宋体"/>
                      <w:color w:val="auto"/>
                      <w:szCs w:val="21"/>
                      <w:lang w:val="en-US" w:eastAsia="zh-CN"/>
                    </w:rPr>
                  </w:pPr>
                  <w:r>
                    <w:rPr>
                      <w:rFonts w:hint="eastAsia" w:eastAsia="宋体"/>
                      <w:color w:val="auto"/>
                      <w:szCs w:val="21"/>
                      <w:lang w:val="en-US" w:eastAsia="zh-CN"/>
                    </w:rPr>
                    <w:t>1095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707" w:type="dxa"/>
                  <w:vMerge w:val="continue"/>
                  <w:tcBorders>
                    <w:tl2br w:val="nil"/>
                    <w:tr2bl w:val="nil"/>
                  </w:tcBorders>
                  <w:vAlign w:val="center"/>
                </w:tcPr>
                <w:p>
                  <w:pPr>
                    <w:pStyle w:val="15"/>
                    <w:spacing w:after="0" w:line="240" w:lineRule="auto"/>
                    <w:jc w:val="center"/>
                    <w:rPr>
                      <w:rFonts w:eastAsia="宋体"/>
                      <w:color w:val="auto"/>
                      <w:szCs w:val="21"/>
                    </w:rPr>
                  </w:pPr>
                </w:p>
              </w:tc>
              <w:tc>
                <w:tcPr>
                  <w:tcW w:w="2484" w:type="dxa"/>
                  <w:tcBorders>
                    <w:tl2br w:val="nil"/>
                    <w:tr2bl w:val="nil"/>
                  </w:tcBorders>
                  <w:vAlign w:val="center"/>
                </w:tcPr>
                <w:p>
                  <w:pPr>
                    <w:pStyle w:val="15"/>
                    <w:spacing w:after="0" w:line="240" w:lineRule="auto"/>
                    <w:jc w:val="center"/>
                    <w:rPr>
                      <w:rFonts w:eastAsia="宋体"/>
                      <w:color w:val="auto"/>
                      <w:szCs w:val="21"/>
                    </w:rPr>
                  </w:pPr>
                  <w:r>
                    <w:rPr>
                      <w:rFonts w:eastAsia="宋体"/>
                      <w:color w:val="auto"/>
                      <w:szCs w:val="21"/>
                    </w:rPr>
                    <w:t>环保制砖用水</w:t>
                  </w:r>
                </w:p>
              </w:tc>
              <w:tc>
                <w:tcPr>
                  <w:tcW w:w="1241" w:type="dxa"/>
                  <w:tcBorders>
                    <w:tl2br w:val="nil"/>
                    <w:tr2bl w:val="nil"/>
                  </w:tcBorders>
                  <w:vAlign w:val="center"/>
                </w:tcPr>
                <w:p>
                  <w:pPr>
                    <w:pStyle w:val="15"/>
                    <w:spacing w:after="0" w:line="240" w:lineRule="auto"/>
                    <w:jc w:val="center"/>
                    <w:rPr>
                      <w:rFonts w:eastAsia="宋体"/>
                      <w:color w:val="auto"/>
                      <w:szCs w:val="21"/>
                    </w:rPr>
                  </w:pPr>
                  <w:r>
                    <w:rPr>
                      <w:rFonts w:eastAsia="宋体"/>
                      <w:color w:val="auto"/>
                      <w:szCs w:val="21"/>
                    </w:rPr>
                    <w:t>/</w:t>
                  </w:r>
                </w:p>
              </w:tc>
              <w:tc>
                <w:tcPr>
                  <w:tcW w:w="2250" w:type="dxa"/>
                  <w:tcBorders>
                    <w:tl2br w:val="nil"/>
                    <w:tr2bl w:val="nil"/>
                  </w:tcBorders>
                  <w:shd w:val="clear" w:color="auto" w:fill="auto"/>
                  <w:vAlign w:val="center"/>
                </w:tcPr>
                <w:p>
                  <w:pPr>
                    <w:pStyle w:val="15"/>
                    <w:spacing w:after="0" w:line="240" w:lineRule="auto"/>
                    <w:jc w:val="center"/>
                    <w:rPr>
                      <w:rFonts w:eastAsia="宋体"/>
                      <w:color w:val="auto"/>
                      <w:szCs w:val="21"/>
                    </w:rPr>
                  </w:pPr>
                  <w:r>
                    <w:rPr>
                      <w:rFonts w:eastAsia="宋体"/>
                      <w:color w:val="auto"/>
                      <w:szCs w:val="21"/>
                    </w:rPr>
                    <w:t>0.06</w:t>
                  </w:r>
                  <w:r>
                    <w:rPr>
                      <w:rFonts w:hint="eastAsia" w:eastAsia="宋体"/>
                      <w:color w:val="auto"/>
                      <w:szCs w:val="21"/>
                    </w:rPr>
                    <w:t>7</w:t>
                  </w:r>
                  <w:r>
                    <w:rPr>
                      <w:rFonts w:eastAsia="宋体"/>
                      <w:color w:val="auto"/>
                      <w:szCs w:val="21"/>
                    </w:rPr>
                    <w:t>m</w:t>
                  </w:r>
                  <w:r>
                    <w:rPr>
                      <w:rFonts w:eastAsia="宋体"/>
                      <w:color w:val="auto"/>
                      <w:szCs w:val="21"/>
                      <w:vertAlign w:val="superscript"/>
                    </w:rPr>
                    <w:t>3</w:t>
                  </w:r>
                  <w:r>
                    <w:rPr>
                      <w:rFonts w:eastAsia="宋体"/>
                      <w:color w:val="auto"/>
                      <w:szCs w:val="21"/>
                    </w:rPr>
                    <w:t>/t尾砂</w:t>
                  </w:r>
                </w:p>
              </w:tc>
              <w:tc>
                <w:tcPr>
                  <w:tcW w:w="1580" w:type="dxa"/>
                  <w:tcBorders>
                    <w:tl2br w:val="nil"/>
                    <w:tr2bl w:val="nil"/>
                  </w:tcBorders>
                  <w:shd w:val="clear" w:color="auto" w:fill="auto"/>
                  <w:vAlign w:val="center"/>
                </w:tcPr>
                <w:p>
                  <w:pPr>
                    <w:pStyle w:val="15"/>
                    <w:spacing w:after="0" w:line="240" w:lineRule="auto"/>
                    <w:jc w:val="center"/>
                    <w:rPr>
                      <w:rFonts w:hint="default" w:eastAsia="宋体"/>
                      <w:color w:val="auto"/>
                      <w:szCs w:val="21"/>
                      <w:lang w:val="en-US" w:eastAsia="zh-CN"/>
                    </w:rPr>
                  </w:pPr>
                  <w:r>
                    <w:rPr>
                      <w:rFonts w:hint="eastAsia" w:eastAsia="宋体"/>
                      <w:color w:val="auto"/>
                      <w:szCs w:val="21"/>
                      <w:lang w:val="en-US" w:eastAsia="zh-CN"/>
                    </w:rPr>
                    <w:t>2732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91" w:type="dxa"/>
                  <w:gridSpan w:val="2"/>
                  <w:tcBorders>
                    <w:tl2br w:val="nil"/>
                    <w:tr2bl w:val="nil"/>
                  </w:tcBorders>
                  <w:vAlign w:val="center"/>
                </w:tcPr>
                <w:p>
                  <w:pPr>
                    <w:pStyle w:val="15"/>
                    <w:spacing w:after="0" w:line="240" w:lineRule="auto"/>
                    <w:jc w:val="center"/>
                    <w:rPr>
                      <w:rFonts w:eastAsia="宋体"/>
                      <w:color w:val="auto"/>
                      <w:szCs w:val="21"/>
                    </w:rPr>
                  </w:pPr>
                  <w:r>
                    <w:rPr>
                      <w:rFonts w:hint="eastAsia" w:eastAsia="宋体"/>
                      <w:color w:val="auto"/>
                      <w:szCs w:val="21"/>
                    </w:rPr>
                    <w:t>车辆冲洗用水</w:t>
                  </w:r>
                </w:p>
              </w:tc>
              <w:tc>
                <w:tcPr>
                  <w:tcW w:w="1241" w:type="dxa"/>
                  <w:tcBorders>
                    <w:tl2br w:val="nil"/>
                    <w:tr2bl w:val="nil"/>
                  </w:tcBorders>
                  <w:vAlign w:val="center"/>
                </w:tcPr>
                <w:p>
                  <w:pPr>
                    <w:pStyle w:val="15"/>
                    <w:spacing w:after="0" w:line="240" w:lineRule="auto"/>
                    <w:jc w:val="center"/>
                    <w:rPr>
                      <w:rFonts w:eastAsia="宋体"/>
                      <w:color w:val="auto"/>
                      <w:szCs w:val="21"/>
                    </w:rPr>
                  </w:pPr>
                  <w:r>
                    <w:rPr>
                      <w:rFonts w:hint="eastAsia" w:eastAsia="宋体"/>
                      <w:color w:val="auto"/>
                      <w:szCs w:val="21"/>
                    </w:rPr>
                    <w:t>/</w:t>
                  </w:r>
                </w:p>
              </w:tc>
              <w:tc>
                <w:tcPr>
                  <w:tcW w:w="2250" w:type="dxa"/>
                  <w:tcBorders>
                    <w:tl2br w:val="nil"/>
                    <w:tr2bl w:val="nil"/>
                  </w:tcBorders>
                  <w:shd w:val="clear" w:color="auto" w:fill="auto"/>
                  <w:vAlign w:val="center"/>
                </w:tcPr>
                <w:p>
                  <w:pPr>
                    <w:pStyle w:val="15"/>
                    <w:spacing w:after="0" w:line="240" w:lineRule="auto"/>
                    <w:jc w:val="center"/>
                    <w:rPr>
                      <w:rFonts w:hint="eastAsia" w:eastAsia="宋体"/>
                      <w:color w:val="auto"/>
                      <w:szCs w:val="21"/>
                      <w:vertAlign w:val="superscript"/>
                      <w:lang w:eastAsia="zh-CN"/>
                    </w:rPr>
                  </w:pPr>
                  <w:r>
                    <w:rPr>
                      <w:rFonts w:hint="eastAsia" w:eastAsia="宋体"/>
                      <w:color w:val="auto"/>
                      <w:szCs w:val="21"/>
                      <w:lang w:val="en-US" w:eastAsia="zh-CN"/>
                    </w:rPr>
                    <w:t>200m</w:t>
                  </w:r>
                  <w:r>
                    <w:rPr>
                      <w:rFonts w:hint="eastAsia" w:eastAsia="宋体"/>
                      <w:color w:val="auto"/>
                      <w:szCs w:val="21"/>
                      <w:vertAlign w:val="superscript"/>
                      <w:lang w:val="en-US" w:eastAsia="zh-CN"/>
                    </w:rPr>
                    <w:t>3</w:t>
                  </w:r>
                  <w:r>
                    <w:rPr>
                      <w:rFonts w:hint="eastAsia" w:eastAsia="宋体"/>
                      <w:color w:val="auto"/>
                      <w:szCs w:val="21"/>
                    </w:rPr>
                    <w:t>/</w:t>
                  </w:r>
                  <w:r>
                    <w:rPr>
                      <w:rFonts w:hint="eastAsia" w:eastAsia="宋体"/>
                      <w:color w:val="auto"/>
                      <w:szCs w:val="21"/>
                      <w:lang w:val="en-US" w:eastAsia="zh-CN"/>
                    </w:rPr>
                    <w:t>a</w:t>
                  </w:r>
                </w:p>
              </w:tc>
              <w:tc>
                <w:tcPr>
                  <w:tcW w:w="1580" w:type="dxa"/>
                  <w:tcBorders>
                    <w:tl2br w:val="nil"/>
                    <w:tr2bl w:val="nil"/>
                  </w:tcBorders>
                  <w:shd w:val="clear" w:color="auto" w:fill="auto"/>
                  <w:vAlign w:val="center"/>
                </w:tcPr>
                <w:p>
                  <w:pPr>
                    <w:pStyle w:val="15"/>
                    <w:spacing w:after="0" w:line="240" w:lineRule="auto"/>
                    <w:jc w:val="center"/>
                    <w:rPr>
                      <w:rFonts w:hint="default" w:eastAsia="宋体"/>
                      <w:color w:val="auto"/>
                      <w:szCs w:val="21"/>
                      <w:lang w:val="en-US" w:eastAsia="zh-CN"/>
                    </w:rPr>
                  </w:pPr>
                  <w:r>
                    <w:rPr>
                      <w:rFonts w:hint="eastAsia" w:eastAsia="宋体"/>
                      <w:color w:val="auto"/>
                      <w:szCs w:val="21"/>
                      <w:lang w:val="en-US" w:eastAsia="zh-CN"/>
                    </w:rPr>
                    <w:t>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91" w:type="dxa"/>
                  <w:gridSpan w:val="2"/>
                  <w:tcBorders>
                    <w:tl2br w:val="nil"/>
                    <w:tr2bl w:val="nil"/>
                  </w:tcBorders>
                  <w:vAlign w:val="center"/>
                </w:tcPr>
                <w:p>
                  <w:pPr>
                    <w:pStyle w:val="15"/>
                    <w:spacing w:after="0" w:line="240" w:lineRule="auto"/>
                    <w:jc w:val="center"/>
                    <w:rPr>
                      <w:rFonts w:hint="eastAsia" w:eastAsia="宋体"/>
                      <w:color w:val="auto"/>
                      <w:szCs w:val="21"/>
                    </w:rPr>
                  </w:pPr>
                  <w:r>
                    <w:rPr>
                      <w:rFonts w:hint="eastAsia" w:eastAsia="宋体"/>
                      <w:color w:val="auto"/>
                      <w:szCs w:val="21"/>
                    </w:rPr>
                    <w:t>道路抑尘</w:t>
                  </w:r>
                </w:p>
              </w:tc>
              <w:tc>
                <w:tcPr>
                  <w:tcW w:w="1241" w:type="dxa"/>
                  <w:tcBorders>
                    <w:tl2br w:val="nil"/>
                    <w:tr2bl w:val="nil"/>
                  </w:tcBorders>
                  <w:vAlign w:val="center"/>
                </w:tcPr>
                <w:p>
                  <w:pPr>
                    <w:pStyle w:val="15"/>
                    <w:spacing w:after="0" w:line="240" w:lineRule="auto"/>
                    <w:jc w:val="center"/>
                    <w:rPr>
                      <w:rFonts w:hint="eastAsia" w:eastAsia="宋体"/>
                      <w:color w:val="auto"/>
                      <w:szCs w:val="21"/>
                      <w:lang w:val="en-US" w:eastAsia="zh-CN"/>
                    </w:rPr>
                  </w:pPr>
                  <w:r>
                    <w:rPr>
                      <w:rFonts w:hint="eastAsia" w:eastAsia="宋体"/>
                      <w:color w:val="auto"/>
                      <w:szCs w:val="21"/>
                      <w:lang w:val="en-US" w:eastAsia="zh-CN"/>
                    </w:rPr>
                    <w:t>/</w:t>
                  </w:r>
                </w:p>
              </w:tc>
              <w:tc>
                <w:tcPr>
                  <w:tcW w:w="2250" w:type="dxa"/>
                  <w:tcBorders>
                    <w:tl2br w:val="nil"/>
                    <w:tr2bl w:val="nil"/>
                  </w:tcBorders>
                  <w:shd w:val="clear" w:color="auto" w:fill="auto"/>
                  <w:vAlign w:val="center"/>
                </w:tcPr>
                <w:p>
                  <w:pPr>
                    <w:pStyle w:val="15"/>
                    <w:spacing w:after="0" w:line="240" w:lineRule="auto"/>
                    <w:jc w:val="center"/>
                    <w:rPr>
                      <w:rFonts w:hint="default" w:eastAsia="宋体"/>
                      <w:color w:val="auto"/>
                      <w:szCs w:val="21"/>
                      <w:vertAlign w:val="baseline"/>
                      <w:lang w:val="en-US" w:eastAsia="zh-CN"/>
                    </w:rPr>
                  </w:pPr>
                  <w:r>
                    <w:rPr>
                      <w:rFonts w:hint="eastAsia" w:eastAsia="宋体"/>
                      <w:color w:val="auto"/>
                      <w:szCs w:val="21"/>
                      <w:lang w:val="en-US" w:eastAsia="zh-CN"/>
                    </w:rPr>
                    <w:t>1.7m</w:t>
                  </w:r>
                  <w:r>
                    <w:rPr>
                      <w:rFonts w:hint="eastAsia" w:eastAsia="宋体"/>
                      <w:color w:val="auto"/>
                      <w:szCs w:val="21"/>
                      <w:vertAlign w:val="superscript"/>
                      <w:lang w:val="en-US" w:eastAsia="zh-CN"/>
                    </w:rPr>
                    <w:t>3</w:t>
                  </w:r>
                  <w:r>
                    <w:rPr>
                      <w:rFonts w:hint="eastAsia" w:eastAsia="宋体"/>
                      <w:color w:val="auto"/>
                      <w:szCs w:val="21"/>
                      <w:vertAlign w:val="baseline"/>
                      <w:lang w:val="en-US" w:eastAsia="zh-CN"/>
                    </w:rPr>
                    <w:t>/d</w:t>
                  </w:r>
                </w:p>
              </w:tc>
              <w:tc>
                <w:tcPr>
                  <w:tcW w:w="1580" w:type="dxa"/>
                  <w:tcBorders>
                    <w:tl2br w:val="nil"/>
                    <w:tr2bl w:val="nil"/>
                  </w:tcBorders>
                  <w:shd w:val="clear" w:color="auto" w:fill="auto"/>
                  <w:vAlign w:val="center"/>
                </w:tcPr>
                <w:p>
                  <w:pPr>
                    <w:pStyle w:val="15"/>
                    <w:spacing w:after="0" w:line="240" w:lineRule="auto"/>
                    <w:jc w:val="center"/>
                    <w:rPr>
                      <w:rFonts w:hint="default" w:eastAsia="宋体"/>
                      <w:color w:val="auto"/>
                      <w:szCs w:val="21"/>
                      <w:lang w:val="en-US" w:eastAsia="zh-CN"/>
                    </w:rPr>
                  </w:pPr>
                  <w:r>
                    <w:rPr>
                      <w:rFonts w:hint="eastAsia" w:eastAsia="宋体"/>
                      <w:color w:val="auto"/>
                      <w:szCs w:val="21"/>
                      <w:lang w:val="en-US" w:eastAsia="zh-CN"/>
                    </w:rPr>
                    <w:t>560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91" w:type="dxa"/>
                  <w:gridSpan w:val="2"/>
                  <w:tcBorders>
                    <w:tl2br w:val="nil"/>
                    <w:tr2bl w:val="nil"/>
                  </w:tcBorders>
                  <w:vAlign w:val="center"/>
                </w:tcPr>
                <w:p>
                  <w:pPr>
                    <w:pStyle w:val="15"/>
                    <w:spacing w:after="0" w:line="240" w:lineRule="auto"/>
                    <w:jc w:val="center"/>
                    <w:rPr>
                      <w:rFonts w:eastAsia="宋体"/>
                      <w:color w:val="auto"/>
                      <w:szCs w:val="21"/>
                    </w:rPr>
                  </w:pPr>
                  <w:r>
                    <w:rPr>
                      <w:rFonts w:hint="eastAsia" w:eastAsia="宋体"/>
                      <w:color w:val="auto"/>
                      <w:szCs w:val="21"/>
                    </w:rPr>
                    <w:t>厂区绿化用水</w:t>
                  </w:r>
                </w:p>
              </w:tc>
              <w:tc>
                <w:tcPr>
                  <w:tcW w:w="1241" w:type="dxa"/>
                  <w:tcBorders>
                    <w:tl2br w:val="nil"/>
                    <w:tr2bl w:val="nil"/>
                  </w:tcBorders>
                  <w:vAlign w:val="center"/>
                </w:tcPr>
                <w:p>
                  <w:pPr>
                    <w:pStyle w:val="15"/>
                    <w:spacing w:after="0" w:line="240" w:lineRule="auto"/>
                    <w:jc w:val="center"/>
                    <w:rPr>
                      <w:rFonts w:eastAsia="宋体"/>
                      <w:color w:val="auto"/>
                      <w:szCs w:val="21"/>
                      <w:vertAlign w:val="superscript"/>
                    </w:rPr>
                  </w:pPr>
                  <w:r>
                    <w:rPr>
                      <w:rFonts w:hint="eastAsia" w:eastAsia="宋体"/>
                      <w:color w:val="auto"/>
                      <w:szCs w:val="21"/>
                    </w:rPr>
                    <w:t>4580m</w:t>
                  </w:r>
                  <w:r>
                    <w:rPr>
                      <w:rFonts w:hint="eastAsia" w:eastAsia="宋体"/>
                      <w:color w:val="auto"/>
                      <w:szCs w:val="21"/>
                      <w:vertAlign w:val="superscript"/>
                    </w:rPr>
                    <w:t>2</w:t>
                  </w:r>
                </w:p>
              </w:tc>
              <w:tc>
                <w:tcPr>
                  <w:tcW w:w="2250" w:type="dxa"/>
                  <w:tcBorders>
                    <w:tl2br w:val="nil"/>
                    <w:tr2bl w:val="nil"/>
                  </w:tcBorders>
                  <w:vAlign w:val="center"/>
                </w:tcPr>
                <w:p>
                  <w:pPr>
                    <w:pStyle w:val="15"/>
                    <w:spacing w:after="0" w:line="240" w:lineRule="auto"/>
                    <w:jc w:val="center"/>
                    <w:rPr>
                      <w:rFonts w:eastAsia="宋体"/>
                      <w:color w:val="auto"/>
                      <w:szCs w:val="21"/>
                      <w:vertAlign w:val="superscript"/>
                    </w:rPr>
                  </w:pPr>
                  <w:r>
                    <w:rPr>
                      <w:rFonts w:hint="eastAsia" w:eastAsia="宋体"/>
                      <w:color w:val="auto"/>
                      <w:szCs w:val="21"/>
                    </w:rPr>
                    <w:t>2L/(m</w:t>
                  </w:r>
                  <w:r>
                    <w:rPr>
                      <w:rFonts w:hint="eastAsia" w:eastAsia="宋体"/>
                      <w:color w:val="auto"/>
                      <w:szCs w:val="21"/>
                      <w:vertAlign w:val="superscript"/>
                    </w:rPr>
                    <w:t xml:space="preserve">2 </w:t>
                  </w:r>
                  <w:r>
                    <w:rPr>
                      <w:rFonts w:hint="eastAsia" w:eastAsia="宋体"/>
                      <w:color w:val="auto"/>
                      <w:szCs w:val="21"/>
                    </w:rPr>
                    <w:t>d)，全年灌溉90d</w:t>
                  </w:r>
                </w:p>
              </w:tc>
              <w:tc>
                <w:tcPr>
                  <w:tcW w:w="1580" w:type="dxa"/>
                  <w:tcBorders>
                    <w:tl2br w:val="nil"/>
                    <w:tr2bl w:val="nil"/>
                  </w:tcBorders>
                  <w:vAlign w:val="center"/>
                </w:tcPr>
                <w:p>
                  <w:pPr>
                    <w:pStyle w:val="15"/>
                    <w:spacing w:after="0" w:line="240" w:lineRule="auto"/>
                    <w:jc w:val="center"/>
                    <w:rPr>
                      <w:rFonts w:hint="eastAsia" w:eastAsia="宋体"/>
                      <w:color w:val="auto"/>
                      <w:szCs w:val="21"/>
                      <w:lang w:eastAsia="zh-CN"/>
                    </w:rPr>
                  </w:pPr>
                  <w:r>
                    <w:rPr>
                      <w:rFonts w:hint="eastAsia" w:eastAsia="宋体"/>
                      <w:color w:val="auto"/>
                      <w:szCs w:val="21"/>
                    </w:rPr>
                    <w:t>82</w:t>
                  </w:r>
                  <w:r>
                    <w:rPr>
                      <w:rFonts w:hint="eastAsia" w:eastAsia="宋体"/>
                      <w:color w:val="auto"/>
                      <w:szCs w:val="21"/>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682" w:type="dxa"/>
                  <w:gridSpan w:val="4"/>
                  <w:tcBorders>
                    <w:tl2br w:val="nil"/>
                    <w:tr2bl w:val="nil"/>
                  </w:tcBorders>
                  <w:vAlign w:val="center"/>
                </w:tcPr>
                <w:p>
                  <w:pPr>
                    <w:pStyle w:val="15"/>
                    <w:spacing w:after="0" w:line="240" w:lineRule="auto"/>
                    <w:jc w:val="center"/>
                    <w:rPr>
                      <w:rFonts w:hint="eastAsia" w:eastAsia="宋体"/>
                      <w:color w:val="auto"/>
                      <w:szCs w:val="21"/>
                      <w:lang w:eastAsia="zh-CN"/>
                    </w:rPr>
                  </w:pPr>
                  <w:r>
                    <w:rPr>
                      <w:rFonts w:eastAsia="宋体"/>
                      <w:color w:val="auto"/>
                      <w:szCs w:val="21"/>
                    </w:rPr>
                    <w:t>合计</w:t>
                  </w:r>
                  <w:r>
                    <w:rPr>
                      <w:rFonts w:hint="eastAsia" w:eastAsia="宋体"/>
                      <w:color w:val="auto"/>
                      <w:szCs w:val="21"/>
                      <w:lang w:eastAsia="zh-CN"/>
                    </w:rPr>
                    <w:t>（除净化后生活污水用途外）</w:t>
                  </w:r>
                </w:p>
              </w:tc>
              <w:tc>
                <w:tcPr>
                  <w:tcW w:w="1580" w:type="dxa"/>
                  <w:tcBorders>
                    <w:tl2br w:val="nil"/>
                    <w:tr2bl w:val="nil"/>
                  </w:tcBorders>
                  <w:vAlign w:val="center"/>
                </w:tcPr>
                <w:p>
                  <w:pPr>
                    <w:pStyle w:val="15"/>
                    <w:spacing w:after="0" w:line="240" w:lineRule="auto"/>
                    <w:jc w:val="center"/>
                    <w:rPr>
                      <w:rFonts w:hint="default" w:eastAsia="宋体"/>
                      <w:color w:val="auto"/>
                      <w:szCs w:val="21"/>
                      <w:lang w:val="en-US" w:eastAsia="zh-CN"/>
                    </w:rPr>
                  </w:pPr>
                  <w:r>
                    <w:rPr>
                      <w:rFonts w:hint="eastAsia" w:eastAsia="宋体"/>
                      <w:color w:val="auto"/>
                      <w:szCs w:val="21"/>
                      <w:lang w:val="en-US" w:eastAsia="zh-CN"/>
                    </w:rPr>
                    <w:t>6995</w:t>
                  </w:r>
                </w:p>
              </w:tc>
            </w:tr>
          </w:tbl>
          <w:p>
            <w:pPr>
              <w:spacing w:line="480" w:lineRule="exact"/>
              <w:ind w:firstLine="422" w:firstLineChars="200"/>
              <w:rPr>
                <w:b/>
                <w:bCs/>
                <w:color w:val="auto"/>
              </w:rPr>
            </w:pPr>
            <w:r>
              <w:rPr>
                <w:rFonts w:hint="eastAsia"/>
                <w:b/>
                <w:bCs/>
                <w:color w:val="auto"/>
              </w:rPr>
              <w:t>2.6.2</w:t>
            </w:r>
            <w:r>
              <w:rPr>
                <w:b/>
                <w:bCs/>
                <w:color w:val="auto"/>
              </w:rPr>
              <w:t>排水</w:t>
            </w:r>
          </w:p>
          <w:p>
            <w:pPr>
              <w:adjustRightInd w:val="0"/>
              <w:snapToGrid w:val="0"/>
              <w:spacing w:line="480" w:lineRule="exact"/>
              <w:ind w:firstLine="420" w:firstLineChars="200"/>
              <w:rPr>
                <w:rFonts w:hint="default" w:eastAsia="宋体"/>
                <w:color w:val="auto"/>
                <w:szCs w:val="21"/>
                <w:lang w:val="en-US" w:eastAsia="zh-CN"/>
              </w:rPr>
            </w:pPr>
            <w:r>
              <w:rPr>
                <w:rFonts w:hint="eastAsia"/>
                <w:color w:val="auto"/>
                <w:szCs w:val="21"/>
              </w:rPr>
              <w:t>本项目生产过程中炉渣处理用水全部循环使用，每日补充</w:t>
            </w:r>
            <w:r>
              <w:rPr>
                <w:rFonts w:hint="eastAsia"/>
                <w:color w:val="auto"/>
                <w:szCs w:val="21"/>
                <w:lang w:eastAsia="zh-CN"/>
              </w:rPr>
              <w:t>中水</w:t>
            </w:r>
            <w:r>
              <w:rPr>
                <w:rFonts w:hint="eastAsia"/>
                <w:color w:val="auto"/>
                <w:szCs w:val="21"/>
              </w:rPr>
              <w:t>，补水量约为</w:t>
            </w:r>
            <w:r>
              <w:rPr>
                <w:rFonts w:hint="eastAsia"/>
                <w:color w:val="auto"/>
                <w:szCs w:val="21"/>
                <w:lang w:val="en-US" w:eastAsia="zh-CN"/>
              </w:rPr>
              <w:t>2.4</w:t>
            </w:r>
            <w:r>
              <w:rPr>
                <w:rFonts w:hint="eastAsia"/>
                <w:color w:val="auto"/>
                <w:szCs w:val="21"/>
              </w:rPr>
              <w:t>m</w:t>
            </w:r>
            <w:r>
              <w:rPr>
                <w:rFonts w:hint="eastAsia"/>
                <w:color w:val="auto"/>
                <w:szCs w:val="21"/>
                <w:vertAlign w:val="superscript"/>
              </w:rPr>
              <w:t>3</w:t>
            </w:r>
            <w:r>
              <w:rPr>
                <w:rFonts w:hint="eastAsia"/>
                <w:color w:val="auto"/>
                <w:szCs w:val="21"/>
              </w:rPr>
              <w:t>/d，循环池水量保持在</w:t>
            </w:r>
            <w:r>
              <w:rPr>
                <w:rFonts w:hint="eastAsia"/>
                <w:color w:val="auto"/>
                <w:szCs w:val="21"/>
                <w:lang w:val="en-US" w:eastAsia="zh-CN"/>
              </w:rPr>
              <w:t>300</w:t>
            </w:r>
            <w:r>
              <w:rPr>
                <w:rFonts w:hint="eastAsia"/>
                <w:color w:val="auto"/>
                <w:szCs w:val="21"/>
              </w:rPr>
              <w:t>m</w:t>
            </w:r>
            <w:r>
              <w:rPr>
                <w:rFonts w:hint="eastAsia"/>
                <w:color w:val="auto"/>
                <w:szCs w:val="21"/>
                <w:vertAlign w:val="superscript"/>
              </w:rPr>
              <w:t>3</w:t>
            </w:r>
            <w:r>
              <w:rPr>
                <w:rFonts w:hint="eastAsia"/>
                <w:color w:val="auto"/>
                <w:szCs w:val="21"/>
              </w:rPr>
              <w:t>/d。</w:t>
            </w:r>
          </w:p>
          <w:p>
            <w:pPr>
              <w:adjustRightInd w:val="0"/>
              <w:snapToGrid w:val="0"/>
              <w:spacing w:line="480" w:lineRule="exact"/>
              <w:ind w:firstLine="420" w:firstLineChars="200"/>
              <w:rPr>
                <w:rFonts w:hint="eastAsia"/>
                <w:color w:val="auto"/>
                <w:szCs w:val="21"/>
                <w:highlight w:val="none"/>
                <w:lang w:eastAsia="zh-CN"/>
              </w:rPr>
            </w:pPr>
            <w:r>
              <w:rPr>
                <w:rFonts w:hint="eastAsia"/>
                <w:color w:val="auto"/>
                <w:szCs w:val="21"/>
              </w:rPr>
              <w:t>抑尘用水全部蒸发损耗</w:t>
            </w:r>
            <w:r>
              <w:rPr>
                <w:rFonts w:hint="eastAsia"/>
                <w:color w:val="auto"/>
                <w:szCs w:val="21"/>
                <w:lang w:eastAsia="zh-CN"/>
              </w:rPr>
              <w:t>，本项目废</w:t>
            </w:r>
            <w:r>
              <w:rPr>
                <w:rFonts w:hint="eastAsia"/>
                <w:color w:val="auto"/>
                <w:szCs w:val="21"/>
                <w:highlight w:val="none"/>
                <w:lang w:eastAsia="zh-CN"/>
              </w:rPr>
              <w:t>水主要有车辆冲洗用水和生活污水。</w:t>
            </w:r>
          </w:p>
          <w:p>
            <w:pPr>
              <w:numPr>
                <w:ilvl w:val="0"/>
                <w:numId w:val="4"/>
              </w:numPr>
              <w:adjustRightInd w:val="0"/>
              <w:snapToGrid w:val="0"/>
              <w:spacing w:line="480" w:lineRule="exact"/>
              <w:ind w:firstLine="420" w:firstLineChars="200"/>
              <w:rPr>
                <w:rFonts w:hint="eastAsia"/>
                <w:color w:val="auto"/>
                <w:szCs w:val="21"/>
                <w:highlight w:val="none"/>
                <w:lang w:eastAsia="zh-CN"/>
              </w:rPr>
            </w:pPr>
            <w:r>
              <w:rPr>
                <w:rFonts w:hint="eastAsia"/>
                <w:color w:val="auto"/>
                <w:szCs w:val="21"/>
                <w:highlight w:val="none"/>
                <w:lang w:eastAsia="zh-CN"/>
              </w:rPr>
              <w:t>车辆冲洗废水</w:t>
            </w:r>
          </w:p>
          <w:p>
            <w:pPr>
              <w:numPr>
                <w:ilvl w:val="0"/>
                <w:numId w:val="0"/>
              </w:numPr>
              <w:adjustRightInd w:val="0"/>
              <w:snapToGrid w:val="0"/>
              <w:spacing w:line="480" w:lineRule="exact"/>
              <w:ind w:firstLine="420" w:firstLineChars="200"/>
              <w:rPr>
                <w:rFonts w:hint="eastAsia"/>
                <w:color w:val="auto"/>
                <w:szCs w:val="21"/>
                <w:highlight w:val="none"/>
                <w:lang w:eastAsia="zh-CN"/>
              </w:rPr>
            </w:pPr>
            <w:r>
              <w:rPr>
                <w:rFonts w:hint="eastAsia"/>
                <w:color w:val="auto"/>
                <w:szCs w:val="21"/>
                <w:highlight w:val="none"/>
                <w:lang w:eastAsia="zh-CN"/>
              </w:rPr>
              <w:t>根据建设方资料，在厂区进出口设置车辆冲洗台，对进出场车辆进行车辆冲洗，根据建设单位提供的资料，车辆清洗用水</w:t>
            </w:r>
            <w:r>
              <w:rPr>
                <w:rFonts w:hint="eastAsia"/>
                <w:color w:val="auto"/>
                <w:szCs w:val="21"/>
                <w:highlight w:val="none"/>
                <w:lang w:val="en-US" w:eastAsia="zh-CN"/>
              </w:rPr>
              <w:t>2</w:t>
            </w:r>
            <w:r>
              <w:rPr>
                <w:rFonts w:hint="eastAsia"/>
                <w:color w:val="auto"/>
                <w:szCs w:val="21"/>
                <w:highlight w:val="none"/>
                <w:lang w:eastAsia="zh-CN"/>
              </w:rPr>
              <w:t>m</w:t>
            </w:r>
            <w:r>
              <w:rPr>
                <w:rFonts w:hint="eastAsia"/>
                <w:color w:val="auto"/>
                <w:szCs w:val="21"/>
                <w:highlight w:val="none"/>
                <w:vertAlign w:val="superscript"/>
                <w:lang w:val="en-US" w:eastAsia="zh-CN"/>
              </w:rPr>
              <w:t>3</w:t>
            </w:r>
            <w:r>
              <w:rPr>
                <w:rFonts w:hint="eastAsia"/>
                <w:color w:val="auto"/>
                <w:szCs w:val="21"/>
                <w:highlight w:val="none"/>
                <w:lang w:eastAsia="zh-CN"/>
              </w:rPr>
              <w:t>/d，车辆冲洗废水经沉淀池（</w:t>
            </w:r>
            <w:r>
              <w:rPr>
                <w:rFonts w:hint="eastAsia"/>
                <w:color w:val="auto"/>
                <w:szCs w:val="21"/>
                <w:highlight w:val="none"/>
                <w:lang w:val="en-US" w:eastAsia="zh-CN"/>
              </w:rPr>
              <w:t>3m</w:t>
            </w:r>
            <w:r>
              <w:rPr>
                <w:rFonts w:hint="eastAsia"/>
                <w:color w:val="auto"/>
                <w:szCs w:val="21"/>
                <w:highlight w:val="none"/>
                <w:vertAlign w:val="superscript"/>
                <w:lang w:val="en-US" w:eastAsia="zh-CN"/>
              </w:rPr>
              <w:t>3</w:t>
            </w:r>
            <w:r>
              <w:rPr>
                <w:rFonts w:hint="eastAsia"/>
                <w:color w:val="auto"/>
                <w:szCs w:val="21"/>
                <w:highlight w:val="none"/>
                <w:lang w:eastAsia="zh-CN"/>
              </w:rPr>
              <w:t>）沉淀后回用于车辆清洗，不外排；损耗量类比同类项目按用水量30%计算，则补充水量为</w:t>
            </w:r>
            <w:r>
              <w:rPr>
                <w:rFonts w:hint="eastAsia"/>
                <w:color w:val="auto"/>
                <w:szCs w:val="21"/>
                <w:highlight w:val="none"/>
                <w:lang w:val="en-US" w:eastAsia="zh-CN"/>
              </w:rPr>
              <w:t>0.6</w:t>
            </w:r>
            <w:r>
              <w:rPr>
                <w:rFonts w:hint="eastAsia"/>
                <w:color w:val="auto"/>
                <w:szCs w:val="21"/>
                <w:highlight w:val="none"/>
                <w:lang w:eastAsia="zh-CN"/>
              </w:rPr>
              <w:t>m</w:t>
            </w:r>
            <w:r>
              <w:rPr>
                <w:rFonts w:hint="eastAsia"/>
                <w:color w:val="auto"/>
                <w:szCs w:val="21"/>
                <w:highlight w:val="none"/>
                <w:vertAlign w:val="superscript"/>
                <w:lang w:val="en-US" w:eastAsia="zh-CN"/>
              </w:rPr>
              <w:t>3</w:t>
            </w:r>
            <w:r>
              <w:rPr>
                <w:rFonts w:hint="eastAsia"/>
                <w:color w:val="auto"/>
                <w:szCs w:val="21"/>
                <w:highlight w:val="none"/>
                <w:lang w:eastAsia="zh-CN"/>
              </w:rPr>
              <w:t>/d，车辆冲洗用水为</w:t>
            </w:r>
            <w:r>
              <w:rPr>
                <w:rFonts w:hint="eastAsia"/>
                <w:color w:val="auto"/>
                <w:szCs w:val="21"/>
                <w:highlight w:val="none"/>
                <w:lang w:val="en-US" w:eastAsia="zh-CN"/>
              </w:rPr>
              <w:t>200m</w:t>
            </w:r>
            <w:r>
              <w:rPr>
                <w:rFonts w:hint="eastAsia"/>
                <w:color w:val="auto"/>
                <w:szCs w:val="21"/>
                <w:highlight w:val="none"/>
                <w:vertAlign w:val="superscript"/>
                <w:lang w:val="en-US" w:eastAsia="zh-CN"/>
              </w:rPr>
              <w:t>3</w:t>
            </w:r>
            <w:r>
              <w:rPr>
                <w:rFonts w:hint="eastAsia"/>
                <w:color w:val="auto"/>
                <w:szCs w:val="21"/>
                <w:highlight w:val="none"/>
                <w:vertAlign w:val="baseline"/>
                <w:lang w:val="en-US" w:eastAsia="zh-CN"/>
              </w:rPr>
              <w:t>/a</w:t>
            </w:r>
            <w:r>
              <w:rPr>
                <w:rFonts w:hint="eastAsia"/>
                <w:color w:val="auto"/>
                <w:szCs w:val="21"/>
                <w:highlight w:val="none"/>
                <w:lang w:eastAsia="zh-CN"/>
              </w:rPr>
              <w:t>。</w:t>
            </w:r>
          </w:p>
          <w:p>
            <w:pPr>
              <w:numPr>
                <w:ilvl w:val="0"/>
                <w:numId w:val="4"/>
              </w:numPr>
              <w:adjustRightInd w:val="0"/>
              <w:snapToGrid w:val="0"/>
              <w:spacing w:line="480" w:lineRule="exact"/>
              <w:ind w:left="0" w:leftChars="0" w:firstLine="420" w:firstLineChars="200"/>
              <w:rPr>
                <w:rFonts w:hint="eastAsia"/>
                <w:color w:val="auto"/>
                <w:szCs w:val="21"/>
                <w:lang w:eastAsia="zh-CN"/>
              </w:rPr>
            </w:pPr>
            <w:r>
              <w:rPr>
                <w:rFonts w:hint="eastAsia"/>
                <w:color w:val="auto"/>
                <w:szCs w:val="21"/>
                <w:lang w:eastAsia="zh-CN"/>
              </w:rPr>
              <w:t>生活污水</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20" w:firstLineChars="200"/>
              <w:jc w:val="both"/>
              <w:textAlignment w:val="auto"/>
              <w:outlineLvl w:val="9"/>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生活污水产生系数以0.8计，则废水产生量为1584t/a，生活污水经地埋式一体化污水处理设施处理达到《城市污水再生利用 城市杂用水水质》（GB/T18920-2020）标准后，用</w:t>
            </w:r>
            <w:r>
              <w:rPr>
                <w:rFonts w:hint="eastAsia" w:cs="Times New Roman"/>
                <w:b w:val="0"/>
                <w:bCs w:val="0"/>
                <w:color w:val="auto"/>
                <w:kern w:val="2"/>
                <w:sz w:val="21"/>
                <w:szCs w:val="21"/>
                <w:highlight w:val="none"/>
                <w:lang w:val="en-US" w:eastAsia="zh-CN" w:bidi="ar-SA"/>
              </w:rPr>
              <w:t>于厂区绿化、道路抑尘、车辆冲洗，不外排。</w:t>
            </w:r>
          </w:p>
          <w:p>
            <w:pPr>
              <w:adjustRightInd w:val="0"/>
              <w:snapToGrid w:val="0"/>
              <w:spacing w:line="480" w:lineRule="exact"/>
              <w:ind w:firstLine="420" w:firstLineChars="200"/>
              <w:rPr>
                <w:rFonts w:hint="default"/>
                <w:color w:val="auto"/>
                <w:szCs w:val="21"/>
                <w:lang w:val="en-US" w:eastAsia="zh-CN"/>
              </w:rPr>
            </w:pPr>
            <w:r>
              <w:rPr>
                <w:rFonts w:hint="eastAsia"/>
                <w:color w:val="auto"/>
                <w:szCs w:val="21"/>
                <w:lang w:val="en-US" w:eastAsia="zh-CN"/>
              </w:rPr>
              <w:t>厂区建设一</w:t>
            </w:r>
            <w:r>
              <w:rPr>
                <w:rFonts w:hint="eastAsia"/>
                <w:color w:val="auto"/>
                <w:szCs w:val="21"/>
                <w:highlight w:val="none"/>
                <w:lang w:val="en-US" w:eastAsia="zh-CN"/>
              </w:rPr>
              <w:t>座300m</w:t>
            </w:r>
            <w:r>
              <w:rPr>
                <w:rFonts w:hint="eastAsia"/>
                <w:color w:val="auto"/>
                <w:szCs w:val="21"/>
                <w:highlight w:val="none"/>
                <w:vertAlign w:val="superscript"/>
                <w:lang w:val="en-US" w:eastAsia="zh-CN"/>
              </w:rPr>
              <w:t>3</w:t>
            </w:r>
            <w:r>
              <w:rPr>
                <w:rFonts w:hint="eastAsia"/>
                <w:color w:val="auto"/>
                <w:szCs w:val="21"/>
                <w:highlight w:val="none"/>
                <w:lang w:val="en-US" w:eastAsia="zh-CN"/>
              </w:rPr>
              <w:t>储</w:t>
            </w:r>
            <w:r>
              <w:rPr>
                <w:rFonts w:hint="eastAsia"/>
                <w:color w:val="auto"/>
                <w:szCs w:val="21"/>
                <w:lang w:val="en-US" w:eastAsia="zh-CN"/>
              </w:rPr>
              <w:t>存池，冬季时将净化后的生活污水贮存起来，春夏秋季用于灌溉。</w:t>
            </w:r>
          </w:p>
          <w:p>
            <w:pPr>
              <w:pStyle w:val="8"/>
              <w:rPr>
                <w:rFonts w:hint="eastAsia"/>
                <w:color w:val="auto"/>
                <w:lang w:eastAsia="zh-CN"/>
              </w:rPr>
            </w:pPr>
          </w:p>
          <w:p>
            <w:pPr>
              <w:rPr>
                <w:rFonts w:hint="eastAsia"/>
                <w:color w:val="auto"/>
                <w:lang w:eastAsia="zh-CN"/>
              </w:rPr>
            </w:pPr>
          </w:p>
          <w:p>
            <w:pPr>
              <w:rPr>
                <w:rFonts w:hint="eastAsia"/>
                <w:color w:val="auto"/>
                <w:lang w:eastAsia="zh-CN"/>
              </w:rPr>
            </w:pPr>
          </w:p>
          <w:p>
            <w:pPr>
              <w:spacing w:line="480" w:lineRule="exact"/>
              <w:ind w:firstLine="422" w:firstLineChars="200"/>
              <w:jc w:val="center"/>
              <w:rPr>
                <w:b/>
                <w:bCs/>
                <w:color w:val="auto"/>
              </w:rPr>
            </w:pPr>
            <w:r>
              <w:rPr>
                <w:rFonts w:hint="eastAsia"/>
                <w:b/>
                <w:bCs/>
                <w:color w:val="auto"/>
              </w:rPr>
              <w:drawing>
                <wp:anchor distT="0" distB="0" distL="114300" distR="114300" simplePos="0" relativeHeight="251659264" behindDoc="0" locked="0" layoutInCell="1" allowOverlap="1">
                  <wp:simplePos x="0" y="0"/>
                  <wp:positionH relativeFrom="column">
                    <wp:posOffset>266700</wp:posOffset>
                  </wp:positionH>
                  <wp:positionV relativeFrom="paragraph">
                    <wp:posOffset>-4678680</wp:posOffset>
                  </wp:positionV>
                  <wp:extent cx="5064125" cy="4782820"/>
                  <wp:effectExtent l="0" t="0" r="0" b="0"/>
                  <wp:wrapTopAndBottom/>
                  <wp:docPr id="1" name="图片 1" descr="水平衡(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水平衡(3)"/>
                          <pic:cNvPicPr>
                            <a:picLocks noChangeAspect="1"/>
                          </pic:cNvPicPr>
                        </pic:nvPicPr>
                        <pic:blipFill>
                          <a:blip r:embed="rId8"/>
                          <a:stretch>
                            <a:fillRect/>
                          </a:stretch>
                        </pic:blipFill>
                        <pic:spPr>
                          <a:xfrm>
                            <a:off x="0" y="0"/>
                            <a:ext cx="5064125" cy="4782820"/>
                          </a:xfrm>
                          <a:prstGeom prst="rect">
                            <a:avLst/>
                          </a:prstGeom>
                        </pic:spPr>
                      </pic:pic>
                    </a:graphicData>
                  </a:graphic>
                </wp:anchor>
              </w:drawing>
            </w:r>
            <w:r>
              <w:rPr>
                <w:rFonts w:hint="eastAsia"/>
                <w:b/>
                <w:bCs/>
                <w:color w:val="auto"/>
              </w:rPr>
              <w:t>图4    项目水平衡图（m</w:t>
            </w:r>
            <w:r>
              <w:rPr>
                <w:rFonts w:hint="eastAsia"/>
                <w:b/>
                <w:bCs/>
                <w:color w:val="auto"/>
                <w:vertAlign w:val="superscript"/>
              </w:rPr>
              <w:t>3</w:t>
            </w:r>
            <w:r>
              <w:rPr>
                <w:rFonts w:hint="eastAsia"/>
                <w:b/>
                <w:bCs/>
                <w:color w:val="auto"/>
              </w:rPr>
              <w:t>/</w:t>
            </w:r>
            <w:r>
              <w:rPr>
                <w:rFonts w:hint="eastAsia"/>
                <w:b/>
                <w:bCs/>
                <w:color w:val="auto"/>
                <w:lang w:val="en-US" w:eastAsia="zh-CN"/>
              </w:rPr>
              <w:t>d</w:t>
            </w:r>
            <w:r>
              <w:rPr>
                <w:rFonts w:hint="eastAsia"/>
                <w:b/>
                <w:bCs/>
                <w:color w:val="auto"/>
              </w:rPr>
              <w:t>）</w:t>
            </w:r>
          </w:p>
          <w:p>
            <w:pPr>
              <w:spacing w:line="480" w:lineRule="exact"/>
              <w:ind w:firstLine="422" w:firstLineChars="200"/>
              <w:rPr>
                <w:b/>
                <w:bCs/>
                <w:color w:val="auto"/>
              </w:rPr>
            </w:pPr>
            <w:r>
              <w:rPr>
                <w:b/>
                <w:bCs/>
                <w:color w:val="auto"/>
              </w:rPr>
              <w:t>2.6.3供电</w:t>
            </w:r>
          </w:p>
          <w:p>
            <w:pPr>
              <w:spacing w:line="480" w:lineRule="exact"/>
              <w:ind w:firstLine="420" w:firstLineChars="200"/>
              <w:rPr>
                <w:color w:val="auto"/>
              </w:rPr>
            </w:pPr>
            <w:r>
              <w:rPr>
                <w:color w:val="auto"/>
              </w:rPr>
              <w:t>本项目供电依托</w:t>
            </w:r>
            <w:r>
              <w:rPr>
                <w:rFonts w:hint="eastAsia"/>
                <w:color w:val="auto"/>
              </w:rPr>
              <w:t>昌吉市市政</w:t>
            </w:r>
            <w:r>
              <w:rPr>
                <w:color w:val="auto"/>
              </w:rPr>
              <w:t>电网供电。</w:t>
            </w:r>
          </w:p>
          <w:p>
            <w:pPr>
              <w:spacing w:line="480" w:lineRule="exact"/>
              <w:ind w:firstLine="422" w:firstLineChars="200"/>
              <w:rPr>
                <w:b/>
                <w:bCs/>
                <w:color w:val="auto"/>
              </w:rPr>
            </w:pPr>
            <w:r>
              <w:rPr>
                <w:rFonts w:hint="eastAsia"/>
                <w:b/>
                <w:bCs/>
                <w:color w:val="auto"/>
              </w:rPr>
              <w:t>2.6.4</w:t>
            </w:r>
            <w:r>
              <w:rPr>
                <w:b/>
                <w:bCs/>
                <w:color w:val="auto"/>
              </w:rPr>
              <w:t>供热</w:t>
            </w:r>
          </w:p>
          <w:p>
            <w:pPr>
              <w:spacing w:line="480" w:lineRule="exact"/>
              <w:ind w:firstLine="420" w:firstLineChars="200"/>
              <w:rPr>
                <w:color w:val="auto"/>
              </w:rPr>
            </w:pPr>
            <w:r>
              <w:rPr>
                <w:rFonts w:hint="eastAsia"/>
                <w:color w:val="auto"/>
              </w:rPr>
              <w:t>本项目供热依托昌吉市垃圾焚烧发电项目，利用其产生的热蒸汽供热。</w:t>
            </w:r>
          </w:p>
          <w:p>
            <w:pPr>
              <w:spacing w:line="480" w:lineRule="exact"/>
              <w:ind w:firstLine="422" w:firstLineChars="200"/>
              <w:rPr>
                <w:b/>
                <w:bCs/>
                <w:color w:val="auto"/>
              </w:rPr>
            </w:pPr>
            <w:r>
              <w:rPr>
                <w:rFonts w:hint="eastAsia"/>
                <w:b/>
                <w:bCs/>
                <w:color w:val="auto"/>
              </w:rPr>
              <w:t>2.7</w:t>
            </w:r>
            <w:r>
              <w:rPr>
                <w:b/>
                <w:bCs/>
                <w:color w:val="auto"/>
              </w:rPr>
              <w:t>总平面布置</w:t>
            </w:r>
          </w:p>
          <w:p>
            <w:pPr>
              <w:spacing w:line="480" w:lineRule="exact"/>
              <w:ind w:firstLine="420" w:firstLineChars="200"/>
              <w:rPr>
                <w:color w:val="auto"/>
              </w:rPr>
            </w:pPr>
            <w:r>
              <w:rPr>
                <w:color w:val="auto"/>
              </w:rPr>
              <w:t>根据项目总平面图，项目出入口位</w:t>
            </w:r>
            <w:r>
              <w:rPr>
                <w:rFonts w:hint="eastAsia"/>
                <w:color w:val="auto"/>
              </w:rPr>
              <w:t>于</w:t>
            </w:r>
            <w:r>
              <w:rPr>
                <w:color w:val="auto"/>
              </w:rPr>
              <w:t>厂区</w:t>
            </w:r>
            <w:r>
              <w:rPr>
                <w:rFonts w:hint="eastAsia"/>
                <w:color w:val="auto"/>
              </w:rPr>
              <w:t>东南角</w:t>
            </w:r>
            <w:r>
              <w:rPr>
                <w:color w:val="auto"/>
              </w:rPr>
              <w:t>，</w:t>
            </w:r>
            <w:r>
              <w:rPr>
                <w:rFonts w:hint="eastAsia"/>
                <w:color w:val="auto"/>
              </w:rPr>
              <w:t>与外部道路连接；厂区内由北至南布置生产厂房、库房和环保砖堆场、配电室及办公楼。项目厂房内生产设备按照生产工序流程布设，减少了中间物料不必要的转运投料；所有生产设备均布设在密闭生产车间内，有利于降噪及减少无组织粉尘挥发；生活区与生产区相隔40m，中间有建筑物和绿地阻隔，且处于生活区上风向，有利于减小噪声和粉尘影响。综上，本项目总平面布置较为合理。</w:t>
            </w:r>
            <w:r>
              <w:rPr>
                <w:color w:val="auto"/>
              </w:rPr>
              <w:t>项目平面布置图见图</w:t>
            </w:r>
            <w:r>
              <w:rPr>
                <w:rFonts w:hint="eastAsia"/>
                <w:color w:val="auto"/>
              </w:rPr>
              <w:t>5</w:t>
            </w:r>
            <w:r>
              <w:rPr>
                <w:color w:val="auto"/>
              </w:rPr>
              <w:t>（附图）。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95" w:hRule="atLeast"/>
          <w:jc w:val="center"/>
        </w:trPr>
        <w:tc>
          <w:tcPr>
            <w:tcW w:w="552" w:type="dxa"/>
            <w:vAlign w:val="center"/>
          </w:tcPr>
          <w:p>
            <w:pPr>
              <w:widowControl/>
              <w:adjustRightInd w:val="0"/>
              <w:snapToGrid w:val="0"/>
              <w:jc w:val="center"/>
              <w:rPr>
                <w:color w:val="auto"/>
              </w:rPr>
            </w:pPr>
            <w:r>
              <w:rPr>
                <w:color w:val="auto"/>
              </w:rPr>
              <w:t>工艺流程和产排污环节</w:t>
            </w:r>
          </w:p>
        </w:tc>
        <w:tc>
          <w:tcPr>
            <w:tcW w:w="8447" w:type="dxa"/>
          </w:tcPr>
          <w:p>
            <w:pPr>
              <w:spacing w:line="480" w:lineRule="exact"/>
              <w:ind w:firstLine="422" w:firstLineChars="200"/>
              <w:rPr>
                <w:b/>
                <w:bCs/>
                <w:color w:val="auto"/>
              </w:rPr>
            </w:pPr>
            <w:r>
              <w:rPr>
                <w:rFonts w:hint="eastAsia"/>
                <w:b/>
                <w:bCs/>
                <w:color w:val="auto"/>
              </w:rPr>
              <w:t>2.8施工期</w:t>
            </w:r>
            <w:r>
              <w:rPr>
                <w:b/>
                <w:bCs/>
                <w:color w:val="auto"/>
              </w:rPr>
              <w:t>工艺流程</w:t>
            </w:r>
          </w:p>
          <w:p>
            <w:pPr>
              <w:spacing w:line="480" w:lineRule="exact"/>
              <w:ind w:firstLine="420" w:firstLineChars="200"/>
              <w:rPr>
                <w:color w:val="auto"/>
              </w:rPr>
            </w:pPr>
            <w:r>
              <w:rPr>
                <w:rFonts w:hint="eastAsia"/>
                <w:color w:val="auto"/>
              </w:rPr>
              <w:t>本项目施工期工艺流程及产污环节示意图见图6。</w:t>
            </w:r>
          </w:p>
          <w:p>
            <w:pPr>
              <w:spacing w:after="120"/>
              <w:jc w:val="center"/>
              <w:rPr>
                <w:color w:val="auto"/>
              </w:rPr>
            </w:pPr>
            <w:r>
              <w:rPr>
                <w:color w:val="auto"/>
              </w:rPr>
              <w:drawing>
                <wp:inline distT="0" distB="0" distL="114300" distR="114300">
                  <wp:extent cx="4152265" cy="1861820"/>
                  <wp:effectExtent l="0" t="0" r="635" b="5080"/>
                  <wp:docPr id="25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图片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352925" cy="1981200"/>
                          </a:xfrm>
                          <a:prstGeom prst="rect">
                            <a:avLst/>
                          </a:prstGeom>
                          <a:noFill/>
                          <a:ln>
                            <a:noFill/>
                          </a:ln>
                          <a:effectLst/>
                        </pic:spPr>
                      </pic:pic>
                    </a:graphicData>
                  </a:graphic>
                </wp:inline>
              </w:drawing>
            </w:r>
          </w:p>
          <w:p>
            <w:pPr>
              <w:spacing w:after="120" w:line="520" w:lineRule="exact"/>
              <w:jc w:val="center"/>
              <w:rPr>
                <w:color w:val="auto"/>
              </w:rPr>
            </w:pPr>
            <w:r>
              <w:rPr>
                <w:rFonts w:hint="eastAsia"/>
                <w:b/>
                <w:bCs/>
                <w:color w:val="auto"/>
              </w:rPr>
              <w:t>图6    施工期流程及产污环节图</w:t>
            </w:r>
          </w:p>
          <w:p>
            <w:pPr>
              <w:spacing w:line="480" w:lineRule="exact"/>
              <w:ind w:firstLine="420" w:firstLineChars="200"/>
              <w:rPr>
                <w:color w:val="auto"/>
              </w:rPr>
            </w:pPr>
            <w:r>
              <w:rPr>
                <w:rFonts w:hint="eastAsia"/>
                <w:color w:val="auto"/>
              </w:rPr>
              <w:t>施工期主要污染环节为：</w:t>
            </w:r>
          </w:p>
          <w:p>
            <w:pPr>
              <w:spacing w:line="480" w:lineRule="exact"/>
              <w:ind w:firstLine="420" w:firstLineChars="200"/>
              <w:rPr>
                <w:color w:val="auto"/>
              </w:rPr>
            </w:pPr>
            <w:r>
              <w:rPr>
                <w:rFonts w:hint="eastAsia"/>
                <w:color w:val="auto"/>
              </w:rPr>
              <w:t>（1）废气：主要废气污染源是施工粉尘、车辆尾气等。</w:t>
            </w:r>
          </w:p>
          <w:p>
            <w:pPr>
              <w:spacing w:line="480" w:lineRule="exact"/>
              <w:ind w:firstLine="420" w:firstLineChars="200"/>
              <w:rPr>
                <w:color w:val="auto"/>
              </w:rPr>
            </w:pPr>
            <w:r>
              <w:rPr>
                <w:rFonts w:hint="eastAsia"/>
                <w:color w:val="auto"/>
              </w:rPr>
              <w:t>（2）废水：主要来自施工人员生活污水和施工废水。</w:t>
            </w:r>
          </w:p>
          <w:p>
            <w:pPr>
              <w:spacing w:line="480" w:lineRule="exact"/>
              <w:ind w:firstLine="420" w:firstLineChars="200"/>
              <w:rPr>
                <w:color w:val="auto"/>
              </w:rPr>
            </w:pPr>
            <w:r>
              <w:rPr>
                <w:rFonts w:hint="eastAsia"/>
                <w:color w:val="auto"/>
              </w:rPr>
              <w:t>（3）噪声：来自土石方、打桩、结构和装修等施工环节所产生的机械噪声和运输车辆产生的交通噪声。</w:t>
            </w:r>
          </w:p>
          <w:p>
            <w:pPr>
              <w:spacing w:line="480" w:lineRule="exact"/>
              <w:ind w:firstLine="420" w:firstLineChars="200"/>
              <w:rPr>
                <w:color w:val="auto"/>
              </w:rPr>
            </w:pPr>
            <w:r>
              <w:rPr>
                <w:rFonts w:hint="eastAsia"/>
                <w:color w:val="auto"/>
              </w:rPr>
              <w:t>（4）固废：主要为弃土、施工建筑垃圾，施工人员生活垃圾等。</w:t>
            </w:r>
          </w:p>
          <w:p>
            <w:pPr>
              <w:spacing w:line="480" w:lineRule="exact"/>
              <w:ind w:firstLine="422" w:firstLineChars="200"/>
              <w:rPr>
                <w:b/>
                <w:bCs/>
                <w:color w:val="auto"/>
              </w:rPr>
            </w:pPr>
            <w:r>
              <w:rPr>
                <w:rFonts w:hint="eastAsia"/>
                <w:b/>
                <w:bCs/>
                <w:color w:val="auto"/>
              </w:rPr>
              <w:t>2.9运营期</w:t>
            </w:r>
            <w:r>
              <w:rPr>
                <w:b/>
                <w:bCs/>
                <w:color w:val="auto"/>
              </w:rPr>
              <w:t>工艺流程</w:t>
            </w:r>
          </w:p>
          <w:p>
            <w:pPr>
              <w:spacing w:line="480" w:lineRule="exact"/>
              <w:ind w:firstLine="420" w:firstLineChars="200"/>
              <w:rPr>
                <w:color w:val="auto"/>
              </w:rPr>
            </w:pPr>
            <w:r>
              <w:rPr>
                <w:rFonts w:hint="eastAsia"/>
                <w:color w:val="auto"/>
              </w:rPr>
              <w:t>工艺流程及产污环节示意图见图7。</w:t>
            </w:r>
          </w:p>
          <w:p>
            <w:pPr>
              <w:spacing w:line="480" w:lineRule="exact"/>
              <w:ind w:firstLine="420" w:firstLineChars="200"/>
              <w:rPr>
                <w:color w:val="auto"/>
              </w:rPr>
            </w:pPr>
            <w:r>
              <w:rPr>
                <w:color w:val="auto"/>
              </w:rPr>
              <w:t>工艺流程概述：</w:t>
            </w:r>
          </w:p>
          <w:p>
            <w:pPr>
              <w:spacing w:line="480" w:lineRule="exact"/>
              <w:ind w:firstLine="420" w:firstLineChars="200"/>
              <w:rPr>
                <w:color w:val="auto"/>
              </w:rPr>
            </w:pPr>
            <w:r>
              <w:rPr>
                <w:rFonts w:hint="eastAsia"/>
                <w:color w:val="auto"/>
              </w:rPr>
              <w:t>（1）筛选及一级破碎：废弃的炉渣，组成成份混杂。为防止流水线设备损坏，需要对炉渣进行一次筛选及一级破碎。炉渣由铲车送入料斗，通过传送带输送进筛选滚笼进料口。滚笼是可以连续旋转的喇叭状筛网。炉渣由喇叭状滚笼小口端进入，经过旋转的滚笼后，直径小于100mm的炉渣颗粒透过滚笼侧面网孔流出，进入下一道工序；而体积较大的</w:t>
            </w:r>
            <w:r>
              <w:rPr>
                <w:rFonts w:hint="eastAsia"/>
                <w:color w:val="auto"/>
                <w:sz w:val="21"/>
                <w:szCs w:val="24"/>
                <w:lang w:eastAsia="zh-CN"/>
              </w:rPr>
              <w:t>未燃尽垃圾</w:t>
            </w:r>
            <w:r>
              <w:rPr>
                <w:rFonts w:hint="eastAsia"/>
                <w:color w:val="auto"/>
                <w:lang w:eastAsia="zh-CN"/>
              </w:rPr>
              <w:t>、</w:t>
            </w:r>
            <w:r>
              <w:rPr>
                <w:rFonts w:hint="eastAsia"/>
                <w:color w:val="auto"/>
              </w:rPr>
              <w:t>渣块、石块、混凝土块及大块的金属则通过喇叭状滚笼的大口端流出，</w:t>
            </w:r>
            <w:r>
              <w:rPr>
                <w:rFonts w:hint="eastAsia"/>
                <w:color w:val="auto"/>
                <w:lang w:eastAsia="zh-CN"/>
              </w:rPr>
              <w:t>经人工将未燃尽垃圾分拣后，</w:t>
            </w:r>
            <w:r>
              <w:rPr>
                <w:rFonts w:hint="eastAsia"/>
                <w:color w:val="auto"/>
              </w:rPr>
              <w:t>通过传送带送入打沙机进行一级破碎后，由传送带输送回待处理炉渣区。</w:t>
            </w:r>
          </w:p>
          <w:p>
            <w:pPr>
              <w:spacing w:line="480" w:lineRule="exact"/>
              <w:ind w:firstLine="420" w:firstLineChars="200"/>
              <w:rPr>
                <w:color w:val="auto"/>
              </w:rPr>
            </w:pPr>
            <w:r>
              <w:rPr>
                <w:rFonts w:hint="eastAsia"/>
                <w:color w:val="auto"/>
              </w:rPr>
              <w:t>（2）一级磁选：经过旋转的滚笼后，直径小于100mm的炉渣颗粒透过滚笼侧网孔，流入料斗，由料口底部均匀流出，均匀分布在传送带上。传送带上方设置悬挂式磁力除铁器。当炉渣随传送带经过悬挂式磁力除铁器下方时，炉渣中的磁性金属被磁选出来，通过输送金属的传送带送去除杂分离及金属分类。</w:t>
            </w:r>
          </w:p>
          <w:p>
            <w:pPr>
              <w:spacing w:line="360" w:lineRule="auto"/>
              <w:jc w:val="center"/>
              <w:rPr>
                <w:b/>
                <w:bCs/>
                <w:color w:val="auto"/>
              </w:rPr>
            </w:pPr>
            <w:r>
              <w:rPr>
                <w:rFonts w:hint="eastAsia" w:eastAsia="宋体"/>
                <w:color w:val="auto"/>
                <w:lang w:eastAsia="zh-CN"/>
              </w:rPr>
              <w:drawing>
                <wp:anchor distT="0" distB="0" distL="114300" distR="114300" simplePos="0" relativeHeight="251660288" behindDoc="0" locked="0" layoutInCell="1" allowOverlap="1">
                  <wp:simplePos x="0" y="0"/>
                  <wp:positionH relativeFrom="column">
                    <wp:posOffset>7620</wp:posOffset>
                  </wp:positionH>
                  <wp:positionV relativeFrom="paragraph">
                    <wp:posOffset>0</wp:posOffset>
                  </wp:positionV>
                  <wp:extent cx="5155565" cy="5407025"/>
                  <wp:effectExtent l="0" t="0" r="0" b="0"/>
                  <wp:wrapTopAndBottom/>
                  <wp:docPr id="3" name="图片 3" descr="生产工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产工艺"/>
                          <pic:cNvPicPr>
                            <a:picLocks noChangeAspect="1"/>
                          </pic:cNvPicPr>
                        </pic:nvPicPr>
                        <pic:blipFill>
                          <a:blip r:embed="rId10"/>
                          <a:stretch>
                            <a:fillRect/>
                          </a:stretch>
                        </pic:blipFill>
                        <pic:spPr>
                          <a:xfrm>
                            <a:off x="0" y="0"/>
                            <a:ext cx="5155565" cy="5407025"/>
                          </a:xfrm>
                          <a:prstGeom prst="rect">
                            <a:avLst/>
                          </a:prstGeom>
                        </pic:spPr>
                      </pic:pic>
                    </a:graphicData>
                  </a:graphic>
                </wp:anchor>
              </w:drawing>
            </w:r>
            <w:r>
              <w:rPr>
                <w:rFonts w:hint="eastAsia"/>
                <w:b/>
                <w:bCs/>
                <w:color w:val="auto"/>
              </w:rPr>
              <w:t>图7    项目工艺流程及产污节点图</w:t>
            </w:r>
          </w:p>
          <w:p>
            <w:pPr>
              <w:spacing w:line="480" w:lineRule="exact"/>
              <w:ind w:firstLine="420" w:firstLineChars="200"/>
              <w:rPr>
                <w:color w:val="auto"/>
              </w:rPr>
            </w:pPr>
            <w:r>
              <w:rPr>
                <w:rFonts w:hint="eastAsia"/>
                <w:color w:val="auto"/>
              </w:rPr>
              <w:t>（3）二级破碎</w:t>
            </w:r>
          </w:p>
          <w:p>
            <w:pPr>
              <w:spacing w:line="480" w:lineRule="exact"/>
              <w:ind w:firstLine="420" w:firstLineChars="200"/>
              <w:rPr>
                <w:color w:val="auto"/>
              </w:rPr>
            </w:pPr>
            <w:r>
              <w:rPr>
                <w:rFonts w:hint="eastAsia"/>
                <w:color w:val="auto"/>
              </w:rPr>
              <w:t>经过一级磁选后的炉渣，通过传送带送入打沙机，同时打沙机进料口有冲洗水连续注入。炉渣在湿式打沙机内进行粉碎，粉碎后的渣粒随冲洗水流出打沙机。打沙机能将炉渣中100mm以下的渣块、石块及混凝土块等坚硬的物质充分打碎，可以将炉渣粉碎成规定的颗粒大小，目前的技术可以将颗粒细度调整到1~4mm左右。</w:t>
            </w:r>
          </w:p>
          <w:p>
            <w:pPr>
              <w:spacing w:line="480" w:lineRule="exact"/>
              <w:ind w:firstLine="420" w:firstLineChars="200"/>
              <w:rPr>
                <w:color w:val="auto"/>
              </w:rPr>
            </w:pPr>
            <w:r>
              <w:rPr>
                <w:rFonts w:hint="eastAsia"/>
                <w:color w:val="auto"/>
              </w:rPr>
              <w:t>（4）二级磁选</w:t>
            </w:r>
            <w:bookmarkStart w:id="7" w:name="_GoBack"/>
            <w:bookmarkEnd w:id="7"/>
          </w:p>
          <w:p>
            <w:pPr>
              <w:spacing w:line="480" w:lineRule="exact"/>
              <w:ind w:firstLine="420" w:firstLineChars="200"/>
              <w:rPr>
                <w:color w:val="auto"/>
              </w:rPr>
            </w:pPr>
            <w:r>
              <w:rPr>
                <w:rFonts w:hint="eastAsia"/>
                <w:color w:val="auto"/>
              </w:rPr>
              <w:t>湿式打沙机出口设置滚筒式磁力除铁器，由湿式打沙机出口流出的炉渣及冲洗水混和物，流经滚筒式磁力除铁器下方，炉渣中所含有磁性金属被二级磁选出来，通过输送金属的传送带送去除杂分离及金属分类。</w:t>
            </w:r>
          </w:p>
          <w:p>
            <w:pPr>
              <w:spacing w:line="480" w:lineRule="exact"/>
              <w:ind w:firstLine="420" w:firstLineChars="200"/>
              <w:rPr>
                <w:color w:val="auto"/>
              </w:rPr>
            </w:pPr>
            <w:r>
              <w:rPr>
                <w:rFonts w:hint="eastAsia"/>
                <w:color w:val="auto"/>
              </w:rPr>
              <w:t>（5）跳汰重选</w:t>
            </w:r>
          </w:p>
          <w:p>
            <w:pPr>
              <w:spacing w:line="480" w:lineRule="exact"/>
              <w:ind w:firstLine="420" w:firstLineChars="200"/>
              <w:rPr>
                <w:color w:val="auto"/>
              </w:rPr>
            </w:pPr>
            <w:r>
              <w:rPr>
                <w:rFonts w:hint="eastAsia"/>
                <w:color w:val="auto"/>
              </w:rPr>
              <w:t>经二级磁选后的炉渣及冲洗水混和物，流入锯齿波跳汰机。锯齿波跳汰机根据跳汰床层理论分层规律，其跳汰脉动曲线呈锯齿形，上升水流快于下降水流，使炉渣中的重颗粒物质得到充分沉降，因此比重较重的金属颗粒随着下降水流沉降到跳汰机床层底部；而比重较轻的物质（基本上已经去除了所有金属物质）则分布在跳汰机床层的上部，随水流经跳汰机出料口流入渣池（净化后炉渣暂存区）。沉降于跳汰机床层底部比重较重的金属混杂物，被定期清理出来，进行金属分类。</w:t>
            </w:r>
          </w:p>
          <w:p>
            <w:pPr>
              <w:spacing w:line="480" w:lineRule="exact"/>
              <w:ind w:firstLine="420" w:firstLineChars="200"/>
              <w:rPr>
                <w:color w:val="auto"/>
              </w:rPr>
            </w:pPr>
            <w:r>
              <w:rPr>
                <w:rFonts w:hint="eastAsia"/>
                <w:color w:val="auto"/>
              </w:rPr>
              <w:t>（6）非金属尾沙沉淀</w:t>
            </w:r>
          </w:p>
          <w:p>
            <w:pPr>
              <w:spacing w:line="480" w:lineRule="exact"/>
              <w:ind w:firstLine="420" w:firstLineChars="200"/>
              <w:rPr>
                <w:color w:val="auto"/>
              </w:rPr>
            </w:pPr>
            <w:r>
              <w:rPr>
                <w:rFonts w:hint="eastAsia"/>
                <w:color w:val="auto"/>
              </w:rPr>
              <w:t>已去除所有金属物质后的炉渣沙粒，随水流经跳汰机出料口流入渣池（净化后炉渣暂存区）。渣池设隔栅排水口，工艺水经过过滤后，流入</w:t>
            </w:r>
            <w:r>
              <w:rPr>
                <w:rFonts w:hint="eastAsia"/>
                <w:color w:val="auto"/>
                <w:lang w:val="en-US" w:eastAsia="zh-CN"/>
              </w:rPr>
              <w:t>300m</w:t>
            </w:r>
            <w:r>
              <w:rPr>
                <w:rFonts w:hint="eastAsia"/>
                <w:color w:val="auto"/>
                <w:vertAlign w:val="superscript"/>
                <w:lang w:val="en-US" w:eastAsia="zh-CN"/>
              </w:rPr>
              <w:t>3</w:t>
            </w:r>
            <w:r>
              <w:rPr>
                <w:rFonts w:hint="eastAsia"/>
                <w:color w:val="auto"/>
              </w:rPr>
              <w:t>三级沉淀池经沉淀滤水后的尾砂作为本项目环保制砖的原料使用。</w:t>
            </w:r>
          </w:p>
          <w:p>
            <w:pPr>
              <w:pStyle w:val="14"/>
              <w:numPr>
                <w:ilvl w:val="0"/>
                <w:numId w:val="5"/>
              </w:numPr>
              <w:spacing w:line="480" w:lineRule="exact"/>
              <w:ind w:firstLine="420" w:firstLineChars="200"/>
              <w:rPr>
                <w:color w:val="auto"/>
              </w:rPr>
            </w:pPr>
            <w:r>
              <w:rPr>
                <w:rFonts w:hint="eastAsia"/>
                <w:color w:val="auto"/>
              </w:rPr>
              <w:t>制砖：给料机根据一定比例将水泥、尾砂、水进行配料计量，经传送带进入</w:t>
            </w:r>
            <w:r>
              <w:rPr>
                <w:rFonts w:hint="eastAsia"/>
                <w:color w:val="auto"/>
                <w:lang w:eastAsia="zh-CN"/>
              </w:rPr>
              <w:t>全自动免烧砖制砖机</w:t>
            </w:r>
            <w:r>
              <w:rPr>
                <w:rFonts w:hint="eastAsia"/>
                <w:color w:val="auto"/>
              </w:rPr>
              <w:t>。给料过程会有粉尘产生，水泥储罐设有排气口，会有粉尘产生。传送带为封闭式的防尘传送带，传送过程不起尘。</w:t>
            </w:r>
            <w:r>
              <w:rPr>
                <w:rFonts w:hint="eastAsia"/>
                <w:color w:val="auto"/>
                <w:lang w:eastAsia="zh-CN"/>
              </w:rPr>
              <w:t>物料经一体机压制成型后</w:t>
            </w:r>
            <w:r>
              <w:rPr>
                <w:rFonts w:hint="eastAsia"/>
                <w:color w:val="auto"/>
              </w:rPr>
              <w:t>送至堆场养护，时间</w:t>
            </w:r>
            <w:r>
              <w:rPr>
                <w:rFonts w:hint="eastAsia"/>
                <w:color w:val="auto"/>
                <w:lang w:eastAsia="zh-CN"/>
              </w:rPr>
              <w:t>为</w:t>
            </w:r>
            <w:r>
              <w:rPr>
                <w:rFonts w:hint="eastAsia"/>
                <w:color w:val="auto"/>
                <w:lang w:val="en-US" w:eastAsia="zh-CN"/>
              </w:rPr>
              <w:t>28</w:t>
            </w:r>
            <w:r>
              <w:rPr>
                <w:rFonts w:hint="eastAsia"/>
                <w:color w:val="auto"/>
              </w:rPr>
              <w:t>天，即为成品</w:t>
            </w:r>
            <w:r>
              <w:rPr>
                <w:rFonts w:hint="eastAsia"/>
                <w:color w:val="auto"/>
                <w:lang w:eastAsia="zh-CN"/>
              </w:rPr>
              <w:t>（不喷涂颜色）</w:t>
            </w:r>
            <w:r>
              <w:rPr>
                <w:rFonts w:hint="eastAsia"/>
                <w:color w:val="auto"/>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2" w:type="dxa"/>
            <w:vAlign w:val="center"/>
          </w:tcPr>
          <w:p>
            <w:pPr>
              <w:widowControl/>
              <w:adjustRightInd w:val="0"/>
              <w:snapToGrid w:val="0"/>
              <w:jc w:val="center"/>
              <w:rPr>
                <w:color w:val="auto"/>
              </w:rPr>
            </w:pPr>
            <w:r>
              <w:rPr>
                <w:rFonts w:hint="eastAsia"/>
                <w:color w:val="auto"/>
              </w:rPr>
              <w:t>与项目有关的原有环境污染问题</w:t>
            </w:r>
          </w:p>
        </w:tc>
        <w:tc>
          <w:tcPr>
            <w:tcW w:w="8447" w:type="dxa"/>
            <w:vAlign w:val="center"/>
          </w:tcPr>
          <w:p>
            <w:pPr>
              <w:spacing w:line="480" w:lineRule="exact"/>
              <w:ind w:firstLine="420" w:firstLineChars="200"/>
              <w:jc w:val="left"/>
              <w:rPr>
                <w:color w:val="auto"/>
              </w:rPr>
            </w:pPr>
            <w:r>
              <w:rPr>
                <w:rFonts w:hint="eastAsia" w:ascii="Calibri"/>
                <w:color w:val="auto"/>
              </w:rPr>
              <w:t>本项目属于新建项目，项目建设不占用基本农田，无环境敏感制约因素，环境状况基本良好，没有与本项目有关的原有污染情况及主要环境问题。</w:t>
            </w:r>
          </w:p>
        </w:tc>
      </w:tr>
    </w:tbl>
    <w:p>
      <w:pPr>
        <w:jc w:val="center"/>
        <w:rPr>
          <w:rFonts w:eastAsia="黑体"/>
          <w:snapToGrid w:val="0"/>
          <w:color w:val="auto"/>
          <w:sz w:val="36"/>
          <w:szCs w:val="36"/>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pPr>
        <w:widowControl/>
        <w:spacing w:before="100" w:beforeAutospacing="1" w:after="100" w:afterAutospacing="1"/>
        <w:jc w:val="center"/>
        <w:outlineLvl w:val="0"/>
        <w:rPr>
          <w:rFonts w:eastAsia="黑体"/>
          <w:snapToGrid w:val="0"/>
          <w:color w:val="auto"/>
          <w:kern w:val="0"/>
          <w:sz w:val="30"/>
          <w:szCs w:val="30"/>
        </w:rPr>
      </w:pPr>
      <w:r>
        <w:rPr>
          <w:rFonts w:eastAsia="黑体"/>
          <w:snapToGrid w:val="0"/>
          <w:color w:val="auto"/>
          <w:kern w:val="0"/>
          <w:sz w:val="30"/>
          <w:szCs w:val="30"/>
        </w:rPr>
        <w:t>三、区域环境质量现状、环境保护目标及评价标准</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85"/>
        <w:gridCol w:w="795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48" w:hRule="atLeast"/>
          <w:jc w:val="center"/>
        </w:trPr>
        <w:tc>
          <w:tcPr>
            <w:tcW w:w="585" w:type="dxa"/>
            <w:vAlign w:val="center"/>
          </w:tcPr>
          <w:p>
            <w:pPr>
              <w:adjustRightInd w:val="0"/>
              <w:snapToGrid w:val="0"/>
              <w:jc w:val="center"/>
              <w:rPr>
                <w:color w:val="auto"/>
                <w:kern w:val="0"/>
                <w:szCs w:val="21"/>
              </w:rPr>
            </w:pPr>
            <w:r>
              <w:rPr>
                <w:color w:val="auto"/>
                <w:kern w:val="0"/>
                <w:szCs w:val="21"/>
              </w:rPr>
              <w:t>区域</w:t>
            </w:r>
          </w:p>
          <w:p>
            <w:pPr>
              <w:adjustRightInd w:val="0"/>
              <w:snapToGrid w:val="0"/>
              <w:jc w:val="center"/>
              <w:rPr>
                <w:color w:val="auto"/>
                <w:kern w:val="0"/>
                <w:szCs w:val="21"/>
              </w:rPr>
            </w:pPr>
            <w:r>
              <w:rPr>
                <w:color w:val="auto"/>
                <w:kern w:val="0"/>
                <w:szCs w:val="21"/>
              </w:rPr>
              <w:t>环境</w:t>
            </w:r>
          </w:p>
          <w:p>
            <w:pPr>
              <w:adjustRightInd w:val="0"/>
              <w:snapToGrid w:val="0"/>
              <w:jc w:val="center"/>
              <w:rPr>
                <w:color w:val="auto"/>
                <w:kern w:val="0"/>
                <w:szCs w:val="21"/>
              </w:rPr>
            </w:pPr>
            <w:r>
              <w:rPr>
                <w:color w:val="auto"/>
                <w:kern w:val="0"/>
                <w:szCs w:val="21"/>
              </w:rPr>
              <w:t>质量</w:t>
            </w:r>
          </w:p>
          <w:p>
            <w:pPr>
              <w:adjustRightInd w:val="0"/>
              <w:snapToGrid w:val="0"/>
              <w:jc w:val="center"/>
              <w:rPr>
                <w:color w:val="auto"/>
                <w:kern w:val="0"/>
                <w:szCs w:val="21"/>
              </w:rPr>
            </w:pPr>
            <w:r>
              <w:rPr>
                <w:color w:val="auto"/>
                <w:kern w:val="0"/>
                <w:szCs w:val="21"/>
              </w:rPr>
              <w:t>现状</w:t>
            </w:r>
          </w:p>
        </w:tc>
        <w:tc>
          <w:tcPr>
            <w:tcW w:w="7954" w:type="dxa"/>
            <w:vAlign w:val="center"/>
          </w:tcPr>
          <w:p>
            <w:pPr>
              <w:spacing w:line="480" w:lineRule="exact"/>
              <w:ind w:firstLine="422" w:firstLineChars="200"/>
              <w:rPr>
                <w:b/>
                <w:bCs/>
                <w:color w:val="auto"/>
              </w:rPr>
            </w:pPr>
            <w:r>
              <w:rPr>
                <w:rFonts w:hint="eastAsia"/>
                <w:b/>
                <w:bCs/>
                <w:color w:val="auto"/>
              </w:rPr>
              <w:t>3.1</w:t>
            </w:r>
            <w:r>
              <w:rPr>
                <w:b/>
                <w:bCs/>
                <w:color w:val="auto"/>
              </w:rPr>
              <w:t>环境空气质量现状调查与评价</w:t>
            </w:r>
          </w:p>
          <w:p>
            <w:pPr>
              <w:keepNext w:val="0"/>
              <w:keepLines w:val="0"/>
              <w:pageBreakBefore w:val="0"/>
              <w:widowControl/>
              <w:kinsoku/>
              <w:wordWrap w:val="0"/>
              <w:overflowPunct w:val="0"/>
              <w:topLinePunct w:val="0"/>
              <w:autoSpaceDE/>
              <w:autoSpaceDN/>
              <w:bidi w:val="0"/>
              <w:adjustRightInd/>
              <w:snapToGrid/>
              <w:spacing w:line="460" w:lineRule="exact"/>
              <w:ind w:firstLine="420" w:firstLineChars="200"/>
              <w:jc w:val="both"/>
              <w:textAlignment w:val="auto"/>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rPr>
              <w:t>根据环境空气质量模型技术支持服务系统筛选结果新疆昌吉</w:t>
            </w:r>
            <w:r>
              <w:rPr>
                <w:rFonts w:hint="eastAsia" w:ascii="Times New Roman" w:hAnsi="Times New Roman" w:eastAsia="宋体" w:cs="Times New Roman"/>
                <w:color w:val="auto"/>
                <w:lang w:val="en-US" w:eastAsia="zh-CN"/>
              </w:rPr>
              <w:t>州</w:t>
            </w:r>
            <w:r>
              <w:rPr>
                <w:rFonts w:hint="default" w:ascii="Times New Roman" w:hAnsi="Times New Roman" w:eastAsia="宋体" w:cs="Times New Roman"/>
                <w:color w:val="auto"/>
                <w:lang w:val="zh-CN"/>
              </w:rPr>
              <w:t>地区2020年SO</w:t>
            </w:r>
            <w:r>
              <w:rPr>
                <w:rFonts w:hint="default" w:ascii="Times New Roman" w:hAnsi="Times New Roman" w:eastAsia="宋体" w:cs="Times New Roman"/>
                <w:color w:val="auto"/>
                <w:vertAlign w:val="subscript"/>
                <w:lang w:val="zh-CN"/>
              </w:rPr>
              <w:t>2</w:t>
            </w:r>
            <w:r>
              <w:rPr>
                <w:rFonts w:hint="default" w:ascii="Times New Roman" w:hAnsi="Times New Roman" w:eastAsia="宋体" w:cs="Times New Roman"/>
                <w:color w:val="auto"/>
                <w:lang w:val="zh-CN"/>
              </w:rPr>
              <w:t>、NO</w:t>
            </w:r>
            <w:r>
              <w:rPr>
                <w:rFonts w:hint="default" w:ascii="Times New Roman" w:hAnsi="Times New Roman" w:eastAsia="宋体" w:cs="Times New Roman"/>
                <w:color w:val="auto"/>
                <w:vertAlign w:val="subscript"/>
                <w:lang w:val="zh-CN"/>
              </w:rPr>
              <w:t>2</w:t>
            </w:r>
            <w:r>
              <w:rPr>
                <w:rFonts w:hint="default" w:ascii="Times New Roman" w:hAnsi="Times New Roman" w:eastAsia="宋体" w:cs="Times New Roman"/>
                <w:color w:val="auto"/>
                <w:lang w:val="zh-CN"/>
              </w:rPr>
              <w:t>、PM</w:t>
            </w:r>
            <w:r>
              <w:rPr>
                <w:rFonts w:hint="default" w:ascii="Times New Roman" w:hAnsi="Times New Roman" w:eastAsia="宋体" w:cs="Times New Roman"/>
                <w:color w:val="auto"/>
                <w:vertAlign w:val="subscript"/>
                <w:lang w:val="zh-CN"/>
              </w:rPr>
              <w:t>10</w:t>
            </w:r>
            <w:r>
              <w:rPr>
                <w:rFonts w:hint="default" w:ascii="Times New Roman" w:hAnsi="Times New Roman" w:eastAsia="宋体" w:cs="Times New Roman"/>
                <w:color w:val="auto"/>
                <w:lang w:val="zh-CN"/>
              </w:rPr>
              <w:t>、PM</w:t>
            </w:r>
            <w:r>
              <w:rPr>
                <w:rFonts w:hint="default" w:ascii="Times New Roman" w:hAnsi="Times New Roman" w:eastAsia="宋体" w:cs="Times New Roman"/>
                <w:color w:val="auto"/>
                <w:vertAlign w:val="subscript"/>
                <w:lang w:val="zh-CN"/>
              </w:rPr>
              <w:t>2.5</w:t>
            </w:r>
            <w:r>
              <w:rPr>
                <w:rFonts w:hint="default" w:ascii="Times New Roman" w:hAnsi="Times New Roman" w:eastAsia="宋体" w:cs="Times New Roman"/>
                <w:color w:val="auto"/>
                <w:lang w:val="zh-CN"/>
              </w:rPr>
              <w:t>年均浓度分别为8ug/m</w:t>
            </w:r>
            <w:r>
              <w:rPr>
                <w:rFonts w:hint="default" w:ascii="Times New Roman" w:hAnsi="Times New Roman" w:eastAsia="宋体" w:cs="Times New Roman"/>
                <w:color w:val="auto"/>
                <w:vertAlign w:val="superscript"/>
                <w:lang w:val="zh-CN"/>
              </w:rPr>
              <w:t>3</w:t>
            </w:r>
            <w:r>
              <w:rPr>
                <w:rFonts w:hint="default" w:ascii="Times New Roman" w:hAnsi="Times New Roman" w:eastAsia="宋体" w:cs="Times New Roman"/>
                <w:color w:val="auto"/>
                <w:lang w:val="zh-CN"/>
              </w:rPr>
              <w:t>、33ug/m</w:t>
            </w:r>
            <w:r>
              <w:rPr>
                <w:rFonts w:hint="default" w:ascii="Times New Roman" w:hAnsi="Times New Roman" w:eastAsia="宋体" w:cs="Times New Roman"/>
                <w:color w:val="auto"/>
                <w:vertAlign w:val="superscript"/>
                <w:lang w:val="zh-CN"/>
              </w:rPr>
              <w:t>3</w:t>
            </w:r>
            <w:r>
              <w:rPr>
                <w:rFonts w:hint="default" w:ascii="Times New Roman" w:hAnsi="Times New Roman" w:eastAsia="宋体" w:cs="Times New Roman"/>
                <w:color w:val="auto"/>
                <w:lang w:val="zh-CN"/>
              </w:rPr>
              <w:t>、88ug/m</w:t>
            </w:r>
            <w:r>
              <w:rPr>
                <w:rFonts w:hint="default" w:ascii="Times New Roman" w:hAnsi="Times New Roman" w:eastAsia="宋体" w:cs="Times New Roman"/>
                <w:color w:val="auto"/>
                <w:vertAlign w:val="superscript"/>
                <w:lang w:val="zh-CN"/>
              </w:rPr>
              <w:t>3</w:t>
            </w:r>
            <w:r>
              <w:rPr>
                <w:rFonts w:hint="default" w:ascii="Times New Roman" w:hAnsi="Times New Roman" w:eastAsia="宋体" w:cs="Times New Roman"/>
                <w:color w:val="auto"/>
                <w:lang w:val="zh-CN"/>
              </w:rPr>
              <w:t>、53ug/m</w:t>
            </w:r>
            <w:r>
              <w:rPr>
                <w:rFonts w:hint="default" w:ascii="Times New Roman" w:hAnsi="Times New Roman" w:eastAsia="宋体" w:cs="Times New Roman"/>
                <w:color w:val="auto"/>
                <w:vertAlign w:val="superscript"/>
                <w:lang w:val="zh-CN"/>
              </w:rPr>
              <w:t>3</w:t>
            </w:r>
            <w:r>
              <w:rPr>
                <w:rFonts w:hint="default" w:ascii="Times New Roman" w:hAnsi="Times New Roman" w:eastAsia="宋体" w:cs="Times New Roman"/>
                <w:color w:val="auto"/>
                <w:lang w:val="zh-CN"/>
              </w:rPr>
              <w:t>；CO</w:t>
            </w:r>
            <w:r>
              <w:rPr>
                <w:rFonts w:hint="eastAsia" w:ascii="Times New Roman" w:hAnsi="Times New Roman" w:eastAsia="宋体" w:cs="Times New Roman"/>
                <w:color w:val="auto"/>
                <w:lang w:val="en-US" w:eastAsia="zh-CN"/>
              </w:rPr>
              <w:t xml:space="preserve"> 2</w:t>
            </w:r>
            <w:r>
              <w:rPr>
                <w:rFonts w:hint="default" w:ascii="Times New Roman" w:hAnsi="Times New Roman" w:eastAsia="宋体" w:cs="Times New Roman"/>
                <w:color w:val="auto"/>
                <w:lang w:val="zh-CN"/>
              </w:rPr>
              <w:t>4小时平均第95百分位数为2.5mg/m</w:t>
            </w:r>
            <w:r>
              <w:rPr>
                <w:rFonts w:hint="default" w:ascii="Times New Roman" w:hAnsi="Times New Roman" w:eastAsia="宋体" w:cs="Times New Roman"/>
                <w:color w:val="auto"/>
                <w:vertAlign w:val="superscript"/>
                <w:lang w:val="zh-CN"/>
              </w:rPr>
              <w:t>3</w:t>
            </w:r>
            <w:r>
              <w:rPr>
                <w:rFonts w:hint="default" w:ascii="Times New Roman" w:hAnsi="Times New Roman" w:eastAsia="宋体" w:cs="Times New Roman"/>
                <w:color w:val="auto"/>
                <w:lang w:val="zh-CN"/>
              </w:rPr>
              <w:t>，O</w:t>
            </w:r>
            <w:r>
              <w:rPr>
                <w:rFonts w:hint="default" w:ascii="Times New Roman" w:hAnsi="Times New Roman" w:eastAsia="宋体" w:cs="Times New Roman"/>
                <w:color w:val="auto"/>
                <w:vertAlign w:val="subscript"/>
                <w:lang w:val="zh-CN"/>
              </w:rPr>
              <w:t>3</w:t>
            </w:r>
            <w:r>
              <w:rPr>
                <w:rFonts w:hint="default" w:ascii="Times New Roman" w:hAnsi="Times New Roman" w:eastAsia="宋体" w:cs="Times New Roman"/>
                <w:color w:val="auto"/>
                <w:lang w:val="zh-CN"/>
              </w:rPr>
              <w:t>日最大8小时平均第90百分位数为131ug/m</w:t>
            </w:r>
            <w:r>
              <w:rPr>
                <w:rFonts w:hint="default" w:ascii="Times New Roman" w:hAnsi="Times New Roman" w:eastAsia="宋体" w:cs="Times New Roman"/>
                <w:color w:val="auto"/>
                <w:vertAlign w:val="superscript"/>
                <w:lang w:val="zh-CN"/>
              </w:rPr>
              <w:t>3</w:t>
            </w:r>
            <w:r>
              <w:rPr>
                <w:rFonts w:hint="default" w:ascii="Times New Roman" w:hAnsi="Times New Roman" w:eastAsia="宋体" w:cs="Times New Roman"/>
                <w:color w:val="auto"/>
                <w:lang w:val="zh-CN"/>
              </w:rPr>
              <w:t>；</w:t>
            </w:r>
            <w:r>
              <w:rPr>
                <w:rFonts w:hint="eastAsia" w:ascii="Times New Roman" w:hAnsi="Times New Roman" w:eastAsia="宋体" w:cs="Times New Roman"/>
                <w:color w:val="auto"/>
                <w:lang w:val="zh-CN"/>
              </w:rPr>
              <w:t>该区域</w:t>
            </w:r>
            <w:r>
              <w:rPr>
                <w:rFonts w:hint="default" w:ascii="Times New Roman" w:hAnsi="Times New Roman" w:eastAsia="宋体" w:cs="Times New Roman"/>
                <w:color w:val="auto"/>
                <w:lang w:val="zh-CN"/>
              </w:rPr>
              <w:t>PM</w:t>
            </w:r>
            <w:r>
              <w:rPr>
                <w:rFonts w:hint="default" w:ascii="Times New Roman" w:hAnsi="Times New Roman" w:eastAsia="宋体" w:cs="Times New Roman"/>
                <w:color w:val="auto"/>
                <w:vertAlign w:val="subscript"/>
                <w:lang w:val="zh-CN"/>
              </w:rPr>
              <w:t>10</w:t>
            </w:r>
            <w:r>
              <w:rPr>
                <w:rFonts w:hint="default" w:ascii="Times New Roman" w:hAnsi="Times New Roman" w:eastAsia="宋体" w:cs="Times New Roman"/>
                <w:color w:val="auto"/>
                <w:lang w:val="zh-CN"/>
              </w:rPr>
              <w:t>、PM</w:t>
            </w:r>
            <w:r>
              <w:rPr>
                <w:rFonts w:hint="eastAsia" w:ascii="Times New Roman" w:hAnsi="Times New Roman" w:eastAsia="宋体" w:cs="Times New Roman"/>
                <w:color w:val="auto"/>
                <w:vertAlign w:val="subscript"/>
                <w:lang w:val="en-US" w:eastAsia="zh-CN"/>
              </w:rPr>
              <w:t>2.5</w:t>
            </w:r>
            <w:r>
              <w:rPr>
                <w:rFonts w:hint="eastAsia" w:ascii="Times New Roman" w:hAnsi="Times New Roman" w:eastAsia="宋体" w:cs="Times New Roman"/>
                <w:color w:val="auto"/>
                <w:vertAlign w:val="baseline"/>
                <w:lang w:val="en-US" w:eastAsia="zh-CN"/>
              </w:rPr>
              <w:t>浓度</w:t>
            </w:r>
            <w:r>
              <w:rPr>
                <w:rFonts w:hint="default" w:ascii="Times New Roman" w:hAnsi="Times New Roman" w:eastAsia="宋体" w:cs="Times New Roman"/>
                <w:color w:val="auto"/>
                <w:lang w:val="zh-CN"/>
              </w:rPr>
              <w:t>超过《环境空气质量标准》（GB3095-2012）中二级标准限值</w:t>
            </w:r>
            <w:r>
              <w:rPr>
                <w:rFonts w:hint="default" w:ascii="Times New Roman" w:hAnsi="Times New Roman" w:eastAsia="宋体" w:cs="Times New Roman"/>
                <w:color w:val="auto"/>
                <w:lang w:val="zh-CN" w:eastAsia="zh-CN"/>
              </w:rPr>
              <w:t>。</w:t>
            </w:r>
          </w:p>
          <w:p>
            <w:pPr>
              <w:keepNext w:val="0"/>
              <w:keepLines w:val="0"/>
              <w:pageBreakBefore w:val="0"/>
              <w:widowControl/>
              <w:kinsoku/>
              <w:wordWrap w:val="0"/>
              <w:overflowPunct w:val="0"/>
              <w:topLinePunct w:val="0"/>
              <w:autoSpaceDE/>
              <w:autoSpaceDN/>
              <w:bidi w:val="0"/>
              <w:adjustRightInd/>
              <w:snapToGrid/>
              <w:spacing w:line="460" w:lineRule="exact"/>
              <w:ind w:firstLine="420" w:firstLineChars="200"/>
              <w:jc w:val="both"/>
              <w:textAlignment w:val="auto"/>
              <w:rPr>
                <w:rFonts w:hint="default" w:ascii="Times New Roman" w:hAnsi="Times New Roman" w:eastAsia="宋体" w:cs="Times New Roman"/>
                <w:color w:val="auto"/>
                <w:lang w:val="zh-CN" w:eastAsia="zh-CN"/>
              </w:rPr>
            </w:pPr>
            <w:r>
              <w:rPr>
                <w:rFonts w:hint="eastAsia" w:cs="Times New Roman"/>
                <w:color w:val="auto"/>
                <w:lang w:val="zh-CN" w:eastAsia="zh-CN"/>
              </w:rPr>
              <w:t>本项目特征污染物为</w:t>
            </w:r>
            <w:r>
              <w:rPr>
                <w:rFonts w:hint="eastAsia" w:cs="Times New Roman"/>
                <w:color w:val="auto"/>
                <w:lang w:val="en-US" w:eastAsia="zh-CN"/>
              </w:rPr>
              <w:t>TSP，委托环疆绿源环保科技有限公司于2022年2月11日-14日在项目区下风向1个点处取样测定。采样点位坐标：E87°16′49.89″，N44°24′30.83″，总悬浮颗粒物采样时间为24h。TSP 24h浓度均值分别为0.189mg/m</w:t>
            </w:r>
            <w:r>
              <w:rPr>
                <w:rFonts w:hint="eastAsia" w:cs="Times New Roman"/>
                <w:color w:val="auto"/>
                <w:vertAlign w:val="superscript"/>
                <w:lang w:val="en-US" w:eastAsia="zh-CN"/>
              </w:rPr>
              <w:t>3</w:t>
            </w:r>
            <w:r>
              <w:rPr>
                <w:rFonts w:hint="eastAsia" w:cs="Times New Roman"/>
                <w:color w:val="auto"/>
                <w:vertAlign w:val="baseline"/>
                <w:lang w:val="en-US" w:eastAsia="zh-CN"/>
              </w:rPr>
              <w:t>，0.193</w:t>
            </w:r>
            <w:r>
              <w:rPr>
                <w:rFonts w:hint="eastAsia" w:cs="Times New Roman"/>
                <w:color w:val="auto"/>
                <w:lang w:val="en-US" w:eastAsia="zh-CN"/>
              </w:rPr>
              <w:t>mg/m</w:t>
            </w:r>
            <w:r>
              <w:rPr>
                <w:rFonts w:hint="eastAsia" w:cs="Times New Roman"/>
                <w:color w:val="auto"/>
                <w:vertAlign w:val="superscript"/>
                <w:lang w:val="en-US" w:eastAsia="zh-CN"/>
              </w:rPr>
              <w:t>3</w:t>
            </w:r>
            <w:r>
              <w:rPr>
                <w:rFonts w:hint="eastAsia" w:cs="Times New Roman"/>
                <w:color w:val="auto"/>
                <w:vertAlign w:val="baseline"/>
                <w:lang w:val="en-US" w:eastAsia="zh-CN"/>
              </w:rPr>
              <w:t>，0.180</w:t>
            </w:r>
            <w:r>
              <w:rPr>
                <w:rFonts w:hint="eastAsia" w:cs="Times New Roman"/>
                <w:color w:val="auto"/>
                <w:lang w:val="en-US" w:eastAsia="zh-CN"/>
              </w:rPr>
              <w:t>mg/m</w:t>
            </w:r>
            <w:r>
              <w:rPr>
                <w:rFonts w:hint="eastAsia" w:cs="Times New Roman"/>
                <w:color w:val="auto"/>
                <w:vertAlign w:val="superscript"/>
                <w:lang w:val="en-US" w:eastAsia="zh-CN"/>
              </w:rPr>
              <w:t>3</w:t>
            </w:r>
            <w:r>
              <w:rPr>
                <w:rFonts w:hint="eastAsia" w:cs="Times New Roman"/>
                <w:color w:val="auto"/>
                <w:vertAlign w:val="baseline"/>
                <w:lang w:val="en-US" w:eastAsia="zh-CN"/>
              </w:rPr>
              <w:t>。满足</w:t>
            </w:r>
            <w:r>
              <w:rPr>
                <w:rFonts w:hint="default" w:ascii="Times New Roman" w:hAnsi="Times New Roman" w:eastAsia="宋体" w:cs="Times New Roman"/>
                <w:color w:val="auto"/>
                <w:lang w:val="zh-CN"/>
              </w:rPr>
              <w:t>《环境空气质量标准》（GB3095-2012）中二级标准限值</w:t>
            </w:r>
            <w:r>
              <w:rPr>
                <w:rFonts w:hint="eastAsia" w:cs="Times New Roman"/>
                <w:color w:val="auto"/>
                <w:lang w:val="zh-CN"/>
              </w:rPr>
              <w:t>（</w:t>
            </w:r>
            <w:r>
              <w:rPr>
                <w:rFonts w:hint="eastAsia" w:cs="Times New Roman"/>
                <w:color w:val="auto"/>
                <w:lang w:val="en-US" w:eastAsia="zh-CN"/>
              </w:rPr>
              <w:t>300μg/m</w:t>
            </w:r>
            <w:r>
              <w:rPr>
                <w:rFonts w:hint="eastAsia" w:cs="Times New Roman"/>
                <w:color w:val="auto"/>
                <w:vertAlign w:val="superscript"/>
                <w:lang w:val="en-US" w:eastAsia="zh-CN"/>
              </w:rPr>
              <w:t>3</w:t>
            </w:r>
            <w:r>
              <w:rPr>
                <w:rFonts w:hint="eastAsia" w:cs="Times New Roman"/>
                <w:color w:val="auto"/>
                <w:lang w:val="zh-CN"/>
              </w:rPr>
              <w:t>）</w:t>
            </w:r>
            <w:r>
              <w:rPr>
                <w:rFonts w:hint="default" w:ascii="Times New Roman" w:hAnsi="Times New Roman" w:eastAsia="宋体" w:cs="Times New Roman"/>
                <w:color w:val="auto"/>
                <w:lang w:val="zh-CN" w:eastAsia="zh-CN"/>
              </w:rPr>
              <w:t>。</w:t>
            </w:r>
          </w:p>
          <w:p>
            <w:pPr>
              <w:keepNext w:val="0"/>
              <w:keepLines w:val="0"/>
              <w:pageBreakBefore w:val="0"/>
              <w:widowControl/>
              <w:kinsoku/>
              <w:wordWrap w:val="0"/>
              <w:overflowPunct w:val="0"/>
              <w:topLinePunct w:val="0"/>
              <w:autoSpaceDE/>
              <w:autoSpaceDN/>
              <w:bidi w:val="0"/>
              <w:adjustRightInd/>
              <w:snapToGrid/>
              <w:spacing w:line="460" w:lineRule="exact"/>
              <w:ind w:firstLine="420" w:firstLineChars="200"/>
              <w:jc w:val="both"/>
              <w:textAlignment w:val="auto"/>
              <w:rPr>
                <w:rFonts w:hint="default" w:ascii="Times New Roman" w:hAnsi="Times New Roman" w:eastAsia="宋体" w:cs="Times New Roman"/>
                <w:color w:val="auto"/>
                <w:lang w:val="zh-CN" w:eastAsia="zh-CN"/>
              </w:rPr>
            </w:pPr>
            <w:r>
              <w:rPr>
                <w:rFonts w:hint="eastAsia" w:cs="Times New Roman"/>
                <w:color w:val="auto"/>
                <w:lang w:val="zh-CN" w:eastAsia="zh-CN"/>
              </w:rPr>
              <w:t>综上，</w:t>
            </w:r>
            <w:r>
              <w:rPr>
                <w:rFonts w:hint="default" w:ascii="Times New Roman" w:hAnsi="Times New Roman" w:eastAsia="宋体" w:cs="Times New Roman"/>
                <w:color w:val="auto"/>
                <w:lang w:val="zh-CN"/>
              </w:rPr>
              <w:t>项目所在区域为</w:t>
            </w:r>
            <w:r>
              <w:rPr>
                <w:rFonts w:hint="eastAsia" w:cs="Times New Roman"/>
                <w:color w:val="auto"/>
                <w:lang w:val="zh-CN"/>
              </w:rPr>
              <w:t>环境空气质量</w:t>
            </w:r>
            <w:r>
              <w:rPr>
                <w:rFonts w:hint="default" w:ascii="Times New Roman" w:hAnsi="Times New Roman" w:eastAsia="宋体" w:cs="Times New Roman"/>
                <w:color w:val="auto"/>
                <w:lang w:val="zh-CN"/>
              </w:rPr>
              <w:t>非达标区。</w:t>
            </w:r>
          </w:p>
          <w:p>
            <w:pPr>
              <w:spacing w:line="480" w:lineRule="exact"/>
              <w:ind w:firstLine="422" w:firstLineChars="200"/>
              <w:rPr>
                <w:b/>
                <w:bCs/>
                <w:color w:val="auto"/>
              </w:rPr>
            </w:pPr>
            <w:r>
              <w:rPr>
                <w:rFonts w:hint="eastAsia"/>
                <w:b/>
                <w:bCs/>
                <w:color w:val="auto"/>
              </w:rPr>
              <w:t>3.2地表</w:t>
            </w:r>
            <w:r>
              <w:rPr>
                <w:b/>
                <w:bCs/>
                <w:color w:val="auto"/>
              </w:rPr>
              <w:t>水环境质量现状调查及分析</w:t>
            </w:r>
          </w:p>
          <w:p>
            <w:pPr>
              <w:widowControl/>
              <w:wordWrap w:val="0"/>
              <w:spacing w:line="460" w:lineRule="exact"/>
              <w:ind w:firstLine="420" w:firstLineChars="200"/>
              <w:rPr>
                <w:color w:val="auto"/>
              </w:rPr>
            </w:pPr>
            <w:r>
              <w:rPr>
                <w:color w:val="auto"/>
              </w:rPr>
              <w:t>项目所在地</w:t>
            </w:r>
            <w:r>
              <w:rPr>
                <w:color w:val="auto"/>
                <w:lang w:val="zh-CN"/>
              </w:rPr>
              <w:t>无常年地表水流。</w:t>
            </w:r>
            <w:r>
              <w:rPr>
                <w:color w:val="auto"/>
              </w:rPr>
              <w:t>根据昌吉州政府网公示的2021年4月地表水水质监测情况，全州7个城市16个集中式饮用水水源地水质全部达到或优于Ⅲ类标准。</w:t>
            </w:r>
          </w:p>
          <w:p>
            <w:pPr>
              <w:spacing w:line="480" w:lineRule="exact"/>
              <w:ind w:firstLine="422" w:firstLineChars="200"/>
              <w:rPr>
                <w:b/>
                <w:bCs/>
                <w:color w:val="auto"/>
              </w:rPr>
            </w:pPr>
            <w:r>
              <w:rPr>
                <w:rFonts w:hint="eastAsia"/>
                <w:b/>
                <w:bCs/>
                <w:color w:val="auto"/>
              </w:rPr>
              <w:t>3.3地下水</w:t>
            </w:r>
            <w:r>
              <w:rPr>
                <w:b/>
                <w:bCs/>
                <w:color w:val="auto"/>
              </w:rPr>
              <w:t>环境质量现状监测与评价</w:t>
            </w:r>
          </w:p>
          <w:p>
            <w:pPr>
              <w:widowControl/>
              <w:wordWrap w:val="0"/>
              <w:spacing w:line="460" w:lineRule="exact"/>
              <w:ind w:firstLine="420" w:firstLineChars="200"/>
              <w:rPr>
                <w:color w:val="auto"/>
              </w:rPr>
            </w:pPr>
            <w:r>
              <w:rPr>
                <w:color w:val="auto"/>
              </w:rPr>
              <w:t>本项目</w:t>
            </w:r>
            <w:r>
              <w:rPr>
                <w:rFonts w:hint="eastAsia"/>
                <w:color w:val="auto"/>
              </w:rPr>
              <w:t>运营期生产废水循环使用，不外排；生活污水经地埋式一体化污水处理设施处理达标后用于厂区绿化、洒水降尘、车辆冲洗，不外排。因此，本项目对区域地下水影响可忽略不计</w:t>
            </w:r>
            <w:r>
              <w:rPr>
                <w:color w:val="auto"/>
              </w:rPr>
              <w:t>。</w:t>
            </w:r>
            <w:r>
              <w:rPr>
                <w:rFonts w:hint="eastAsia"/>
                <w:color w:val="auto"/>
              </w:rPr>
              <w:t>根据《建设项目环境影响报告表编制技术指南（污染影响类）试行》，本次评价不开展</w:t>
            </w:r>
            <w:r>
              <w:rPr>
                <w:color w:val="auto"/>
              </w:rPr>
              <w:t>地下水环境质</w:t>
            </w:r>
            <w:r>
              <w:rPr>
                <w:rFonts w:hint="eastAsia"/>
                <w:color w:val="auto"/>
              </w:rPr>
              <w:t>量</w:t>
            </w:r>
            <w:r>
              <w:rPr>
                <w:color w:val="auto"/>
              </w:rPr>
              <w:t>现状调</w:t>
            </w:r>
            <w:r>
              <w:rPr>
                <w:rFonts w:hint="eastAsia"/>
                <w:color w:val="auto"/>
              </w:rPr>
              <w:t>查</w:t>
            </w:r>
            <w:r>
              <w:rPr>
                <w:color w:val="auto"/>
              </w:rPr>
              <w:t>。</w:t>
            </w:r>
          </w:p>
          <w:p>
            <w:pPr>
              <w:spacing w:line="480" w:lineRule="exact"/>
              <w:ind w:firstLine="422" w:firstLineChars="200"/>
              <w:rPr>
                <w:b/>
                <w:bCs/>
                <w:color w:val="auto"/>
              </w:rPr>
            </w:pPr>
            <w:r>
              <w:rPr>
                <w:rFonts w:hint="eastAsia"/>
                <w:b/>
                <w:bCs/>
                <w:color w:val="auto"/>
              </w:rPr>
              <w:t>3.4</w:t>
            </w:r>
            <w:r>
              <w:rPr>
                <w:b/>
                <w:bCs/>
                <w:color w:val="auto"/>
              </w:rPr>
              <w:t>声环境质量现状监测与评价</w:t>
            </w:r>
          </w:p>
          <w:p>
            <w:pPr>
              <w:spacing w:line="460" w:lineRule="exact"/>
              <w:ind w:firstLine="420" w:firstLineChars="200"/>
              <w:rPr>
                <w:color w:val="auto"/>
              </w:rPr>
            </w:pPr>
            <w:r>
              <w:rPr>
                <w:rFonts w:hint="eastAsia"/>
                <w:color w:val="auto"/>
              </w:rPr>
              <w:t>本</w:t>
            </w:r>
            <w:r>
              <w:rPr>
                <w:color w:val="auto"/>
              </w:rPr>
              <w:t>项目厂界外周边50米范围内</w:t>
            </w:r>
            <w:r>
              <w:rPr>
                <w:rFonts w:hint="eastAsia"/>
                <w:color w:val="auto"/>
              </w:rPr>
              <w:t>无</w:t>
            </w:r>
            <w:r>
              <w:rPr>
                <w:color w:val="auto"/>
              </w:rPr>
              <w:t>声环境保护目标</w:t>
            </w:r>
            <w:r>
              <w:rPr>
                <w:rFonts w:hint="eastAsia"/>
                <w:color w:val="auto"/>
              </w:rPr>
              <w:t>。</w:t>
            </w:r>
            <w:r>
              <w:rPr>
                <w:color w:val="auto"/>
              </w:rPr>
              <w:t>因此，</w:t>
            </w:r>
            <w:r>
              <w:rPr>
                <w:rFonts w:hint="eastAsia"/>
                <w:color w:val="auto"/>
              </w:rPr>
              <w:t>根据《建设项目环境影响报告表编制技术指南（污染影响类）试行》，</w:t>
            </w:r>
            <w:r>
              <w:rPr>
                <w:color w:val="auto"/>
              </w:rPr>
              <w:t>本项目不进行</w:t>
            </w:r>
            <w:r>
              <w:rPr>
                <w:rFonts w:hint="eastAsia"/>
                <w:color w:val="auto"/>
              </w:rPr>
              <w:t>声</w:t>
            </w:r>
            <w:r>
              <w:rPr>
                <w:color w:val="auto"/>
              </w:rPr>
              <w:t>环境质量现状调查。</w:t>
            </w:r>
          </w:p>
          <w:p>
            <w:pPr>
              <w:spacing w:line="480" w:lineRule="exact"/>
              <w:ind w:firstLine="422" w:firstLineChars="200"/>
              <w:rPr>
                <w:b/>
                <w:bCs/>
                <w:color w:val="auto"/>
              </w:rPr>
            </w:pPr>
            <w:r>
              <w:rPr>
                <w:rFonts w:hint="eastAsia"/>
                <w:b/>
                <w:bCs/>
                <w:color w:val="auto"/>
              </w:rPr>
              <w:t>3.5土壤</w:t>
            </w:r>
            <w:r>
              <w:rPr>
                <w:b/>
                <w:bCs/>
                <w:color w:val="auto"/>
              </w:rPr>
              <w:t>环境质量现状监测与评价</w:t>
            </w:r>
          </w:p>
          <w:p>
            <w:pPr>
              <w:widowControl/>
              <w:wordWrap w:val="0"/>
              <w:spacing w:line="460" w:lineRule="exact"/>
              <w:ind w:firstLine="420" w:firstLineChars="200"/>
              <w:rPr>
                <w:color w:val="auto"/>
              </w:rPr>
            </w:pPr>
            <w:r>
              <w:rPr>
                <w:color w:val="auto"/>
              </w:rPr>
              <w:t>本项目</w:t>
            </w:r>
            <w:r>
              <w:rPr>
                <w:rFonts w:hint="eastAsia"/>
                <w:color w:val="auto"/>
              </w:rPr>
              <w:t>运营期对炉渣进行破碎筛分后制造环保砖，厂区采取分区防渗，对土壤环境影响较小，根据《建设项目环境影响报告表编制技术指南（污染影响类）试行》，本项目不开展土壤环境质量现状调查</w:t>
            </w:r>
            <w:r>
              <w:rPr>
                <w:color w:val="auto"/>
              </w:rPr>
              <w:t>。</w:t>
            </w:r>
          </w:p>
          <w:p>
            <w:pPr>
              <w:spacing w:line="480" w:lineRule="exact"/>
              <w:ind w:firstLine="422" w:firstLineChars="200"/>
              <w:rPr>
                <w:b/>
                <w:bCs/>
                <w:color w:val="auto"/>
              </w:rPr>
            </w:pPr>
            <w:r>
              <w:rPr>
                <w:rFonts w:hint="eastAsia"/>
                <w:b/>
                <w:bCs/>
                <w:color w:val="auto"/>
              </w:rPr>
              <w:t>3.6生态</w:t>
            </w:r>
            <w:r>
              <w:rPr>
                <w:b/>
                <w:bCs/>
                <w:color w:val="auto"/>
              </w:rPr>
              <w:t>环境质量现状监测与评价</w:t>
            </w:r>
          </w:p>
          <w:p>
            <w:pPr>
              <w:widowControl/>
              <w:wordWrap w:val="0"/>
              <w:spacing w:line="460" w:lineRule="exact"/>
              <w:ind w:firstLine="420" w:firstLineChars="200"/>
              <w:rPr>
                <w:rFonts w:ascii="宋体" w:hAnsi="宋体" w:cs="宋体"/>
                <w:color w:val="auto"/>
                <w:szCs w:val="21"/>
              </w:rPr>
            </w:pPr>
            <w:r>
              <w:rPr>
                <w:rFonts w:hint="eastAsia" w:ascii="Calibri"/>
                <w:color w:val="auto"/>
              </w:rPr>
              <w:t>本项目</w:t>
            </w:r>
            <w:r>
              <w:rPr>
                <w:rFonts w:eastAsiaTheme="minorEastAsia"/>
                <w:snapToGrid w:val="0"/>
                <w:color w:val="auto"/>
                <w:kern w:val="0"/>
              </w:rPr>
              <w:t>拟建</w:t>
            </w:r>
            <w:r>
              <w:rPr>
                <w:rFonts w:hint="eastAsia" w:eastAsiaTheme="minorEastAsia"/>
                <w:snapToGrid w:val="0"/>
                <w:color w:val="auto"/>
                <w:kern w:val="0"/>
                <w:lang w:eastAsia="zh-CN"/>
              </w:rPr>
              <w:t>地</w:t>
            </w:r>
            <w:r>
              <w:rPr>
                <w:rFonts w:eastAsiaTheme="minorEastAsia"/>
                <w:snapToGrid w:val="0"/>
                <w:color w:val="auto"/>
                <w:kern w:val="0"/>
              </w:rPr>
              <w:t>位于新疆昌吉市庙</w:t>
            </w:r>
            <w:r>
              <w:rPr>
                <w:rFonts w:hint="eastAsia" w:eastAsiaTheme="minorEastAsia"/>
                <w:snapToGrid w:val="0"/>
                <w:color w:val="auto"/>
                <w:kern w:val="0"/>
                <w:lang w:eastAsia="zh-CN"/>
              </w:rPr>
              <w:t>二</w:t>
            </w:r>
            <w:r>
              <w:rPr>
                <w:rFonts w:eastAsiaTheme="minorEastAsia"/>
                <w:snapToGrid w:val="0"/>
                <w:color w:val="auto"/>
                <w:kern w:val="0"/>
              </w:rPr>
              <w:t>沟乡和谐二村以北1.</w:t>
            </w:r>
            <w:r>
              <w:rPr>
                <w:rFonts w:hint="eastAsia" w:eastAsiaTheme="minorEastAsia"/>
                <w:snapToGrid w:val="0"/>
                <w:color w:val="auto"/>
                <w:kern w:val="0"/>
                <w:lang w:val="en-US" w:eastAsia="zh-CN"/>
              </w:rPr>
              <w:t>5</w:t>
            </w:r>
            <w:r>
              <w:rPr>
                <w:rFonts w:eastAsiaTheme="minorEastAsia"/>
                <w:snapToGrid w:val="0"/>
                <w:color w:val="auto"/>
                <w:kern w:val="0"/>
              </w:rPr>
              <w:t>km的空地上，</w:t>
            </w:r>
            <w:r>
              <w:rPr>
                <w:color w:val="auto"/>
              </w:rPr>
              <w:t>项目所在区域，地势较平坦，土壤主要为碱化灰漠土，土地利用类型主要为林地，景观类型以荒漠景观为主，自然植被以梭梭植被为主。</w:t>
            </w:r>
            <w:r>
              <w:rPr>
                <w:rFonts w:hint="eastAsia" w:ascii="Calibri"/>
                <w:color w:val="auto"/>
              </w:rPr>
              <w:t>区域生态环境质量现状良好。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42" w:hRule="atLeast"/>
          <w:jc w:val="center"/>
        </w:trPr>
        <w:tc>
          <w:tcPr>
            <w:tcW w:w="585" w:type="dxa"/>
            <w:vAlign w:val="center"/>
          </w:tcPr>
          <w:p>
            <w:pPr>
              <w:adjustRightInd w:val="0"/>
              <w:snapToGrid w:val="0"/>
              <w:jc w:val="center"/>
              <w:rPr>
                <w:color w:val="auto"/>
                <w:kern w:val="0"/>
                <w:szCs w:val="21"/>
              </w:rPr>
            </w:pPr>
            <w:r>
              <w:rPr>
                <w:color w:val="auto"/>
                <w:kern w:val="0"/>
                <w:szCs w:val="21"/>
              </w:rPr>
              <w:t>环境</w:t>
            </w:r>
          </w:p>
          <w:p>
            <w:pPr>
              <w:adjustRightInd w:val="0"/>
              <w:snapToGrid w:val="0"/>
              <w:jc w:val="center"/>
              <w:rPr>
                <w:color w:val="auto"/>
                <w:kern w:val="0"/>
                <w:szCs w:val="21"/>
              </w:rPr>
            </w:pPr>
            <w:r>
              <w:rPr>
                <w:color w:val="auto"/>
                <w:kern w:val="0"/>
                <w:szCs w:val="21"/>
              </w:rPr>
              <w:t>保护</w:t>
            </w:r>
          </w:p>
          <w:p>
            <w:pPr>
              <w:adjustRightInd w:val="0"/>
              <w:snapToGrid w:val="0"/>
              <w:jc w:val="center"/>
              <w:rPr>
                <w:color w:val="auto"/>
                <w:kern w:val="0"/>
                <w:szCs w:val="21"/>
              </w:rPr>
            </w:pPr>
            <w:r>
              <w:rPr>
                <w:color w:val="auto"/>
                <w:kern w:val="0"/>
                <w:szCs w:val="21"/>
              </w:rPr>
              <w:t>目标</w:t>
            </w:r>
          </w:p>
        </w:tc>
        <w:tc>
          <w:tcPr>
            <w:tcW w:w="7954" w:type="dxa"/>
            <w:vAlign w:val="center"/>
          </w:tcPr>
          <w:p>
            <w:pPr>
              <w:widowControl/>
              <w:numPr>
                <w:ilvl w:val="0"/>
                <w:numId w:val="6"/>
              </w:numPr>
              <w:wordWrap w:val="0"/>
              <w:spacing w:line="480" w:lineRule="exact"/>
              <w:ind w:firstLine="422" w:firstLineChars="200"/>
              <w:rPr>
                <w:b/>
                <w:bCs/>
                <w:color w:val="auto"/>
                <w:szCs w:val="21"/>
                <w:highlight w:val="none"/>
              </w:rPr>
            </w:pPr>
            <w:r>
              <w:rPr>
                <w:b/>
                <w:bCs/>
                <w:color w:val="auto"/>
                <w:szCs w:val="21"/>
              </w:rPr>
              <w:t>大气环</w:t>
            </w:r>
            <w:r>
              <w:rPr>
                <w:b/>
                <w:bCs/>
                <w:color w:val="auto"/>
                <w:szCs w:val="21"/>
                <w:highlight w:val="none"/>
              </w:rPr>
              <w:t>境</w:t>
            </w:r>
          </w:p>
          <w:p>
            <w:pPr>
              <w:widowControl/>
              <w:wordWrap w:val="0"/>
              <w:spacing w:line="480" w:lineRule="exact"/>
              <w:ind w:firstLine="420" w:firstLineChars="200"/>
              <w:rPr>
                <w:color w:val="auto"/>
                <w:szCs w:val="21"/>
                <w:highlight w:val="none"/>
              </w:rPr>
            </w:pPr>
            <w:r>
              <w:rPr>
                <w:color w:val="auto"/>
                <w:szCs w:val="21"/>
                <w:highlight w:val="none"/>
              </w:rPr>
              <w:t>本项目厂界外500米范围内</w:t>
            </w:r>
            <w:r>
              <w:rPr>
                <w:rFonts w:hint="eastAsia"/>
                <w:color w:val="auto"/>
                <w:szCs w:val="21"/>
                <w:highlight w:val="none"/>
              </w:rPr>
              <w:t>无</w:t>
            </w:r>
            <w:r>
              <w:rPr>
                <w:color w:val="auto"/>
                <w:szCs w:val="21"/>
                <w:highlight w:val="none"/>
              </w:rPr>
              <w:t>自然保护区、风景名胜区、居住区、文化区和农村地区中人群较集中的区域等保护目标。</w:t>
            </w:r>
          </w:p>
          <w:p>
            <w:pPr>
              <w:widowControl/>
              <w:numPr>
                <w:ilvl w:val="0"/>
                <w:numId w:val="6"/>
              </w:numPr>
              <w:wordWrap w:val="0"/>
              <w:spacing w:line="480" w:lineRule="exact"/>
              <w:ind w:firstLine="422" w:firstLineChars="200"/>
              <w:rPr>
                <w:b/>
                <w:bCs/>
                <w:color w:val="auto"/>
                <w:szCs w:val="21"/>
              </w:rPr>
            </w:pPr>
            <w:r>
              <w:rPr>
                <w:b/>
                <w:bCs/>
                <w:color w:val="auto"/>
                <w:szCs w:val="21"/>
              </w:rPr>
              <w:t>声环境</w:t>
            </w:r>
          </w:p>
          <w:p>
            <w:pPr>
              <w:widowControl/>
              <w:wordWrap w:val="0"/>
              <w:spacing w:line="480" w:lineRule="exact"/>
              <w:ind w:firstLine="420" w:firstLineChars="200"/>
              <w:rPr>
                <w:color w:val="auto"/>
                <w:szCs w:val="21"/>
              </w:rPr>
            </w:pPr>
            <w:r>
              <w:rPr>
                <w:color w:val="auto"/>
                <w:szCs w:val="21"/>
              </w:rPr>
              <w:t>本项目厂界外50米范围内</w:t>
            </w:r>
            <w:r>
              <w:rPr>
                <w:rFonts w:hint="eastAsia"/>
                <w:color w:val="auto"/>
                <w:szCs w:val="21"/>
              </w:rPr>
              <w:t>无</w:t>
            </w:r>
            <w:r>
              <w:rPr>
                <w:color w:val="auto"/>
                <w:szCs w:val="21"/>
              </w:rPr>
              <w:t>声环境保护目标。</w:t>
            </w:r>
          </w:p>
          <w:p>
            <w:pPr>
              <w:widowControl/>
              <w:numPr>
                <w:ilvl w:val="0"/>
                <w:numId w:val="6"/>
              </w:numPr>
              <w:wordWrap w:val="0"/>
              <w:spacing w:line="480" w:lineRule="exact"/>
              <w:ind w:firstLine="422" w:firstLineChars="200"/>
              <w:rPr>
                <w:b/>
                <w:bCs/>
                <w:color w:val="auto"/>
                <w:szCs w:val="21"/>
              </w:rPr>
            </w:pPr>
            <w:r>
              <w:rPr>
                <w:b/>
                <w:bCs/>
                <w:color w:val="auto"/>
                <w:szCs w:val="21"/>
              </w:rPr>
              <w:t>地下水环境</w:t>
            </w:r>
          </w:p>
          <w:p>
            <w:pPr>
              <w:widowControl/>
              <w:wordWrap w:val="0"/>
              <w:spacing w:line="480" w:lineRule="exact"/>
              <w:ind w:firstLine="420" w:firstLineChars="200"/>
              <w:rPr>
                <w:color w:val="auto"/>
                <w:szCs w:val="21"/>
              </w:rPr>
            </w:pPr>
            <w:r>
              <w:rPr>
                <w:color w:val="auto"/>
                <w:szCs w:val="21"/>
              </w:rPr>
              <w:t>本项目厂界外500米范围内</w:t>
            </w:r>
            <w:r>
              <w:rPr>
                <w:rFonts w:hint="eastAsia"/>
                <w:color w:val="auto"/>
                <w:szCs w:val="21"/>
              </w:rPr>
              <w:t>无</w:t>
            </w:r>
            <w:r>
              <w:rPr>
                <w:color w:val="auto"/>
                <w:szCs w:val="21"/>
              </w:rPr>
              <w:t>地下水集中式饮用水水源和热水、矿泉水、温泉等特殊地下水资源。</w:t>
            </w:r>
          </w:p>
          <w:p>
            <w:pPr>
              <w:widowControl/>
              <w:numPr>
                <w:ilvl w:val="0"/>
                <w:numId w:val="6"/>
              </w:numPr>
              <w:wordWrap w:val="0"/>
              <w:spacing w:line="480" w:lineRule="exact"/>
              <w:ind w:firstLine="422" w:firstLineChars="200"/>
              <w:rPr>
                <w:b/>
                <w:bCs/>
                <w:color w:val="auto"/>
                <w:szCs w:val="21"/>
              </w:rPr>
            </w:pPr>
            <w:r>
              <w:rPr>
                <w:b/>
                <w:bCs/>
                <w:color w:val="auto"/>
                <w:szCs w:val="21"/>
              </w:rPr>
              <w:t>生态环境</w:t>
            </w:r>
          </w:p>
          <w:p>
            <w:pPr>
              <w:widowControl/>
              <w:wordWrap w:val="0"/>
              <w:spacing w:line="480" w:lineRule="exact"/>
              <w:ind w:firstLine="420" w:firstLineChars="200"/>
              <w:rPr>
                <w:color w:val="auto"/>
              </w:rPr>
            </w:pPr>
            <w:r>
              <w:rPr>
                <w:color w:val="auto"/>
                <w:szCs w:val="21"/>
              </w:rPr>
              <w:t>本项目</w:t>
            </w:r>
            <w:r>
              <w:rPr>
                <w:rFonts w:hint="eastAsia"/>
                <w:color w:val="auto"/>
                <w:szCs w:val="21"/>
                <w:lang w:eastAsia="zh-CN"/>
              </w:rPr>
              <w:t>占地</w:t>
            </w:r>
            <w:r>
              <w:rPr>
                <w:color w:val="auto"/>
                <w:szCs w:val="21"/>
              </w:rPr>
              <w:t>范围内无珍稀野生动植物和国家级保护动植物，故</w:t>
            </w:r>
            <w:r>
              <w:rPr>
                <w:rFonts w:hint="eastAsia"/>
                <w:color w:val="auto"/>
                <w:szCs w:val="21"/>
                <w:lang w:eastAsia="zh-CN"/>
              </w:rPr>
              <w:t>本项目</w:t>
            </w:r>
            <w:r>
              <w:rPr>
                <w:color w:val="auto"/>
                <w:szCs w:val="21"/>
              </w:rPr>
              <w:t>无生态环境保护目标。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44" w:hRule="atLeast"/>
          <w:jc w:val="center"/>
        </w:trPr>
        <w:tc>
          <w:tcPr>
            <w:tcW w:w="585" w:type="dxa"/>
            <w:vAlign w:val="center"/>
          </w:tcPr>
          <w:p>
            <w:pPr>
              <w:adjustRightInd w:val="0"/>
              <w:snapToGrid w:val="0"/>
              <w:jc w:val="center"/>
              <w:rPr>
                <w:color w:val="auto"/>
                <w:kern w:val="0"/>
                <w:szCs w:val="21"/>
              </w:rPr>
            </w:pPr>
            <w:r>
              <w:rPr>
                <w:color w:val="auto"/>
                <w:kern w:val="0"/>
                <w:szCs w:val="21"/>
              </w:rPr>
              <w:t>污染</w:t>
            </w:r>
          </w:p>
          <w:p>
            <w:pPr>
              <w:adjustRightInd w:val="0"/>
              <w:snapToGrid w:val="0"/>
              <w:jc w:val="center"/>
              <w:rPr>
                <w:color w:val="auto"/>
                <w:kern w:val="0"/>
                <w:szCs w:val="21"/>
              </w:rPr>
            </w:pPr>
            <w:r>
              <w:rPr>
                <w:color w:val="auto"/>
                <w:kern w:val="0"/>
                <w:szCs w:val="21"/>
              </w:rPr>
              <w:t>物排</w:t>
            </w:r>
          </w:p>
          <w:p>
            <w:pPr>
              <w:adjustRightInd w:val="0"/>
              <w:snapToGrid w:val="0"/>
              <w:jc w:val="center"/>
              <w:rPr>
                <w:color w:val="auto"/>
                <w:kern w:val="0"/>
                <w:szCs w:val="21"/>
              </w:rPr>
            </w:pPr>
            <w:r>
              <w:rPr>
                <w:color w:val="auto"/>
                <w:kern w:val="0"/>
                <w:szCs w:val="21"/>
              </w:rPr>
              <w:t>放控</w:t>
            </w:r>
          </w:p>
          <w:p>
            <w:pPr>
              <w:adjustRightInd w:val="0"/>
              <w:snapToGrid w:val="0"/>
              <w:jc w:val="center"/>
              <w:rPr>
                <w:color w:val="auto"/>
                <w:kern w:val="0"/>
                <w:szCs w:val="21"/>
              </w:rPr>
            </w:pPr>
            <w:r>
              <w:rPr>
                <w:color w:val="auto"/>
                <w:kern w:val="0"/>
                <w:szCs w:val="21"/>
              </w:rPr>
              <w:t>制标</w:t>
            </w:r>
          </w:p>
          <w:p>
            <w:pPr>
              <w:adjustRightInd w:val="0"/>
              <w:snapToGrid w:val="0"/>
              <w:jc w:val="center"/>
              <w:rPr>
                <w:color w:val="auto"/>
                <w:kern w:val="0"/>
                <w:szCs w:val="21"/>
              </w:rPr>
            </w:pPr>
            <w:r>
              <w:rPr>
                <w:color w:val="auto"/>
                <w:kern w:val="0"/>
                <w:szCs w:val="21"/>
              </w:rPr>
              <w:t>准</w:t>
            </w:r>
          </w:p>
        </w:tc>
        <w:tc>
          <w:tcPr>
            <w:tcW w:w="7954" w:type="dxa"/>
            <w:vAlign w:val="center"/>
          </w:tcPr>
          <w:p>
            <w:pPr>
              <w:widowControl/>
              <w:numPr>
                <w:ilvl w:val="0"/>
                <w:numId w:val="7"/>
              </w:numPr>
              <w:wordWrap w:val="0"/>
              <w:spacing w:line="480" w:lineRule="exact"/>
              <w:ind w:firstLine="422" w:firstLineChars="200"/>
              <w:rPr>
                <w:b/>
                <w:bCs/>
                <w:color w:val="auto"/>
              </w:rPr>
            </w:pPr>
            <w:r>
              <w:rPr>
                <w:rFonts w:hint="eastAsia" w:ascii="Calibri"/>
                <w:b/>
                <w:bCs/>
                <w:color w:val="auto"/>
              </w:rPr>
              <w:t>废气</w:t>
            </w:r>
          </w:p>
          <w:p>
            <w:pPr>
              <w:widowControl/>
              <w:wordWrap w:val="0"/>
              <w:spacing w:line="480" w:lineRule="exact"/>
              <w:ind w:firstLine="420" w:firstLineChars="200"/>
              <w:rPr>
                <w:color w:val="auto"/>
              </w:rPr>
            </w:pPr>
            <w:r>
              <w:rPr>
                <w:color w:val="auto"/>
              </w:rPr>
              <w:t>项目生产过程大气污染物包括有组织废气和无组织废气。</w:t>
            </w:r>
          </w:p>
          <w:p>
            <w:pPr>
              <w:widowControl/>
              <w:wordWrap w:val="0"/>
              <w:spacing w:line="480" w:lineRule="exact"/>
              <w:ind w:firstLine="420" w:firstLineChars="200"/>
              <w:rPr>
                <w:color w:val="auto"/>
              </w:rPr>
            </w:pPr>
            <w:r>
              <w:rPr>
                <w:color w:val="auto"/>
              </w:rPr>
              <w:t>本项目有组织废气排放源为破碎机，无组织废气排放源主要由炉渣、水泥等原料产生的粉尘、厂区汽车运输途中产生的扬尘等。项目有组织废气和无组织废气分别执行《砖瓦工业大气污染物排放标准》GB29620-2013表2和表3浓度限值</w:t>
            </w:r>
            <w:r>
              <w:rPr>
                <w:rFonts w:hint="eastAsia"/>
                <w:color w:val="auto"/>
              </w:rPr>
              <w:t>，</w:t>
            </w:r>
            <w:r>
              <w:rPr>
                <w:color w:val="auto"/>
              </w:rPr>
              <w:t>见表3-</w:t>
            </w:r>
            <w:r>
              <w:rPr>
                <w:rFonts w:hint="eastAsia"/>
                <w:color w:val="auto"/>
                <w:lang w:val="en-US" w:eastAsia="zh-CN"/>
              </w:rPr>
              <w:t>1</w:t>
            </w:r>
            <w:r>
              <w:rPr>
                <w:color w:val="auto"/>
              </w:rPr>
              <w:t>。</w:t>
            </w:r>
          </w:p>
          <w:p>
            <w:pPr>
              <w:tabs>
                <w:tab w:val="left" w:pos="7600"/>
                <w:tab w:val="right" w:pos="14293"/>
              </w:tabs>
              <w:jc w:val="center"/>
              <w:rPr>
                <w:b/>
                <w:bCs/>
                <w:color w:val="auto"/>
                <w:lang w:val="zh-CN"/>
              </w:rPr>
            </w:pPr>
            <w:r>
              <w:rPr>
                <w:b/>
                <w:bCs/>
                <w:color w:val="auto"/>
                <w:lang w:val="zh-CN"/>
              </w:rPr>
              <w:t>表</w:t>
            </w:r>
            <w:r>
              <w:rPr>
                <w:b/>
                <w:bCs/>
                <w:color w:val="auto"/>
              </w:rPr>
              <w:t>3-</w:t>
            </w:r>
            <w:r>
              <w:rPr>
                <w:rFonts w:hint="eastAsia"/>
                <w:b/>
                <w:bCs/>
                <w:color w:val="auto"/>
                <w:lang w:val="en-US" w:eastAsia="zh-CN"/>
              </w:rPr>
              <w:t>1</w:t>
            </w:r>
            <w:r>
              <w:rPr>
                <w:b/>
                <w:bCs/>
                <w:color w:val="auto"/>
              </w:rPr>
              <w:t xml:space="preserve">   </w:t>
            </w:r>
            <w:r>
              <w:rPr>
                <w:b/>
                <w:bCs/>
                <w:color w:val="auto"/>
                <w:lang w:val="zh-CN"/>
              </w:rPr>
              <w:t xml:space="preserve"> 项目大气污染物排放标准表</w:t>
            </w:r>
          </w:p>
          <w:tbl>
            <w:tblPr>
              <w:tblStyle w:val="22"/>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49"/>
              <w:gridCol w:w="1444"/>
              <w:gridCol w:w="3331"/>
              <w:gridCol w:w="12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657" w:type="dxa"/>
                  <w:tcBorders>
                    <w:tl2br w:val="nil"/>
                    <w:tr2bl w:val="nil"/>
                  </w:tcBorders>
                  <w:vAlign w:val="center"/>
                </w:tcPr>
                <w:p>
                  <w:pPr>
                    <w:adjustRightInd w:val="0"/>
                    <w:snapToGrid w:val="0"/>
                    <w:spacing w:line="360" w:lineRule="exact"/>
                    <w:jc w:val="center"/>
                    <w:rPr>
                      <w:b/>
                      <w:bCs/>
                      <w:color w:val="auto"/>
                      <w:szCs w:val="21"/>
                    </w:rPr>
                  </w:pPr>
                  <w:r>
                    <w:rPr>
                      <w:b/>
                      <w:bCs/>
                      <w:color w:val="auto"/>
                      <w:szCs w:val="21"/>
                    </w:rPr>
                    <w:t>污染物名称</w:t>
                  </w:r>
                </w:p>
              </w:tc>
              <w:tc>
                <w:tcPr>
                  <w:tcW w:w="1447" w:type="dxa"/>
                  <w:tcBorders>
                    <w:tl2br w:val="nil"/>
                    <w:tr2bl w:val="nil"/>
                  </w:tcBorders>
                  <w:vAlign w:val="center"/>
                </w:tcPr>
                <w:p>
                  <w:pPr>
                    <w:adjustRightInd w:val="0"/>
                    <w:snapToGrid w:val="0"/>
                    <w:spacing w:line="360" w:lineRule="exact"/>
                    <w:jc w:val="center"/>
                    <w:rPr>
                      <w:b/>
                      <w:bCs/>
                      <w:color w:val="auto"/>
                      <w:szCs w:val="21"/>
                    </w:rPr>
                  </w:pPr>
                  <w:r>
                    <w:rPr>
                      <w:b/>
                      <w:bCs/>
                      <w:color w:val="auto"/>
                      <w:szCs w:val="21"/>
                    </w:rPr>
                    <w:t>限值</w:t>
                  </w:r>
                </w:p>
              </w:tc>
              <w:tc>
                <w:tcPr>
                  <w:tcW w:w="3342" w:type="dxa"/>
                  <w:tcBorders>
                    <w:tl2br w:val="nil"/>
                    <w:tr2bl w:val="nil"/>
                  </w:tcBorders>
                  <w:vAlign w:val="center"/>
                </w:tcPr>
                <w:p>
                  <w:pPr>
                    <w:adjustRightInd w:val="0"/>
                    <w:snapToGrid w:val="0"/>
                    <w:spacing w:line="360" w:lineRule="exact"/>
                    <w:jc w:val="center"/>
                    <w:rPr>
                      <w:b/>
                      <w:bCs/>
                      <w:color w:val="auto"/>
                      <w:szCs w:val="21"/>
                    </w:rPr>
                  </w:pPr>
                  <w:r>
                    <w:rPr>
                      <w:b/>
                      <w:bCs/>
                      <w:color w:val="auto"/>
                      <w:szCs w:val="21"/>
                    </w:rPr>
                    <w:t>标准来源</w:t>
                  </w:r>
                </w:p>
              </w:tc>
              <w:tc>
                <w:tcPr>
                  <w:tcW w:w="1289" w:type="dxa"/>
                  <w:tcBorders>
                    <w:tl2br w:val="nil"/>
                    <w:tr2bl w:val="nil"/>
                  </w:tcBorders>
                  <w:vAlign w:val="center"/>
                </w:tcPr>
                <w:p>
                  <w:pPr>
                    <w:adjustRightInd w:val="0"/>
                    <w:snapToGrid w:val="0"/>
                    <w:spacing w:line="360" w:lineRule="exact"/>
                    <w:jc w:val="center"/>
                    <w:rPr>
                      <w:b/>
                      <w:bCs/>
                      <w:color w:val="auto"/>
                      <w:szCs w:val="21"/>
                    </w:rPr>
                  </w:pPr>
                  <w:r>
                    <w:rPr>
                      <w:b/>
                      <w:bCs/>
                      <w:color w:val="auto"/>
                      <w:szCs w:val="21"/>
                    </w:rPr>
                    <w:t>执行级别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657" w:type="dxa"/>
                  <w:tcBorders>
                    <w:tl2br w:val="nil"/>
                    <w:tr2bl w:val="nil"/>
                  </w:tcBorders>
                  <w:vAlign w:val="center"/>
                </w:tcPr>
                <w:p>
                  <w:pPr>
                    <w:adjustRightInd w:val="0"/>
                    <w:snapToGrid w:val="0"/>
                    <w:spacing w:line="360" w:lineRule="exact"/>
                    <w:jc w:val="center"/>
                    <w:rPr>
                      <w:color w:val="auto"/>
                      <w:szCs w:val="21"/>
                    </w:rPr>
                  </w:pPr>
                  <w:r>
                    <w:rPr>
                      <w:color w:val="auto"/>
                      <w:szCs w:val="21"/>
                    </w:rPr>
                    <w:t>有组织粉尘</w:t>
                  </w:r>
                </w:p>
              </w:tc>
              <w:tc>
                <w:tcPr>
                  <w:tcW w:w="1447" w:type="dxa"/>
                  <w:tcBorders>
                    <w:tl2br w:val="nil"/>
                    <w:tr2bl w:val="nil"/>
                  </w:tcBorders>
                  <w:vAlign w:val="center"/>
                </w:tcPr>
                <w:p>
                  <w:pPr>
                    <w:adjustRightInd w:val="0"/>
                    <w:snapToGrid w:val="0"/>
                    <w:spacing w:line="360" w:lineRule="exact"/>
                    <w:jc w:val="center"/>
                    <w:rPr>
                      <w:color w:val="auto"/>
                      <w:szCs w:val="21"/>
                    </w:rPr>
                  </w:pPr>
                  <w:r>
                    <w:rPr>
                      <w:color w:val="auto"/>
                      <w:szCs w:val="21"/>
                    </w:rPr>
                    <w:t>30mg/m</w:t>
                  </w:r>
                  <w:r>
                    <w:rPr>
                      <w:color w:val="auto"/>
                      <w:szCs w:val="21"/>
                      <w:vertAlign w:val="superscript"/>
                    </w:rPr>
                    <w:t>3</w:t>
                  </w:r>
                </w:p>
              </w:tc>
              <w:tc>
                <w:tcPr>
                  <w:tcW w:w="3342" w:type="dxa"/>
                  <w:vMerge w:val="restart"/>
                  <w:tcBorders>
                    <w:tl2br w:val="nil"/>
                    <w:tr2bl w:val="nil"/>
                  </w:tcBorders>
                  <w:vAlign w:val="center"/>
                </w:tcPr>
                <w:p>
                  <w:pPr>
                    <w:adjustRightInd w:val="0"/>
                    <w:snapToGrid w:val="0"/>
                    <w:spacing w:line="360" w:lineRule="exact"/>
                    <w:jc w:val="center"/>
                    <w:rPr>
                      <w:color w:val="auto"/>
                      <w:szCs w:val="21"/>
                    </w:rPr>
                  </w:pPr>
                  <w:r>
                    <w:rPr>
                      <w:color w:val="auto"/>
                      <w:szCs w:val="21"/>
                    </w:rPr>
                    <w:t>《砖瓦工业大气污染物排放标准》GB29620-2013</w:t>
                  </w:r>
                </w:p>
              </w:tc>
              <w:tc>
                <w:tcPr>
                  <w:tcW w:w="1289" w:type="dxa"/>
                  <w:tcBorders>
                    <w:tl2br w:val="nil"/>
                    <w:tr2bl w:val="nil"/>
                  </w:tcBorders>
                  <w:vAlign w:val="center"/>
                </w:tcPr>
                <w:p>
                  <w:pPr>
                    <w:adjustRightInd w:val="0"/>
                    <w:snapToGrid w:val="0"/>
                    <w:spacing w:line="360" w:lineRule="exact"/>
                    <w:jc w:val="center"/>
                    <w:rPr>
                      <w:color w:val="auto"/>
                      <w:szCs w:val="21"/>
                    </w:rPr>
                  </w:pPr>
                  <w:r>
                    <w:rPr>
                      <w:color w:val="auto"/>
                      <w:szCs w:val="21"/>
                    </w:rPr>
                    <w:t>表2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657" w:type="dxa"/>
                  <w:tcBorders>
                    <w:tl2br w:val="nil"/>
                    <w:tr2bl w:val="nil"/>
                  </w:tcBorders>
                  <w:vAlign w:val="center"/>
                </w:tcPr>
                <w:p>
                  <w:pPr>
                    <w:adjustRightInd w:val="0"/>
                    <w:snapToGrid w:val="0"/>
                    <w:spacing w:line="360" w:lineRule="exact"/>
                    <w:jc w:val="center"/>
                    <w:rPr>
                      <w:color w:val="auto"/>
                      <w:szCs w:val="21"/>
                    </w:rPr>
                  </w:pPr>
                  <w:r>
                    <w:rPr>
                      <w:color w:val="auto"/>
                      <w:szCs w:val="21"/>
                    </w:rPr>
                    <w:t>无组织粉尘</w:t>
                  </w:r>
                </w:p>
              </w:tc>
              <w:tc>
                <w:tcPr>
                  <w:tcW w:w="1447" w:type="dxa"/>
                  <w:tcBorders>
                    <w:tl2br w:val="nil"/>
                    <w:tr2bl w:val="nil"/>
                  </w:tcBorders>
                  <w:vAlign w:val="center"/>
                </w:tcPr>
                <w:p>
                  <w:pPr>
                    <w:adjustRightInd w:val="0"/>
                    <w:snapToGrid w:val="0"/>
                    <w:spacing w:line="360" w:lineRule="exact"/>
                    <w:jc w:val="center"/>
                    <w:rPr>
                      <w:color w:val="auto"/>
                      <w:szCs w:val="21"/>
                    </w:rPr>
                  </w:pPr>
                  <w:r>
                    <w:rPr>
                      <w:color w:val="auto"/>
                      <w:szCs w:val="21"/>
                    </w:rPr>
                    <w:t>1.0mg/m</w:t>
                  </w:r>
                  <w:r>
                    <w:rPr>
                      <w:color w:val="auto"/>
                      <w:szCs w:val="21"/>
                      <w:vertAlign w:val="superscript"/>
                    </w:rPr>
                    <w:t>3</w:t>
                  </w:r>
                </w:p>
              </w:tc>
              <w:tc>
                <w:tcPr>
                  <w:tcW w:w="3342" w:type="dxa"/>
                  <w:vMerge w:val="continue"/>
                  <w:tcBorders>
                    <w:tl2br w:val="nil"/>
                    <w:tr2bl w:val="nil"/>
                  </w:tcBorders>
                  <w:vAlign w:val="center"/>
                </w:tcPr>
                <w:p>
                  <w:pPr>
                    <w:adjustRightInd w:val="0"/>
                    <w:snapToGrid w:val="0"/>
                    <w:spacing w:line="360" w:lineRule="exact"/>
                    <w:jc w:val="center"/>
                    <w:rPr>
                      <w:color w:val="auto"/>
                      <w:szCs w:val="21"/>
                    </w:rPr>
                  </w:pPr>
                </w:p>
              </w:tc>
              <w:tc>
                <w:tcPr>
                  <w:tcW w:w="1289" w:type="dxa"/>
                  <w:tcBorders>
                    <w:tl2br w:val="nil"/>
                    <w:tr2bl w:val="nil"/>
                  </w:tcBorders>
                  <w:vAlign w:val="center"/>
                </w:tcPr>
                <w:p>
                  <w:pPr>
                    <w:adjustRightInd w:val="0"/>
                    <w:snapToGrid w:val="0"/>
                    <w:spacing w:line="360" w:lineRule="exact"/>
                    <w:jc w:val="center"/>
                    <w:rPr>
                      <w:color w:val="auto"/>
                      <w:szCs w:val="21"/>
                    </w:rPr>
                  </w:pPr>
                  <w:r>
                    <w:rPr>
                      <w:color w:val="auto"/>
                      <w:szCs w:val="21"/>
                    </w:rPr>
                    <w:t>表3</w:t>
                  </w:r>
                </w:p>
              </w:tc>
            </w:tr>
          </w:tbl>
          <w:p>
            <w:pPr>
              <w:numPr>
                <w:ilvl w:val="0"/>
                <w:numId w:val="7"/>
              </w:numPr>
              <w:adjustRightInd w:val="0"/>
              <w:spacing w:line="480" w:lineRule="exact"/>
              <w:ind w:firstLine="422" w:firstLineChars="200"/>
              <w:rPr>
                <w:b/>
                <w:bCs/>
                <w:color w:val="auto"/>
              </w:rPr>
            </w:pPr>
            <w:r>
              <w:rPr>
                <w:rFonts w:hint="eastAsia" w:ascii="Calibri"/>
                <w:b/>
                <w:bCs/>
                <w:color w:val="auto"/>
              </w:rPr>
              <w:t>废水</w:t>
            </w:r>
          </w:p>
          <w:p>
            <w:pPr>
              <w:widowControl/>
              <w:wordWrap w:val="0"/>
              <w:spacing w:line="480" w:lineRule="exact"/>
              <w:ind w:firstLine="420" w:firstLineChars="200"/>
              <w:rPr>
                <w:color w:val="auto"/>
                <w:highlight w:val="none"/>
              </w:rPr>
            </w:pPr>
            <w:r>
              <w:rPr>
                <w:rFonts w:hint="eastAsia"/>
                <w:color w:val="auto"/>
              </w:rPr>
              <w:t>本项目运营期无生产废水外排，生</w:t>
            </w:r>
            <w:r>
              <w:rPr>
                <w:rFonts w:hint="eastAsia"/>
                <w:color w:val="auto"/>
                <w:highlight w:val="none"/>
              </w:rPr>
              <w:t>活污水经地埋式一体化污水处理设施处理，达到《城市污水再生利用 城市杂用水水质》（GB/T</w:t>
            </w:r>
            <w:r>
              <w:rPr>
                <w:rFonts w:hint="eastAsia"/>
                <w:color w:val="auto"/>
                <w:szCs w:val="21"/>
                <w:highlight w:val="none"/>
              </w:rPr>
              <w:t>18920-2020</w:t>
            </w:r>
            <w:r>
              <w:rPr>
                <w:rFonts w:hint="eastAsia"/>
                <w:color w:val="auto"/>
                <w:highlight w:val="none"/>
              </w:rPr>
              <w:t>）中城市杂用水水质标准，用于厂区绿化、车辆冲洗及道路降尘。</w:t>
            </w:r>
          </w:p>
          <w:p>
            <w:pPr>
              <w:numPr>
                <w:ilvl w:val="0"/>
                <w:numId w:val="7"/>
              </w:numPr>
              <w:adjustRightInd w:val="0"/>
              <w:spacing w:line="480" w:lineRule="exact"/>
              <w:ind w:firstLine="422" w:firstLineChars="200"/>
              <w:rPr>
                <w:b/>
                <w:bCs/>
                <w:color w:val="auto"/>
              </w:rPr>
            </w:pPr>
            <w:r>
              <w:rPr>
                <w:rFonts w:hint="eastAsia" w:ascii="Calibri"/>
                <w:b/>
                <w:bCs/>
                <w:color w:val="auto"/>
              </w:rPr>
              <w:t>噪声</w:t>
            </w:r>
          </w:p>
          <w:p>
            <w:pPr>
              <w:adjustRightInd w:val="0"/>
              <w:spacing w:line="480" w:lineRule="exact"/>
              <w:ind w:firstLine="420" w:firstLineChars="200"/>
              <w:rPr>
                <w:color w:val="auto"/>
              </w:rPr>
            </w:pPr>
            <w:r>
              <w:rPr>
                <w:rFonts w:hint="eastAsia"/>
                <w:color w:val="auto"/>
              </w:rPr>
              <w:t>施工期执行《建筑施工场界环境噪声排放标准》（GB12523-2011）标准，营运期噪声执行《工业企业厂界环境噪声排放标准》（GB12348-2008）中</w:t>
            </w:r>
            <w:r>
              <w:rPr>
                <w:rFonts w:hint="eastAsia"/>
                <w:color w:val="auto"/>
                <w:lang w:val="en-US" w:eastAsia="zh-CN"/>
              </w:rPr>
              <w:t>2</w:t>
            </w:r>
            <w:r>
              <w:rPr>
                <w:rFonts w:hint="eastAsia"/>
                <w:color w:val="auto"/>
              </w:rPr>
              <w:t>类标准。</w:t>
            </w:r>
          </w:p>
          <w:p>
            <w:pPr>
              <w:tabs>
                <w:tab w:val="left" w:pos="7600"/>
                <w:tab w:val="right" w:pos="14293"/>
              </w:tabs>
              <w:spacing w:before="120" w:beforeLines="50"/>
              <w:jc w:val="center"/>
              <w:rPr>
                <w:b/>
                <w:bCs/>
                <w:color w:val="auto"/>
                <w:lang w:val="zh-CN"/>
              </w:rPr>
            </w:pPr>
            <w:r>
              <w:rPr>
                <w:rFonts w:hint="eastAsia"/>
                <w:b/>
                <w:bCs/>
                <w:color w:val="auto"/>
                <w:lang w:val="zh-CN"/>
              </w:rPr>
              <w:t>表</w:t>
            </w:r>
            <w:r>
              <w:rPr>
                <w:rFonts w:hint="eastAsia"/>
                <w:b/>
                <w:bCs/>
                <w:color w:val="auto"/>
              </w:rPr>
              <w:t>3-</w:t>
            </w:r>
            <w:r>
              <w:rPr>
                <w:rFonts w:hint="eastAsia"/>
                <w:b/>
                <w:bCs/>
                <w:color w:val="auto"/>
                <w:lang w:val="en-US" w:eastAsia="zh-CN"/>
              </w:rPr>
              <w:t>2</w:t>
            </w:r>
            <w:r>
              <w:rPr>
                <w:rFonts w:hint="eastAsia"/>
                <w:b/>
                <w:bCs/>
                <w:color w:val="auto"/>
              </w:rPr>
              <w:t xml:space="preserve">    </w:t>
            </w:r>
            <w:r>
              <w:rPr>
                <w:rFonts w:hint="eastAsia"/>
                <w:b/>
                <w:bCs/>
                <w:color w:val="auto"/>
                <w:lang w:val="zh-CN"/>
              </w:rPr>
              <w:t xml:space="preserve">建筑施工场界环境噪声排放标准 </w:t>
            </w:r>
            <w:r>
              <w:rPr>
                <w:rFonts w:hint="eastAsia"/>
                <w:b/>
                <w:bCs/>
                <w:color w:val="auto"/>
              </w:rPr>
              <w:t xml:space="preserve"> </w:t>
            </w:r>
            <w:r>
              <w:rPr>
                <w:rFonts w:hint="eastAsia"/>
                <w:b/>
                <w:bCs/>
                <w:color w:val="auto"/>
                <w:lang w:val="zh-CN"/>
              </w:rPr>
              <w:t xml:space="preserve"> </w:t>
            </w:r>
            <w:r>
              <w:rPr>
                <w:rFonts w:hint="eastAsia"/>
                <w:b/>
                <w:bCs/>
                <w:color w:val="auto"/>
              </w:rPr>
              <w:t xml:space="preserve"> </w:t>
            </w:r>
            <w:r>
              <w:rPr>
                <w:rFonts w:hint="eastAsia"/>
                <w:b/>
                <w:bCs/>
                <w:color w:val="auto"/>
                <w:lang w:val="zh-CN"/>
              </w:rPr>
              <w:t>单位：dB（A）</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702"/>
              <w:gridCol w:w="1279"/>
              <w:gridCol w:w="1262"/>
              <w:gridCol w:w="34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1711" w:type="dxa"/>
                  <w:vMerge w:val="restart"/>
                  <w:tcBorders>
                    <w:tl2br w:val="nil"/>
                    <w:tr2bl w:val="nil"/>
                  </w:tcBorders>
                  <w:vAlign w:val="center"/>
                </w:tcPr>
                <w:p>
                  <w:pPr>
                    <w:adjustRightInd w:val="0"/>
                    <w:snapToGrid w:val="0"/>
                    <w:spacing w:line="360" w:lineRule="exact"/>
                    <w:jc w:val="center"/>
                    <w:rPr>
                      <w:b/>
                      <w:bCs/>
                      <w:color w:val="auto"/>
                      <w:szCs w:val="21"/>
                    </w:rPr>
                  </w:pPr>
                  <w:r>
                    <w:rPr>
                      <w:b/>
                      <w:bCs/>
                      <w:color w:val="auto"/>
                      <w:szCs w:val="21"/>
                    </w:rPr>
                    <w:t>实施阶段</w:t>
                  </w:r>
                </w:p>
              </w:tc>
              <w:tc>
                <w:tcPr>
                  <w:tcW w:w="2553" w:type="dxa"/>
                  <w:gridSpan w:val="2"/>
                  <w:tcBorders>
                    <w:tl2br w:val="nil"/>
                    <w:tr2bl w:val="nil"/>
                  </w:tcBorders>
                  <w:vAlign w:val="center"/>
                </w:tcPr>
                <w:p>
                  <w:pPr>
                    <w:adjustRightInd w:val="0"/>
                    <w:snapToGrid w:val="0"/>
                    <w:spacing w:line="360" w:lineRule="exact"/>
                    <w:jc w:val="center"/>
                    <w:rPr>
                      <w:b/>
                      <w:bCs/>
                      <w:color w:val="auto"/>
                      <w:szCs w:val="21"/>
                    </w:rPr>
                  </w:pPr>
                  <w:r>
                    <w:rPr>
                      <w:b/>
                      <w:bCs/>
                      <w:color w:val="auto"/>
                      <w:szCs w:val="21"/>
                    </w:rPr>
                    <w:t>噪声排放限值dB（A）</w:t>
                  </w:r>
                </w:p>
              </w:tc>
              <w:tc>
                <w:tcPr>
                  <w:tcW w:w="3474" w:type="dxa"/>
                  <w:vMerge w:val="restart"/>
                  <w:tcBorders>
                    <w:tl2br w:val="nil"/>
                    <w:tr2bl w:val="nil"/>
                  </w:tcBorders>
                  <w:vAlign w:val="center"/>
                </w:tcPr>
                <w:p>
                  <w:pPr>
                    <w:adjustRightInd w:val="0"/>
                    <w:snapToGrid w:val="0"/>
                    <w:spacing w:line="360" w:lineRule="exact"/>
                    <w:jc w:val="center"/>
                    <w:rPr>
                      <w:b/>
                      <w:bCs/>
                      <w:color w:val="auto"/>
                      <w:szCs w:val="21"/>
                    </w:rPr>
                  </w:pPr>
                  <w:r>
                    <w:rPr>
                      <w:b/>
                      <w:bCs/>
                      <w:color w:val="auto"/>
                      <w:szCs w:val="21"/>
                    </w:rPr>
                    <w:t>依据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1711" w:type="dxa"/>
                  <w:vMerge w:val="continue"/>
                  <w:tcBorders>
                    <w:tl2br w:val="nil"/>
                    <w:tr2bl w:val="nil"/>
                  </w:tcBorders>
                  <w:vAlign w:val="center"/>
                </w:tcPr>
                <w:p>
                  <w:pPr>
                    <w:adjustRightInd w:val="0"/>
                    <w:snapToGrid w:val="0"/>
                    <w:spacing w:line="360" w:lineRule="exact"/>
                    <w:jc w:val="center"/>
                    <w:rPr>
                      <w:color w:val="auto"/>
                      <w:szCs w:val="21"/>
                    </w:rPr>
                  </w:pPr>
                </w:p>
              </w:tc>
              <w:tc>
                <w:tcPr>
                  <w:tcW w:w="1285" w:type="dxa"/>
                  <w:tcBorders>
                    <w:tl2br w:val="nil"/>
                    <w:tr2bl w:val="nil"/>
                  </w:tcBorders>
                  <w:vAlign w:val="center"/>
                </w:tcPr>
                <w:p>
                  <w:pPr>
                    <w:adjustRightInd w:val="0"/>
                    <w:snapToGrid w:val="0"/>
                    <w:spacing w:line="360" w:lineRule="exact"/>
                    <w:jc w:val="center"/>
                    <w:rPr>
                      <w:color w:val="auto"/>
                      <w:szCs w:val="21"/>
                    </w:rPr>
                  </w:pPr>
                  <w:r>
                    <w:rPr>
                      <w:color w:val="auto"/>
                      <w:szCs w:val="21"/>
                    </w:rPr>
                    <w:t>昼间</w:t>
                  </w:r>
                </w:p>
              </w:tc>
              <w:tc>
                <w:tcPr>
                  <w:tcW w:w="1268" w:type="dxa"/>
                  <w:tcBorders>
                    <w:tl2br w:val="nil"/>
                    <w:tr2bl w:val="nil"/>
                  </w:tcBorders>
                  <w:vAlign w:val="center"/>
                </w:tcPr>
                <w:p>
                  <w:pPr>
                    <w:adjustRightInd w:val="0"/>
                    <w:snapToGrid w:val="0"/>
                    <w:spacing w:line="360" w:lineRule="exact"/>
                    <w:jc w:val="center"/>
                    <w:rPr>
                      <w:color w:val="auto"/>
                      <w:szCs w:val="21"/>
                    </w:rPr>
                  </w:pPr>
                  <w:r>
                    <w:rPr>
                      <w:color w:val="auto"/>
                      <w:szCs w:val="21"/>
                    </w:rPr>
                    <w:t>夜间</w:t>
                  </w:r>
                </w:p>
              </w:tc>
              <w:tc>
                <w:tcPr>
                  <w:tcW w:w="3474" w:type="dxa"/>
                  <w:vMerge w:val="continue"/>
                  <w:tcBorders>
                    <w:tl2br w:val="nil"/>
                    <w:tr2bl w:val="nil"/>
                  </w:tcBorders>
                  <w:vAlign w:val="center"/>
                </w:tcPr>
                <w:p>
                  <w:pPr>
                    <w:adjustRightInd w:val="0"/>
                    <w:snapToGrid w:val="0"/>
                    <w:spacing w:line="360" w:lineRule="exact"/>
                    <w:jc w:val="center"/>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1711" w:type="dxa"/>
                  <w:tcBorders>
                    <w:tl2br w:val="nil"/>
                    <w:tr2bl w:val="nil"/>
                  </w:tcBorders>
                  <w:vAlign w:val="center"/>
                </w:tcPr>
                <w:p>
                  <w:pPr>
                    <w:adjustRightInd w:val="0"/>
                    <w:snapToGrid w:val="0"/>
                    <w:spacing w:line="360" w:lineRule="exact"/>
                    <w:jc w:val="center"/>
                    <w:rPr>
                      <w:color w:val="auto"/>
                      <w:szCs w:val="21"/>
                    </w:rPr>
                  </w:pPr>
                  <w:r>
                    <w:rPr>
                      <w:color w:val="auto"/>
                      <w:szCs w:val="21"/>
                    </w:rPr>
                    <w:t>建筑施工</w:t>
                  </w:r>
                </w:p>
              </w:tc>
              <w:tc>
                <w:tcPr>
                  <w:tcW w:w="1285" w:type="dxa"/>
                  <w:tcBorders>
                    <w:tl2br w:val="nil"/>
                    <w:tr2bl w:val="nil"/>
                  </w:tcBorders>
                  <w:vAlign w:val="center"/>
                </w:tcPr>
                <w:p>
                  <w:pPr>
                    <w:adjustRightInd w:val="0"/>
                    <w:snapToGrid w:val="0"/>
                    <w:spacing w:line="360" w:lineRule="exact"/>
                    <w:jc w:val="center"/>
                    <w:rPr>
                      <w:color w:val="auto"/>
                      <w:szCs w:val="21"/>
                    </w:rPr>
                  </w:pPr>
                  <w:r>
                    <w:rPr>
                      <w:color w:val="auto"/>
                      <w:szCs w:val="21"/>
                    </w:rPr>
                    <w:t>70</w:t>
                  </w:r>
                </w:p>
              </w:tc>
              <w:tc>
                <w:tcPr>
                  <w:tcW w:w="1268" w:type="dxa"/>
                  <w:tcBorders>
                    <w:tl2br w:val="nil"/>
                    <w:tr2bl w:val="nil"/>
                  </w:tcBorders>
                  <w:vAlign w:val="center"/>
                </w:tcPr>
                <w:p>
                  <w:pPr>
                    <w:adjustRightInd w:val="0"/>
                    <w:snapToGrid w:val="0"/>
                    <w:spacing w:line="360" w:lineRule="exact"/>
                    <w:jc w:val="center"/>
                    <w:rPr>
                      <w:color w:val="auto"/>
                      <w:szCs w:val="21"/>
                    </w:rPr>
                  </w:pPr>
                  <w:r>
                    <w:rPr>
                      <w:color w:val="auto"/>
                      <w:szCs w:val="21"/>
                    </w:rPr>
                    <w:t>55</w:t>
                  </w:r>
                </w:p>
              </w:tc>
              <w:tc>
                <w:tcPr>
                  <w:tcW w:w="3474" w:type="dxa"/>
                  <w:tcBorders>
                    <w:tl2br w:val="nil"/>
                    <w:tr2bl w:val="nil"/>
                  </w:tcBorders>
                  <w:vAlign w:val="center"/>
                </w:tcPr>
                <w:p>
                  <w:pPr>
                    <w:adjustRightInd w:val="0"/>
                    <w:snapToGrid w:val="0"/>
                    <w:spacing w:line="360" w:lineRule="exact"/>
                    <w:jc w:val="center"/>
                    <w:rPr>
                      <w:color w:val="auto"/>
                      <w:szCs w:val="21"/>
                    </w:rPr>
                  </w:pPr>
                  <w:r>
                    <w:rPr>
                      <w:color w:val="auto"/>
                      <w:szCs w:val="21"/>
                    </w:rPr>
                    <w:t>《建筑施工场界环境噪声排放标准》（GB12523-2011）</w:t>
                  </w:r>
                </w:p>
              </w:tc>
            </w:tr>
          </w:tbl>
          <w:p>
            <w:pPr>
              <w:tabs>
                <w:tab w:val="left" w:pos="7600"/>
                <w:tab w:val="right" w:pos="14293"/>
              </w:tabs>
              <w:spacing w:before="120" w:beforeLines="50"/>
              <w:jc w:val="center"/>
              <w:rPr>
                <w:b/>
                <w:bCs/>
                <w:color w:val="auto"/>
              </w:rPr>
            </w:pPr>
            <w:r>
              <w:rPr>
                <w:b/>
                <w:bCs/>
                <w:color w:val="auto"/>
              </w:rPr>
              <w:t>表3-</w:t>
            </w:r>
            <w:r>
              <w:rPr>
                <w:rFonts w:hint="eastAsia"/>
                <w:b/>
                <w:bCs/>
                <w:color w:val="auto"/>
                <w:lang w:val="en-US" w:eastAsia="zh-CN"/>
              </w:rPr>
              <w:t>3</w:t>
            </w:r>
            <w:r>
              <w:rPr>
                <w:b/>
                <w:bCs/>
                <w:color w:val="auto"/>
              </w:rPr>
              <w:t xml:space="preserve">   </w:t>
            </w:r>
            <w:r>
              <w:rPr>
                <w:rFonts w:hint="eastAsia"/>
                <w:b/>
                <w:bCs/>
                <w:color w:val="auto"/>
              </w:rPr>
              <w:t xml:space="preserve"> </w:t>
            </w:r>
            <w:r>
              <w:rPr>
                <w:b/>
                <w:bCs/>
                <w:color w:val="auto"/>
              </w:rPr>
              <w:t xml:space="preserve">工业企业厂界环境噪声排放标准   </w:t>
            </w:r>
            <w:r>
              <w:rPr>
                <w:rFonts w:hint="eastAsia"/>
                <w:b/>
                <w:bCs/>
                <w:color w:val="auto"/>
              </w:rPr>
              <w:t xml:space="preserve"> </w:t>
            </w:r>
            <w:r>
              <w:rPr>
                <w:b/>
                <w:bCs/>
                <w:color w:val="auto"/>
              </w:rPr>
              <w:t>单位：dB(A)</w:t>
            </w:r>
          </w:p>
          <w:tbl>
            <w:tblPr>
              <w:tblStyle w:val="22"/>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3663"/>
              <w:gridCol w:w="2111"/>
              <w:gridCol w:w="19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1" w:hRule="atLeast"/>
              </w:trPr>
              <w:tc>
                <w:tcPr>
                  <w:tcW w:w="3675" w:type="dxa"/>
                  <w:tcBorders>
                    <w:tl2br w:val="nil"/>
                    <w:tr2bl w:val="nil"/>
                  </w:tcBorders>
                  <w:vAlign w:val="center"/>
                </w:tcPr>
                <w:p>
                  <w:pPr>
                    <w:adjustRightInd w:val="0"/>
                    <w:snapToGrid w:val="0"/>
                    <w:spacing w:line="360" w:lineRule="exact"/>
                    <w:jc w:val="center"/>
                    <w:rPr>
                      <w:b/>
                      <w:bCs/>
                      <w:color w:val="auto"/>
                      <w:szCs w:val="21"/>
                    </w:rPr>
                  </w:pPr>
                  <w:r>
                    <w:rPr>
                      <w:b/>
                      <w:bCs/>
                      <w:color w:val="auto"/>
                      <w:szCs w:val="21"/>
                    </w:rPr>
                    <w:t>边界外声环境功能区类别</w:t>
                  </w:r>
                </w:p>
              </w:tc>
              <w:tc>
                <w:tcPr>
                  <w:tcW w:w="2118" w:type="dxa"/>
                  <w:tcBorders>
                    <w:tl2br w:val="nil"/>
                    <w:tr2bl w:val="nil"/>
                  </w:tcBorders>
                  <w:vAlign w:val="center"/>
                </w:tcPr>
                <w:p>
                  <w:pPr>
                    <w:adjustRightInd w:val="0"/>
                    <w:snapToGrid w:val="0"/>
                    <w:spacing w:line="360" w:lineRule="exact"/>
                    <w:jc w:val="center"/>
                    <w:rPr>
                      <w:b/>
                      <w:bCs/>
                      <w:color w:val="auto"/>
                      <w:szCs w:val="21"/>
                    </w:rPr>
                  </w:pPr>
                  <w:r>
                    <w:rPr>
                      <w:b/>
                      <w:bCs/>
                      <w:color w:val="auto"/>
                      <w:szCs w:val="21"/>
                    </w:rPr>
                    <w:t>昼间</w:t>
                  </w:r>
                </w:p>
              </w:tc>
              <w:tc>
                <w:tcPr>
                  <w:tcW w:w="1940" w:type="dxa"/>
                  <w:tcBorders>
                    <w:tl2br w:val="nil"/>
                    <w:tr2bl w:val="nil"/>
                  </w:tcBorders>
                  <w:vAlign w:val="center"/>
                </w:tcPr>
                <w:p>
                  <w:pPr>
                    <w:adjustRightInd w:val="0"/>
                    <w:snapToGrid w:val="0"/>
                    <w:spacing w:line="360" w:lineRule="exact"/>
                    <w:jc w:val="center"/>
                    <w:rPr>
                      <w:b/>
                      <w:bCs/>
                      <w:color w:val="auto"/>
                      <w:szCs w:val="21"/>
                    </w:rPr>
                  </w:pPr>
                  <w:r>
                    <w:rPr>
                      <w:b/>
                      <w:bCs/>
                      <w:color w:val="auto"/>
                      <w:szCs w:val="21"/>
                    </w:rPr>
                    <w:t>夜间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6" w:hRule="atLeast"/>
              </w:trPr>
              <w:tc>
                <w:tcPr>
                  <w:tcW w:w="3675" w:type="dxa"/>
                  <w:tcBorders>
                    <w:tl2br w:val="nil"/>
                    <w:tr2bl w:val="nil"/>
                  </w:tcBorders>
                  <w:vAlign w:val="center"/>
                </w:tcPr>
                <w:p>
                  <w:pPr>
                    <w:adjustRightInd w:val="0"/>
                    <w:snapToGrid w:val="0"/>
                    <w:spacing w:line="360" w:lineRule="exact"/>
                    <w:jc w:val="center"/>
                    <w:rPr>
                      <w:color w:val="auto"/>
                      <w:szCs w:val="21"/>
                    </w:rPr>
                  </w:pPr>
                  <w:r>
                    <w:rPr>
                      <w:rFonts w:hint="eastAsia"/>
                      <w:color w:val="auto"/>
                      <w:szCs w:val="21"/>
                      <w:lang w:val="en-US" w:eastAsia="zh-CN"/>
                    </w:rPr>
                    <w:t>2</w:t>
                  </w:r>
                  <w:r>
                    <w:rPr>
                      <w:color w:val="auto"/>
                      <w:szCs w:val="21"/>
                    </w:rPr>
                    <w:t>类</w:t>
                  </w:r>
                </w:p>
              </w:tc>
              <w:tc>
                <w:tcPr>
                  <w:tcW w:w="2118" w:type="dxa"/>
                  <w:tcBorders>
                    <w:tl2br w:val="nil"/>
                    <w:tr2bl w:val="nil"/>
                  </w:tcBorders>
                  <w:vAlign w:val="center"/>
                </w:tcPr>
                <w:p>
                  <w:pPr>
                    <w:adjustRightInd w:val="0"/>
                    <w:snapToGrid w:val="0"/>
                    <w:spacing w:line="360" w:lineRule="exact"/>
                    <w:jc w:val="center"/>
                    <w:rPr>
                      <w:rFonts w:hint="default" w:eastAsia="宋体"/>
                      <w:color w:val="auto"/>
                      <w:szCs w:val="21"/>
                      <w:lang w:val="en-US" w:eastAsia="zh-CN"/>
                    </w:rPr>
                  </w:pPr>
                  <w:r>
                    <w:rPr>
                      <w:rFonts w:hint="eastAsia"/>
                      <w:color w:val="auto"/>
                      <w:szCs w:val="21"/>
                      <w:lang w:val="en-US" w:eastAsia="zh-CN"/>
                    </w:rPr>
                    <w:t>60</w:t>
                  </w:r>
                </w:p>
              </w:tc>
              <w:tc>
                <w:tcPr>
                  <w:tcW w:w="1940" w:type="dxa"/>
                  <w:tcBorders>
                    <w:tl2br w:val="nil"/>
                    <w:tr2bl w:val="nil"/>
                  </w:tcBorders>
                  <w:vAlign w:val="center"/>
                </w:tcPr>
                <w:p>
                  <w:pPr>
                    <w:adjustRightInd w:val="0"/>
                    <w:snapToGrid w:val="0"/>
                    <w:spacing w:line="360" w:lineRule="exact"/>
                    <w:jc w:val="center"/>
                    <w:rPr>
                      <w:rFonts w:hint="default" w:eastAsia="宋体"/>
                      <w:color w:val="auto"/>
                      <w:szCs w:val="21"/>
                      <w:lang w:val="en-US" w:eastAsia="zh-CN"/>
                    </w:rPr>
                  </w:pPr>
                  <w:r>
                    <w:rPr>
                      <w:rFonts w:hint="eastAsia"/>
                      <w:color w:val="auto"/>
                      <w:szCs w:val="21"/>
                      <w:lang w:val="en-US" w:eastAsia="zh-CN"/>
                    </w:rPr>
                    <w:t>50</w:t>
                  </w:r>
                </w:p>
              </w:tc>
            </w:tr>
          </w:tbl>
          <w:p>
            <w:pPr>
              <w:numPr>
                <w:ilvl w:val="0"/>
                <w:numId w:val="7"/>
              </w:numPr>
              <w:adjustRightInd w:val="0"/>
              <w:spacing w:line="480" w:lineRule="exact"/>
              <w:ind w:firstLine="422" w:firstLineChars="200"/>
              <w:rPr>
                <w:b/>
                <w:bCs/>
                <w:color w:val="auto"/>
              </w:rPr>
            </w:pPr>
            <w:r>
              <w:rPr>
                <w:rFonts w:hint="eastAsia" w:ascii="Calibri"/>
                <w:b/>
                <w:bCs/>
                <w:color w:val="auto"/>
              </w:rPr>
              <w:t>固体废物</w:t>
            </w:r>
          </w:p>
          <w:p>
            <w:pPr>
              <w:adjustRightInd w:val="0"/>
              <w:spacing w:line="480" w:lineRule="exact"/>
              <w:ind w:firstLine="420" w:firstLineChars="200"/>
              <w:rPr>
                <w:color w:val="auto"/>
              </w:rPr>
            </w:pPr>
            <w:r>
              <w:rPr>
                <w:rFonts w:hint="eastAsia"/>
                <w:color w:val="auto"/>
                <w:szCs w:val="21"/>
              </w:rPr>
              <w:t>固体废物执行《一般工业固体废物贮存和填埋污染控制标准》（GB18599-2020）中有关规定。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46" w:hRule="atLeast"/>
          <w:jc w:val="center"/>
        </w:trPr>
        <w:tc>
          <w:tcPr>
            <w:tcW w:w="585" w:type="dxa"/>
            <w:tcMar>
              <w:left w:w="28" w:type="dxa"/>
              <w:right w:w="28" w:type="dxa"/>
            </w:tcMar>
            <w:vAlign w:val="center"/>
          </w:tcPr>
          <w:p>
            <w:pPr>
              <w:adjustRightInd w:val="0"/>
              <w:snapToGrid w:val="0"/>
              <w:jc w:val="center"/>
              <w:rPr>
                <w:color w:val="auto"/>
                <w:kern w:val="0"/>
                <w:szCs w:val="21"/>
              </w:rPr>
            </w:pPr>
            <w:r>
              <w:rPr>
                <w:color w:val="auto"/>
                <w:kern w:val="0"/>
                <w:szCs w:val="21"/>
              </w:rPr>
              <w:t>总量</w:t>
            </w:r>
          </w:p>
          <w:p>
            <w:pPr>
              <w:adjustRightInd w:val="0"/>
              <w:snapToGrid w:val="0"/>
              <w:jc w:val="center"/>
              <w:rPr>
                <w:color w:val="auto"/>
                <w:kern w:val="0"/>
                <w:szCs w:val="21"/>
              </w:rPr>
            </w:pPr>
            <w:r>
              <w:rPr>
                <w:color w:val="auto"/>
                <w:kern w:val="0"/>
                <w:szCs w:val="21"/>
              </w:rPr>
              <w:t>控制</w:t>
            </w:r>
          </w:p>
          <w:p>
            <w:pPr>
              <w:adjustRightInd w:val="0"/>
              <w:snapToGrid w:val="0"/>
              <w:jc w:val="center"/>
              <w:rPr>
                <w:color w:val="auto"/>
                <w:kern w:val="0"/>
                <w:szCs w:val="21"/>
              </w:rPr>
            </w:pPr>
            <w:r>
              <w:rPr>
                <w:color w:val="auto"/>
                <w:kern w:val="0"/>
                <w:szCs w:val="21"/>
              </w:rPr>
              <w:t>指标</w:t>
            </w:r>
          </w:p>
        </w:tc>
        <w:tc>
          <w:tcPr>
            <w:tcW w:w="7954" w:type="dxa"/>
            <w:vAlign w:val="center"/>
          </w:tcPr>
          <w:p>
            <w:pPr>
              <w:spacing w:line="520" w:lineRule="exact"/>
              <w:ind w:firstLine="420" w:firstLineChars="200"/>
              <w:rPr>
                <w:color w:val="auto"/>
                <w:szCs w:val="21"/>
              </w:rPr>
            </w:pPr>
            <w:r>
              <w:rPr>
                <w:color w:val="auto"/>
              </w:rPr>
              <w:t>本项目无生产废水产生</w:t>
            </w:r>
            <w:r>
              <w:rPr>
                <w:rFonts w:hint="eastAsia"/>
                <w:color w:val="auto"/>
              </w:rPr>
              <w:t>、生活污水外排</w:t>
            </w:r>
            <w:r>
              <w:rPr>
                <w:color w:val="auto"/>
              </w:rPr>
              <w:t>。</w:t>
            </w:r>
            <w:r>
              <w:rPr>
                <w:rFonts w:hint="eastAsia"/>
                <w:color w:val="auto"/>
              </w:rPr>
              <w:t>本项目废气不涉及SO</w:t>
            </w:r>
            <w:r>
              <w:rPr>
                <w:rFonts w:hint="eastAsia"/>
                <w:color w:val="auto"/>
                <w:vertAlign w:val="subscript"/>
              </w:rPr>
              <w:t>2</w:t>
            </w:r>
            <w:r>
              <w:rPr>
                <w:rFonts w:hint="eastAsia"/>
                <w:color w:val="auto"/>
              </w:rPr>
              <w:t>、NO</w:t>
            </w:r>
            <w:r>
              <w:rPr>
                <w:rFonts w:hint="eastAsia"/>
                <w:color w:val="auto"/>
                <w:vertAlign w:val="subscript"/>
              </w:rPr>
              <w:t>x</w:t>
            </w:r>
            <w:r>
              <w:rPr>
                <w:rFonts w:hint="eastAsia"/>
                <w:color w:val="auto"/>
              </w:rPr>
              <w:t>排放，建议总量控制指标为颗粒物：</w:t>
            </w:r>
            <w:r>
              <w:rPr>
                <w:rFonts w:hint="eastAsia"/>
                <w:color w:val="auto"/>
                <w:lang w:val="en-US" w:eastAsia="zh-CN"/>
              </w:rPr>
              <w:t>0.29</w:t>
            </w:r>
            <w:r>
              <w:rPr>
                <w:rFonts w:hint="eastAsia"/>
                <w:color w:val="auto"/>
              </w:rPr>
              <w:t>t/a</w:t>
            </w:r>
            <w:r>
              <w:rPr>
                <w:rFonts w:hint="eastAsia"/>
                <w:color w:val="auto"/>
                <w:lang w:eastAsia="zh-CN"/>
              </w:rPr>
              <w:t>，实行倍量替代，替代量为</w:t>
            </w:r>
            <w:r>
              <w:rPr>
                <w:rFonts w:hint="eastAsia"/>
                <w:color w:val="auto"/>
                <w:lang w:val="en-US" w:eastAsia="zh-CN"/>
              </w:rPr>
              <w:t>0.58t/a</w:t>
            </w:r>
            <w:r>
              <w:rPr>
                <w:color w:val="auto"/>
              </w:rPr>
              <w:t>。</w:t>
            </w:r>
          </w:p>
        </w:tc>
      </w:tr>
    </w:tbl>
    <w:p>
      <w:pPr>
        <w:widowControl/>
        <w:spacing w:before="100" w:beforeAutospacing="1" w:after="100" w:afterAutospacing="1"/>
        <w:jc w:val="center"/>
        <w:outlineLvl w:val="0"/>
        <w:rPr>
          <w:rFonts w:eastAsia="黑体"/>
          <w:snapToGrid w:val="0"/>
          <w:color w:val="auto"/>
          <w:kern w:val="0"/>
          <w:sz w:val="30"/>
          <w:szCs w:val="30"/>
        </w:rPr>
      </w:pPr>
      <w:r>
        <w:rPr>
          <w:rFonts w:eastAsia="黑体"/>
          <w:snapToGrid w:val="0"/>
          <w:color w:val="auto"/>
          <w:kern w:val="0"/>
          <w:sz w:val="36"/>
          <w:szCs w:val="36"/>
        </w:rPr>
        <w:br w:type="page"/>
      </w:r>
      <w:r>
        <w:rPr>
          <w:rFonts w:eastAsia="黑体"/>
          <w:snapToGrid w:val="0"/>
          <w:color w:val="auto"/>
          <w:kern w:val="0"/>
          <w:sz w:val="30"/>
          <w:szCs w:val="30"/>
        </w:rPr>
        <w:t>四、主要环境影响和保护措施</w:t>
      </w:r>
    </w:p>
    <w:tbl>
      <w:tblPr>
        <w:tblStyle w:val="22"/>
        <w:tblW w:w="89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53"/>
        <w:gridCol w:w="852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3" w:type="dxa"/>
            <w:tcMar>
              <w:left w:w="28" w:type="dxa"/>
              <w:right w:w="28" w:type="dxa"/>
            </w:tcMar>
            <w:vAlign w:val="center"/>
          </w:tcPr>
          <w:p>
            <w:pPr>
              <w:widowControl/>
              <w:adjustRightInd w:val="0"/>
              <w:snapToGrid w:val="0"/>
              <w:jc w:val="center"/>
              <w:rPr>
                <w:color w:val="auto"/>
                <w:szCs w:val="21"/>
              </w:rPr>
            </w:pPr>
            <w:r>
              <w:rPr>
                <w:color w:val="auto"/>
                <w:szCs w:val="21"/>
              </w:rPr>
              <w:t>施工</w:t>
            </w:r>
          </w:p>
          <w:p>
            <w:pPr>
              <w:widowControl/>
              <w:adjustRightInd w:val="0"/>
              <w:snapToGrid w:val="0"/>
              <w:jc w:val="center"/>
              <w:rPr>
                <w:color w:val="auto"/>
                <w:szCs w:val="21"/>
              </w:rPr>
            </w:pPr>
            <w:r>
              <w:rPr>
                <w:color w:val="auto"/>
                <w:szCs w:val="21"/>
              </w:rPr>
              <w:t>期环</w:t>
            </w:r>
          </w:p>
          <w:p>
            <w:pPr>
              <w:widowControl/>
              <w:adjustRightInd w:val="0"/>
              <w:snapToGrid w:val="0"/>
              <w:jc w:val="center"/>
              <w:rPr>
                <w:color w:val="auto"/>
                <w:szCs w:val="21"/>
              </w:rPr>
            </w:pPr>
            <w:r>
              <w:rPr>
                <w:color w:val="auto"/>
                <w:szCs w:val="21"/>
              </w:rPr>
              <w:t>境保</w:t>
            </w:r>
          </w:p>
          <w:p>
            <w:pPr>
              <w:widowControl/>
              <w:adjustRightInd w:val="0"/>
              <w:snapToGrid w:val="0"/>
              <w:jc w:val="center"/>
              <w:rPr>
                <w:color w:val="auto"/>
                <w:szCs w:val="21"/>
              </w:rPr>
            </w:pPr>
            <w:r>
              <w:rPr>
                <w:color w:val="auto"/>
                <w:szCs w:val="21"/>
              </w:rPr>
              <w:t>护措</w:t>
            </w:r>
          </w:p>
          <w:p>
            <w:pPr>
              <w:widowControl/>
              <w:adjustRightInd w:val="0"/>
              <w:snapToGrid w:val="0"/>
              <w:jc w:val="center"/>
              <w:rPr>
                <w:bCs/>
                <w:color w:val="auto"/>
                <w:szCs w:val="21"/>
              </w:rPr>
            </w:pPr>
            <w:r>
              <w:rPr>
                <w:color w:val="auto"/>
                <w:szCs w:val="21"/>
              </w:rPr>
              <w:t>施</w:t>
            </w:r>
          </w:p>
        </w:tc>
        <w:tc>
          <w:tcPr>
            <w:tcW w:w="8528" w:type="dxa"/>
            <w:vAlign w:val="center"/>
          </w:tcPr>
          <w:p>
            <w:pPr>
              <w:spacing w:line="480" w:lineRule="exact"/>
              <w:ind w:firstLine="422" w:firstLineChars="200"/>
              <w:textAlignment w:val="baseline"/>
              <w:rPr>
                <w:b/>
                <w:bCs/>
                <w:color w:val="auto"/>
              </w:rPr>
            </w:pPr>
            <w:r>
              <w:rPr>
                <w:b/>
                <w:bCs/>
                <w:color w:val="auto"/>
              </w:rPr>
              <w:t>4.1施工期环境影响分析</w:t>
            </w:r>
          </w:p>
          <w:p>
            <w:pPr>
              <w:spacing w:line="480" w:lineRule="exact"/>
              <w:ind w:firstLine="420" w:firstLineChars="200"/>
              <w:textAlignment w:val="baseline"/>
              <w:rPr>
                <w:color w:val="auto"/>
              </w:rPr>
            </w:pPr>
            <w:r>
              <w:rPr>
                <w:color w:val="auto"/>
              </w:rPr>
              <w:t>本项目施工期间污染主要为施工工人的生活污水、运输车辆汽车尾气、烟粉尘、弃土方、生活垃圾、工程建设中产生的建筑垃圾及施工机械噪声等污染。</w:t>
            </w:r>
          </w:p>
          <w:p>
            <w:pPr>
              <w:spacing w:line="480" w:lineRule="exact"/>
              <w:ind w:firstLine="422" w:firstLineChars="200"/>
              <w:textAlignment w:val="baseline"/>
              <w:rPr>
                <w:b/>
                <w:bCs/>
                <w:color w:val="auto"/>
              </w:rPr>
            </w:pPr>
            <w:r>
              <w:rPr>
                <w:b/>
                <w:bCs/>
                <w:color w:val="auto"/>
              </w:rPr>
              <w:t>4.1.1水环境影响分析及保护措施</w:t>
            </w:r>
          </w:p>
          <w:p>
            <w:pPr>
              <w:spacing w:line="480" w:lineRule="exact"/>
              <w:ind w:firstLine="420" w:firstLineChars="200"/>
              <w:textAlignment w:val="baseline"/>
              <w:rPr>
                <w:color w:val="auto"/>
              </w:rPr>
            </w:pPr>
            <w:r>
              <w:rPr>
                <w:color w:val="auto"/>
              </w:rPr>
              <w:t>施工期废水主要包括建筑施工废水和施工人员生活污水。建筑施工废水中含有大量的泥沙、少量水泥，SS浓度较高。施工人员生活污水污染物成分较简单，主要是COD</w:t>
            </w:r>
            <w:r>
              <w:rPr>
                <w:color w:val="auto"/>
                <w:vertAlign w:val="subscript"/>
              </w:rPr>
              <w:t>Cr</w:t>
            </w:r>
            <w:r>
              <w:rPr>
                <w:color w:val="auto"/>
              </w:rPr>
              <w:t>、NH</w:t>
            </w:r>
            <w:r>
              <w:rPr>
                <w:color w:val="auto"/>
                <w:vertAlign w:val="subscript"/>
              </w:rPr>
              <w:t>3</w:t>
            </w:r>
            <w:r>
              <w:rPr>
                <w:color w:val="auto"/>
              </w:rPr>
              <w:t>-N和SS，且污染物浓度较低。</w:t>
            </w:r>
          </w:p>
          <w:p>
            <w:pPr>
              <w:spacing w:line="480" w:lineRule="exact"/>
              <w:ind w:firstLine="420" w:firstLineChars="200"/>
              <w:textAlignment w:val="baseline"/>
              <w:rPr>
                <w:color w:val="auto"/>
              </w:rPr>
            </w:pPr>
            <w:r>
              <w:rPr>
                <w:color w:val="auto"/>
              </w:rPr>
              <w:t>本环评要求施工单位在施工现场设置环保公厕，对生活污水收集后定期拉运至昌吉市城北污水处理厂；对于生产废水需设置临时沉淀池，处理后用于工地洒水降尘等。</w:t>
            </w:r>
          </w:p>
          <w:p>
            <w:pPr>
              <w:spacing w:line="480" w:lineRule="exact"/>
              <w:ind w:firstLine="422" w:firstLineChars="200"/>
              <w:textAlignment w:val="baseline"/>
              <w:rPr>
                <w:b/>
                <w:bCs/>
                <w:color w:val="auto"/>
              </w:rPr>
            </w:pPr>
            <w:r>
              <w:rPr>
                <w:b/>
                <w:bCs/>
                <w:color w:val="auto"/>
              </w:rPr>
              <w:t>4.1.2大气环境影响分析及保护措施</w:t>
            </w:r>
          </w:p>
          <w:p>
            <w:pPr>
              <w:spacing w:line="480" w:lineRule="exact"/>
              <w:ind w:firstLine="420" w:firstLineChars="200"/>
              <w:textAlignment w:val="baseline"/>
              <w:rPr>
                <w:color w:val="auto"/>
              </w:rPr>
            </w:pPr>
            <w:r>
              <w:rPr>
                <w:color w:val="auto"/>
              </w:rPr>
              <w:t>施工期废气主要包括粉尘、柴油燃烧废气、汽车尾气等。</w:t>
            </w:r>
          </w:p>
          <w:p>
            <w:pPr>
              <w:spacing w:line="480" w:lineRule="exact"/>
              <w:ind w:firstLine="420" w:firstLineChars="200"/>
              <w:textAlignment w:val="baseline"/>
              <w:rPr>
                <w:color w:val="auto"/>
              </w:rPr>
            </w:pPr>
            <w:r>
              <w:rPr>
                <w:color w:val="auto"/>
              </w:rPr>
              <w:t>施工扬尘：</w:t>
            </w:r>
          </w:p>
          <w:p>
            <w:pPr>
              <w:spacing w:line="480" w:lineRule="exact"/>
              <w:ind w:firstLine="420" w:firstLineChars="200"/>
              <w:textAlignment w:val="baseline"/>
              <w:rPr>
                <w:color w:val="auto"/>
              </w:rPr>
            </w:pPr>
            <w:r>
              <w:rPr>
                <w:color w:val="auto"/>
              </w:rPr>
              <w:t>施工期间将产生弃土，弃土的一个直接影响是产生扬尘，施工期运输量增加也会增加沿路的扬尘量，另外露天堆放的土石方也产生扬尘。施工中土方挖掘和堆土扬尘随施工地区不同而异，影响局部环境，属短期影响，其影响随施工结束而消失。运输扬尘一般在尘源道路两侧30m的范围，扬尘因路而异，土路比水泥路扬尘高。为减少施工期间对大气环境的影响，不影响周边居民的正常生活，要求企业采取以下措施：</w:t>
            </w:r>
          </w:p>
          <w:p>
            <w:pPr>
              <w:spacing w:line="480" w:lineRule="exact"/>
              <w:ind w:firstLine="420" w:firstLineChars="200"/>
              <w:textAlignment w:val="baseline"/>
              <w:rPr>
                <w:color w:val="auto"/>
              </w:rPr>
            </w:pPr>
            <w:r>
              <w:rPr>
                <w:color w:val="auto"/>
              </w:rPr>
              <w:t>①工程承包商应按照弃土处理计划将开挖出来的泥土及时运走和处理得当，堆放时间不宜过长和堆积过高，并注意对车辆车斗进行遮盖、围挡，以防风吹刮扬尘；并对施工厂界设置围挡，实行封闭式施工；</w:t>
            </w:r>
          </w:p>
          <w:p>
            <w:pPr>
              <w:spacing w:line="480" w:lineRule="exact"/>
              <w:ind w:firstLine="420" w:firstLineChars="200"/>
              <w:textAlignment w:val="baseline"/>
              <w:rPr>
                <w:color w:val="auto"/>
              </w:rPr>
            </w:pPr>
            <w:r>
              <w:rPr>
                <w:color w:val="auto"/>
              </w:rPr>
              <w:t>②车辆在运输沙石、余泥等建筑材料和建筑废料时，不宜超载，车辆要用篷布遮盖，防止物料飞扬、遗洒，造成二次污染；</w:t>
            </w:r>
          </w:p>
          <w:p>
            <w:pPr>
              <w:spacing w:line="480" w:lineRule="exact"/>
              <w:ind w:firstLine="420" w:firstLineChars="200"/>
              <w:textAlignment w:val="baseline"/>
              <w:rPr>
                <w:color w:val="auto"/>
              </w:rPr>
            </w:pPr>
            <w:r>
              <w:rPr>
                <w:color w:val="auto"/>
              </w:rPr>
              <w:t>③施工场地及周围道路定时喷水抑尘。</w:t>
            </w:r>
          </w:p>
          <w:p>
            <w:pPr>
              <w:spacing w:line="480" w:lineRule="exact"/>
              <w:ind w:firstLine="420" w:firstLineChars="200"/>
              <w:textAlignment w:val="baseline"/>
              <w:rPr>
                <w:color w:val="auto"/>
              </w:rPr>
            </w:pPr>
            <w:r>
              <w:rPr>
                <w:color w:val="auto"/>
              </w:rPr>
              <w:t>烟粉尘：</w:t>
            </w:r>
          </w:p>
          <w:p>
            <w:pPr>
              <w:spacing w:line="480" w:lineRule="exact"/>
              <w:ind w:firstLine="420" w:firstLineChars="200"/>
              <w:textAlignment w:val="baseline"/>
              <w:rPr>
                <w:color w:val="auto"/>
              </w:rPr>
            </w:pPr>
            <w:r>
              <w:rPr>
                <w:color w:val="auto"/>
              </w:rPr>
              <w:t>烟粉尘主要来自钢筋焊接、除锈打磨以及内饰墙打磨过程。打磨点、焊接工位均为临时点，一般处于室外，以无组织形式排放。由于打磨、焊接的部位不大，且粉尘密度较大，绝大部分粉尘自然沉降，仅会影响工位周围的区域，不会对场界以及周围敏感点处的大气环境产生明显影响。施工过程中，施工单位可在项目区上风向或工位四周设置围挡，控制粉尘扩散方向，降低影响程度。</w:t>
            </w:r>
          </w:p>
          <w:p>
            <w:pPr>
              <w:spacing w:line="480" w:lineRule="exact"/>
              <w:ind w:firstLine="420" w:firstLineChars="200"/>
              <w:textAlignment w:val="baseline"/>
              <w:rPr>
                <w:color w:val="auto"/>
              </w:rPr>
            </w:pPr>
            <w:r>
              <w:rPr>
                <w:color w:val="auto"/>
              </w:rPr>
              <w:t>柴油燃烧废气及汽车尾气：</w:t>
            </w:r>
          </w:p>
          <w:p>
            <w:pPr>
              <w:spacing w:line="480" w:lineRule="exact"/>
              <w:ind w:firstLine="420" w:firstLineChars="200"/>
              <w:textAlignment w:val="baseline"/>
              <w:rPr>
                <w:color w:val="auto"/>
              </w:rPr>
            </w:pPr>
            <w:r>
              <w:rPr>
                <w:color w:val="auto"/>
              </w:rPr>
              <w:t>打桩机动力装置、临时发电机一般采用柴油作为燃料，柴油燃烧废气及汽车尾气在场地内无组织排放，主要污染物包括</w:t>
            </w:r>
            <w:r>
              <w:rPr>
                <w:color w:val="auto"/>
                <w:lang w:val="zh-CN"/>
              </w:rPr>
              <w:t>CO及NO</w:t>
            </w:r>
            <w:r>
              <w:rPr>
                <w:color w:val="auto"/>
                <w:vertAlign w:val="subscript"/>
                <w:lang w:val="zh-CN"/>
              </w:rPr>
              <w:t>2</w:t>
            </w:r>
            <w:r>
              <w:rPr>
                <w:color w:val="auto"/>
              </w:rPr>
              <w:t>。燃油烟气及汽车尾气排放后，经空气迅速稀释扩散，对大气影响影响较小。</w:t>
            </w:r>
          </w:p>
          <w:p>
            <w:pPr>
              <w:spacing w:line="480" w:lineRule="exact"/>
              <w:ind w:firstLine="422" w:firstLineChars="200"/>
              <w:textAlignment w:val="baseline"/>
              <w:rPr>
                <w:b/>
                <w:bCs/>
                <w:color w:val="auto"/>
              </w:rPr>
            </w:pPr>
            <w:r>
              <w:rPr>
                <w:b/>
                <w:bCs/>
                <w:color w:val="auto"/>
              </w:rPr>
              <w:t>4.1.3噪声影响分析及保护措施</w:t>
            </w:r>
          </w:p>
          <w:p>
            <w:pPr>
              <w:spacing w:line="480" w:lineRule="exact"/>
              <w:ind w:firstLine="420" w:firstLineChars="200"/>
              <w:textAlignment w:val="baseline"/>
              <w:rPr>
                <w:color w:val="auto"/>
              </w:rPr>
            </w:pPr>
            <w:r>
              <w:rPr>
                <w:color w:val="auto"/>
              </w:rPr>
              <w:t>电锯、吊车、升降机、运土汽车等，这些设施使用过程会发出噪声。各种机械运行中的噪声水平如下表所示。</w:t>
            </w:r>
          </w:p>
          <w:p>
            <w:pPr>
              <w:tabs>
                <w:tab w:val="left" w:pos="7600"/>
                <w:tab w:val="right" w:pos="14293"/>
              </w:tabs>
              <w:jc w:val="center"/>
              <w:rPr>
                <w:rFonts w:ascii="宋体" w:hAnsi="宋体" w:cs="宋体"/>
                <w:b/>
                <w:bCs/>
                <w:color w:val="auto"/>
                <w:lang w:val="zh-CN"/>
              </w:rPr>
            </w:pPr>
            <w:r>
              <w:rPr>
                <w:rFonts w:hint="eastAsia" w:ascii="宋体" w:hAnsi="宋体" w:cs="宋体"/>
                <w:b/>
                <w:bCs/>
                <w:color w:val="auto"/>
                <w:lang w:val="zh-CN"/>
              </w:rPr>
              <w:t>表</w:t>
            </w:r>
            <w:r>
              <w:rPr>
                <w:rFonts w:hint="eastAsia" w:ascii="宋体" w:hAnsi="宋体" w:cs="宋体"/>
                <w:b/>
                <w:bCs/>
                <w:color w:val="auto"/>
              </w:rPr>
              <w:t>4-1</w:t>
            </w:r>
            <w:r>
              <w:rPr>
                <w:rFonts w:hint="eastAsia" w:ascii="宋体" w:hAnsi="宋体" w:cs="宋体"/>
                <w:b/>
                <w:bCs/>
                <w:color w:val="auto"/>
                <w:lang w:val="zh-CN"/>
              </w:rPr>
              <w:t xml:space="preserve">    建筑现场主要施工机械噪声平均A声级表    单位：dB(A)</w:t>
            </w:r>
          </w:p>
          <w:tbl>
            <w:tblPr>
              <w:tblStyle w:val="22"/>
              <w:tblW w:w="0" w:type="auto"/>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28" w:type="dxa"/>
                <w:bottom w:w="0" w:type="dxa"/>
                <w:right w:w="28" w:type="dxa"/>
              </w:tblCellMar>
            </w:tblPr>
            <w:tblGrid>
              <w:gridCol w:w="1730"/>
              <w:gridCol w:w="1046"/>
              <w:gridCol w:w="1406"/>
              <w:gridCol w:w="1486"/>
              <w:gridCol w:w="1323"/>
              <w:gridCol w:w="132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jc w:val="center"/>
              </w:trPr>
              <w:tc>
                <w:tcPr>
                  <w:tcW w:w="1730" w:type="dxa"/>
                  <w:tcBorders>
                    <w:tl2br w:val="nil"/>
                    <w:tr2bl w:val="nil"/>
                  </w:tcBorders>
                  <w:vAlign w:val="center"/>
                </w:tcPr>
                <w:p>
                  <w:pPr>
                    <w:spacing w:line="360" w:lineRule="exact"/>
                    <w:jc w:val="center"/>
                    <w:rPr>
                      <w:b/>
                      <w:bCs/>
                      <w:color w:val="auto"/>
                      <w:szCs w:val="21"/>
                    </w:rPr>
                  </w:pPr>
                  <w:r>
                    <w:rPr>
                      <w:b/>
                      <w:bCs/>
                      <w:color w:val="auto"/>
                      <w:szCs w:val="21"/>
                    </w:rPr>
                    <w:t>施工机械名称</w:t>
                  </w:r>
                </w:p>
              </w:tc>
              <w:tc>
                <w:tcPr>
                  <w:tcW w:w="1046" w:type="dxa"/>
                  <w:tcBorders>
                    <w:tl2br w:val="nil"/>
                    <w:tr2bl w:val="nil"/>
                  </w:tcBorders>
                  <w:vAlign w:val="center"/>
                </w:tcPr>
                <w:p>
                  <w:pPr>
                    <w:spacing w:line="360" w:lineRule="exact"/>
                    <w:jc w:val="center"/>
                    <w:rPr>
                      <w:b/>
                      <w:bCs/>
                      <w:color w:val="auto"/>
                      <w:szCs w:val="21"/>
                    </w:rPr>
                  </w:pPr>
                  <w:r>
                    <w:rPr>
                      <w:b/>
                      <w:bCs/>
                      <w:color w:val="auto"/>
                      <w:szCs w:val="21"/>
                    </w:rPr>
                    <w:t>5m</w:t>
                  </w:r>
                </w:p>
              </w:tc>
              <w:tc>
                <w:tcPr>
                  <w:tcW w:w="1406" w:type="dxa"/>
                  <w:tcBorders>
                    <w:tl2br w:val="nil"/>
                    <w:tr2bl w:val="nil"/>
                  </w:tcBorders>
                  <w:vAlign w:val="center"/>
                </w:tcPr>
                <w:p>
                  <w:pPr>
                    <w:spacing w:line="360" w:lineRule="exact"/>
                    <w:jc w:val="center"/>
                    <w:rPr>
                      <w:b/>
                      <w:bCs/>
                      <w:color w:val="auto"/>
                      <w:szCs w:val="21"/>
                    </w:rPr>
                  </w:pPr>
                  <w:r>
                    <w:rPr>
                      <w:b/>
                      <w:bCs/>
                      <w:color w:val="auto"/>
                      <w:szCs w:val="21"/>
                    </w:rPr>
                    <w:t>15~20m</w:t>
                  </w:r>
                </w:p>
              </w:tc>
              <w:tc>
                <w:tcPr>
                  <w:tcW w:w="1486" w:type="dxa"/>
                  <w:tcBorders>
                    <w:tl2br w:val="nil"/>
                    <w:tr2bl w:val="nil"/>
                  </w:tcBorders>
                  <w:vAlign w:val="center"/>
                </w:tcPr>
                <w:p>
                  <w:pPr>
                    <w:spacing w:line="360" w:lineRule="exact"/>
                    <w:jc w:val="center"/>
                    <w:rPr>
                      <w:b/>
                      <w:bCs/>
                      <w:color w:val="auto"/>
                      <w:szCs w:val="21"/>
                    </w:rPr>
                  </w:pPr>
                  <w:r>
                    <w:rPr>
                      <w:b/>
                      <w:bCs/>
                      <w:color w:val="auto"/>
                      <w:szCs w:val="21"/>
                    </w:rPr>
                    <w:t>30~40m</w:t>
                  </w:r>
                </w:p>
              </w:tc>
              <w:tc>
                <w:tcPr>
                  <w:tcW w:w="1323" w:type="dxa"/>
                  <w:tcBorders>
                    <w:tl2br w:val="nil"/>
                    <w:tr2bl w:val="nil"/>
                  </w:tcBorders>
                  <w:vAlign w:val="center"/>
                </w:tcPr>
                <w:p>
                  <w:pPr>
                    <w:spacing w:line="360" w:lineRule="exact"/>
                    <w:jc w:val="center"/>
                    <w:rPr>
                      <w:b/>
                      <w:bCs/>
                      <w:color w:val="auto"/>
                      <w:szCs w:val="21"/>
                    </w:rPr>
                  </w:pPr>
                  <w:r>
                    <w:rPr>
                      <w:b/>
                      <w:bCs/>
                      <w:color w:val="auto"/>
                      <w:szCs w:val="21"/>
                    </w:rPr>
                    <w:t>40~60m</w:t>
                  </w:r>
                </w:p>
              </w:tc>
              <w:tc>
                <w:tcPr>
                  <w:tcW w:w="1321" w:type="dxa"/>
                  <w:tcBorders>
                    <w:tl2br w:val="nil"/>
                    <w:tr2bl w:val="nil"/>
                  </w:tcBorders>
                  <w:vAlign w:val="center"/>
                </w:tcPr>
                <w:p>
                  <w:pPr>
                    <w:spacing w:line="360" w:lineRule="exact"/>
                    <w:jc w:val="center"/>
                    <w:rPr>
                      <w:b/>
                      <w:bCs/>
                      <w:color w:val="auto"/>
                      <w:szCs w:val="21"/>
                    </w:rPr>
                  </w:pPr>
                  <w:r>
                    <w:rPr>
                      <w:b/>
                      <w:bCs/>
                      <w:color w:val="auto"/>
                      <w:szCs w:val="21"/>
                    </w:rPr>
                    <w:t>80~120m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jc w:val="center"/>
              </w:trPr>
              <w:tc>
                <w:tcPr>
                  <w:tcW w:w="1730" w:type="dxa"/>
                  <w:tcBorders>
                    <w:tl2br w:val="nil"/>
                    <w:tr2bl w:val="nil"/>
                  </w:tcBorders>
                  <w:vAlign w:val="center"/>
                </w:tcPr>
                <w:p>
                  <w:pPr>
                    <w:spacing w:line="360" w:lineRule="exact"/>
                    <w:jc w:val="center"/>
                    <w:rPr>
                      <w:color w:val="auto"/>
                      <w:szCs w:val="21"/>
                    </w:rPr>
                  </w:pPr>
                  <w:r>
                    <w:rPr>
                      <w:color w:val="auto"/>
                      <w:szCs w:val="21"/>
                    </w:rPr>
                    <w:t>装载机</w:t>
                  </w:r>
                </w:p>
              </w:tc>
              <w:tc>
                <w:tcPr>
                  <w:tcW w:w="1046" w:type="dxa"/>
                  <w:tcBorders>
                    <w:tl2br w:val="nil"/>
                    <w:tr2bl w:val="nil"/>
                  </w:tcBorders>
                  <w:vAlign w:val="center"/>
                </w:tcPr>
                <w:p>
                  <w:pPr>
                    <w:spacing w:line="360" w:lineRule="exact"/>
                    <w:jc w:val="center"/>
                    <w:rPr>
                      <w:color w:val="auto"/>
                      <w:szCs w:val="21"/>
                    </w:rPr>
                  </w:pPr>
                  <w:r>
                    <w:rPr>
                      <w:color w:val="auto"/>
                      <w:szCs w:val="21"/>
                    </w:rPr>
                    <w:t>80</w:t>
                  </w:r>
                </w:p>
              </w:tc>
              <w:tc>
                <w:tcPr>
                  <w:tcW w:w="1406" w:type="dxa"/>
                  <w:tcBorders>
                    <w:tl2br w:val="nil"/>
                    <w:tr2bl w:val="nil"/>
                  </w:tcBorders>
                  <w:vAlign w:val="center"/>
                </w:tcPr>
                <w:p>
                  <w:pPr>
                    <w:spacing w:line="360" w:lineRule="exact"/>
                    <w:jc w:val="center"/>
                    <w:rPr>
                      <w:color w:val="auto"/>
                      <w:szCs w:val="21"/>
                    </w:rPr>
                  </w:pPr>
                  <w:r>
                    <w:rPr>
                      <w:color w:val="auto"/>
                      <w:szCs w:val="21"/>
                    </w:rPr>
                    <w:t>74</w:t>
                  </w:r>
                </w:p>
              </w:tc>
              <w:tc>
                <w:tcPr>
                  <w:tcW w:w="1486" w:type="dxa"/>
                  <w:tcBorders>
                    <w:tl2br w:val="nil"/>
                    <w:tr2bl w:val="nil"/>
                  </w:tcBorders>
                  <w:vAlign w:val="center"/>
                </w:tcPr>
                <w:p>
                  <w:pPr>
                    <w:spacing w:line="360" w:lineRule="exact"/>
                    <w:jc w:val="center"/>
                    <w:rPr>
                      <w:color w:val="auto"/>
                      <w:szCs w:val="21"/>
                    </w:rPr>
                  </w:pPr>
                  <w:r>
                    <w:rPr>
                      <w:color w:val="auto"/>
                      <w:szCs w:val="21"/>
                    </w:rPr>
                    <w:t>72</w:t>
                  </w:r>
                </w:p>
              </w:tc>
              <w:tc>
                <w:tcPr>
                  <w:tcW w:w="1323" w:type="dxa"/>
                  <w:tcBorders>
                    <w:tl2br w:val="nil"/>
                    <w:tr2bl w:val="nil"/>
                  </w:tcBorders>
                  <w:vAlign w:val="center"/>
                </w:tcPr>
                <w:p>
                  <w:pPr>
                    <w:spacing w:line="360" w:lineRule="exact"/>
                    <w:jc w:val="center"/>
                    <w:rPr>
                      <w:color w:val="auto"/>
                      <w:szCs w:val="21"/>
                    </w:rPr>
                  </w:pPr>
                  <w:r>
                    <w:rPr>
                      <w:color w:val="auto"/>
                      <w:szCs w:val="21"/>
                    </w:rPr>
                    <w:t>65</w:t>
                  </w:r>
                </w:p>
              </w:tc>
              <w:tc>
                <w:tcPr>
                  <w:tcW w:w="1321" w:type="dxa"/>
                  <w:tcBorders>
                    <w:tl2br w:val="nil"/>
                    <w:tr2bl w:val="nil"/>
                  </w:tcBorders>
                  <w:vAlign w:val="center"/>
                </w:tcPr>
                <w:p>
                  <w:pPr>
                    <w:spacing w:line="360" w:lineRule="exact"/>
                    <w:jc w:val="center"/>
                    <w:rPr>
                      <w:color w:val="auto"/>
                      <w:szCs w:val="21"/>
                    </w:rPr>
                  </w:pPr>
                  <w:r>
                    <w:rPr>
                      <w:color w:val="auto"/>
                      <w:szCs w:val="21"/>
                    </w:rPr>
                    <w:t>60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jc w:val="center"/>
              </w:trPr>
              <w:tc>
                <w:tcPr>
                  <w:tcW w:w="1730" w:type="dxa"/>
                  <w:tcBorders>
                    <w:tl2br w:val="nil"/>
                    <w:tr2bl w:val="nil"/>
                  </w:tcBorders>
                  <w:vAlign w:val="center"/>
                </w:tcPr>
                <w:p>
                  <w:pPr>
                    <w:spacing w:line="360" w:lineRule="exact"/>
                    <w:jc w:val="center"/>
                    <w:rPr>
                      <w:color w:val="auto"/>
                      <w:szCs w:val="21"/>
                    </w:rPr>
                  </w:pPr>
                  <w:r>
                    <w:rPr>
                      <w:color w:val="auto"/>
                      <w:szCs w:val="21"/>
                    </w:rPr>
                    <w:t>挖掘机</w:t>
                  </w:r>
                </w:p>
              </w:tc>
              <w:tc>
                <w:tcPr>
                  <w:tcW w:w="1046" w:type="dxa"/>
                  <w:tcBorders>
                    <w:tl2br w:val="nil"/>
                    <w:tr2bl w:val="nil"/>
                  </w:tcBorders>
                  <w:vAlign w:val="center"/>
                </w:tcPr>
                <w:p>
                  <w:pPr>
                    <w:spacing w:line="360" w:lineRule="exact"/>
                    <w:jc w:val="center"/>
                    <w:rPr>
                      <w:color w:val="auto"/>
                      <w:szCs w:val="21"/>
                    </w:rPr>
                  </w:pPr>
                  <w:r>
                    <w:rPr>
                      <w:color w:val="auto"/>
                      <w:szCs w:val="21"/>
                    </w:rPr>
                    <w:t>79</w:t>
                  </w:r>
                </w:p>
              </w:tc>
              <w:tc>
                <w:tcPr>
                  <w:tcW w:w="1406" w:type="dxa"/>
                  <w:tcBorders>
                    <w:tl2br w:val="nil"/>
                    <w:tr2bl w:val="nil"/>
                  </w:tcBorders>
                  <w:vAlign w:val="center"/>
                </w:tcPr>
                <w:p>
                  <w:pPr>
                    <w:spacing w:line="360" w:lineRule="exact"/>
                    <w:jc w:val="center"/>
                    <w:rPr>
                      <w:color w:val="auto"/>
                      <w:szCs w:val="21"/>
                    </w:rPr>
                  </w:pPr>
                  <w:r>
                    <w:rPr>
                      <w:color w:val="auto"/>
                      <w:szCs w:val="21"/>
                    </w:rPr>
                    <w:t>72</w:t>
                  </w:r>
                </w:p>
              </w:tc>
              <w:tc>
                <w:tcPr>
                  <w:tcW w:w="1486" w:type="dxa"/>
                  <w:tcBorders>
                    <w:tl2br w:val="nil"/>
                    <w:tr2bl w:val="nil"/>
                  </w:tcBorders>
                  <w:vAlign w:val="center"/>
                </w:tcPr>
                <w:p>
                  <w:pPr>
                    <w:spacing w:line="360" w:lineRule="exact"/>
                    <w:jc w:val="center"/>
                    <w:rPr>
                      <w:color w:val="auto"/>
                      <w:szCs w:val="21"/>
                    </w:rPr>
                  </w:pPr>
                  <w:r>
                    <w:rPr>
                      <w:color w:val="auto"/>
                      <w:szCs w:val="21"/>
                    </w:rPr>
                    <w:t>70</w:t>
                  </w:r>
                </w:p>
              </w:tc>
              <w:tc>
                <w:tcPr>
                  <w:tcW w:w="1323" w:type="dxa"/>
                  <w:tcBorders>
                    <w:tl2br w:val="nil"/>
                    <w:tr2bl w:val="nil"/>
                  </w:tcBorders>
                  <w:vAlign w:val="center"/>
                </w:tcPr>
                <w:p>
                  <w:pPr>
                    <w:spacing w:line="360" w:lineRule="exact"/>
                    <w:jc w:val="center"/>
                    <w:rPr>
                      <w:color w:val="auto"/>
                      <w:szCs w:val="21"/>
                    </w:rPr>
                  </w:pPr>
                  <w:r>
                    <w:rPr>
                      <w:color w:val="auto"/>
                      <w:szCs w:val="21"/>
                    </w:rPr>
                    <w:t>66</w:t>
                  </w:r>
                </w:p>
              </w:tc>
              <w:tc>
                <w:tcPr>
                  <w:tcW w:w="1321" w:type="dxa"/>
                  <w:tcBorders>
                    <w:tl2br w:val="nil"/>
                    <w:tr2bl w:val="nil"/>
                  </w:tcBorders>
                  <w:vAlign w:val="center"/>
                </w:tcPr>
                <w:p>
                  <w:pPr>
                    <w:spacing w:line="360" w:lineRule="exact"/>
                    <w:jc w:val="center"/>
                    <w:rPr>
                      <w:color w:val="auto"/>
                      <w:szCs w:val="21"/>
                    </w:rPr>
                  </w:pPr>
                  <w:r>
                    <w:rPr>
                      <w:color w:val="auto"/>
                      <w:szCs w:val="21"/>
                    </w:rPr>
                    <w:t>60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jc w:val="center"/>
              </w:trPr>
              <w:tc>
                <w:tcPr>
                  <w:tcW w:w="1730" w:type="dxa"/>
                  <w:tcBorders>
                    <w:tl2br w:val="nil"/>
                    <w:tr2bl w:val="nil"/>
                  </w:tcBorders>
                  <w:vAlign w:val="center"/>
                </w:tcPr>
                <w:p>
                  <w:pPr>
                    <w:spacing w:line="360" w:lineRule="exact"/>
                    <w:jc w:val="center"/>
                    <w:rPr>
                      <w:color w:val="auto"/>
                      <w:szCs w:val="21"/>
                    </w:rPr>
                  </w:pPr>
                  <w:r>
                    <w:rPr>
                      <w:color w:val="auto"/>
                      <w:szCs w:val="21"/>
                    </w:rPr>
                    <w:t>风镐</w:t>
                  </w:r>
                </w:p>
              </w:tc>
              <w:tc>
                <w:tcPr>
                  <w:tcW w:w="1046" w:type="dxa"/>
                  <w:tcBorders>
                    <w:tl2br w:val="nil"/>
                    <w:tr2bl w:val="nil"/>
                  </w:tcBorders>
                  <w:vAlign w:val="center"/>
                </w:tcPr>
                <w:p>
                  <w:pPr>
                    <w:spacing w:line="360" w:lineRule="exact"/>
                    <w:jc w:val="center"/>
                    <w:rPr>
                      <w:color w:val="auto"/>
                      <w:szCs w:val="21"/>
                    </w:rPr>
                  </w:pPr>
                  <w:r>
                    <w:rPr>
                      <w:color w:val="auto"/>
                      <w:szCs w:val="21"/>
                    </w:rPr>
                    <w:t>91</w:t>
                  </w:r>
                </w:p>
              </w:tc>
              <w:tc>
                <w:tcPr>
                  <w:tcW w:w="1406" w:type="dxa"/>
                  <w:tcBorders>
                    <w:tl2br w:val="nil"/>
                    <w:tr2bl w:val="nil"/>
                  </w:tcBorders>
                  <w:vAlign w:val="center"/>
                </w:tcPr>
                <w:p>
                  <w:pPr>
                    <w:spacing w:line="360" w:lineRule="exact"/>
                    <w:jc w:val="center"/>
                    <w:rPr>
                      <w:color w:val="auto"/>
                      <w:szCs w:val="21"/>
                    </w:rPr>
                  </w:pPr>
                  <w:r>
                    <w:rPr>
                      <w:color w:val="auto"/>
                      <w:szCs w:val="21"/>
                    </w:rPr>
                    <w:t>85</w:t>
                  </w:r>
                </w:p>
              </w:tc>
              <w:tc>
                <w:tcPr>
                  <w:tcW w:w="1486" w:type="dxa"/>
                  <w:tcBorders>
                    <w:tl2br w:val="nil"/>
                    <w:tr2bl w:val="nil"/>
                  </w:tcBorders>
                  <w:vAlign w:val="center"/>
                </w:tcPr>
                <w:p>
                  <w:pPr>
                    <w:spacing w:line="360" w:lineRule="exact"/>
                    <w:jc w:val="center"/>
                    <w:rPr>
                      <w:color w:val="auto"/>
                      <w:szCs w:val="21"/>
                    </w:rPr>
                  </w:pPr>
                  <w:r>
                    <w:rPr>
                      <w:color w:val="auto"/>
                      <w:szCs w:val="21"/>
                    </w:rPr>
                    <w:t>80</w:t>
                  </w:r>
                </w:p>
              </w:tc>
              <w:tc>
                <w:tcPr>
                  <w:tcW w:w="1323" w:type="dxa"/>
                  <w:tcBorders>
                    <w:tl2br w:val="nil"/>
                    <w:tr2bl w:val="nil"/>
                  </w:tcBorders>
                  <w:vAlign w:val="center"/>
                </w:tcPr>
                <w:p>
                  <w:pPr>
                    <w:spacing w:line="360" w:lineRule="exact"/>
                    <w:jc w:val="center"/>
                    <w:rPr>
                      <w:color w:val="auto"/>
                      <w:szCs w:val="21"/>
                    </w:rPr>
                  </w:pPr>
                  <w:r>
                    <w:rPr>
                      <w:color w:val="auto"/>
                      <w:szCs w:val="21"/>
                    </w:rPr>
                    <w:t>71</w:t>
                  </w:r>
                </w:p>
              </w:tc>
              <w:tc>
                <w:tcPr>
                  <w:tcW w:w="1321" w:type="dxa"/>
                  <w:tcBorders>
                    <w:tl2br w:val="nil"/>
                    <w:tr2bl w:val="nil"/>
                  </w:tcBorders>
                  <w:vAlign w:val="center"/>
                </w:tcPr>
                <w:p>
                  <w:pPr>
                    <w:spacing w:line="360" w:lineRule="exact"/>
                    <w:jc w:val="center"/>
                    <w:rPr>
                      <w:color w:val="auto"/>
                      <w:szCs w:val="21"/>
                    </w:rPr>
                  </w:pPr>
                  <w:r>
                    <w:rPr>
                      <w:color w:val="auto"/>
                      <w:szCs w:val="21"/>
                    </w:rPr>
                    <w:t>61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jc w:val="center"/>
              </w:trPr>
              <w:tc>
                <w:tcPr>
                  <w:tcW w:w="1730" w:type="dxa"/>
                  <w:tcBorders>
                    <w:tl2br w:val="nil"/>
                    <w:tr2bl w:val="nil"/>
                  </w:tcBorders>
                  <w:vAlign w:val="center"/>
                </w:tcPr>
                <w:p>
                  <w:pPr>
                    <w:spacing w:line="360" w:lineRule="exact"/>
                    <w:jc w:val="center"/>
                    <w:rPr>
                      <w:color w:val="auto"/>
                      <w:szCs w:val="21"/>
                    </w:rPr>
                  </w:pPr>
                  <w:r>
                    <w:rPr>
                      <w:color w:val="auto"/>
                      <w:szCs w:val="21"/>
                    </w:rPr>
                    <w:t>灌注桩钻机</w:t>
                  </w:r>
                </w:p>
              </w:tc>
              <w:tc>
                <w:tcPr>
                  <w:tcW w:w="1046" w:type="dxa"/>
                  <w:tcBorders>
                    <w:tl2br w:val="nil"/>
                    <w:tr2bl w:val="nil"/>
                  </w:tcBorders>
                  <w:vAlign w:val="center"/>
                </w:tcPr>
                <w:p>
                  <w:pPr>
                    <w:spacing w:line="360" w:lineRule="exact"/>
                    <w:jc w:val="center"/>
                    <w:rPr>
                      <w:color w:val="auto"/>
                      <w:szCs w:val="21"/>
                    </w:rPr>
                  </w:pPr>
                  <w:r>
                    <w:rPr>
                      <w:color w:val="auto"/>
                      <w:szCs w:val="21"/>
                    </w:rPr>
                    <w:t>82</w:t>
                  </w:r>
                </w:p>
              </w:tc>
              <w:tc>
                <w:tcPr>
                  <w:tcW w:w="1406" w:type="dxa"/>
                  <w:tcBorders>
                    <w:tl2br w:val="nil"/>
                    <w:tr2bl w:val="nil"/>
                  </w:tcBorders>
                  <w:vAlign w:val="center"/>
                </w:tcPr>
                <w:p>
                  <w:pPr>
                    <w:spacing w:line="360" w:lineRule="exact"/>
                    <w:jc w:val="center"/>
                    <w:rPr>
                      <w:color w:val="auto"/>
                      <w:szCs w:val="21"/>
                    </w:rPr>
                  </w:pPr>
                  <w:r>
                    <w:rPr>
                      <w:color w:val="auto"/>
                      <w:szCs w:val="21"/>
                    </w:rPr>
                    <w:t>77</w:t>
                  </w:r>
                </w:p>
              </w:tc>
              <w:tc>
                <w:tcPr>
                  <w:tcW w:w="1486" w:type="dxa"/>
                  <w:tcBorders>
                    <w:tl2br w:val="nil"/>
                    <w:tr2bl w:val="nil"/>
                  </w:tcBorders>
                  <w:vAlign w:val="center"/>
                </w:tcPr>
                <w:p>
                  <w:pPr>
                    <w:spacing w:line="360" w:lineRule="exact"/>
                    <w:jc w:val="center"/>
                    <w:rPr>
                      <w:color w:val="auto"/>
                      <w:szCs w:val="21"/>
                    </w:rPr>
                  </w:pPr>
                  <w:r>
                    <w:rPr>
                      <w:color w:val="auto"/>
                      <w:szCs w:val="21"/>
                    </w:rPr>
                    <w:t>71</w:t>
                  </w:r>
                </w:p>
              </w:tc>
              <w:tc>
                <w:tcPr>
                  <w:tcW w:w="1323" w:type="dxa"/>
                  <w:tcBorders>
                    <w:tl2br w:val="nil"/>
                    <w:tr2bl w:val="nil"/>
                  </w:tcBorders>
                  <w:vAlign w:val="center"/>
                </w:tcPr>
                <w:p>
                  <w:pPr>
                    <w:spacing w:line="360" w:lineRule="exact"/>
                    <w:jc w:val="center"/>
                    <w:rPr>
                      <w:color w:val="auto"/>
                      <w:szCs w:val="21"/>
                    </w:rPr>
                  </w:pPr>
                  <w:r>
                    <w:rPr>
                      <w:color w:val="auto"/>
                      <w:szCs w:val="21"/>
                    </w:rPr>
                    <w:t>66</w:t>
                  </w:r>
                </w:p>
              </w:tc>
              <w:tc>
                <w:tcPr>
                  <w:tcW w:w="1321" w:type="dxa"/>
                  <w:tcBorders>
                    <w:tl2br w:val="nil"/>
                    <w:tr2bl w:val="nil"/>
                  </w:tcBorders>
                  <w:vAlign w:val="center"/>
                </w:tcPr>
                <w:p>
                  <w:pPr>
                    <w:spacing w:line="360" w:lineRule="exact"/>
                    <w:jc w:val="center"/>
                    <w:rPr>
                      <w:color w:val="auto"/>
                      <w:szCs w:val="21"/>
                    </w:rPr>
                  </w:pPr>
                  <w:r>
                    <w:rPr>
                      <w:color w:val="auto"/>
                      <w:szCs w:val="21"/>
                    </w:rPr>
                    <w:t>58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jc w:val="center"/>
              </w:trPr>
              <w:tc>
                <w:tcPr>
                  <w:tcW w:w="1730" w:type="dxa"/>
                  <w:tcBorders>
                    <w:tl2br w:val="nil"/>
                    <w:tr2bl w:val="nil"/>
                  </w:tcBorders>
                  <w:vAlign w:val="center"/>
                </w:tcPr>
                <w:p>
                  <w:pPr>
                    <w:spacing w:line="360" w:lineRule="exact"/>
                    <w:jc w:val="center"/>
                    <w:rPr>
                      <w:color w:val="auto"/>
                      <w:szCs w:val="21"/>
                    </w:rPr>
                  </w:pPr>
                  <w:r>
                    <w:rPr>
                      <w:color w:val="auto"/>
                      <w:szCs w:val="21"/>
                    </w:rPr>
                    <w:t>静压桩</w:t>
                  </w:r>
                </w:p>
              </w:tc>
              <w:tc>
                <w:tcPr>
                  <w:tcW w:w="1046" w:type="dxa"/>
                  <w:tcBorders>
                    <w:tl2br w:val="nil"/>
                    <w:tr2bl w:val="nil"/>
                  </w:tcBorders>
                  <w:vAlign w:val="center"/>
                </w:tcPr>
                <w:p>
                  <w:pPr>
                    <w:spacing w:line="360" w:lineRule="exact"/>
                    <w:jc w:val="center"/>
                    <w:rPr>
                      <w:color w:val="auto"/>
                      <w:szCs w:val="21"/>
                    </w:rPr>
                  </w:pPr>
                  <w:r>
                    <w:rPr>
                      <w:color w:val="auto"/>
                      <w:szCs w:val="21"/>
                    </w:rPr>
                    <w:t>76</w:t>
                  </w:r>
                </w:p>
              </w:tc>
              <w:tc>
                <w:tcPr>
                  <w:tcW w:w="1406" w:type="dxa"/>
                  <w:tcBorders>
                    <w:tl2br w:val="nil"/>
                    <w:tr2bl w:val="nil"/>
                  </w:tcBorders>
                  <w:vAlign w:val="center"/>
                </w:tcPr>
                <w:p>
                  <w:pPr>
                    <w:spacing w:line="360" w:lineRule="exact"/>
                    <w:jc w:val="center"/>
                    <w:rPr>
                      <w:color w:val="auto"/>
                      <w:szCs w:val="21"/>
                    </w:rPr>
                  </w:pPr>
                  <w:r>
                    <w:rPr>
                      <w:color w:val="auto"/>
                      <w:szCs w:val="21"/>
                    </w:rPr>
                    <w:t>70</w:t>
                  </w:r>
                </w:p>
              </w:tc>
              <w:tc>
                <w:tcPr>
                  <w:tcW w:w="1486" w:type="dxa"/>
                  <w:tcBorders>
                    <w:tl2br w:val="nil"/>
                    <w:tr2bl w:val="nil"/>
                  </w:tcBorders>
                  <w:vAlign w:val="center"/>
                </w:tcPr>
                <w:p>
                  <w:pPr>
                    <w:spacing w:line="360" w:lineRule="exact"/>
                    <w:jc w:val="center"/>
                    <w:rPr>
                      <w:color w:val="auto"/>
                      <w:szCs w:val="21"/>
                    </w:rPr>
                  </w:pPr>
                  <w:r>
                    <w:rPr>
                      <w:color w:val="auto"/>
                      <w:szCs w:val="21"/>
                    </w:rPr>
                    <w:t>67</w:t>
                  </w:r>
                </w:p>
              </w:tc>
              <w:tc>
                <w:tcPr>
                  <w:tcW w:w="1323" w:type="dxa"/>
                  <w:tcBorders>
                    <w:tl2br w:val="nil"/>
                    <w:tr2bl w:val="nil"/>
                  </w:tcBorders>
                  <w:vAlign w:val="center"/>
                </w:tcPr>
                <w:p>
                  <w:pPr>
                    <w:spacing w:line="360" w:lineRule="exact"/>
                    <w:jc w:val="center"/>
                    <w:rPr>
                      <w:color w:val="auto"/>
                      <w:szCs w:val="21"/>
                    </w:rPr>
                  </w:pPr>
                  <w:r>
                    <w:rPr>
                      <w:color w:val="auto"/>
                      <w:szCs w:val="21"/>
                    </w:rPr>
                    <w:t>63</w:t>
                  </w:r>
                </w:p>
              </w:tc>
              <w:tc>
                <w:tcPr>
                  <w:tcW w:w="1321" w:type="dxa"/>
                  <w:tcBorders>
                    <w:tl2br w:val="nil"/>
                    <w:tr2bl w:val="nil"/>
                  </w:tcBorders>
                  <w:vAlign w:val="center"/>
                </w:tcPr>
                <w:p>
                  <w:pPr>
                    <w:spacing w:line="360" w:lineRule="exact"/>
                    <w:jc w:val="center"/>
                    <w:rPr>
                      <w:color w:val="auto"/>
                      <w:szCs w:val="21"/>
                    </w:rPr>
                  </w:pPr>
                  <w:r>
                    <w:rPr>
                      <w:color w:val="auto"/>
                      <w:szCs w:val="21"/>
                    </w:rPr>
                    <w:t>56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jc w:val="center"/>
              </w:trPr>
              <w:tc>
                <w:tcPr>
                  <w:tcW w:w="1730" w:type="dxa"/>
                  <w:tcBorders>
                    <w:tl2br w:val="nil"/>
                    <w:tr2bl w:val="nil"/>
                  </w:tcBorders>
                  <w:vAlign w:val="center"/>
                </w:tcPr>
                <w:p>
                  <w:pPr>
                    <w:spacing w:line="360" w:lineRule="exact"/>
                    <w:jc w:val="center"/>
                    <w:rPr>
                      <w:color w:val="auto"/>
                      <w:szCs w:val="21"/>
                    </w:rPr>
                  </w:pPr>
                  <w:r>
                    <w:rPr>
                      <w:color w:val="auto"/>
                      <w:szCs w:val="21"/>
                    </w:rPr>
                    <w:t>搅拌机</w:t>
                  </w:r>
                </w:p>
              </w:tc>
              <w:tc>
                <w:tcPr>
                  <w:tcW w:w="1046" w:type="dxa"/>
                  <w:tcBorders>
                    <w:tl2br w:val="nil"/>
                    <w:tr2bl w:val="nil"/>
                  </w:tcBorders>
                  <w:vAlign w:val="center"/>
                </w:tcPr>
                <w:p>
                  <w:pPr>
                    <w:spacing w:line="360" w:lineRule="exact"/>
                    <w:jc w:val="center"/>
                    <w:rPr>
                      <w:color w:val="auto"/>
                      <w:szCs w:val="21"/>
                    </w:rPr>
                  </w:pPr>
                  <w:r>
                    <w:rPr>
                      <w:color w:val="auto"/>
                      <w:szCs w:val="21"/>
                    </w:rPr>
                    <w:t>78</w:t>
                  </w:r>
                </w:p>
              </w:tc>
              <w:tc>
                <w:tcPr>
                  <w:tcW w:w="1406" w:type="dxa"/>
                  <w:tcBorders>
                    <w:tl2br w:val="nil"/>
                    <w:tr2bl w:val="nil"/>
                  </w:tcBorders>
                  <w:vAlign w:val="center"/>
                </w:tcPr>
                <w:p>
                  <w:pPr>
                    <w:spacing w:line="360" w:lineRule="exact"/>
                    <w:jc w:val="center"/>
                    <w:rPr>
                      <w:color w:val="auto"/>
                      <w:szCs w:val="21"/>
                    </w:rPr>
                  </w:pPr>
                  <w:r>
                    <w:rPr>
                      <w:color w:val="auto"/>
                      <w:szCs w:val="21"/>
                    </w:rPr>
                    <w:t>70</w:t>
                  </w:r>
                </w:p>
              </w:tc>
              <w:tc>
                <w:tcPr>
                  <w:tcW w:w="1486" w:type="dxa"/>
                  <w:tcBorders>
                    <w:tl2br w:val="nil"/>
                    <w:tr2bl w:val="nil"/>
                  </w:tcBorders>
                  <w:vAlign w:val="center"/>
                </w:tcPr>
                <w:p>
                  <w:pPr>
                    <w:spacing w:line="360" w:lineRule="exact"/>
                    <w:jc w:val="center"/>
                    <w:rPr>
                      <w:color w:val="auto"/>
                      <w:szCs w:val="21"/>
                    </w:rPr>
                  </w:pPr>
                  <w:r>
                    <w:rPr>
                      <w:color w:val="auto"/>
                      <w:szCs w:val="21"/>
                    </w:rPr>
                    <w:t>67</w:t>
                  </w:r>
                </w:p>
              </w:tc>
              <w:tc>
                <w:tcPr>
                  <w:tcW w:w="1323" w:type="dxa"/>
                  <w:tcBorders>
                    <w:tl2br w:val="nil"/>
                    <w:tr2bl w:val="nil"/>
                  </w:tcBorders>
                  <w:vAlign w:val="center"/>
                </w:tcPr>
                <w:p>
                  <w:pPr>
                    <w:spacing w:line="360" w:lineRule="exact"/>
                    <w:jc w:val="center"/>
                    <w:rPr>
                      <w:color w:val="auto"/>
                      <w:szCs w:val="21"/>
                    </w:rPr>
                  </w:pPr>
                  <w:r>
                    <w:rPr>
                      <w:color w:val="auto"/>
                      <w:szCs w:val="21"/>
                    </w:rPr>
                    <w:t>62</w:t>
                  </w:r>
                </w:p>
              </w:tc>
              <w:tc>
                <w:tcPr>
                  <w:tcW w:w="1321" w:type="dxa"/>
                  <w:tcBorders>
                    <w:tl2br w:val="nil"/>
                    <w:tr2bl w:val="nil"/>
                  </w:tcBorders>
                  <w:vAlign w:val="center"/>
                </w:tcPr>
                <w:p>
                  <w:pPr>
                    <w:spacing w:line="360" w:lineRule="exact"/>
                    <w:jc w:val="center"/>
                    <w:rPr>
                      <w:color w:val="auto"/>
                      <w:szCs w:val="21"/>
                    </w:rPr>
                  </w:pPr>
                  <w:r>
                    <w:rPr>
                      <w:color w:val="auto"/>
                      <w:szCs w:val="21"/>
                    </w:rPr>
                    <w:t>57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jc w:val="center"/>
              </w:trPr>
              <w:tc>
                <w:tcPr>
                  <w:tcW w:w="1730" w:type="dxa"/>
                  <w:tcBorders>
                    <w:tl2br w:val="nil"/>
                    <w:tr2bl w:val="nil"/>
                  </w:tcBorders>
                  <w:vAlign w:val="center"/>
                </w:tcPr>
                <w:p>
                  <w:pPr>
                    <w:spacing w:line="360" w:lineRule="exact"/>
                    <w:jc w:val="center"/>
                    <w:rPr>
                      <w:color w:val="auto"/>
                      <w:szCs w:val="21"/>
                    </w:rPr>
                  </w:pPr>
                  <w:r>
                    <w:rPr>
                      <w:color w:val="auto"/>
                      <w:szCs w:val="21"/>
                    </w:rPr>
                    <w:t>起重机</w:t>
                  </w:r>
                </w:p>
              </w:tc>
              <w:tc>
                <w:tcPr>
                  <w:tcW w:w="1046" w:type="dxa"/>
                  <w:tcBorders>
                    <w:tl2br w:val="nil"/>
                    <w:tr2bl w:val="nil"/>
                  </w:tcBorders>
                  <w:vAlign w:val="center"/>
                </w:tcPr>
                <w:p>
                  <w:pPr>
                    <w:spacing w:line="360" w:lineRule="exact"/>
                    <w:jc w:val="center"/>
                    <w:rPr>
                      <w:color w:val="auto"/>
                      <w:szCs w:val="21"/>
                    </w:rPr>
                  </w:pPr>
                  <w:r>
                    <w:rPr>
                      <w:color w:val="auto"/>
                      <w:szCs w:val="21"/>
                    </w:rPr>
                    <w:t>80</w:t>
                  </w:r>
                </w:p>
              </w:tc>
              <w:tc>
                <w:tcPr>
                  <w:tcW w:w="1406" w:type="dxa"/>
                  <w:tcBorders>
                    <w:tl2br w:val="nil"/>
                    <w:tr2bl w:val="nil"/>
                  </w:tcBorders>
                  <w:vAlign w:val="center"/>
                </w:tcPr>
                <w:p>
                  <w:pPr>
                    <w:spacing w:line="360" w:lineRule="exact"/>
                    <w:jc w:val="center"/>
                    <w:rPr>
                      <w:color w:val="auto"/>
                      <w:szCs w:val="21"/>
                    </w:rPr>
                  </w:pPr>
                  <w:r>
                    <w:rPr>
                      <w:color w:val="auto"/>
                      <w:szCs w:val="21"/>
                    </w:rPr>
                    <w:t>73</w:t>
                  </w:r>
                </w:p>
              </w:tc>
              <w:tc>
                <w:tcPr>
                  <w:tcW w:w="1486" w:type="dxa"/>
                  <w:tcBorders>
                    <w:tl2br w:val="nil"/>
                    <w:tr2bl w:val="nil"/>
                  </w:tcBorders>
                  <w:vAlign w:val="center"/>
                </w:tcPr>
                <w:p>
                  <w:pPr>
                    <w:spacing w:line="360" w:lineRule="exact"/>
                    <w:jc w:val="center"/>
                    <w:rPr>
                      <w:color w:val="auto"/>
                      <w:szCs w:val="21"/>
                    </w:rPr>
                  </w:pPr>
                  <w:r>
                    <w:rPr>
                      <w:color w:val="auto"/>
                      <w:szCs w:val="21"/>
                    </w:rPr>
                    <w:t>70</w:t>
                  </w:r>
                </w:p>
              </w:tc>
              <w:tc>
                <w:tcPr>
                  <w:tcW w:w="1323" w:type="dxa"/>
                  <w:tcBorders>
                    <w:tl2br w:val="nil"/>
                    <w:tr2bl w:val="nil"/>
                  </w:tcBorders>
                  <w:vAlign w:val="center"/>
                </w:tcPr>
                <w:p>
                  <w:pPr>
                    <w:spacing w:line="360" w:lineRule="exact"/>
                    <w:jc w:val="center"/>
                    <w:rPr>
                      <w:color w:val="auto"/>
                      <w:szCs w:val="21"/>
                    </w:rPr>
                  </w:pPr>
                  <w:r>
                    <w:rPr>
                      <w:color w:val="auto"/>
                      <w:szCs w:val="21"/>
                    </w:rPr>
                    <w:t>62</w:t>
                  </w:r>
                </w:p>
              </w:tc>
              <w:tc>
                <w:tcPr>
                  <w:tcW w:w="1321" w:type="dxa"/>
                  <w:tcBorders>
                    <w:tl2br w:val="nil"/>
                    <w:tr2bl w:val="nil"/>
                  </w:tcBorders>
                  <w:vAlign w:val="center"/>
                </w:tcPr>
                <w:p>
                  <w:pPr>
                    <w:spacing w:line="360" w:lineRule="exact"/>
                    <w:jc w:val="center"/>
                    <w:rPr>
                      <w:color w:val="auto"/>
                      <w:szCs w:val="21"/>
                    </w:rPr>
                  </w:pPr>
                  <w:r>
                    <w:rPr>
                      <w:color w:val="auto"/>
                      <w:szCs w:val="21"/>
                    </w:rPr>
                    <w:t>56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jc w:val="center"/>
              </w:trPr>
              <w:tc>
                <w:tcPr>
                  <w:tcW w:w="1730" w:type="dxa"/>
                  <w:tcBorders>
                    <w:tl2br w:val="nil"/>
                    <w:tr2bl w:val="nil"/>
                  </w:tcBorders>
                  <w:vAlign w:val="center"/>
                </w:tcPr>
                <w:p>
                  <w:pPr>
                    <w:spacing w:line="360" w:lineRule="exact"/>
                    <w:jc w:val="center"/>
                    <w:rPr>
                      <w:color w:val="auto"/>
                      <w:szCs w:val="21"/>
                    </w:rPr>
                  </w:pPr>
                  <w:r>
                    <w:rPr>
                      <w:color w:val="auto"/>
                      <w:szCs w:val="21"/>
                    </w:rPr>
                    <w:t>电锯</w:t>
                  </w:r>
                </w:p>
              </w:tc>
              <w:tc>
                <w:tcPr>
                  <w:tcW w:w="1046" w:type="dxa"/>
                  <w:tcBorders>
                    <w:tl2br w:val="nil"/>
                    <w:tr2bl w:val="nil"/>
                  </w:tcBorders>
                  <w:vAlign w:val="center"/>
                </w:tcPr>
                <w:p>
                  <w:pPr>
                    <w:spacing w:line="360" w:lineRule="exact"/>
                    <w:jc w:val="center"/>
                    <w:rPr>
                      <w:color w:val="auto"/>
                      <w:szCs w:val="21"/>
                    </w:rPr>
                  </w:pPr>
                  <w:r>
                    <w:rPr>
                      <w:color w:val="auto"/>
                      <w:szCs w:val="21"/>
                    </w:rPr>
                    <w:t>87</w:t>
                  </w:r>
                </w:p>
              </w:tc>
              <w:tc>
                <w:tcPr>
                  <w:tcW w:w="1406" w:type="dxa"/>
                  <w:tcBorders>
                    <w:tl2br w:val="nil"/>
                    <w:tr2bl w:val="nil"/>
                  </w:tcBorders>
                  <w:vAlign w:val="center"/>
                </w:tcPr>
                <w:p>
                  <w:pPr>
                    <w:spacing w:line="360" w:lineRule="exact"/>
                    <w:jc w:val="center"/>
                    <w:rPr>
                      <w:color w:val="auto"/>
                      <w:szCs w:val="21"/>
                    </w:rPr>
                  </w:pPr>
                  <w:r>
                    <w:rPr>
                      <w:color w:val="auto"/>
                      <w:szCs w:val="21"/>
                    </w:rPr>
                    <w:t>81</w:t>
                  </w:r>
                </w:p>
              </w:tc>
              <w:tc>
                <w:tcPr>
                  <w:tcW w:w="1486" w:type="dxa"/>
                  <w:tcBorders>
                    <w:tl2br w:val="nil"/>
                    <w:tr2bl w:val="nil"/>
                  </w:tcBorders>
                  <w:vAlign w:val="center"/>
                </w:tcPr>
                <w:p>
                  <w:pPr>
                    <w:spacing w:line="360" w:lineRule="exact"/>
                    <w:jc w:val="center"/>
                    <w:rPr>
                      <w:color w:val="auto"/>
                      <w:szCs w:val="21"/>
                    </w:rPr>
                  </w:pPr>
                  <w:r>
                    <w:rPr>
                      <w:color w:val="auto"/>
                      <w:szCs w:val="21"/>
                    </w:rPr>
                    <w:t>75</w:t>
                  </w:r>
                </w:p>
              </w:tc>
              <w:tc>
                <w:tcPr>
                  <w:tcW w:w="1323" w:type="dxa"/>
                  <w:tcBorders>
                    <w:tl2br w:val="nil"/>
                    <w:tr2bl w:val="nil"/>
                  </w:tcBorders>
                  <w:vAlign w:val="center"/>
                </w:tcPr>
                <w:p>
                  <w:pPr>
                    <w:spacing w:line="360" w:lineRule="exact"/>
                    <w:jc w:val="center"/>
                    <w:rPr>
                      <w:color w:val="auto"/>
                      <w:szCs w:val="21"/>
                    </w:rPr>
                  </w:pPr>
                  <w:r>
                    <w:rPr>
                      <w:color w:val="auto"/>
                      <w:szCs w:val="21"/>
                    </w:rPr>
                    <w:t>70</w:t>
                  </w:r>
                </w:p>
              </w:tc>
              <w:tc>
                <w:tcPr>
                  <w:tcW w:w="1321" w:type="dxa"/>
                  <w:tcBorders>
                    <w:tl2br w:val="nil"/>
                    <w:tr2bl w:val="nil"/>
                  </w:tcBorders>
                  <w:vAlign w:val="center"/>
                </w:tcPr>
                <w:p>
                  <w:pPr>
                    <w:spacing w:line="360" w:lineRule="exact"/>
                    <w:jc w:val="center"/>
                    <w:rPr>
                      <w:color w:val="auto"/>
                      <w:szCs w:val="21"/>
                    </w:rPr>
                  </w:pPr>
                  <w:r>
                    <w:rPr>
                      <w:color w:val="auto"/>
                      <w:szCs w:val="21"/>
                    </w:rPr>
                    <w:t>55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jc w:val="center"/>
              </w:trPr>
              <w:tc>
                <w:tcPr>
                  <w:tcW w:w="1730" w:type="dxa"/>
                  <w:tcBorders>
                    <w:tl2br w:val="nil"/>
                    <w:tr2bl w:val="nil"/>
                  </w:tcBorders>
                  <w:vAlign w:val="center"/>
                </w:tcPr>
                <w:p>
                  <w:pPr>
                    <w:spacing w:line="360" w:lineRule="exact"/>
                    <w:jc w:val="center"/>
                    <w:rPr>
                      <w:color w:val="auto"/>
                      <w:szCs w:val="21"/>
                    </w:rPr>
                  </w:pPr>
                  <w:r>
                    <w:rPr>
                      <w:color w:val="auto"/>
                      <w:szCs w:val="21"/>
                    </w:rPr>
                    <w:t>拉直切断机</w:t>
                  </w:r>
                </w:p>
              </w:tc>
              <w:tc>
                <w:tcPr>
                  <w:tcW w:w="1046" w:type="dxa"/>
                  <w:tcBorders>
                    <w:tl2br w:val="nil"/>
                    <w:tr2bl w:val="nil"/>
                  </w:tcBorders>
                  <w:vAlign w:val="center"/>
                </w:tcPr>
                <w:p>
                  <w:pPr>
                    <w:spacing w:line="360" w:lineRule="exact"/>
                    <w:jc w:val="center"/>
                    <w:rPr>
                      <w:color w:val="auto"/>
                      <w:szCs w:val="21"/>
                    </w:rPr>
                  </w:pPr>
                  <w:r>
                    <w:rPr>
                      <w:color w:val="auto"/>
                      <w:szCs w:val="21"/>
                    </w:rPr>
                    <w:t>78</w:t>
                  </w:r>
                </w:p>
              </w:tc>
              <w:tc>
                <w:tcPr>
                  <w:tcW w:w="1406" w:type="dxa"/>
                  <w:tcBorders>
                    <w:tl2br w:val="nil"/>
                    <w:tr2bl w:val="nil"/>
                  </w:tcBorders>
                  <w:vAlign w:val="center"/>
                </w:tcPr>
                <w:p>
                  <w:pPr>
                    <w:spacing w:line="360" w:lineRule="exact"/>
                    <w:jc w:val="center"/>
                    <w:rPr>
                      <w:color w:val="auto"/>
                      <w:szCs w:val="21"/>
                    </w:rPr>
                  </w:pPr>
                  <w:r>
                    <w:rPr>
                      <w:color w:val="auto"/>
                      <w:szCs w:val="21"/>
                    </w:rPr>
                    <w:t>72</w:t>
                  </w:r>
                </w:p>
              </w:tc>
              <w:tc>
                <w:tcPr>
                  <w:tcW w:w="1486" w:type="dxa"/>
                  <w:tcBorders>
                    <w:tl2br w:val="nil"/>
                    <w:tr2bl w:val="nil"/>
                  </w:tcBorders>
                  <w:vAlign w:val="center"/>
                </w:tcPr>
                <w:p>
                  <w:pPr>
                    <w:spacing w:line="360" w:lineRule="exact"/>
                    <w:jc w:val="center"/>
                    <w:rPr>
                      <w:color w:val="auto"/>
                      <w:szCs w:val="21"/>
                    </w:rPr>
                  </w:pPr>
                  <w:r>
                    <w:rPr>
                      <w:color w:val="auto"/>
                      <w:szCs w:val="21"/>
                    </w:rPr>
                    <w:t>65</w:t>
                  </w:r>
                </w:p>
              </w:tc>
              <w:tc>
                <w:tcPr>
                  <w:tcW w:w="1323" w:type="dxa"/>
                  <w:tcBorders>
                    <w:tl2br w:val="nil"/>
                    <w:tr2bl w:val="nil"/>
                  </w:tcBorders>
                  <w:vAlign w:val="center"/>
                </w:tcPr>
                <w:p>
                  <w:pPr>
                    <w:spacing w:line="360" w:lineRule="exact"/>
                    <w:jc w:val="center"/>
                    <w:rPr>
                      <w:color w:val="auto"/>
                      <w:szCs w:val="21"/>
                    </w:rPr>
                  </w:pPr>
                  <w:r>
                    <w:rPr>
                      <w:color w:val="auto"/>
                      <w:szCs w:val="21"/>
                    </w:rPr>
                    <w:t>59</w:t>
                  </w:r>
                </w:p>
              </w:tc>
              <w:tc>
                <w:tcPr>
                  <w:tcW w:w="1321" w:type="dxa"/>
                  <w:tcBorders>
                    <w:tl2br w:val="nil"/>
                    <w:tr2bl w:val="nil"/>
                  </w:tcBorders>
                  <w:vAlign w:val="center"/>
                </w:tcPr>
                <w:p>
                  <w:pPr>
                    <w:spacing w:line="360" w:lineRule="exact"/>
                    <w:jc w:val="center"/>
                    <w:rPr>
                      <w:color w:val="auto"/>
                      <w:szCs w:val="21"/>
                    </w:rPr>
                  </w:pPr>
                  <w:r>
                    <w:rPr>
                      <w:color w:val="auto"/>
                      <w:szCs w:val="21"/>
                    </w:rPr>
                    <w:t>52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jc w:val="center"/>
              </w:trPr>
              <w:tc>
                <w:tcPr>
                  <w:tcW w:w="1730" w:type="dxa"/>
                  <w:tcBorders>
                    <w:tl2br w:val="nil"/>
                    <w:tr2bl w:val="nil"/>
                  </w:tcBorders>
                  <w:vAlign w:val="center"/>
                </w:tcPr>
                <w:p>
                  <w:pPr>
                    <w:spacing w:line="360" w:lineRule="exact"/>
                    <w:jc w:val="center"/>
                    <w:rPr>
                      <w:color w:val="auto"/>
                      <w:szCs w:val="21"/>
                    </w:rPr>
                  </w:pPr>
                  <w:r>
                    <w:rPr>
                      <w:color w:val="auto"/>
                      <w:szCs w:val="21"/>
                    </w:rPr>
                    <w:t>冲击钻</w:t>
                  </w:r>
                </w:p>
              </w:tc>
              <w:tc>
                <w:tcPr>
                  <w:tcW w:w="1046" w:type="dxa"/>
                  <w:tcBorders>
                    <w:tl2br w:val="nil"/>
                    <w:tr2bl w:val="nil"/>
                  </w:tcBorders>
                  <w:vAlign w:val="center"/>
                </w:tcPr>
                <w:p>
                  <w:pPr>
                    <w:spacing w:line="360" w:lineRule="exact"/>
                    <w:jc w:val="center"/>
                    <w:rPr>
                      <w:color w:val="auto"/>
                      <w:szCs w:val="21"/>
                    </w:rPr>
                  </w:pPr>
                  <w:r>
                    <w:rPr>
                      <w:color w:val="auto"/>
                      <w:szCs w:val="21"/>
                    </w:rPr>
                    <w:t>81</w:t>
                  </w:r>
                </w:p>
              </w:tc>
              <w:tc>
                <w:tcPr>
                  <w:tcW w:w="1406" w:type="dxa"/>
                  <w:tcBorders>
                    <w:tl2br w:val="nil"/>
                    <w:tr2bl w:val="nil"/>
                  </w:tcBorders>
                  <w:vAlign w:val="center"/>
                </w:tcPr>
                <w:p>
                  <w:pPr>
                    <w:spacing w:line="360" w:lineRule="exact"/>
                    <w:jc w:val="center"/>
                    <w:rPr>
                      <w:color w:val="auto"/>
                      <w:szCs w:val="21"/>
                    </w:rPr>
                  </w:pPr>
                  <w:r>
                    <w:rPr>
                      <w:color w:val="auto"/>
                      <w:szCs w:val="21"/>
                    </w:rPr>
                    <w:t>74</w:t>
                  </w:r>
                </w:p>
              </w:tc>
              <w:tc>
                <w:tcPr>
                  <w:tcW w:w="1486" w:type="dxa"/>
                  <w:tcBorders>
                    <w:tl2br w:val="nil"/>
                    <w:tr2bl w:val="nil"/>
                  </w:tcBorders>
                  <w:vAlign w:val="center"/>
                </w:tcPr>
                <w:p>
                  <w:pPr>
                    <w:spacing w:line="360" w:lineRule="exact"/>
                    <w:jc w:val="center"/>
                    <w:rPr>
                      <w:color w:val="auto"/>
                      <w:szCs w:val="21"/>
                    </w:rPr>
                  </w:pPr>
                  <w:r>
                    <w:rPr>
                      <w:color w:val="auto"/>
                      <w:szCs w:val="21"/>
                    </w:rPr>
                    <w:t>68</w:t>
                  </w:r>
                </w:p>
              </w:tc>
              <w:tc>
                <w:tcPr>
                  <w:tcW w:w="1323" w:type="dxa"/>
                  <w:tcBorders>
                    <w:tl2br w:val="nil"/>
                    <w:tr2bl w:val="nil"/>
                  </w:tcBorders>
                  <w:vAlign w:val="center"/>
                </w:tcPr>
                <w:p>
                  <w:pPr>
                    <w:spacing w:line="360" w:lineRule="exact"/>
                    <w:jc w:val="center"/>
                    <w:rPr>
                      <w:color w:val="auto"/>
                      <w:szCs w:val="21"/>
                    </w:rPr>
                  </w:pPr>
                  <w:r>
                    <w:rPr>
                      <w:color w:val="auto"/>
                      <w:szCs w:val="21"/>
                    </w:rPr>
                    <w:t>63</w:t>
                  </w:r>
                </w:p>
              </w:tc>
              <w:tc>
                <w:tcPr>
                  <w:tcW w:w="1321" w:type="dxa"/>
                  <w:tcBorders>
                    <w:tl2br w:val="nil"/>
                    <w:tr2bl w:val="nil"/>
                  </w:tcBorders>
                  <w:vAlign w:val="center"/>
                </w:tcPr>
                <w:p>
                  <w:pPr>
                    <w:spacing w:line="360" w:lineRule="exact"/>
                    <w:jc w:val="center"/>
                    <w:rPr>
                      <w:color w:val="auto"/>
                      <w:szCs w:val="21"/>
                    </w:rPr>
                  </w:pPr>
                  <w:r>
                    <w:rPr>
                      <w:color w:val="auto"/>
                      <w:szCs w:val="21"/>
                    </w:rPr>
                    <w:t>55</w:t>
                  </w:r>
                </w:p>
              </w:tc>
            </w:tr>
          </w:tbl>
          <w:p>
            <w:pPr>
              <w:spacing w:line="480" w:lineRule="exact"/>
              <w:ind w:firstLine="420" w:firstLineChars="200"/>
              <w:textAlignment w:val="baseline"/>
              <w:rPr>
                <w:rFonts w:ascii="宋体" w:hAnsi="宋体" w:cs="宋体"/>
                <w:color w:val="auto"/>
                <w:szCs w:val="21"/>
              </w:rPr>
            </w:pPr>
            <w:r>
              <w:rPr>
                <w:rFonts w:hint="eastAsia" w:ascii="宋体" w:hAnsi="宋体" w:cs="宋体"/>
                <w:color w:val="auto"/>
                <w:szCs w:val="21"/>
              </w:rPr>
              <w:t>本环评要求建设单位和施工单位应严格执行《建筑施工场界环境噪声排放标准》</w:t>
            </w:r>
            <w:r>
              <w:rPr>
                <w:color w:val="auto"/>
                <w:szCs w:val="21"/>
              </w:rPr>
              <w:t>（GB12523-2011）要求进行施工，具体要求如下：</w:t>
            </w:r>
          </w:p>
          <w:p>
            <w:pPr>
              <w:spacing w:line="480" w:lineRule="exact"/>
              <w:ind w:firstLine="420" w:firstLineChars="200"/>
              <w:textAlignment w:val="baseline"/>
              <w:rPr>
                <w:rFonts w:ascii="宋体" w:hAnsi="宋体" w:cs="宋体"/>
                <w:color w:val="auto"/>
                <w:szCs w:val="21"/>
              </w:rPr>
            </w:pPr>
            <w:r>
              <w:rPr>
                <w:rFonts w:hint="eastAsia" w:ascii="宋体" w:hAnsi="宋体" w:cs="宋体"/>
                <w:color w:val="auto"/>
                <w:szCs w:val="21"/>
              </w:rPr>
              <w:t>①合理安排施工时间</w:t>
            </w:r>
          </w:p>
          <w:p>
            <w:pPr>
              <w:spacing w:line="480" w:lineRule="exact"/>
              <w:ind w:firstLine="420" w:firstLineChars="200"/>
              <w:textAlignment w:val="baseline"/>
              <w:rPr>
                <w:rFonts w:ascii="宋体" w:hAnsi="宋体" w:cs="宋体"/>
                <w:color w:val="auto"/>
                <w:szCs w:val="21"/>
              </w:rPr>
            </w:pPr>
            <w:r>
              <w:rPr>
                <w:rFonts w:hint="eastAsia" w:ascii="宋体" w:hAnsi="宋体" w:cs="宋体"/>
                <w:color w:val="auto"/>
                <w:szCs w:val="21"/>
              </w:rPr>
              <w:t>整个项目应进行合理分期规划安排，尽可能同时施工，减少不同建筑之间的相互影响；制定施工计划时，尽可能避免大量高噪声设备同时施工。</w:t>
            </w:r>
          </w:p>
          <w:p>
            <w:pPr>
              <w:spacing w:line="480" w:lineRule="exact"/>
              <w:ind w:firstLine="420" w:firstLineChars="200"/>
              <w:textAlignment w:val="baseline"/>
              <w:rPr>
                <w:rFonts w:ascii="宋体" w:hAnsi="宋体" w:cs="宋体"/>
                <w:color w:val="auto"/>
                <w:szCs w:val="21"/>
              </w:rPr>
            </w:pPr>
            <w:r>
              <w:rPr>
                <w:rFonts w:hint="eastAsia" w:ascii="宋体" w:hAnsi="宋体" w:cs="宋体"/>
                <w:color w:val="auto"/>
                <w:szCs w:val="21"/>
              </w:rPr>
              <w:t>②合理布局施工现场</w:t>
            </w:r>
          </w:p>
          <w:p>
            <w:pPr>
              <w:spacing w:line="480" w:lineRule="exact"/>
              <w:ind w:firstLine="420" w:firstLineChars="200"/>
              <w:textAlignment w:val="baseline"/>
              <w:rPr>
                <w:color w:val="auto"/>
                <w:szCs w:val="21"/>
              </w:rPr>
            </w:pPr>
            <w:r>
              <w:rPr>
                <w:color w:val="auto"/>
                <w:szCs w:val="21"/>
              </w:rPr>
              <w:t>避免在同一地点安排大量动力机械设备，以避免局部噪声级过高，</w:t>
            </w:r>
            <w:r>
              <w:rPr>
                <w:rFonts w:hint="eastAsia"/>
                <w:color w:val="auto"/>
                <w:szCs w:val="21"/>
              </w:rPr>
              <w:t>对施工人员产生噪声危害。</w:t>
            </w:r>
          </w:p>
          <w:p>
            <w:pPr>
              <w:spacing w:line="480" w:lineRule="exact"/>
              <w:ind w:firstLine="420" w:firstLineChars="200"/>
              <w:textAlignment w:val="baseline"/>
              <w:rPr>
                <w:color w:val="auto"/>
                <w:szCs w:val="21"/>
              </w:rPr>
            </w:pPr>
            <w:r>
              <w:rPr>
                <w:color w:val="auto"/>
                <w:szCs w:val="21"/>
              </w:rPr>
              <w:t>③降低设备声级</w:t>
            </w:r>
          </w:p>
          <w:p>
            <w:pPr>
              <w:spacing w:line="480" w:lineRule="exact"/>
              <w:ind w:firstLine="420" w:firstLineChars="200"/>
              <w:textAlignment w:val="baseline"/>
              <w:rPr>
                <w:color w:val="auto"/>
                <w:szCs w:val="21"/>
              </w:rPr>
            </w:pPr>
            <w:r>
              <w:rPr>
                <w:color w:val="auto"/>
                <w:szCs w:val="21"/>
              </w:rPr>
              <w:t>选用低噪声设备和工艺，可从根本上降低源强。选低噪型运载车、挖土机，同时加强检查、维护和保养机械设备，保持润滑，紧固各部件，减少运行振动噪声。整体设备应安放稳固，并与地面保持良好接触，有条件的应使用减振机座，降低噪声。</w:t>
            </w:r>
          </w:p>
          <w:p>
            <w:pPr>
              <w:spacing w:line="480" w:lineRule="exact"/>
              <w:ind w:firstLine="420" w:firstLineChars="200"/>
              <w:textAlignment w:val="baseline"/>
              <w:rPr>
                <w:color w:val="auto"/>
                <w:szCs w:val="21"/>
              </w:rPr>
            </w:pPr>
            <w:r>
              <w:rPr>
                <w:color w:val="auto"/>
                <w:szCs w:val="21"/>
              </w:rPr>
              <w:t>④隔声处理</w:t>
            </w:r>
          </w:p>
          <w:p>
            <w:pPr>
              <w:spacing w:line="480" w:lineRule="exact"/>
              <w:ind w:firstLine="420" w:firstLineChars="200"/>
              <w:textAlignment w:val="baseline"/>
              <w:rPr>
                <w:color w:val="auto"/>
                <w:szCs w:val="21"/>
              </w:rPr>
            </w:pPr>
            <w:r>
              <w:rPr>
                <w:color w:val="auto"/>
                <w:szCs w:val="21"/>
              </w:rPr>
              <w:t>对噪声较大的施工设备，如振捣棒、升降机等，要进行局部围挡，对施工期现场四周加设高约4m的防护板，以降低噪声污染；以减少对环境的影响。</w:t>
            </w:r>
          </w:p>
          <w:p>
            <w:pPr>
              <w:spacing w:line="480" w:lineRule="exact"/>
              <w:ind w:firstLine="420" w:firstLineChars="200"/>
              <w:textAlignment w:val="baseline"/>
              <w:rPr>
                <w:color w:val="auto"/>
                <w:szCs w:val="21"/>
              </w:rPr>
            </w:pPr>
            <w:r>
              <w:rPr>
                <w:color w:val="auto"/>
                <w:szCs w:val="21"/>
              </w:rPr>
              <w:t>经采取措施加以控制，以确保使施工期间产生的噪声对周围环境影响降到最低。</w:t>
            </w:r>
          </w:p>
          <w:p>
            <w:pPr>
              <w:spacing w:line="480" w:lineRule="exact"/>
              <w:ind w:firstLine="422" w:firstLineChars="200"/>
              <w:textAlignment w:val="baseline"/>
              <w:rPr>
                <w:b/>
                <w:bCs/>
                <w:color w:val="auto"/>
              </w:rPr>
            </w:pPr>
            <w:r>
              <w:rPr>
                <w:b/>
                <w:bCs/>
                <w:color w:val="auto"/>
              </w:rPr>
              <w:t>4.1.4弃土、建筑垃圾以及生活垃圾对周围环境影响分析及其保护措施</w:t>
            </w:r>
          </w:p>
          <w:p>
            <w:pPr>
              <w:spacing w:line="480" w:lineRule="exact"/>
              <w:ind w:firstLine="420" w:firstLineChars="200"/>
              <w:textAlignment w:val="baseline"/>
              <w:rPr>
                <w:color w:val="auto"/>
                <w:szCs w:val="21"/>
              </w:rPr>
            </w:pPr>
            <w:r>
              <w:rPr>
                <w:color w:val="auto"/>
                <w:szCs w:val="21"/>
              </w:rPr>
              <w:t>施工期间将产生弃土，而且如车辆装载过多运输时散落的泥土、车轮沾满泥土导致运输公路上布满泥土。另外，工程施工时的土石方处置不当、乱丢乱放也产生大量弃土，这些弃土会造成晴天尘土飞扬、雨天则满地泥泞，严重影响土地利用和交通运输，因此施工中必须注意施工道路弃土的处置，</w:t>
            </w:r>
            <w:r>
              <w:rPr>
                <w:rFonts w:hint="eastAsia"/>
                <w:color w:val="auto"/>
                <w:szCs w:val="21"/>
              </w:rPr>
              <w:t>在施工过程中对弃土内部平衡，</w:t>
            </w:r>
            <w:r>
              <w:rPr>
                <w:color w:val="auto"/>
                <w:szCs w:val="21"/>
              </w:rPr>
              <w:t>以免造成二次污染。</w:t>
            </w:r>
          </w:p>
          <w:p>
            <w:pPr>
              <w:spacing w:line="480" w:lineRule="exact"/>
              <w:ind w:firstLine="420" w:firstLineChars="200"/>
              <w:textAlignment w:val="baseline"/>
              <w:rPr>
                <w:color w:val="auto"/>
                <w:szCs w:val="21"/>
              </w:rPr>
            </w:pPr>
            <w:r>
              <w:rPr>
                <w:color w:val="auto"/>
                <w:szCs w:val="21"/>
              </w:rPr>
              <w:t>本项目工程建设过程中会产生建筑垃圾，并按照规定的数量、运输线路、时间、倾倒地点进行处置。</w:t>
            </w:r>
          </w:p>
          <w:p>
            <w:pPr>
              <w:spacing w:line="480" w:lineRule="exact"/>
              <w:ind w:firstLine="420" w:firstLineChars="200"/>
              <w:textAlignment w:val="baseline"/>
              <w:rPr>
                <w:color w:val="auto"/>
                <w:szCs w:val="21"/>
              </w:rPr>
            </w:pPr>
            <w:r>
              <w:rPr>
                <w:color w:val="auto"/>
                <w:szCs w:val="21"/>
              </w:rPr>
              <w:t>施工期生活垃圾应集中定点存放，及时清运至环卫垃圾填埋场处理，不能在施工场地内随意和长期堆放，清运过程中车辆应遮盖，严禁沿途散落。</w:t>
            </w:r>
          </w:p>
          <w:p>
            <w:pPr>
              <w:spacing w:line="480" w:lineRule="exact"/>
              <w:ind w:firstLine="420" w:firstLineChars="200"/>
              <w:textAlignment w:val="baseline"/>
              <w:rPr>
                <w:color w:val="auto"/>
                <w:szCs w:val="21"/>
              </w:rPr>
            </w:pPr>
            <w:r>
              <w:rPr>
                <w:color w:val="auto"/>
                <w:szCs w:val="21"/>
              </w:rPr>
              <w:t>建设单位应当督促运输单位在清运时间内组织人力、物力或委托专业市容环境卫生服务单位做好沿途的污染清理工作；清运过程中造成交通安全设施损坏的，应予以赔偿。</w:t>
            </w:r>
          </w:p>
          <w:p>
            <w:pPr>
              <w:spacing w:line="480" w:lineRule="exact"/>
              <w:ind w:firstLine="422" w:firstLineChars="200"/>
              <w:textAlignment w:val="baseline"/>
              <w:rPr>
                <w:b/>
                <w:bCs/>
                <w:color w:val="auto"/>
              </w:rPr>
            </w:pPr>
            <w:r>
              <w:rPr>
                <w:b/>
                <w:bCs/>
                <w:color w:val="auto"/>
              </w:rPr>
              <w:t>4.1.5对交通的影响</w:t>
            </w:r>
          </w:p>
          <w:p>
            <w:pPr>
              <w:spacing w:line="480" w:lineRule="exact"/>
              <w:ind w:firstLine="420"/>
              <w:rPr>
                <w:color w:val="auto"/>
                <w:szCs w:val="21"/>
              </w:rPr>
            </w:pPr>
            <w:r>
              <w:rPr>
                <w:color w:val="auto"/>
                <w:szCs w:val="21"/>
              </w:rPr>
              <w:t>弃土使道路在雨雪天时泥泞不堪，可严重影响交通。同时运输量的增加也使得道路负荷增加，影响交通畅通。但这些影响都是暂时的，随着区段施工的结束，该区段的交通影响也随之消失。要求挖出的泥土</w:t>
            </w:r>
            <w:r>
              <w:rPr>
                <w:rFonts w:hint="eastAsia"/>
                <w:color w:val="auto"/>
                <w:szCs w:val="21"/>
              </w:rPr>
              <w:t>尽快</w:t>
            </w:r>
            <w:r>
              <w:rPr>
                <w:color w:val="auto"/>
                <w:szCs w:val="21"/>
              </w:rPr>
              <w:t>回填</w:t>
            </w:r>
            <w:r>
              <w:rPr>
                <w:rFonts w:hint="eastAsia"/>
                <w:color w:val="auto"/>
                <w:szCs w:val="21"/>
              </w:rPr>
              <w:t>，</w:t>
            </w:r>
            <w:r>
              <w:rPr>
                <w:color w:val="auto"/>
                <w:szCs w:val="21"/>
              </w:rPr>
              <w:t>避免占用道路，以保证道路的交通畅通。</w:t>
            </w:r>
          </w:p>
          <w:p>
            <w:pPr>
              <w:spacing w:line="480" w:lineRule="exact"/>
              <w:ind w:firstLine="422" w:firstLineChars="200"/>
              <w:textAlignment w:val="baseline"/>
              <w:rPr>
                <w:rFonts w:ascii="宋体" w:hAnsi="宋体" w:cs="宋体"/>
                <w:b/>
                <w:bCs/>
                <w:color w:val="auto"/>
              </w:rPr>
            </w:pPr>
            <w:r>
              <w:rPr>
                <w:b/>
                <w:bCs/>
                <w:color w:val="auto"/>
              </w:rPr>
              <w:t>4.1.6</w:t>
            </w:r>
            <w:r>
              <w:rPr>
                <w:rFonts w:hint="eastAsia" w:ascii="宋体" w:hAnsi="宋体" w:cs="宋体"/>
                <w:b/>
                <w:bCs/>
                <w:color w:val="auto"/>
              </w:rPr>
              <w:t>生态环境保护措施</w:t>
            </w:r>
          </w:p>
          <w:p>
            <w:pPr>
              <w:pStyle w:val="60"/>
              <w:spacing w:line="480" w:lineRule="exact"/>
              <w:ind w:firstLine="420"/>
              <w:jc w:val="both"/>
              <w:rPr>
                <w:rFonts w:ascii="Times New Roman"/>
                <w:bCs/>
                <w:color w:val="auto"/>
                <w:kern w:val="0"/>
                <w:sz w:val="21"/>
                <w:szCs w:val="21"/>
                <w:lang w:bidi="ar"/>
              </w:rPr>
            </w:pPr>
            <w:r>
              <w:rPr>
                <w:rFonts w:ascii="Times New Roman"/>
                <w:bCs/>
                <w:color w:val="auto"/>
                <w:kern w:val="0"/>
                <w:sz w:val="21"/>
                <w:szCs w:val="21"/>
                <w:lang w:bidi="ar"/>
              </w:rPr>
              <w:t>项目拟建地点位于昌吉市</w:t>
            </w:r>
            <w:r>
              <w:rPr>
                <w:rFonts w:hint="eastAsia" w:ascii="Times New Roman"/>
                <w:bCs/>
                <w:color w:val="auto"/>
                <w:kern w:val="0"/>
                <w:sz w:val="21"/>
                <w:szCs w:val="21"/>
                <w:lang w:bidi="ar"/>
              </w:rPr>
              <w:t>庙儿沟</w:t>
            </w:r>
            <w:r>
              <w:rPr>
                <w:rFonts w:ascii="Times New Roman"/>
                <w:bCs/>
                <w:color w:val="auto"/>
                <w:kern w:val="0"/>
                <w:sz w:val="21"/>
                <w:szCs w:val="21"/>
                <w:lang w:bidi="ar"/>
              </w:rPr>
              <w:t>乡和谐二村，项目区土地利用类型为建设用地，占地面积为20010m</w:t>
            </w:r>
            <w:r>
              <w:rPr>
                <w:rFonts w:ascii="Times New Roman"/>
                <w:bCs/>
                <w:color w:val="auto"/>
                <w:kern w:val="0"/>
                <w:sz w:val="21"/>
                <w:szCs w:val="21"/>
                <w:vertAlign w:val="superscript"/>
                <w:lang w:bidi="ar"/>
              </w:rPr>
              <w:t>2</w:t>
            </w:r>
            <w:r>
              <w:rPr>
                <w:rFonts w:ascii="Times New Roman"/>
                <w:bCs/>
                <w:color w:val="auto"/>
                <w:kern w:val="0"/>
                <w:sz w:val="21"/>
                <w:szCs w:val="21"/>
                <w:lang w:bidi="ar"/>
              </w:rPr>
              <w:t>，现状为空地，周边为灌木林地，工程施工期对生态的影响主要是施工清除现场、平整等施工活动，破坏了工程区域原有地貌和植被，造成一定植被的损失；扰动了表土结构，土壤抗蚀能力降低，还可能损坏原有的水土保持设施，导致地表裸露。</w:t>
            </w:r>
          </w:p>
          <w:p>
            <w:pPr>
              <w:pStyle w:val="60"/>
              <w:spacing w:line="480" w:lineRule="exact"/>
              <w:ind w:firstLine="420"/>
              <w:jc w:val="both"/>
              <w:rPr>
                <w:rFonts w:ascii="Times New Roman"/>
                <w:bCs/>
                <w:color w:val="auto"/>
                <w:kern w:val="0"/>
                <w:sz w:val="21"/>
                <w:szCs w:val="21"/>
                <w:lang w:bidi="ar"/>
              </w:rPr>
            </w:pPr>
            <w:r>
              <w:rPr>
                <w:rFonts w:ascii="Times New Roman"/>
                <w:bCs/>
                <w:color w:val="auto"/>
                <w:kern w:val="0"/>
                <w:sz w:val="21"/>
                <w:szCs w:val="21"/>
                <w:lang w:bidi="ar"/>
              </w:rPr>
              <w:t>施工期生态环境影响减缓措施主要为：</w:t>
            </w:r>
          </w:p>
          <w:p>
            <w:pPr>
              <w:pStyle w:val="60"/>
              <w:spacing w:line="480" w:lineRule="exact"/>
              <w:ind w:firstLine="420"/>
              <w:jc w:val="both"/>
              <w:rPr>
                <w:rFonts w:ascii="Times New Roman"/>
                <w:bCs/>
                <w:color w:val="auto"/>
                <w:kern w:val="0"/>
                <w:sz w:val="21"/>
                <w:szCs w:val="21"/>
                <w:lang w:bidi="ar"/>
              </w:rPr>
            </w:pPr>
            <w:r>
              <w:rPr>
                <w:rFonts w:ascii="Times New Roman"/>
                <w:bCs/>
                <w:color w:val="auto"/>
                <w:kern w:val="0"/>
                <w:sz w:val="21"/>
                <w:szCs w:val="21"/>
                <w:lang w:bidi="ar"/>
              </w:rPr>
              <w:t>1</w:t>
            </w:r>
            <w:r>
              <w:rPr>
                <w:rFonts w:hint="eastAsia" w:ascii="Times New Roman"/>
                <w:bCs/>
                <w:color w:val="auto"/>
                <w:kern w:val="0"/>
                <w:sz w:val="21"/>
                <w:szCs w:val="21"/>
                <w:lang w:bidi="ar"/>
              </w:rPr>
              <w:t>）</w:t>
            </w:r>
            <w:r>
              <w:rPr>
                <w:rFonts w:ascii="Times New Roman"/>
                <w:bCs/>
                <w:color w:val="auto"/>
                <w:kern w:val="0"/>
                <w:sz w:val="21"/>
                <w:szCs w:val="21"/>
                <w:lang w:bidi="ar"/>
              </w:rPr>
              <w:t>在工程设计中严格控制工程占地，严格划定车辆行驶路线及临时道路开拓路线，运输车辆在规定路线范围内行使，禁止乱碾乱轧；严格规定各类工作人员的活动范围，使之限于在各工区范围内活动，最大限度减少对荒漠植物生存环境的踩踏破坏以及对野生动物的栖息地的侵扰。</w:t>
            </w:r>
          </w:p>
          <w:p>
            <w:pPr>
              <w:pStyle w:val="60"/>
              <w:spacing w:line="480" w:lineRule="exact"/>
              <w:ind w:firstLine="420"/>
              <w:jc w:val="both"/>
              <w:rPr>
                <w:rFonts w:ascii="Times New Roman"/>
                <w:bCs/>
                <w:color w:val="auto"/>
                <w:kern w:val="0"/>
                <w:sz w:val="21"/>
                <w:szCs w:val="21"/>
                <w:lang w:bidi="ar"/>
              </w:rPr>
            </w:pPr>
            <w:r>
              <w:rPr>
                <w:rFonts w:ascii="Times New Roman"/>
                <w:bCs/>
                <w:color w:val="auto"/>
                <w:kern w:val="0"/>
                <w:sz w:val="21"/>
                <w:szCs w:val="21"/>
                <w:lang w:bidi="ar"/>
              </w:rPr>
              <w:t>2</w:t>
            </w:r>
            <w:r>
              <w:rPr>
                <w:rFonts w:hint="eastAsia" w:ascii="Times New Roman"/>
                <w:bCs/>
                <w:color w:val="auto"/>
                <w:kern w:val="0"/>
                <w:sz w:val="21"/>
                <w:szCs w:val="21"/>
                <w:lang w:bidi="ar"/>
              </w:rPr>
              <w:t>）</w:t>
            </w:r>
            <w:r>
              <w:rPr>
                <w:rFonts w:ascii="Times New Roman"/>
                <w:bCs/>
                <w:color w:val="auto"/>
                <w:kern w:val="0"/>
                <w:sz w:val="21"/>
                <w:szCs w:val="21"/>
                <w:lang w:bidi="ar"/>
              </w:rPr>
              <w:t>对项目区永久占地和临时占地的表层土予以收集保存，用于绿化区的植被恢复。</w:t>
            </w:r>
          </w:p>
          <w:p>
            <w:pPr>
              <w:pStyle w:val="60"/>
              <w:spacing w:line="480" w:lineRule="exact"/>
              <w:ind w:firstLine="420"/>
              <w:jc w:val="both"/>
              <w:rPr>
                <w:rFonts w:ascii="Times New Roman"/>
                <w:bCs/>
                <w:color w:val="auto"/>
                <w:kern w:val="0"/>
                <w:sz w:val="21"/>
                <w:szCs w:val="21"/>
                <w:lang w:bidi="ar"/>
              </w:rPr>
            </w:pPr>
            <w:r>
              <w:rPr>
                <w:rFonts w:ascii="Times New Roman"/>
                <w:bCs/>
                <w:color w:val="auto"/>
                <w:kern w:val="0"/>
                <w:sz w:val="21"/>
                <w:szCs w:val="21"/>
                <w:lang w:bidi="ar"/>
              </w:rPr>
              <w:t>3</w:t>
            </w:r>
            <w:r>
              <w:rPr>
                <w:rFonts w:hint="eastAsia" w:ascii="Times New Roman"/>
                <w:bCs/>
                <w:color w:val="auto"/>
                <w:kern w:val="0"/>
                <w:sz w:val="21"/>
                <w:szCs w:val="21"/>
                <w:lang w:bidi="ar"/>
              </w:rPr>
              <w:t>）</w:t>
            </w:r>
            <w:r>
              <w:rPr>
                <w:rFonts w:ascii="Times New Roman"/>
                <w:bCs/>
                <w:color w:val="auto"/>
                <w:kern w:val="0"/>
                <w:sz w:val="21"/>
                <w:szCs w:val="21"/>
                <w:lang w:bidi="ar"/>
              </w:rPr>
              <w:t>在施工过程中，要加大宣传的力度，通过宣传植物的显著特征，使施工人员能够识别本区域分布的自治区级重点保护植物梭梭，严禁乱砍滥挖。</w:t>
            </w:r>
          </w:p>
          <w:p>
            <w:pPr>
              <w:pStyle w:val="60"/>
              <w:spacing w:line="480" w:lineRule="exact"/>
              <w:ind w:firstLine="420"/>
              <w:jc w:val="both"/>
              <w:rPr>
                <w:rFonts w:ascii="Times New Roman"/>
                <w:bCs/>
                <w:color w:val="auto"/>
                <w:kern w:val="0"/>
                <w:sz w:val="21"/>
                <w:szCs w:val="21"/>
                <w:lang w:bidi="ar"/>
              </w:rPr>
            </w:pPr>
            <w:r>
              <w:rPr>
                <w:rFonts w:ascii="Times New Roman"/>
                <w:bCs/>
                <w:color w:val="auto"/>
                <w:kern w:val="0"/>
                <w:sz w:val="21"/>
                <w:szCs w:val="21"/>
                <w:lang w:bidi="ar"/>
              </w:rPr>
              <w:t>4</w:t>
            </w:r>
            <w:r>
              <w:rPr>
                <w:rFonts w:hint="eastAsia" w:ascii="Times New Roman"/>
                <w:bCs/>
                <w:color w:val="auto"/>
                <w:kern w:val="0"/>
                <w:sz w:val="21"/>
                <w:szCs w:val="21"/>
                <w:lang w:bidi="ar"/>
              </w:rPr>
              <w:t>）</w:t>
            </w:r>
            <w:r>
              <w:rPr>
                <w:rFonts w:ascii="Times New Roman"/>
                <w:bCs/>
                <w:color w:val="auto"/>
                <w:kern w:val="0"/>
                <w:sz w:val="21"/>
                <w:szCs w:val="21"/>
                <w:lang w:bidi="ar"/>
              </w:rPr>
              <w:t>施工期需加强管理，严禁施工人员随意破坏保护植被，尽量减少对林地占用。</w:t>
            </w:r>
          </w:p>
          <w:p>
            <w:pPr>
              <w:pStyle w:val="60"/>
              <w:spacing w:line="480" w:lineRule="exact"/>
              <w:ind w:firstLine="420"/>
              <w:jc w:val="both"/>
              <w:rPr>
                <w:rFonts w:ascii="Times New Roman"/>
                <w:bCs/>
                <w:color w:val="auto"/>
                <w:kern w:val="0"/>
                <w:sz w:val="21"/>
                <w:szCs w:val="21"/>
                <w:lang w:bidi="ar"/>
              </w:rPr>
            </w:pPr>
            <w:r>
              <w:rPr>
                <w:rFonts w:ascii="Times New Roman"/>
                <w:bCs/>
                <w:color w:val="auto"/>
                <w:kern w:val="0"/>
                <w:sz w:val="21"/>
                <w:szCs w:val="21"/>
                <w:lang w:bidi="ar"/>
              </w:rPr>
              <w:t>5</w:t>
            </w:r>
            <w:r>
              <w:rPr>
                <w:rFonts w:hint="eastAsia" w:ascii="Times New Roman"/>
                <w:bCs/>
                <w:color w:val="auto"/>
                <w:kern w:val="0"/>
                <w:sz w:val="21"/>
                <w:szCs w:val="21"/>
                <w:lang w:bidi="ar"/>
              </w:rPr>
              <w:t>）</w:t>
            </w:r>
            <w:r>
              <w:rPr>
                <w:rFonts w:ascii="Times New Roman"/>
                <w:bCs/>
                <w:color w:val="auto"/>
                <w:kern w:val="0"/>
                <w:sz w:val="21"/>
                <w:szCs w:val="21"/>
                <w:lang w:bidi="ar"/>
              </w:rPr>
              <w:t>在项目区的绿化区域采取补栽措施加以缓解，以改善本项目对生态环境的影响。尽量利用项目区占地范围内施工时产生的表层弃土对临时占地进行覆盖，覆盖厚度根据植被恢复类型和场地用途决定；采用自然恢复的方式对区域植被进行恢复，临时占地内植被在未来3～5年时间内通过自然降水及温度等因素得以恢复；恢复后的植被覆盖率不应低于区域范围内同类型土地植被覆盖率。</w:t>
            </w:r>
          </w:p>
          <w:p>
            <w:pPr>
              <w:pStyle w:val="60"/>
              <w:spacing w:line="480" w:lineRule="exact"/>
              <w:ind w:firstLine="420"/>
              <w:jc w:val="both"/>
              <w:rPr>
                <w:rFonts w:ascii="Times New Roman"/>
                <w:bCs/>
                <w:color w:val="auto"/>
                <w:kern w:val="0"/>
                <w:sz w:val="21"/>
                <w:szCs w:val="21"/>
                <w:lang w:bidi="ar"/>
              </w:rPr>
            </w:pPr>
            <w:r>
              <w:rPr>
                <w:rFonts w:ascii="Times New Roman"/>
                <w:bCs/>
                <w:color w:val="auto"/>
                <w:kern w:val="0"/>
                <w:sz w:val="21"/>
                <w:szCs w:val="21"/>
                <w:lang w:bidi="ar"/>
              </w:rPr>
              <w:t>6</w:t>
            </w:r>
            <w:r>
              <w:rPr>
                <w:rFonts w:hint="eastAsia" w:ascii="Times New Roman"/>
                <w:bCs/>
                <w:color w:val="auto"/>
                <w:kern w:val="0"/>
                <w:sz w:val="21"/>
                <w:szCs w:val="21"/>
                <w:lang w:bidi="ar"/>
              </w:rPr>
              <w:t>）</w:t>
            </w:r>
            <w:r>
              <w:rPr>
                <w:rFonts w:ascii="Times New Roman"/>
                <w:bCs/>
                <w:color w:val="auto"/>
                <w:kern w:val="0"/>
                <w:sz w:val="21"/>
                <w:szCs w:val="21"/>
                <w:lang w:bidi="ar"/>
              </w:rPr>
              <w:t>施工结束后施工设备及时撤离，固体废物全部妥善处置，现场禁止遗留，占地应清理平整。</w:t>
            </w:r>
          </w:p>
          <w:p>
            <w:pPr>
              <w:pStyle w:val="42"/>
              <w:spacing w:after="0" w:line="480" w:lineRule="exact"/>
              <w:ind w:firstLine="420"/>
              <w:jc w:val="left"/>
              <w:rPr>
                <w:rFonts w:ascii="Times New Roman" w:hAnsi="Times New Roman" w:eastAsia="宋体"/>
                <w:bCs/>
                <w:color w:val="auto"/>
                <w:sz w:val="21"/>
                <w:szCs w:val="21"/>
              </w:rPr>
            </w:pPr>
            <w:r>
              <w:rPr>
                <w:rFonts w:ascii="Times New Roman" w:hAnsi="Times New Roman" w:eastAsia="宋体"/>
                <w:bCs/>
                <w:color w:val="auto"/>
                <w:sz w:val="21"/>
                <w:szCs w:val="21"/>
              </w:rPr>
              <w:t>综上所述，施工对周围环境有一定的影响，但其影响是暂时的，可恢复的，并随着工程的结束其影响随之消失；项目的实施应采取本报告中提出的各项措施，其影响是可降低的。</w:t>
            </w:r>
          </w:p>
          <w:p>
            <w:pPr>
              <w:pStyle w:val="42"/>
              <w:spacing w:after="0" w:line="480" w:lineRule="exact"/>
              <w:ind w:firstLine="420"/>
              <w:jc w:val="left"/>
              <w:rPr>
                <w:rFonts w:ascii="Times New Roman" w:hAnsi="Times New Roman" w:eastAsia="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61" w:hRule="atLeast"/>
          <w:jc w:val="center"/>
        </w:trPr>
        <w:tc>
          <w:tcPr>
            <w:tcW w:w="453" w:type="dxa"/>
            <w:tcMar>
              <w:left w:w="28" w:type="dxa"/>
              <w:right w:w="28" w:type="dxa"/>
            </w:tcMar>
            <w:vAlign w:val="center"/>
          </w:tcPr>
          <w:p>
            <w:pPr>
              <w:adjustRightInd w:val="0"/>
              <w:snapToGrid w:val="0"/>
              <w:jc w:val="center"/>
              <w:rPr>
                <w:bCs/>
                <w:color w:val="auto"/>
                <w:szCs w:val="21"/>
              </w:rPr>
            </w:pPr>
            <w:r>
              <w:rPr>
                <w:bCs/>
                <w:color w:val="auto"/>
                <w:szCs w:val="21"/>
              </w:rPr>
              <w:t>运营</w:t>
            </w:r>
          </w:p>
          <w:p>
            <w:pPr>
              <w:adjustRightInd w:val="0"/>
              <w:snapToGrid w:val="0"/>
              <w:jc w:val="center"/>
              <w:rPr>
                <w:bCs/>
                <w:color w:val="auto"/>
                <w:szCs w:val="21"/>
              </w:rPr>
            </w:pPr>
            <w:r>
              <w:rPr>
                <w:bCs/>
                <w:color w:val="auto"/>
                <w:szCs w:val="21"/>
              </w:rPr>
              <w:t>期环</w:t>
            </w:r>
          </w:p>
          <w:p>
            <w:pPr>
              <w:adjustRightInd w:val="0"/>
              <w:snapToGrid w:val="0"/>
              <w:jc w:val="center"/>
              <w:rPr>
                <w:bCs/>
                <w:color w:val="auto"/>
                <w:szCs w:val="21"/>
              </w:rPr>
            </w:pPr>
            <w:r>
              <w:rPr>
                <w:bCs/>
                <w:color w:val="auto"/>
                <w:szCs w:val="21"/>
              </w:rPr>
              <w:t>境影</w:t>
            </w:r>
          </w:p>
          <w:p>
            <w:pPr>
              <w:adjustRightInd w:val="0"/>
              <w:snapToGrid w:val="0"/>
              <w:jc w:val="center"/>
              <w:rPr>
                <w:bCs/>
                <w:color w:val="auto"/>
                <w:szCs w:val="21"/>
              </w:rPr>
            </w:pPr>
            <w:r>
              <w:rPr>
                <w:bCs/>
                <w:color w:val="auto"/>
                <w:szCs w:val="21"/>
              </w:rPr>
              <w:t>响和</w:t>
            </w:r>
          </w:p>
          <w:p>
            <w:pPr>
              <w:adjustRightInd w:val="0"/>
              <w:snapToGrid w:val="0"/>
              <w:jc w:val="center"/>
              <w:rPr>
                <w:bCs/>
                <w:color w:val="auto"/>
                <w:szCs w:val="21"/>
              </w:rPr>
            </w:pPr>
            <w:r>
              <w:rPr>
                <w:bCs/>
                <w:color w:val="auto"/>
                <w:szCs w:val="21"/>
              </w:rPr>
              <w:t>保护</w:t>
            </w:r>
          </w:p>
          <w:p>
            <w:pPr>
              <w:adjustRightInd w:val="0"/>
              <w:snapToGrid w:val="0"/>
              <w:jc w:val="center"/>
              <w:rPr>
                <w:bCs/>
                <w:color w:val="auto"/>
                <w:szCs w:val="21"/>
              </w:rPr>
            </w:pPr>
            <w:r>
              <w:rPr>
                <w:bCs/>
                <w:color w:val="auto"/>
                <w:szCs w:val="21"/>
              </w:rPr>
              <w:t>措施</w:t>
            </w:r>
          </w:p>
        </w:tc>
        <w:tc>
          <w:tcPr>
            <w:tcW w:w="8528" w:type="dxa"/>
            <w:vAlign w:val="center"/>
          </w:tcPr>
          <w:p>
            <w:pPr>
              <w:spacing w:line="480" w:lineRule="exact"/>
              <w:ind w:firstLine="422" w:firstLineChars="200"/>
              <w:textAlignment w:val="baseline"/>
              <w:rPr>
                <w:b/>
                <w:bCs/>
                <w:color w:val="auto"/>
              </w:rPr>
            </w:pPr>
            <w:r>
              <w:rPr>
                <w:rFonts w:hint="eastAsia"/>
                <w:b/>
                <w:bCs/>
                <w:color w:val="auto"/>
              </w:rPr>
              <w:t>4.2运营期大气环境影响分析及治理措施</w:t>
            </w:r>
          </w:p>
          <w:p>
            <w:pPr>
              <w:spacing w:line="480" w:lineRule="exact"/>
              <w:ind w:firstLine="422" w:firstLineChars="200"/>
              <w:textAlignment w:val="baseline"/>
              <w:rPr>
                <w:b/>
                <w:bCs/>
                <w:color w:val="auto"/>
              </w:rPr>
            </w:pPr>
            <w:r>
              <w:rPr>
                <w:rFonts w:hint="eastAsia"/>
                <w:b/>
                <w:bCs/>
                <w:color w:val="auto"/>
              </w:rPr>
              <w:t>4.2.1废气污染源强核算</w:t>
            </w:r>
          </w:p>
          <w:p>
            <w:pPr>
              <w:tabs>
                <w:tab w:val="left" w:pos="7600"/>
                <w:tab w:val="right" w:pos="14293"/>
              </w:tabs>
              <w:spacing w:line="480" w:lineRule="exact"/>
              <w:ind w:firstLine="420" w:firstLineChars="200"/>
              <w:rPr>
                <w:color w:val="auto"/>
              </w:rPr>
            </w:pPr>
            <w:r>
              <w:rPr>
                <w:color w:val="auto"/>
              </w:rPr>
              <w:t>根据工程分析，本项目</w:t>
            </w:r>
            <w:r>
              <w:rPr>
                <w:rFonts w:hint="eastAsia"/>
                <w:color w:val="auto"/>
              </w:rPr>
              <w:t>运营期</w:t>
            </w:r>
            <w:r>
              <w:rPr>
                <w:color w:val="auto"/>
              </w:rPr>
              <w:t>废气主要为装卸粉尘、上料粉尘、筛分及一级破碎粉尘、</w:t>
            </w:r>
            <w:r>
              <w:rPr>
                <w:rFonts w:hint="eastAsia"/>
                <w:color w:val="auto"/>
                <w:lang w:val="en-US" w:eastAsia="zh-CN"/>
              </w:rPr>
              <w:t>搅拌粉尘、</w:t>
            </w:r>
            <w:r>
              <w:rPr>
                <w:color w:val="auto"/>
              </w:rPr>
              <w:t>道路运输扬尘。</w:t>
            </w:r>
          </w:p>
          <w:p>
            <w:pPr>
              <w:numPr>
                <w:ilvl w:val="0"/>
                <w:numId w:val="8"/>
              </w:numPr>
              <w:tabs>
                <w:tab w:val="left" w:pos="7600"/>
                <w:tab w:val="right" w:pos="14293"/>
              </w:tabs>
              <w:spacing w:line="480" w:lineRule="exact"/>
              <w:ind w:firstLine="420" w:firstLineChars="200"/>
              <w:rPr>
                <w:color w:val="auto"/>
              </w:rPr>
            </w:pPr>
            <w:r>
              <w:rPr>
                <w:color w:val="auto"/>
              </w:rPr>
              <w:t>有组织源强分析</w:t>
            </w:r>
          </w:p>
          <w:p>
            <w:pPr>
              <w:tabs>
                <w:tab w:val="left" w:pos="7600"/>
                <w:tab w:val="right" w:pos="14293"/>
              </w:tabs>
              <w:spacing w:line="480" w:lineRule="exact"/>
              <w:ind w:firstLine="420" w:firstLineChars="200"/>
              <w:rPr>
                <w:color w:val="auto"/>
              </w:rPr>
            </w:pPr>
            <w:r>
              <w:rPr>
                <w:rFonts w:hint="eastAsia"/>
                <w:color w:val="auto"/>
                <w:lang w:eastAsia="zh-CN"/>
              </w:rPr>
              <w:t>本项目有组织粉尘污染源为</w:t>
            </w:r>
            <w:r>
              <w:rPr>
                <w:color w:val="auto"/>
              </w:rPr>
              <w:t>炉渣一级破碎筛分工序产生的粉尘。</w:t>
            </w:r>
          </w:p>
          <w:p>
            <w:pPr>
              <w:tabs>
                <w:tab w:val="left" w:pos="7600"/>
                <w:tab w:val="right" w:pos="14293"/>
              </w:tabs>
              <w:spacing w:line="480" w:lineRule="exact"/>
              <w:ind w:firstLine="420" w:firstLineChars="200"/>
              <w:rPr>
                <w:color w:val="auto"/>
              </w:rPr>
            </w:pPr>
            <w:r>
              <w:rPr>
                <w:color w:val="auto"/>
              </w:rPr>
              <w:t>根据《第二次污染源普查产污系数手册》中炉渣</w:t>
            </w:r>
            <w:r>
              <w:rPr>
                <w:rFonts w:hint="eastAsia"/>
                <w:color w:val="auto"/>
              </w:rPr>
              <w:t>破碎筛分</w:t>
            </w:r>
            <w:r>
              <w:rPr>
                <w:color w:val="auto"/>
              </w:rPr>
              <w:t>产污系数表，本项目炉渣一级破碎筛分工序产尘系数取0.66kg/t</w:t>
            </w:r>
            <w:r>
              <w:rPr>
                <w:rFonts w:hint="eastAsia"/>
                <w:color w:val="auto"/>
              </w:rPr>
              <w:t>产品</w:t>
            </w:r>
            <w:r>
              <w:rPr>
                <w:color w:val="auto"/>
              </w:rPr>
              <w:t>，则筛分及一级破碎工序共产尘</w:t>
            </w:r>
            <w:r>
              <w:rPr>
                <w:rFonts w:hint="eastAsia"/>
                <w:color w:val="auto"/>
                <w:lang w:val="en-US" w:eastAsia="zh-CN"/>
              </w:rPr>
              <w:t>28.91</w:t>
            </w:r>
            <w:r>
              <w:rPr>
                <w:color w:val="auto"/>
              </w:rPr>
              <w:t>t/a（</w:t>
            </w:r>
            <w:r>
              <w:rPr>
                <w:rFonts w:hint="eastAsia"/>
                <w:color w:val="auto"/>
                <w:lang w:val="en-US" w:eastAsia="zh-CN"/>
              </w:rPr>
              <w:t>10.95</w:t>
            </w:r>
            <w:r>
              <w:rPr>
                <w:color w:val="auto"/>
              </w:rPr>
              <w:t>kg/h）。筛分及一级破碎均密闭进行，粉尘经密闭管道进入</w:t>
            </w:r>
            <w:r>
              <w:rPr>
                <w:rFonts w:hint="eastAsia"/>
                <w:color w:val="auto"/>
              </w:rPr>
              <w:t>布袋除尘器</w:t>
            </w:r>
            <w:r>
              <w:rPr>
                <w:color w:val="auto"/>
              </w:rPr>
              <w:t>处理，除尘风机量为</w:t>
            </w:r>
            <w:r>
              <w:rPr>
                <w:rFonts w:hint="eastAsia"/>
                <w:color w:val="auto"/>
                <w:lang w:val="en-US" w:eastAsia="zh-CN"/>
              </w:rPr>
              <w:t>8000</w:t>
            </w:r>
            <w:r>
              <w:rPr>
                <w:color w:val="auto"/>
              </w:rPr>
              <w:t>m</w:t>
            </w:r>
            <w:r>
              <w:rPr>
                <w:color w:val="auto"/>
                <w:vertAlign w:val="superscript"/>
              </w:rPr>
              <w:t>3</w:t>
            </w:r>
            <w:r>
              <w:rPr>
                <w:color w:val="auto"/>
              </w:rPr>
              <w:t>/h，除尘效率99%，年加工2640h，则筛分、破碎粉尘排放量为</w:t>
            </w:r>
            <w:r>
              <w:rPr>
                <w:rFonts w:hint="eastAsia"/>
                <w:color w:val="auto"/>
                <w:lang w:val="en-US" w:eastAsia="zh-CN"/>
              </w:rPr>
              <w:t>0.29</w:t>
            </w:r>
            <w:r>
              <w:rPr>
                <w:color w:val="auto"/>
              </w:rPr>
              <w:t>t/a，排放速率为0.</w:t>
            </w:r>
            <w:r>
              <w:rPr>
                <w:rFonts w:hint="eastAsia"/>
                <w:color w:val="auto"/>
                <w:lang w:val="en-US" w:eastAsia="zh-CN"/>
              </w:rPr>
              <w:t>11</w:t>
            </w:r>
            <w:r>
              <w:rPr>
                <w:color w:val="auto"/>
              </w:rPr>
              <w:t>kg/h，排放浓度</w:t>
            </w:r>
            <w:r>
              <w:rPr>
                <w:rFonts w:hint="eastAsia"/>
                <w:color w:val="auto"/>
                <w:lang w:val="en-US" w:eastAsia="zh-CN"/>
              </w:rPr>
              <w:t>13.75</w:t>
            </w:r>
            <w:r>
              <w:rPr>
                <w:color w:val="auto"/>
              </w:rPr>
              <w:t>mg/m</w:t>
            </w:r>
            <w:r>
              <w:rPr>
                <w:color w:val="auto"/>
                <w:vertAlign w:val="superscript"/>
              </w:rPr>
              <w:t>3</w:t>
            </w:r>
            <w:r>
              <w:rPr>
                <w:color w:val="auto"/>
              </w:rPr>
              <w:t>，在采取</w:t>
            </w:r>
            <w:r>
              <w:rPr>
                <w:rFonts w:hint="eastAsia"/>
                <w:color w:val="auto"/>
              </w:rPr>
              <w:t>“</w:t>
            </w:r>
            <w:r>
              <w:rPr>
                <w:color w:val="auto"/>
              </w:rPr>
              <w:t>集气罩+风机+布袋除尘器+15m高烟囱</w:t>
            </w:r>
            <w:r>
              <w:rPr>
                <w:rFonts w:hint="eastAsia"/>
                <w:color w:val="auto"/>
              </w:rPr>
              <w:t>”</w:t>
            </w:r>
            <w:r>
              <w:rPr>
                <w:color w:val="auto"/>
              </w:rPr>
              <w:t>处理后，满足《砖瓦工业大气污染物排放标准》GB29620-2013表2有组织废气排放限值要求。</w:t>
            </w:r>
          </w:p>
          <w:p>
            <w:pPr>
              <w:numPr>
                <w:ilvl w:val="0"/>
                <w:numId w:val="8"/>
              </w:numPr>
              <w:tabs>
                <w:tab w:val="left" w:pos="7600"/>
                <w:tab w:val="right" w:pos="14293"/>
              </w:tabs>
              <w:spacing w:line="480" w:lineRule="exact"/>
              <w:ind w:firstLine="420" w:firstLineChars="200"/>
              <w:rPr>
                <w:rFonts w:ascii="Times New Roman" w:hAnsi="Times New Roman" w:cs="Times New Roman"/>
                <w:color w:val="auto"/>
              </w:rPr>
            </w:pPr>
            <w:r>
              <w:rPr>
                <w:rFonts w:ascii="Times New Roman" w:hAnsi="Times New Roman" w:cs="Times New Roman"/>
                <w:color w:val="auto"/>
              </w:rPr>
              <w:t>无组织源强分析</w:t>
            </w:r>
          </w:p>
          <w:p>
            <w:pPr>
              <w:tabs>
                <w:tab w:val="left" w:pos="7600"/>
                <w:tab w:val="right" w:pos="14293"/>
              </w:tabs>
              <w:spacing w:line="480" w:lineRule="exact"/>
              <w:ind w:firstLine="420" w:firstLineChars="200"/>
              <w:rPr>
                <w:color w:val="auto"/>
              </w:rPr>
            </w:pPr>
            <w:r>
              <w:rPr>
                <w:color w:val="auto"/>
              </w:rPr>
              <w:t>①炉渣上料粉尘</w:t>
            </w:r>
          </w:p>
          <w:p>
            <w:pPr>
              <w:tabs>
                <w:tab w:val="left" w:pos="7600"/>
                <w:tab w:val="right" w:pos="14293"/>
              </w:tabs>
              <w:spacing w:line="480" w:lineRule="exact"/>
              <w:ind w:firstLine="420" w:firstLineChars="200"/>
              <w:rPr>
                <w:color w:val="auto"/>
              </w:rPr>
            </w:pPr>
            <w:r>
              <w:rPr>
                <w:color w:val="auto"/>
              </w:rPr>
              <w:t>本项目炉渣上料过程会产生一定量粉尘。根据《逸散性工业粉尘控制技术》，本项目上料工序产尘系数取0.02kg/t物料，炉渣年用量为</w:t>
            </w:r>
            <w:r>
              <w:rPr>
                <w:rFonts w:hint="eastAsia"/>
                <w:color w:val="auto"/>
                <w:lang w:val="en-US" w:eastAsia="zh-CN"/>
              </w:rPr>
              <w:t>4.38</w:t>
            </w:r>
            <w:r>
              <w:rPr>
                <w:color w:val="auto"/>
              </w:rPr>
              <w:t>万t，则上料粉尘产生量为</w:t>
            </w:r>
            <w:r>
              <w:rPr>
                <w:rFonts w:hint="eastAsia"/>
                <w:color w:val="auto"/>
                <w:lang w:val="en-US" w:eastAsia="zh-CN"/>
              </w:rPr>
              <w:t>876kg</w:t>
            </w:r>
            <w:r>
              <w:rPr>
                <w:color w:val="auto"/>
              </w:rPr>
              <w:t>/a（</w:t>
            </w:r>
            <w:r>
              <w:rPr>
                <w:rFonts w:hint="eastAsia"/>
                <w:color w:val="auto"/>
                <w:lang w:val="en-US" w:eastAsia="zh-CN"/>
              </w:rPr>
              <w:t>0.33</w:t>
            </w:r>
            <w:r>
              <w:rPr>
                <w:color w:val="auto"/>
              </w:rPr>
              <w:t>kg/h），炉渣处理车间采用洒水降尘措施，根据《第二次污染源普查产污系数手册》附录4：粉尘控制措施控制效率，洒水降尘效率取74%，根据附录5密闭车间粉尘控制效率为99%，经洒水降尘、车间密闭措施后，</w:t>
            </w:r>
            <w:r>
              <w:rPr>
                <w:rFonts w:hint="eastAsia"/>
                <w:color w:val="auto"/>
              </w:rPr>
              <w:t>炉渣</w:t>
            </w:r>
            <w:r>
              <w:rPr>
                <w:color w:val="auto"/>
              </w:rPr>
              <w:t>上料颗粒物排放</w:t>
            </w:r>
            <w:r>
              <w:rPr>
                <w:rFonts w:hint="eastAsia"/>
                <w:color w:val="auto"/>
              </w:rPr>
              <w:t>量为</w:t>
            </w:r>
            <w:r>
              <w:rPr>
                <w:rFonts w:hint="eastAsia"/>
                <w:color w:val="auto"/>
                <w:lang w:val="en-US" w:eastAsia="zh-CN"/>
              </w:rPr>
              <w:t>2.28kg</w:t>
            </w:r>
            <w:r>
              <w:rPr>
                <w:rFonts w:hint="eastAsia"/>
                <w:color w:val="auto"/>
              </w:rPr>
              <w:t>/a（</w:t>
            </w:r>
            <w:r>
              <w:rPr>
                <w:rFonts w:hint="eastAsia"/>
                <w:color w:val="auto"/>
                <w:lang w:val="en-US" w:eastAsia="zh-CN"/>
              </w:rPr>
              <w:t>0.86</w:t>
            </w:r>
            <w:r>
              <w:rPr>
                <w:rFonts w:hint="eastAsia"/>
                <w:color w:val="auto"/>
              </w:rPr>
              <w:t>g/h），</w:t>
            </w:r>
            <w:r>
              <w:rPr>
                <w:color w:val="auto"/>
              </w:rPr>
              <w:t>对空气质量影响较小。</w:t>
            </w:r>
          </w:p>
          <w:p>
            <w:pPr>
              <w:tabs>
                <w:tab w:val="left" w:pos="7600"/>
                <w:tab w:val="right" w:pos="14293"/>
              </w:tabs>
              <w:spacing w:line="480" w:lineRule="exact"/>
              <w:ind w:firstLine="420" w:firstLineChars="200"/>
              <w:rPr>
                <w:color w:val="auto"/>
              </w:rPr>
            </w:pPr>
            <w:r>
              <w:rPr>
                <w:color w:val="auto"/>
              </w:rPr>
              <w:t>②制砖工序上料粉尘</w:t>
            </w:r>
          </w:p>
          <w:p>
            <w:pPr>
              <w:tabs>
                <w:tab w:val="left" w:pos="7600"/>
                <w:tab w:val="right" w:pos="14293"/>
              </w:tabs>
              <w:spacing w:line="480" w:lineRule="exact"/>
              <w:ind w:firstLine="420" w:firstLineChars="200"/>
              <w:rPr>
                <w:color w:val="auto"/>
              </w:rPr>
            </w:pPr>
            <w:r>
              <w:rPr>
                <w:color w:val="auto"/>
              </w:rPr>
              <w:t>本项目破碎后尾砂含水率较高，其上料粉尘可忽略不计，制砖工艺上料工序仅考虑水泥上料粉尘。水泥粉料采用气力输送至储仓，在正常上料储存过程，会由于筒仓呼吸产生粉尘</w:t>
            </w:r>
            <w:r>
              <w:rPr>
                <w:rFonts w:hint="eastAsia"/>
                <w:color w:val="auto"/>
              </w:rPr>
              <w:t>。</w:t>
            </w:r>
            <w:r>
              <w:rPr>
                <w:color w:val="auto"/>
              </w:rPr>
              <w:t>根据《逸散性工业粉尘控制技术》，本项目制砖工序上料工序产尘系数取0.02kg/t物料，上料量为</w:t>
            </w:r>
            <w:r>
              <w:rPr>
                <w:rFonts w:hint="eastAsia"/>
                <w:color w:val="auto"/>
                <w:lang w:val="en-US" w:eastAsia="zh-CN"/>
              </w:rPr>
              <w:t>4533</w:t>
            </w:r>
            <w:r>
              <w:rPr>
                <w:color w:val="auto"/>
              </w:rPr>
              <w:t>t，则上料粉尘产生量</w:t>
            </w:r>
            <w:r>
              <w:rPr>
                <w:rFonts w:hint="eastAsia"/>
                <w:color w:val="auto"/>
                <w:lang w:val="en-US" w:eastAsia="zh-CN"/>
              </w:rPr>
              <w:t>90.66</w:t>
            </w:r>
            <w:r>
              <w:rPr>
                <w:rFonts w:hint="eastAsia"/>
                <w:color w:val="auto"/>
              </w:rPr>
              <w:t>kg</w:t>
            </w:r>
            <w:r>
              <w:rPr>
                <w:color w:val="auto"/>
              </w:rPr>
              <w:t>/a（</w:t>
            </w:r>
            <w:r>
              <w:rPr>
                <w:rFonts w:hint="eastAsia"/>
                <w:color w:val="auto"/>
                <w:lang w:val="en-US" w:eastAsia="zh-CN"/>
              </w:rPr>
              <w:t>34.3</w:t>
            </w:r>
            <w:r>
              <w:rPr>
                <w:color w:val="auto"/>
              </w:rPr>
              <w:t>g/h）。水泥筒仓设置仓顶滤筒式除尘设施，其除尘效率约为99.7%</w:t>
            </w:r>
            <w:r>
              <w:rPr>
                <w:rFonts w:hint="eastAsia"/>
                <w:color w:val="auto"/>
              </w:rPr>
              <w:t>，水泥</w:t>
            </w:r>
            <w:r>
              <w:rPr>
                <w:color w:val="auto"/>
              </w:rPr>
              <w:t>上料时颗粒物排放</w:t>
            </w:r>
            <w:r>
              <w:rPr>
                <w:rFonts w:hint="eastAsia"/>
                <w:color w:val="auto"/>
              </w:rPr>
              <w:t>量为0.</w:t>
            </w:r>
            <w:r>
              <w:rPr>
                <w:rFonts w:hint="eastAsia"/>
                <w:color w:val="auto"/>
                <w:lang w:val="en-US" w:eastAsia="zh-CN"/>
              </w:rPr>
              <w:t>272</w:t>
            </w:r>
            <w:r>
              <w:rPr>
                <w:rFonts w:hint="eastAsia"/>
                <w:color w:val="auto"/>
              </w:rPr>
              <w:t>kg/a（</w:t>
            </w:r>
            <w:r>
              <w:rPr>
                <w:rFonts w:hint="eastAsia"/>
                <w:color w:val="auto"/>
                <w:lang w:val="en-US" w:eastAsia="zh-CN"/>
              </w:rPr>
              <w:t>0.103</w:t>
            </w:r>
            <w:r>
              <w:rPr>
                <w:rFonts w:hint="eastAsia"/>
                <w:color w:val="auto"/>
              </w:rPr>
              <w:t>g/h），</w:t>
            </w:r>
            <w:r>
              <w:rPr>
                <w:color w:val="auto"/>
              </w:rPr>
              <w:t>对空气质量影响</w:t>
            </w:r>
            <w:r>
              <w:rPr>
                <w:rFonts w:hint="eastAsia"/>
                <w:color w:val="auto"/>
              </w:rPr>
              <w:t>可忽略不计</w:t>
            </w:r>
            <w:r>
              <w:rPr>
                <w:color w:val="auto"/>
              </w:rPr>
              <w:t>。</w:t>
            </w:r>
          </w:p>
          <w:p>
            <w:pPr>
              <w:tabs>
                <w:tab w:val="left" w:pos="7600"/>
                <w:tab w:val="right" w:pos="14293"/>
              </w:tabs>
              <w:spacing w:line="480" w:lineRule="exact"/>
              <w:ind w:firstLine="420" w:firstLineChars="200"/>
              <w:rPr>
                <w:color w:val="auto"/>
              </w:rPr>
            </w:pPr>
            <w:r>
              <w:rPr>
                <w:color w:val="auto"/>
              </w:rPr>
              <w:t>③炉渣、水泥等原材料装卸粉尘</w:t>
            </w:r>
          </w:p>
          <w:p>
            <w:pPr>
              <w:tabs>
                <w:tab w:val="left" w:pos="7600"/>
                <w:tab w:val="right" w:pos="14293"/>
              </w:tabs>
              <w:spacing w:line="480" w:lineRule="exact"/>
              <w:ind w:firstLine="420" w:firstLineChars="200"/>
              <w:rPr>
                <w:color w:val="auto"/>
              </w:rPr>
            </w:pPr>
            <w:r>
              <w:rPr>
                <w:color w:val="auto"/>
              </w:rPr>
              <w:t>根据《第二次污染源普查产污系数手册》附表2固体物料堆存颗粒物产排污核算系数手册，颗粒物产生量核算可按照以下公式计算：</w:t>
            </w:r>
          </w:p>
          <w:p>
            <w:pPr>
              <w:tabs>
                <w:tab w:val="left" w:pos="7600"/>
                <w:tab w:val="right" w:pos="14293"/>
              </w:tabs>
              <w:spacing w:line="480" w:lineRule="exact"/>
              <w:ind w:firstLine="420" w:firstLineChars="200"/>
              <w:jc w:val="center"/>
              <w:rPr>
                <w:color w:val="auto"/>
              </w:rPr>
            </w:pPr>
            <w:r>
              <w:rPr>
                <w:color w:val="auto"/>
              </w:rPr>
              <w:t>P = [ N</w:t>
            </w:r>
            <w:r>
              <w:rPr>
                <w:color w:val="auto"/>
                <w:vertAlign w:val="subscript"/>
              </w:rPr>
              <w:t>C</w:t>
            </w:r>
            <w:r>
              <w:rPr>
                <w:color w:val="auto"/>
              </w:rPr>
              <w:t>×D×(a / b) +2×E</w:t>
            </w:r>
            <w:r>
              <w:rPr>
                <w:color w:val="auto"/>
                <w:vertAlign w:val="subscript"/>
              </w:rPr>
              <w:t>f</w:t>
            </w:r>
            <w:r>
              <w:rPr>
                <w:color w:val="auto"/>
              </w:rPr>
              <w:t>×S]×10</w:t>
            </w:r>
            <w:r>
              <w:rPr>
                <w:color w:val="auto"/>
                <w:vertAlign w:val="superscript"/>
              </w:rPr>
              <w:t>-3</w:t>
            </w:r>
          </w:p>
          <w:p>
            <w:pPr>
              <w:pStyle w:val="6"/>
              <w:spacing w:before="0" w:after="0" w:line="480" w:lineRule="exact"/>
              <w:ind w:firstLine="420" w:firstLineChars="200"/>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式中：P—颗粒物产生量（t）；N</w:t>
            </w:r>
            <w:r>
              <w:rPr>
                <w:rFonts w:hint="default" w:ascii="Times New Roman" w:hAnsi="Times New Roman" w:eastAsia="宋体" w:cs="Times New Roman"/>
                <w:b w:val="0"/>
                <w:bCs w:val="0"/>
                <w:color w:val="auto"/>
                <w:sz w:val="21"/>
                <w:szCs w:val="21"/>
                <w:vertAlign w:val="subscript"/>
              </w:rPr>
              <w:t>C</w:t>
            </w:r>
            <w:r>
              <w:rPr>
                <w:rFonts w:hint="default" w:ascii="Times New Roman" w:hAnsi="Times New Roman" w:eastAsia="宋体" w:cs="Times New Roman"/>
                <w:b w:val="0"/>
                <w:bCs w:val="0"/>
                <w:color w:val="auto"/>
                <w:sz w:val="21"/>
                <w:szCs w:val="21"/>
              </w:rPr>
              <w:t>—年物料运载车次（车），按照20t/车计算，炉渣为</w:t>
            </w:r>
            <w:r>
              <w:rPr>
                <w:rFonts w:hint="default" w:ascii="Times New Roman" w:hAnsi="Times New Roman" w:eastAsia="宋体" w:cs="Times New Roman"/>
                <w:b w:val="0"/>
                <w:bCs w:val="0"/>
                <w:color w:val="auto"/>
                <w:sz w:val="21"/>
                <w:szCs w:val="21"/>
                <w:lang w:val="en-US" w:eastAsia="zh-CN"/>
              </w:rPr>
              <w:t>2190</w:t>
            </w:r>
            <w:r>
              <w:rPr>
                <w:rFonts w:hint="default" w:ascii="Times New Roman" w:hAnsi="Times New Roman" w:eastAsia="宋体" w:cs="Times New Roman"/>
                <w:b w:val="0"/>
                <w:bCs w:val="0"/>
                <w:color w:val="auto"/>
                <w:sz w:val="21"/>
                <w:szCs w:val="21"/>
              </w:rPr>
              <w:t>车，水泥为</w:t>
            </w:r>
            <w:r>
              <w:rPr>
                <w:rFonts w:hint="default" w:ascii="Times New Roman" w:hAnsi="Times New Roman" w:eastAsia="宋体" w:cs="Times New Roman"/>
                <w:b w:val="0"/>
                <w:bCs w:val="0"/>
                <w:color w:val="auto"/>
                <w:sz w:val="21"/>
                <w:szCs w:val="21"/>
                <w:lang w:val="en-US" w:eastAsia="zh-CN"/>
              </w:rPr>
              <w:t>227</w:t>
            </w:r>
            <w:r>
              <w:rPr>
                <w:rFonts w:hint="default" w:ascii="Times New Roman" w:hAnsi="Times New Roman" w:eastAsia="宋体" w:cs="Times New Roman"/>
                <w:b w:val="0"/>
                <w:bCs w:val="0"/>
                <w:color w:val="auto"/>
                <w:sz w:val="21"/>
                <w:szCs w:val="21"/>
              </w:rPr>
              <w:t>车；D—单车平均运载量（吨/车），取20吨/车；a/b—装卸扬尘概化系数（kg/t），炉渣和水泥分别取1.1和0.65；E</w:t>
            </w:r>
            <w:r>
              <w:rPr>
                <w:rFonts w:hint="default" w:ascii="Times New Roman" w:hAnsi="Times New Roman" w:eastAsia="宋体" w:cs="Times New Roman"/>
                <w:b w:val="0"/>
                <w:bCs w:val="0"/>
                <w:color w:val="auto"/>
                <w:sz w:val="21"/>
                <w:szCs w:val="21"/>
                <w:vertAlign w:val="subscript"/>
              </w:rPr>
              <w:t>f</w:t>
            </w:r>
            <w:r>
              <w:rPr>
                <w:rFonts w:hint="default" w:ascii="Times New Roman" w:hAnsi="Times New Roman" w:eastAsia="宋体" w:cs="Times New Roman"/>
                <w:b w:val="0"/>
                <w:bCs w:val="0"/>
                <w:color w:val="auto"/>
                <w:sz w:val="21"/>
                <w:szCs w:val="21"/>
              </w:rPr>
              <w:t>—堆场风蚀扬尘概化系数（kg/m</w:t>
            </w:r>
            <w:r>
              <w:rPr>
                <w:rFonts w:hint="default" w:ascii="Times New Roman" w:hAnsi="Times New Roman" w:eastAsia="宋体" w:cs="Times New Roman"/>
                <w:b w:val="0"/>
                <w:bCs w:val="0"/>
                <w:color w:val="auto"/>
                <w:sz w:val="21"/>
                <w:szCs w:val="21"/>
                <w:vertAlign w:val="superscript"/>
              </w:rPr>
              <w:t>2</w:t>
            </w:r>
            <w:r>
              <w:rPr>
                <w:rFonts w:hint="default" w:ascii="Times New Roman" w:hAnsi="Times New Roman" w:eastAsia="宋体" w:cs="Times New Roman"/>
                <w:b w:val="0"/>
                <w:bCs w:val="0"/>
                <w:color w:val="auto"/>
                <w:sz w:val="21"/>
                <w:szCs w:val="21"/>
              </w:rPr>
              <w:t>），炉渣和水泥分别取46.1652和3.6062；S—堆场建筑面积（m</w:t>
            </w:r>
            <w:r>
              <w:rPr>
                <w:rFonts w:hint="eastAsia" w:ascii="Times New Roman" w:hAnsi="Times New Roman" w:eastAsia="宋体" w:cs="Times New Roman"/>
                <w:b w:val="0"/>
                <w:bCs w:val="0"/>
                <w:color w:val="auto"/>
                <w:sz w:val="21"/>
                <w:szCs w:val="21"/>
                <w:vertAlign w:val="superscript"/>
                <w:lang w:val="en-US" w:eastAsia="zh-CN"/>
              </w:rPr>
              <w:t>2</w:t>
            </w:r>
            <w:r>
              <w:rPr>
                <w:rFonts w:hint="default" w:ascii="Times New Roman" w:hAnsi="Times New Roman" w:eastAsia="宋体" w:cs="Times New Roman"/>
                <w:b w:val="0"/>
                <w:bCs w:val="0"/>
                <w:color w:val="auto"/>
                <w:sz w:val="21"/>
                <w:szCs w:val="21"/>
              </w:rPr>
              <w:t>），取炉渣900m</w:t>
            </w:r>
            <w:r>
              <w:rPr>
                <w:rFonts w:hint="default" w:ascii="Times New Roman" w:hAnsi="Times New Roman" w:eastAsia="宋体" w:cs="Times New Roman"/>
                <w:b w:val="0"/>
                <w:bCs w:val="0"/>
                <w:color w:val="auto"/>
                <w:sz w:val="21"/>
                <w:szCs w:val="21"/>
                <w:vertAlign w:val="superscript"/>
              </w:rPr>
              <w:t>2</w:t>
            </w:r>
            <w:r>
              <w:rPr>
                <w:rFonts w:hint="default" w:ascii="Times New Roman" w:hAnsi="Times New Roman" w:eastAsia="宋体" w:cs="Times New Roman"/>
                <w:b w:val="0"/>
                <w:bCs w:val="0"/>
                <w:color w:val="auto"/>
                <w:sz w:val="21"/>
                <w:szCs w:val="21"/>
              </w:rPr>
              <w:t>，水泥为罐式储存，取值为0。</w:t>
            </w:r>
          </w:p>
          <w:p>
            <w:pPr>
              <w:spacing w:line="480" w:lineRule="exact"/>
              <w:ind w:firstLine="420" w:firstLineChars="200"/>
              <w:rPr>
                <w:color w:val="auto"/>
              </w:rPr>
            </w:pPr>
            <w:r>
              <w:rPr>
                <w:color w:val="auto"/>
              </w:rPr>
              <w:t>颗粒物排放量核算按照以下公式计算：</w:t>
            </w:r>
          </w:p>
          <w:p>
            <w:pPr>
              <w:tabs>
                <w:tab w:val="left" w:pos="7600"/>
                <w:tab w:val="right" w:pos="14293"/>
              </w:tabs>
              <w:spacing w:line="480" w:lineRule="exact"/>
              <w:ind w:firstLine="420" w:firstLineChars="200"/>
              <w:jc w:val="center"/>
              <w:rPr>
                <w:color w:val="auto"/>
              </w:rPr>
            </w:pPr>
            <w:r>
              <w:rPr>
                <w:color w:val="auto"/>
              </w:rPr>
              <w:t>U</w:t>
            </w:r>
            <w:r>
              <w:rPr>
                <w:color w:val="auto"/>
                <w:vertAlign w:val="subscript"/>
              </w:rPr>
              <w:t>C</w:t>
            </w:r>
            <w:r>
              <w:rPr>
                <w:color w:val="auto"/>
              </w:rPr>
              <w:t xml:space="preserve"> = P× (1 - C</w:t>
            </w:r>
            <w:r>
              <w:rPr>
                <w:color w:val="auto"/>
                <w:vertAlign w:val="subscript"/>
              </w:rPr>
              <w:t>m</w:t>
            </w:r>
            <w:r>
              <w:rPr>
                <w:color w:val="auto"/>
              </w:rPr>
              <w:t>) × (1 - T</w:t>
            </w:r>
            <w:r>
              <w:rPr>
                <w:color w:val="auto"/>
                <w:vertAlign w:val="subscript"/>
              </w:rPr>
              <w:t>m</w:t>
            </w:r>
            <w:r>
              <w:rPr>
                <w:color w:val="auto"/>
              </w:rPr>
              <w:t>)</w:t>
            </w:r>
          </w:p>
          <w:p>
            <w:pPr>
              <w:tabs>
                <w:tab w:val="left" w:pos="7600"/>
                <w:tab w:val="right" w:pos="14293"/>
              </w:tabs>
              <w:spacing w:line="480" w:lineRule="exact"/>
              <w:ind w:firstLine="420" w:firstLineChars="200"/>
              <w:rPr>
                <w:color w:val="auto"/>
              </w:rPr>
            </w:pPr>
            <w:r>
              <w:rPr>
                <w:color w:val="auto"/>
              </w:rPr>
              <w:t>式中：P—颗粒物产生量（t）；U</w:t>
            </w:r>
            <w:r>
              <w:rPr>
                <w:color w:val="auto"/>
                <w:vertAlign w:val="subscript"/>
              </w:rPr>
              <w:t>C</w:t>
            </w:r>
            <w:r>
              <w:rPr>
                <w:color w:val="auto"/>
              </w:rPr>
              <w:t>—颗粒物排放量（t）；C</w:t>
            </w:r>
            <w:r>
              <w:rPr>
                <w:color w:val="auto"/>
                <w:vertAlign w:val="subscript"/>
              </w:rPr>
              <w:t>m</w:t>
            </w:r>
            <w:r>
              <w:rPr>
                <w:color w:val="auto"/>
              </w:rPr>
              <w:t>—颗粒物控制措施控制效率（%），洒水74%，出入车辆冲洗78%；T</w:t>
            </w:r>
            <w:r>
              <w:rPr>
                <w:color w:val="auto"/>
                <w:vertAlign w:val="subscript"/>
              </w:rPr>
              <w:t>m</w:t>
            </w:r>
            <w:r>
              <w:rPr>
                <w:color w:val="auto"/>
              </w:rPr>
              <w:t>—堆场类型控制效率（%），取99%。</w:t>
            </w:r>
          </w:p>
          <w:p>
            <w:pPr>
              <w:tabs>
                <w:tab w:val="left" w:pos="7600"/>
                <w:tab w:val="right" w:pos="14293"/>
              </w:tabs>
              <w:spacing w:line="480" w:lineRule="exact"/>
              <w:ind w:firstLine="420" w:firstLineChars="200"/>
              <w:rPr>
                <w:color w:val="auto"/>
              </w:rPr>
            </w:pPr>
            <w:r>
              <w:rPr>
                <w:color w:val="auto"/>
              </w:rPr>
              <w:t>经以上公式计算，炉渣和水泥装卸颗粒物产生量分别为</w:t>
            </w:r>
            <w:r>
              <w:rPr>
                <w:rFonts w:hint="eastAsia"/>
                <w:color w:val="auto"/>
                <w:lang w:val="en-US" w:eastAsia="zh-CN"/>
              </w:rPr>
              <w:t>131.28</w:t>
            </w:r>
            <w:r>
              <w:rPr>
                <w:color w:val="auto"/>
              </w:rPr>
              <w:t>t</w:t>
            </w:r>
            <w:r>
              <w:rPr>
                <w:rFonts w:hint="eastAsia"/>
                <w:color w:val="auto"/>
              </w:rPr>
              <w:t>/a</w:t>
            </w:r>
            <w:r>
              <w:rPr>
                <w:color w:val="auto"/>
              </w:rPr>
              <w:t>和</w:t>
            </w:r>
            <w:r>
              <w:rPr>
                <w:rFonts w:hint="eastAsia"/>
                <w:color w:val="auto"/>
                <w:lang w:val="en-US" w:eastAsia="zh-CN"/>
              </w:rPr>
              <w:t>2.95</w:t>
            </w:r>
            <w:r>
              <w:rPr>
                <w:color w:val="auto"/>
              </w:rPr>
              <w:t>t</w:t>
            </w:r>
            <w:r>
              <w:rPr>
                <w:rFonts w:hint="eastAsia"/>
                <w:color w:val="auto"/>
              </w:rPr>
              <w:t>/a</w:t>
            </w:r>
            <w:r>
              <w:rPr>
                <w:color w:val="auto"/>
              </w:rPr>
              <w:t>；经洒水降尘及出入车辆冲洗后，排放量分别为0.</w:t>
            </w:r>
            <w:r>
              <w:rPr>
                <w:rFonts w:hint="eastAsia"/>
                <w:color w:val="auto"/>
                <w:lang w:val="en-US" w:eastAsia="zh-CN"/>
              </w:rPr>
              <w:t>075</w:t>
            </w:r>
            <w:r>
              <w:rPr>
                <w:color w:val="auto"/>
              </w:rPr>
              <w:t>t/a（</w:t>
            </w:r>
            <w:r>
              <w:rPr>
                <w:rFonts w:hint="eastAsia"/>
                <w:color w:val="auto"/>
                <w:lang w:val="en-US" w:eastAsia="zh-CN"/>
              </w:rPr>
              <w:t>28.4</w:t>
            </w:r>
            <w:r>
              <w:rPr>
                <w:color w:val="auto"/>
              </w:rPr>
              <w:t>g/h）和</w:t>
            </w:r>
            <w:r>
              <w:rPr>
                <w:rFonts w:hint="eastAsia"/>
                <w:color w:val="auto"/>
                <w:lang w:val="en-US" w:eastAsia="zh-CN"/>
              </w:rPr>
              <w:t>1.69</w:t>
            </w:r>
            <w:r>
              <w:rPr>
                <w:rFonts w:hint="eastAsia"/>
                <w:color w:val="auto"/>
              </w:rPr>
              <w:t>kg</w:t>
            </w:r>
            <w:r>
              <w:rPr>
                <w:color w:val="auto"/>
              </w:rPr>
              <w:t>/a（</w:t>
            </w:r>
            <w:r>
              <w:rPr>
                <w:rFonts w:hint="eastAsia"/>
                <w:color w:val="auto"/>
                <w:lang w:val="en-US" w:eastAsia="zh-CN"/>
              </w:rPr>
              <w:t>0.64</w:t>
            </w:r>
            <w:r>
              <w:rPr>
                <w:color w:val="auto"/>
              </w:rPr>
              <w:t>g/h）。由以上计算可知，在物料装卸过程中，经洒水降尘、出入车辆冲洗、车间密闭措施处理后，物料装卸颗粒物排放对空气质量影响较小。</w:t>
            </w:r>
          </w:p>
          <w:p>
            <w:pPr>
              <w:tabs>
                <w:tab w:val="left" w:pos="7600"/>
                <w:tab w:val="right" w:pos="14293"/>
              </w:tabs>
              <w:spacing w:line="480" w:lineRule="exact"/>
              <w:ind w:firstLine="420" w:firstLineChars="200"/>
              <w:rPr>
                <w:rFonts w:hint="eastAsia"/>
                <w:color w:val="auto"/>
                <w:lang w:eastAsia="zh-CN"/>
              </w:rPr>
            </w:pPr>
            <w:r>
              <w:rPr>
                <w:color w:val="auto"/>
              </w:rPr>
              <w:t>④</w:t>
            </w:r>
            <w:r>
              <w:rPr>
                <w:rFonts w:hint="eastAsia"/>
                <w:color w:val="auto"/>
                <w:lang w:eastAsia="zh-CN"/>
              </w:rPr>
              <w:t>制砖搅拌工序粉尘</w:t>
            </w:r>
          </w:p>
          <w:p>
            <w:pPr>
              <w:tabs>
                <w:tab w:val="left" w:pos="7600"/>
                <w:tab w:val="right" w:pos="14293"/>
              </w:tabs>
              <w:spacing w:line="480" w:lineRule="exact"/>
              <w:ind w:firstLine="420" w:firstLineChars="200"/>
              <w:rPr>
                <w:color w:val="auto"/>
              </w:rPr>
            </w:pPr>
            <w:r>
              <w:rPr>
                <w:rFonts w:hint="eastAsia"/>
                <w:color w:val="auto"/>
                <w:lang w:eastAsia="zh-CN"/>
              </w:rPr>
              <w:t>根据《逸散性工业粉尘控制技术》，水泥、粒料搅拌工序产尘系数为</w:t>
            </w:r>
            <w:r>
              <w:rPr>
                <w:rFonts w:hint="eastAsia"/>
                <w:color w:val="auto"/>
                <w:lang w:val="en-US" w:eastAsia="zh-CN"/>
              </w:rPr>
              <w:t>0.02kg/t物料，搅拌工序物料量为4.8万吨，则产生粉尘0.96t/a（0.36kg/h），搅拌过程中</w:t>
            </w:r>
            <w:r>
              <w:rPr>
                <w:color w:val="auto"/>
              </w:rPr>
              <w:t>采用洒水降尘措施，根据《第二次污染源普查产污系数手册》附录4：粉尘控制措施控制效率，洒水降尘效率取74%，根据附录5密闭车间粉尘控制效率为99%，经洒水降尘、车间密闭措施后，</w:t>
            </w:r>
            <w:r>
              <w:rPr>
                <w:rFonts w:hint="eastAsia"/>
                <w:color w:val="auto"/>
                <w:lang w:eastAsia="zh-CN"/>
              </w:rPr>
              <w:t>搅拌时</w:t>
            </w:r>
            <w:r>
              <w:rPr>
                <w:color w:val="auto"/>
              </w:rPr>
              <w:t>颗粒物排放</w:t>
            </w:r>
            <w:r>
              <w:rPr>
                <w:rFonts w:hint="eastAsia"/>
                <w:color w:val="auto"/>
              </w:rPr>
              <w:t>量为</w:t>
            </w:r>
            <w:r>
              <w:rPr>
                <w:rFonts w:hint="eastAsia"/>
                <w:color w:val="auto"/>
                <w:lang w:val="en-US" w:eastAsia="zh-CN"/>
              </w:rPr>
              <w:t>2.49kg</w:t>
            </w:r>
            <w:r>
              <w:rPr>
                <w:rFonts w:hint="eastAsia"/>
                <w:color w:val="auto"/>
              </w:rPr>
              <w:t>/a（</w:t>
            </w:r>
            <w:r>
              <w:rPr>
                <w:rFonts w:hint="eastAsia"/>
                <w:color w:val="auto"/>
                <w:lang w:val="en-US" w:eastAsia="zh-CN"/>
              </w:rPr>
              <w:t>0.94</w:t>
            </w:r>
            <w:r>
              <w:rPr>
                <w:rFonts w:hint="eastAsia"/>
                <w:color w:val="auto"/>
              </w:rPr>
              <w:t>g/h），</w:t>
            </w:r>
            <w:r>
              <w:rPr>
                <w:color w:val="auto"/>
              </w:rPr>
              <w:t>对空气质量影响较小。</w:t>
            </w:r>
          </w:p>
          <w:p>
            <w:pPr>
              <w:tabs>
                <w:tab w:val="left" w:pos="7600"/>
                <w:tab w:val="right" w:pos="14293"/>
              </w:tabs>
              <w:spacing w:line="480" w:lineRule="exact"/>
              <w:ind w:firstLine="420" w:firstLineChars="200"/>
              <w:rPr>
                <w:color w:val="auto"/>
              </w:rPr>
            </w:pPr>
            <w:r>
              <w:rPr>
                <w:rFonts w:hint="eastAsia"/>
                <w:color w:val="auto"/>
              </w:rPr>
              <w:t>⑤</w:t>
            </w:r>
            <w:r>
              <w:rPr>
                <w:color w:val="auto"/>
              </w:rPr>
              <w:t>车辆运输扬尘</w:t>
            </w:r>
          </w:p>
          <w:p>
            <w:pPr>
              <w:spacing w:line="480" w:lineRule="exact"/>
              <w:ind w:firstLine="420" w:firstLineChars="200"/>
              <w:rPr>
                <w:color w:val="auto"/>
              </w:rPr>
            </w:pPr>
            <w:r>
              <w:rPr>
                <w:color w:val="auto"/>
              </w:rPr>
              <w:t>车辆行驶产生的扬尘，选用上海港环境保护中心和武汉水运工程学院提出的经验公式估算，公式如下：</w:t>
            </w:r>
          </w:p>
          <w:p>
            <w:pPr>
              <w:spacing w:line="480" w:lineRule="exact"/>
              <w:ind w:firstLine="420" w:firstLineChars="200"/>
              <w:jc w:val="center"/>
              <w:rPr>
                <w:color w:val="auto"/>
              </w:rPr>
            </w:pPr>
            <w:r>
              <w:rPr>
                <w:color w:val="auto"/>
              </w:rPr>
              <w:t>Q</w:t>
            </w:r>
            <w:r>
              <w:rPr>
                <w:color w:val="auto"/>
                <w:vertAlign w:val="subscript"/>
              </w:rPr>
              <w:t>P</w:t>
            </w:r>
            <w:r>
              <w:rPr>
                <w:color w:val="auto"/>
              </w:rPr>
              <w:t>=0.123</w:t>
            </w:r>
            <w:r>
              <w:rPr>
                <w:color w:val="auto"/>
                <w:lang w:val="de-DE"/>
              </w:rPr>
              <w:t>×</w:t>
            </w:r>
            <w:r>
              <w:rPr>
                <w:color w:val="auto"/>
              </w:rPr>
              <w:t>(V/5)</w:t>
            </w:r>
            <w:r>
              <w:rPr>
                <w:color w:val="auto"/>
                <w:lang w:val="de-DE"/>
              </w:rPr>
              <w:t>×</w:t>
            </w:r>
            <w:r>
              <w:rPr>
                <w:color w:val="auto"/>
              </w:rPr>
              <w:t>(W/6.8)</w:t>
            </w:r>
            <w:r>
              <w:rPr>
                <w:color w:val="auto"/>
                <w:vertAlign w:val="superscript"/>
              </w:rPr>
              <w:t>0.65</w:t>
            </w:r>
            <w:r>
              <w:rPr>
                <w:color w:val="auto"/>
                <w:lang w:val="de-DE"/>
              </w:rPr>
              <w:t>×</w:t>
            </w:r>
            <w:r>
              <w:rPr>
                <w:color w:val="auto"/>
              </w:rPr>
              <w:t>(P/0.5)</w:t>
            </w:r>
            <w:r>
              <w:rPr>
                <w:color w:val="auto"/>
                <w:vertAlign w:val="superscript"/>
              </w:rPr>
              <w:t>0.72</w:t>
            </w:r>
          </w:p>
          <w:p>
            <w:pPr>
              <w:spacing w:line="480" w:lineRule="exact"/>
              <w:ind w:firstLine="420" w:firstLineChars="200"/>
              <w:jc w:val="center"/>
              <w:rPr>
                <w:color w:val="auto"/>
              </w:rPr>
            </w:pPr>
            <w:r>
              <w:rPr>
                <w:color w:val="auto"/>
              </w:rPr>
              <w:t>Q</w:t>
            </w:r>
            <w:r>
              <w:rPr>
                <w:color w:val="auto"/>
                <w:vertAlign w:val="subscript"/>
              </w:rPr>
              <w:t>P</w:t>
            </w:r>
            <w:r>
              <w:rPr>
                <w:color w:val="auto"/>
              </w:rPr>
              <w:t>’=Q</w:t>
            </w:r>
            <w:r>
              <w:rPr>
                <w:color w:val="auto"/>
                <w:vertAlign w:val="subscript"/>
              </w:rPr>
              <w:t>P</w:t>
            </w:r>
            <w:r>
              <w:rPr>
                <w:color w:val="auto"/>
                <w:lang w:val="de-DE"/>
              </w:rPr>
              <w:t>×</w:t>
            </w:r>
            <w:r>
              <w:rPr>
                <w:color w:val="auto"/>
              </w:rPr>
              <w:t>L</w:t>
            </w:r>
            <w:r>
              <w:rPr>
                <w:color w:val="auto"/>
                <w:lang w:val="de-DE"/>
              </w:rPr>
              <w:t>×</w:t>
            </w:r>
            <w:r>
              <w:rPr>
                <w:color w:val="auto"/>
              </w:rPr>
              <w:t>Q/W</w:t>
            </w:r>
          </w:p>
          <w:p>
            <w:pPr>
              <w:spacing w:line="480" w:lineRule="exact"/>
              <w:ind w:firstLine="420" w:firstLineChars="200"/>
              <w:rPr>
                <w:color w:val="auto"/>
              </w:rPr>
            </w:pPr>
            <w:r>
              <w:rPr>
                <w:color w:val="auto"/>
              </w:rPr>
              <w:t>式中：Q</w:t>
            </w:r>
            <w:r>
              <w:rPr>
                <w:color w:val="auto"/>
                <w:vertAlign w:val="subscript"/>
              </w:rPr>
              <w:t>P</w:t>
            </w:r>
            <w:r>
              <w:rPr>
                <w:color w:val="auto"/>
              </w:rPr>
              <w:t>—扬尘量，kg/km</w:t>
            </w:r>
            <w:r>
              <w:rPr>
                <w:color w:val="auto"/>
                <w:lang w:val="de-DE"/>
              </w:rPr>
              <w:t>·</w:t>
            </w:r>
            <w:r>
              <w:rPr>
                <w:color w:val="auto"/>
              </w:rPr>
              <w:t>每车；</w:t>
            </w:r>
          </w:p>
          <w:p>
            <w:pPr>
              <w:spacing w:line="480" w:lineRule="exact"/>
              <w:ind w:firstLine="420" w:firstLineChars="200"/>
              <w:rPr>
                <w:color w:val="auto"/>
              </w:rPr>
            </w:pPr>
            <w:r>
              <w:rPr>
                <w:color w:val="auto"/>
              </w:rPr>
              <w:t>V—车辆行驶速度，取15km/h；</w:t>
            </w:r>
          </w:p>
          <w:p>
            <w:pPr>
              <w:spacing w:line="480" w:lineRule="exact"/>
              <w:ind w:firstLine="420" w:firstLineChars="200"/>
              <w:rPr>
                <w:color w:val="auto"/>
              </w:rPr>
            </w:pPr>
            <w:r>
              <w:rPr>
                <w:color w:val="auto"/>
              </w:rPr>
              <w:t>W—车辆载重量，取20t；</w:t>
            </w:r>
          </w:p>
          <w:p>
            <w:pPr>
              <w:spacing w:line="480" w:lineRule="exact"/>
              <w:ind w:firstLine="420" w:firstLineChars="200"/>
              <w:rPr>
                <w:color w:val="auto"/>
              </w:rPr>
            </w:pPr>
            <w:r>
              <w:rPr>
                <w:color w:val="auto"/>
              </w:rPr>
              <w:t>P—单位路面起尘量，取0.1kg/m</w:t>
            </w:r>
            <w:r>
              <w:rPr>
                <w:color w:val="auto"/>
                <w:vertAlign w:val="superscript"/>
              </w:rPr>
              <w:t>2</w:t>
            </w:r>
            <w:r>
              <w:rPr>
                <w:color w:val="auto"/>
              </w:rPr>
              <w:t>；</w:t>
            </w:r>
          </w:p>
          <w:p>
            <w:pPr>
              <w:spacing w:line="480" w:lineRule="exact"/>
              <w:ind w:firstLine="420" w:firstLineChars="200"/>
              <w:rPr>
                <w:color w:val="auto"/>
              </w:rPr>
            </w:pPr>
            <w:r>
              <w:rPr>
                <w:color w:val="auto"/>
              </w:rPr>
              <w:t>L—运距，约0.4km；</w:t>
            </w:r>
          </w:p>
          <w:p>
            <w:pPr>
              <w:spacing w:line="480" w:lineRule="exact"/>
              <w:ind w:firstLine="420" w:firstLineChars="200"/>
              <w:rPr>
                <w:color w:val="auto"/>
              </w:rPr>
            </w:pPr>
            <w:r>
              <w:rPr>
                <w:color w:val="auto"/>
              </w:rPr>
              <w:t>Q—运输量，运输量为</w:t>
            </w:r>
            <w:r>
              <w:rPr>
                <w:rFonts w:hint="eastAsia"/>
                <w:color w:val="auto"/>
                <w:lang w:val="en-US" w:eastAsia="zh-CN"/>
              </w:rPr>
              <w:t>48340</w:t>
            </w:r>
            <w:r>
              <w:rPr>
                <w:color w:val="auto"/>
              </w:rPr>
              <w:t>t/a；</w:t>
            </w:r>
          </w:p>
          <w:p>
            <w:pPr>
              <w:spacing w:line="480" w:lineRule="exact"/>
              <w:ind w:firstLine="420" w:firstLineChars="200"/>
              <w:rPr>
                <w:color w:val="auto"/>
              </w:rPr>
            </w:pPr>
            <w:r>
              <w:rPr>
                <w:color w:val="auto"/>
              </w:rPr>
              <w:t>Q</w:t>
            </w:r>
            <w:r>
              <w:rPr>
                <w:color w:val="auto"/>
                <w:vertAlign w:val="subscript"/>
              </w:rPr>
              <w:t>P</w:t>
            </w:r>
            <w:r>
              <w:rPr>
                <w:color w:val="auto"/>
              </w:rPr>
              <w:t>’—总扬尘量，kg/a。</w:t>
            </w:r>
          </w:p>
          <w:p>
            <w:pPr>
              <w:spacing w:line="480" w:lineRule="exact"/>
              <w:ind w:firstLine="420" w:firstLineChars="200"/>
              <w:rPr>
                <w:color w:val="auto"/>
              </w:rPr>
            </w:pPr>
            <w:r>
              <w:rPr>
                <w:color w:val="auto"/>
              </w:rPr>
              <w:t>计算得Q</w:t>
            </w:r>
            <w:r>
              <w:rPr>
                <w:color w:val="auto"/>
                <w:vertAlign w:val="subscript"/>
              </w:rPr>
              <w:t>P</w:t>
            </w:r>
            <w:r>
              <w:rPr>
                <w:color w:val="auto"/>
              </w:rPr>
              <w:t>＝0.2335kg/km·每车，计算汽车运输总扬尘量为</w:t>
            </w:r>
            <w:r>
              <w:rPr>
                <w:rFonts w:hint="eastAsia"/>
                <w:color w:val="auto"/>
                <w:lang w:val="en-US" w:eastAsia="zh-CN"/>
              </w:rPr>
              <w:t>225.76</w:t>
            </w:r>
            <w:r>
              <w:rPr>
                <w:rFonts w:hint="eastAsia"/>
                <w:color w:val="auto"/>
              </w:rPr>
              <w:t>kg</w:t>
            </w:r>
            <w:r>
              <w:rPr>
                <w:color w:val="auto"/>
              </w:rPr>
              <w:t>/a。</w:t>
            </w:r>
          </w:p>
          <w:p>
            <w:pPr>
              <w:tabs>
                <w:tab w:val="left" w:pos="7600"/>
                <w:tab w:val="right" w:pos="14293"/>
              </w:tabs>
              <w:spacing w:line="480" w:lineRule="exact"/>
              <w:ind w:firstLine="420" w:firstLineChars="200"/>
              <w:rPr>
                <w:color w:val="auto"/>
              </w:rPr>
            </w:pPr>
            <w:r>
              <w:rPr>
                <w:color w:val="auto"/>
              </w:rPr>
              <w:t>在厂区设置车辆冲洗平台对进出车辆</w:t>
            </w:r>
            <w:r>
              <w:rPr>
                <w:rFonts w:hint="eastAsia"/>
                <w:color w:val="auto"/>
                <w:lang w:eastAsia="zh-CN"/>
              </w:rPr>
              <w:t>车头、</w:t>
            </w:r>
            <w:r>
              <w:rPr>
                <w:color w:val="auto"/>
              </w:rPr>
              <w:t>轮胎及底盘</w:t>
            </w:r>
            <w:r>
              <w:rPr>
                <w:rFonts w:hint="eastAsia"/>
                <w:color w:val="auto"/>
                <w:lang w:eastAsia="zh-CN"/>
              </w:rPr>
              <w:t>等</w:t>
            </w:r>
            <w:r>
              <w:rPr>
                <w:color w:val="auto"/>
              </w:rPr>
              <w:t>进行冲洗，设置喷淋装置对厂区道路进行喷淋洒水，采取以上措施后，可降尘80%左右，则道路运输扬尘产生量为</w:t>
            </w:r>
            <w:r>
              <w:rPr>
                <w:rFonts w:hint="eastAsia"/>
                <w:color w:val="auto"/>
                <w:lang w:val="en-US" w:eastAsia="zh-CN"/>
              </w:rPr>
              <w:t>45.15</w:t>
            </w:r>
            <w:r>
              <w:rPr>
                <w:rFonts w:hint="eastAsia"/>
                <w:color w:val="auto"/>
              </w:rPr>
              <w:t>kg</w:t>
            </w:r>
            <w:r>
              <w:rPr>
                <w:color w:val="auto"/>
              </w:rPr>
              <w:t>/a。</w:t>
            </w:r>
          </w:p>
          <w:p>
            <w:pPr>
              <w:tabs>
                <w:tab w:val="left" w:pos="7600"/>
                <w:tab w:val="right" w:pos="14293"/>
              </w:tabs>
              <w:spacing w:line="480" w:lineRule="exact"/>
              <w:ind w:firstLine="422" w:firstLineChars="200"/>
              <w:jc w:val="center"/>
              <w:rPr>
                <w:b/>
                <w:bCs/>
                <w:color w:val="auto"/>
              </w:rPr>
            </w:pPr>
            <w:r>
              <w:rPr>
                <w:b/>
                <w:bCs/>
                <w:color w:val="auto"/>
              </w:rPr>
              <w:t>表4-2    颗粒物产排情况一览表</w:t>
            </w:r>
          </w:p>
          <w:tbl>
            <w:tblPr>
              <w:tblStyle w:val="23"/>
              <w:tblpPr w:leftFromText="180" w:rightFromText="180" w:vertAnchor="text" w:horzAnchor="page" w:tblpXSpec="center" w:tblpY="52"/>
              <w:tblOverlap w:val="never"/>
              <w:tblW w:w="83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4"/>
              <w:gridCol w:w="938"/>
              <w:gridCol w:w="867"/>
              <w:gridCol w:w="886"/>
              <w:gridCol w:w="1233"/>
              <w:gridCol w:w="973"/>
              <w:gridCol w:w="834"/>
              <w:gridCol w:w="909"/>
              <w:gridCol w:w="95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478"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b/>
                      <w:bCs/>
                      <w:color w:val="auto"/>
                    </w:rPr>
                  </w:pPr>
                  <w:r>
                    <w:rPr>
                      <w:b/>
                      <w:bCs/>
                      <w:color w:val="auto"/>
                    </w:rPr>
                    <w:t>污染工序</w:t>
                  </w:r>
                </w:p>
              </w:tc>
              <w:tc>
                <w:tcPr>
                  <w:tcW w:w="1602"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b/>
                      <w:bCs/>
                      <w:color w:val="auto"/>
                    </w:rPr>
                  </w:pPr>
                  <w:r>
                    <w:rPr>
                      <w:b/>
                      <w:bCs/>
                      <w:color w:val="auto"/>
                    </w:rPr>
                    <w:t>产生情况</w:t>
                  </w:r>
                </w:p>
              </w:tc>
              <w:tc>
                <w:tcPr>
                  <w:tcW w:w="734"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b/>
                      <w:bCs/>
                      <w:color w:val="auto"/>
                    </w:rPr>
                  </w:pPr>
                  <w:r>
                    <w:rPr>
                      <w:b/>
                      <w:bCs/>
                      <w:color w:val="auto"/>
                    </w:rPr>
                    <w:t>防治措施</w:t>
                  </w:r>
                </w:p>
              </w:tc>
              <w:tc>
                <w:tcPr>
                  <w:tcW w:w="1617"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b/>
                      <w:bCs/>
                      <w:color w:val="auto"/>
                    </w:rPr>
                  </w:pPr>
                  <w:r>
                    <w:rPr>
                      <w:b/>
                      <w:bCs/>
                      <w:color w:val="auto"/>
                    </w:rPr>
                    <w:t>排放情况</w:t>
                  </w:r>
                </w:p>
              </w:tc>
              <w:tc>
                <w:tcPr>
                  <w:tcW w:w="567"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b/>
                      <w:bCs/>
                      <w:color w:val="auto"/>
                    </w:rPr>
                  </w:pPr>
                  <w:r>
                    <w:rPr>
                      <w:b/>
                      <w:bCs/>
                      <w:color w:val="auto"/>
                    </w:rPr>
                    <w:t>标准限值(mg/m</w:t>
                  </w:r>
                  <w:r>
                    <w:rPr>
                      <w:b/>
                      <w:bCs/>
                      <w:color w:val="auto"/>
                      <w:vertAlign w:val="superscript"/>
                    </w:rPr>
                    <w:t>3</w:t>
                  </w:r>
                  <w:r>
                    <w:rPr>
                      <w:b/>
                      <w:bCs/>
                      <w:color w:val="auto"/>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478"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rPr>
                  </w:pPr>
                </w:p>
              </w:tc>
              <w:tc>
                <w:tcPr>
                  <w:tcW w:w="55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rPr>
                  </w:pPr>
                  <w:r>
                    <w:rPr>
                      <w:color w:val="auto"/>
                    </w:rPr>
                    <w:t>产生</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rPr>
                  </w:pPr>
                  <w:r>
                    <w:rPr>
                      <w:color w:val="auto"/>
                    </w:rPr>
                    <w:t>浓度</w:t>
                  </w:r>
                </w:p>
                <w:p>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rPr>
                  </w:pPr>
                  <w:r>
                    <w:rPr>
                      <w:color w:val="auto"/>
                    </w:rPr>
                    <w:t>(mg/m</w:t>
                  </w:r>
                  <w:r>
                    <w:rPr>
                      <w:color w:val="auto"/>
                      <w:vertAlign w:val="superscript"/>
                    </w:rPr>
                    <w:t>3</w:t>
                  </w:r>
                  <w:r>
                    <w:rPr>
                      <w:color w:val="auto"/>
                      <w:vertAlign w:val="baseline"/>
                    </w:rPr>
                    <w:t>)</w:t>
                  </w:r>
                </w:p>
              </w:tc>
              <w:tc>
                <w:tcPr>
                  <w:tcW w:w="51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rPr>
                  </w:pPr>
                  <w:r>
                    <w:rPr>
                      <w:color w:val="auto"/>
                    </w:rPr>
                    <w:t>产生量(t/a)</w:t>
                  </w:r>
                </w:p>
              </w:tc>
              <w:tc>
                <w:tcPr>
                  <w:tcW w:w="52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rPr>
                  </w:pPr>
                  <w:r>
                    <w:rPr>
                      <w:color w:val="auto"/>
                    </w:rPr>
                    <w:t>产生速率(kg/h)</w:t>
                  </w:r>
                </w:p>
              </w:tc>
              <w:tc>
                <w:tcPr>
                  <w:tcW w:w="734"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rPr>
                  </w:pPr>
                </w:p>
              </w:tc>
              <w:tc>
                <w:tcPr>
                  <w:tcW w:w="57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rPr>
                  </w:pPr>
                  <w:r>
                    <w:rPr>
                      <w:color w:val="auto"/>
                    </w:rPr>
                    <w:t>排放</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rPr>
                  </w:pPr>
                  <w:r>
                    <w:rPr>
                      <w:color w:val="auto"/>
                    </w:rPr>
                    <w:t>浓度(mg/m</w:t>
                  </w:r>
                  <w:r>
                    <w:rPr>
                      <w:color w:val="auto"/>
                      <w:vertAlign w:val="superscript"/>
                    </w:rPr>
                    <w:t>3</w:t>
                  </w:r>
                  <w:r>
                    <w:rPr>
                      <w:color w:val="auto"/>
                    </w:rPr>
                    <w:t>)</w:t>
                  </w:r>
                </w:p>
              </w:tc>
              <w:tc>
                <w:tcPr>
                  <w:tcW w:w="4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rPr>
                  </w:pPr>
                  <w:r>
                    <w:rPr>
                      <w:color w:val="auto"/>
                    </w:rPr>
                    <w:t>排放量(t/a)</w:t>
                  </w:r>
                </w:p>
              </w:tc>
              <w:tc>
                <w:tcPr>
                  <w:tcW w:w="54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rPr>
                  </w:pPr>
                  <w:r>
                    <w:rPr>
                      <w:color w:val="auto"/>
                    </w:rPr>
                    <w:t>排放</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rPr>
                  </w:pPr>
                  <w:r>
                    <w:rPr>
                      <w:color w:val="auto"/>
                    </w:rPr>
                    <w:t>速率(kg/h)</w:t>
                  </w:r>
                </w:p>
              </w:tc>
              <w:tc>
                <w:tcPr>
                  <w:tcW w:w="567"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47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rPr>
                  </w:pPr>
                  <w:r>
                    <w:rPr>
                      <w:color w:val="auto"/>
                    </w:rPr>
                    <w:t>炉渣破碎筛分</w:t>
                  </w:r>
                </w:p>
              </w:tc>
              <w:tc>
                <w:tcPr>
                  <w:tcW w:w="55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color w:val="auto"/>
                      <w:lang w:eastAsia="zh-CN"/>
                    </w:rPr>
                  </w:pPr>
                  <w:r>
                    <w:rPr>
                      <w:rFonts w:hint="eastAsia"/>
                      <w:color w:val="auto"/>
                      <w:lang w:val="en-US" w:eastAsia="zh-CN"/>
                    </w:rPr>
                    <w:t>/</w:t>
                  </w:r>
                </w:p>
              </w:tc>
              <w:tc>
                <w:tcPr>
                  <w:tcW w:w="51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color w:val="auto"/>
                      <w:lang w:val="en-US" w:eastAsia="zh-CN"/>
                    </w:rPr>
                  </w:pPr>
                  <w:r>
                    <w:rPr>
                      <w:rFonts w:hint="eastAsia"/>
                      <w:color w:val="auto"/>
                      <w:lang w:val="en-US" w:eastAsia="zh-CN"/>
                    </w:rPr>
                    <w:t>28.91</w:t>
                  </w:r>
                </w:p>
              </w:tc>
              <w:tc>
                <w:tcPr>
                  <w:tcW w:w="52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color w:val="auto"/>
                      <w:lang w:val="en-US" w:eastAsia="zh-CN"/>
                    </w:rPr>
                  </w:pPr>
                  <w:r>
                    <w:rPr>
                      <w:rFonts w:hint="eastAsia"/>
                      <w:color w:val="auto"/>
                      <w:lang w:val="en-US" w:eastAsia="zh-CN"/>
                    </w:rPr>
                    <w:t>10.95</w:t>
                  </w:r>
                </w:p>
              </w:tc>
              <w:tc>
                <w:tcPr>
                  <w:tcW w:w="73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rPr>
                  </w:pPr>
                  <w:r>
                    <w:rPr>
                      <w:color w:val="auto"/>
                    </w:rPr>
                    <w:t>集气罩+风机+布袋除尘器+15m高烟囱</w:t>
                  </w:r>
                </w:p>
              </w:tc>
              <w:tc>
                <w:tcPr>
                  <w:tcW w:w="57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color w:val="auto"/>
                      <w:lang w:val="en-US" w:eastAsia="zh-CN"/>
                    </w:rPr>
                  </w:pPr>
                  <w:r>
                    <w:rPr>
                      <w:rFonts w:hint="eastAsia"/>
                      <w:color w:val="auto"/>
                      <w:lang w:val="en-US" w:eastAsia="zh-CN"/>
                    </w:rPr>
                    <w:t>13.75</w:t>
                  </w:r>
                </w:p>
              </w:tc>
              <w:tc>
                <w:tcPr>
                  <w:tcW w:w="4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color w:val="auto"/>
                      <w:lang w:val="en-US" w:eastAsia="zh-CN"/>
                    </w:rPr>
                  </w:pPr>
                  <w:r>
                    <w:rPr>
                      <w:rFonts w:hint="eastAsia"/>
                      <w:color w:val="auto"/>
                      <w:lang w:val="en-US" w:eastAsia="zh-CN"/>
                    </w:rPr>
                    <w:t>0.29</w:t>
                  </w:r>
                </w:p>
              </w:tc>
              <w:tc>
                <w:tcPr>
                  <w:tcW w:w="54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color w:val="auto"/>
                      <w:lang w:val="en-US" w:eastAsia="zh-CN"/>
                    </w:rPr>
                  </w:pPr>
                  <w:r>
                    <w:rPr>
                      <w:rFonts w:hint="eastAsia"/>
                      <w:color w:val="auto"/>
                      <w:lang w:val="en-US" w:eastAsia="zh-CN"/>
                    </w:rPr>
                    <w:t>0.11</w:t>
                  </w:r>
                </w:p>
              </w:tc>
              <w:tc>
                <w:tcPr>
                  <w:tcW w:w="56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rPr>
                  </w:pPr>
                  <w:r>
                    <w:rPr>
                      <w:color w:val="auto"/>
                    </w:rPr>
                    <w:t>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47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rPr>
                  </w:pPr>
                  <w:r>
                    <w:rPr>
                      <w:color w:val="auto"/>
                    </w:rPr>
                    <w:t>炉渣上料</w:t>
                  </w:r>
                </w:p>
              </w:tc>
              <w:tc>
                <w:tcPr>
                  <w:tcW w:w="55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rPr>
                  </w:pPr>
                  <w:r>
                    <w:rPr>
                      <w:color w:val="auto"/>
                    </w:rPr>
                    <w:t>/</w:t>
                  </w:r>
                </w:p>
              </w:tc>
              <w:tc>
                <w:tcPr>
                  <w:tcW w:w="51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color w:val="auto"/>
                      <w:lang w:val="en-US" w:eastAsia="zh-CN"/>
                    </w:rPr>
                  </w:pPr>
                  <w:r>
                    <w:rPr>
                      <w:rFonts w:hint="eastAsia"/>
                      <w:color w:val="auto"/>
                      <w:lang w:val="en-US" w:eastAsia="zh-CN"/>
                    </w:rPr>
                    <w:t>0.876</w:t>
                  </w:r>
                </w:p>
              </w:tc>
              <w:tc>
                <w:tcPr>
                  <w:tcW w:w="52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color w:val="auto"/>
                      <w:lang w:val="en-US" w:eastAsia="zh-CN"/>
                    </w:rPr>
                  </w:pPr>
                  <w:r>
                    <w:rPr>
                      <w:rFonts w:hint="eastAsia"/>
                      <w:color w:val="auto"/>
                      <w:lang w:val="en-US" w:eastAsia="zh-CN"/>
                    </w:rPr>
                    <w:t>0.33</w:t>
                  </w:r>
                </w:p>
              </w:tc>
              <w:tc>
                <w:tcPr>
                  <w:tcW w:w="73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rPr>
                  </w:pPr>
                  <w:r>
                    <w:rPr>
                      <w:color w:val="auto"/>
                    </w:rPr>
                    <w:t>洒水抑尘、密闭车间</w:t>
                  </w:r>
                </w:p>
              </w:tc>
              <w:tc>
                <w:tcPr>
                  <w:tcW w:w="57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rPr>
                  </w:pPr>
                  <w:r>
                    <w:rPr>
                      <w:color w:val="auto"/>
                    </w:rPr>
                    <w:t>/</w:t>
                  </w:r>
                </w:p>
              </w:tc>
              <w:tc>
                <w:tcPr>
                  <w:tcW w:w="4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color w:val="auto"/>
                      <w:lang w:val="en-US" w:eastAsia="zh-CN"/>
                    </w:rPr>
                  </w:pPr>
                  <w:r>
                    <w:rPr>
                      <w:rFonts w:hint="eastAsia"/>
                      <w:color w:val="auto"/>
                      <w:lang w:val="en-US" w:eastAsia="zh-CN"/>
                    </w:rPr>
                    <w:t>0.0023</w:t>
                  </w:r>
                </w:p>
              </w:tc>
              <w:tc>
                <w:tcPr>
                  <w:tcW w:w="54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color w:val="auto"/>
                      <w:lang w:val="en-US" w:eastAsia="zh-CN"/>
                    </w:rPr>
                  </w:pPr>
                  <w:r>
                    <w:rPr>
                      <w:rFonts w:hint="eastAsia"/>
                      <w:color w:val="auto"/>
                      <w:lang w:val="en-US" w:eastAsia="zh-CN"/>
                    </w:rPr>
                    <w:t>0.00086</w:t>
                  </w:r>
                </w:p>
              </w:tc>
              <w:tc>
                <w:tcPr>
                  <w:tcW w:w="567"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rPr>
                  </w:pPr>
                  <w:r>
                    <w:rPr>
                      <w:color w:val="auto"/>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7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rPr>
                  </w:pPr>
                  <w:r>
                    <w:rPr>
                      <w:color w:val="auto"/>
                    </w:rPr>
                    <w:t>水泥上料</w:t>
                  </w:r>
                </w:p>
              </w:tc>
              <w:tc>
                <w:tcPr>
                  <w:tcW w:w="55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rPr>
                  </w:pPr>
                  <w:r>
                    <w:rPr>
                      <w:color w:val="auto"/>
                    </w:rPr>
                    <w:t>/</w:t>
                  </w:r>
                </w:p>
              </w:tc>
              <w:tc>
                <w:tcPr>
                  <w:tcW w:w="51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color w:val="auto"/>
                      <w:lang w:val="en-US" w:eastAsia="zh-CN"/>
                    </w:rPr>
                  </w:pPr>
                  <w:r>
                    <w:rPr>
                      <w:rFonts w:hint="eastAsia"/>
                      <w:color w:val="auto"/>
                      <w:lang w:val="en-US" w:eastAsia="zh-CN"/>
                    </w:rPr>
                    <w:t>0.091</w:t>
                  </w:r>
                </w:p>
              </w:tc>
              <w:tc>
                <w:tcPr>
                  <w:tcW w:w="52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color w:val="auto"/>
                      <w:lang w:val="en-US" w:eastAsia="zh-CN"/>
                    </w:rPr>
                  </w:pPr>
                  <w:r>
                    <w:rPr>
                      <w:rFonts w:hint="eastAsia"/>
                      <w:color w:val="auto"/>
                      <w:lang w:val="en-US" w:eastAsia="zh-CN"/>
                    </w:rPr>
                    <w:t>0.034</w:t>
                  </w:r>
                </w:p>
              </w:tc>
              <w:tc>
                <w:tcPr>
                  <w:tcW w:w="73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rPr>
                  </w:pPr>
                  <w:r>
                    <w:rPr>
                      <w:color w:val="auto"/>
                    </w:rPr>
                    <w:t>仓顶滤筒式除尘设施</w:t>
                  </w:r>
                </w:p>
              </w:tc>
              <w:tc>
                <w:tcPr>
                  <w:tcW w:w="57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rPr>
                  </w:pPr>
                  <w:r>
                    <w:rPr>
                      <w:color w:val="auto"/>
                    </w:rPr>
                    <w:t>/</w:t>
                  </w:r>
                </w:p>
              </w:tc>
              <w:tc>
                <w:tcPr>
                  <w:tcW w:w="4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color w:val="auto"/>
                      <w:lang w:val="en-US" w:eastAsia="zh-CN"/>
                    </w:rPr>
                  </w:pPr>
                  <w:r>
                    <w:rPr>
                      <w:rFonts w:hint="eastAsia"/>
                      <w:color w:val="auto"/>
                      <w:lang w:val="en-US" w:eastAsia="zh-CN"/>
                    </w:rPr>
                    <w:t>2.7</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color w:val="auto"/>
                      <w:lang w:val="en-US" w:eastAsia="zh-CN"/>
                    </w:rPr>
                  </w:pPr>
                  <w:r>
                    <w:rPr>
                      <w:color w:val="auto"/>
                    </w:rPr>
                    <w:t>×</w:t>
                  </w:r>
                  <w:r>
                    <w:rPr>
                      <w:rFonts w:hint="eastAsia"/>
                      <w:color w:val="auto"/>
                    </w:rPr>
                    <w:t>10</w:t>
                  </w:r>
                  <w:r>
                    <w:rPr>
                      <w:rFonts w:hint="eastAsia"/>
                      <w:color w:val="auto"/>
                      <w:vertAlign w:val="superscript"/>
                    </w:rPr>
                    <w:t>-</w:t>
                  </w:r>
                  <w:r>
                    <w:rPr>
                      <w:rFonts w:hint="eastAsia"/>
                      <w:color w:val="auto"/>
                      <w:vertAlign w:val="superscript"/>
                      <w:lang w:val="en-US" w:eastAsia="zh-CN"/>
                    </w:rPr>
                    <w:t>4</w:t>
                  </w:r>
                </w:p>
              </w:tc>
              <w:tc>
                <w:tcPr>
                  <w:tcW w:w="54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color w:val="auto"/>
                      <w:lang w:val="en-US" w:eastAsia="zh-CN"/>
                    </w:rPr>
                  </w:pPr>
                  <w:r>
                    <w:rPr>
                      <w:rFonts w:hint="eastAsia"/>
                      <w:color w:val="auto"/>
                      <w:lang w:val="en-US" w:eastAsia="zh-CN"/>
                    </w:rPr>
                    <w:t>8.6</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color w:val="auto"/>
                      <w:lang w:eastAsia="zh-CN"/>
                    </w:rPr>
                  </w:pPr>
                  <w:r>
                    <w:rPr>
                      <w:color w:val="auto"/>
                    </w:rPr>
                    <w:t>×</w:t>
                  </w:r>
                  <w:r>
                    <w:rPr>
                      <w:rFonts w:hint="eastAsia"/>
                      <w:color w:val="auto"/>
                    </w:rPr>
                    <w:t>10</w:t>
                  </w:r>
                  <w:r>
                    <w:rPr>
                      <w:rFonts w:hint="eastAsia"/>
                      <w:color w:val="auto"/>
                      <w:vertAlign w:val="superscript"/>
                    </w:rPr>
                    <w:t>-</w:t>
                  </w:r>
                  <w:r>
                    <w:rPr>
                      <w:rFonts w:hint="eastAsia"/>
                      <w:color w:val="auto"/>
                      <w:vertAlign w:val="superscript"/>
                      <w:lang w:val="en-US" w:eastAsia="zh-CN"/>
                    </w:rPr>
                    <w:t>5</w:t>
                  </w:r>
                </w:p>
              </w:tc>
              <w:tc>
                <w:tcPr>
                  <w:tcW w:w="567"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7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rPr>
                  </w:pPr>
                  <w:r>
                    <w:rPr>
                      <w:color w:val="auto"/>
                    </w:rPr>
                    <w:t>炉渣装卸</w:t>
                  </w:r>
                </w:p>
              </w:tc>
              <w:tc>
                <w:tcPr>
                  <w:tcW w:w="55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rPr>
                  </w:pPr>
                  <w:r>
                    <w:rPr>
                      <w:color w:val="auto"/>
                    </w:rPr>
                    <w:t>/</w:t>
                  </w:r>
                </w:p>
              </w:tc>
              <w:tc>
                <w:tcPr>
                  <w:tcW w:w="51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color w:val="auto"/>
                      <w:lang w:val="en-US" w:eastAsia="zh-CN"/>
                    </w:rPr>
                  </w:pPr>
                  <w:r>
                    <w:rPr>
                      <w:rFonts w:hint="eastAsia"/>
                      <w:color w:val="auto"/>
                      <w:lang w:val="en-US" w:eastAsia="zh-CN"/>
                    </w:rPr>
                    <w:t>131.28</w:t>
                  </w:r>
                </w:p>
              </w:tc>
              <w:tc>
                <w:tcPr>
                  <w:tcW w:w="52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color w:val="auto"/>
                      <w:lang w:val="en-US" w:eastAsia="zh-CN"/>
                    </w:rPr>
                  </w:pPr>
                  <w:r>
                    <w:rPr>
                      <w:rFonts w:hint="eastAsia"/>
                      <w:color w:val="auto"/>
                      <w:lang w:val="en-US" w:eastAsia="zh-CN"/>
                    </w:rPr>
                    <w:t>49.73</w:t>
                  </w:r>
                </w:p>
              </w:tc>
              <w:tc>
                <w:tcPr>
                  <w:tcW w:w="734"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rPr>
                  </w:pPr>
                  <w:r>
                    <w:rPr>
                      <w:color w:val="auto"/>
                    </w:rPr>
                    <w:t>洒水抑尘、车辆冲洗、密闭车间</w:t>
                  </w:r>
                </w:p>
              </w:tc>
              <w:tc>
                <w:tcPr>
                  <w:tcW w:w="57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rPr>
                  </w:pPr>
                  <w:r>
                    <w:rPr>
                      <w:color w:val="auto"/>
                    </w:rPr>
                    <w:t>/</w:t>
                  </w:r>
                </w:p>
              </w:tc>
              <w:tc>
                <w:tcPr>
                  <w:tcW w:w="4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color w:val="auto"/>
                      <w:lang w:val="en-US" w:eastAsia="zh-CN"/>
                    </w:rPr>
                  </w:pPr>
                  <w:r>
                    <w:rPr>
                      <w:rFonts w:hint="eastAsia"/>
                      <w:color w:val="auto"/>
                    </w:rPr>
                    <w:t>0.</w:t>
                  </w:r>
                  <w:r>
                    <w:rPr>
                      <w:rFonts w:hint="eastAsia"/>
                      <w:color w:val="auto"/>
                      <w:lang w:val="en-US" w:eastAsia="zh-CN"/>
                    </w:rPr>
                    <w:t>075</w:t>
                  </w:r>
                </w:p>
              </w:tc>
              <w:tc>
                <w:tcPr>
                  <w:tcW w:w="54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color w:val="auto"/>
                      <w:lang w:val="en-US" w:eastAsia="zh-CN"/>
                    </w:rPr>
                  </w:pPr>
                  <w:r>
                    <w:rPr>
                      <w:rFonts w:hint="eastAsia"/>
                      <w:color w:val="auto"/>
                      <w:lang w:val="en-US" w:eastAsia="zh-CN"/>
                    </w:rPr>
                    <w:t>0.028</w:t>
                  </w:r>
                </w:p>
              </w:tc>
              <w:tc>
                <w:tcPr>
                  <w:tcW w:w="567"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rPr>
                  </w:pPr>
                  <w:r>
                    <w:rPr>
                      <w:color w:val="auto"/>
                    </w:rPr>
                    <w:t>水泥装卸</w:t>
                  </w:r>
                </w:p>
              </w:tc>
              <w:tc>
                <w:tcPr>
                  <w:tcW w:w="55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rPr>
                  </w:pPr>
                  <w:r>
                    <w:rPr>
                      <w:color w:val="auto"/>
                    </w:rPr>
                    <w:t>/</w:t>
                  </w:r>
                </w:p>
              </w:tc>
              <w:tc>
                <w:tcPr>
                  <w:tcW w:w="51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color w:val="auto"/>
                      <w:lang w:val="en-US" w:eastAsia="zh-CN"/>
                    </w:rPr>
                  </w:pPr>
                  <w:r>
                    <w:rPr>
                      <w:rFonts w:hint="eastAsia"/>
                      <w:color w:val="auto"/>
                      <w:lang w:val="en-US" w:eastAsia="zh-CN"/>
                    </w:rPr>
                    <w:t>2.95</w:t>
                  </w:r>
                </w:p>
              </w:tc>
              <w:tc>
                <w:tcPr>
                  <w:tcW w:w="52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rPr>
                  </w:pPr>
                  <w:r>
                    <w:rPr>
                      <w:rFonts w:hint="eastAsia"/>
                      <w:color w:val="auto"/>
                    </w:rPr>
                    <w:t>4.93</w:t>
                  </w:r>
                </w:p>
              </w:tc>
              <w:tc>
                <w:tcPr>
                  <w:tcW w:w="734"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rPr>
                  </w:pPr>
                </w:p>
              </w:tc>
              <w:tc>
                <w:tcPr>
                  <w:tcW w:w="57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rPr>
                  </w:pPr>
                  <w:r>
                    <w:rPr>
                      <w:color w:val="auto"/>
                    </w:rPr>
                    <w:t>/</w:t>
                  </w:r>
                </w:p>
              </w:tc>
              <w:tc>
                <w:tcPr>
                  <w:tcW w:w="4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color w:val="auto"/>
                      <w:lang w:val="en-US" w:eastAsia="zh-CN"/>
                    </w:rPr>
                  </w:pPr>
                  <w:r>
                    <w:rPr>
                      <w:rFonts w:hint="eastAsia"/>
                      <w:color w:val="auto"/>
                      <w:lang w:val="en-US" w:eastAsia="zh-CN"/>
                    </w:rPr>
                    <w:t>0.0017</w:t>
                  </w:r>
                </w:p>
              </w:tc>
              <w:tc>
                <w:tcPr>
                  <w:tcW w:w="54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color w:val="auto"/>
                      <w:lang w:val="en-US" w:eastAsia="zh-CN"/>
                    </w:rPr>
                  </w:pPr>
                  <w:r>
                    <w:rPr>
                      <w:rFonts w:hint="eastAsia"/>
                      <w:color w:val="auto"/>
                      <w:lang w:val="en-US" w:eastAsia="zh-CN"/>
                    </w:rPr>
                    <w:t>0.0006</w:t>
                  </w:r>
                </w:p>
              </w:tc>
              <w:tc>
                <w:tcPr>
                  <w:tcW w:w="567"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7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color w:val="auto"/>
                      <w:lang w:eastAsia="zh-CN"/>
                    </w:rPr>
                  </w:pPr>
                  <w:r>
                    <w:rPr>
                      <w:rFonts w:hint="eastAsia"/>
                      <w:color w:val="auto"/>
                      <w:lang w:eastAsia="zh-CN"/>
                    </w:rPr>
                    <w:t>制砖搅拌</w:t>
                  </w:r>
                </w:p>
              </w:tc>
              <w:tc>
                <w:tcPr>
                  <w:tcW w:w="55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color w:val="auto"/>
                      <w:lang w:val="en-US" w:eastAsia="zh-CN"/>
                    </w:rPr>
                  </w:pPr>
                  <w:r>
                    <w:rPr>
                      <w:rFonts w:hint="eastAsia"/>
                      <w:color w:val="auto"/>
                      <w:lang w:val="en-US" w:eastAsia="zh-CN"/>
                    </w:rPr>
                    <w:t>/</w:t>
                  </w:r>
                </w:p>
              </w:tc>
              <w:tc>
                <w:tcPr>
                  <w:tcW w:w="51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color w:val="auto"/>
                      <w:lang w:val="en-US" w:eastAsia="zh-CN"/>
                    </w:rPr>
                  </w:pPr>
                  <w:r>
                    <w:rPr>
                      <w:rFonts w:hint="eastAsia"/>
                      <w:color w:val="auto"/>
                      <w:lang w:val="en-US" w:eastAsia="zh-CN"/>
                    </w:rPr>
                    <w:t>0.96</w:t>
                  </w:r>
                </w:p>
              </w:tc>
              <w:tc>
                <w:tcPr>
                  <w:tcW w:w="52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color w:val="auto"/>
                      <w:lang w:val="en-US" w:eastAsia="zh-CN"/>
                    </w:rPr>
                  </w:pPr>
                  <w:r>
                    <w:rPr>
                      <w:rFonts w:hint="eastAsia"/>
                      <w:color w:val="auto"/>
                      <w:lang w:val="en-US" w:eastAsia="zh-CN"/>
                    </w:rPr>
                    <w:t>0.36</w:t>
                  </w:r>
                </w:p>
              </w:tc>
              <w:tc>
                <w:tcPr>
                  <w:tcW w:w="73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color w:val="auto"/>
                      <w:lang w:eastAsia="zh-CN"/>
                    </w:rPr>
                  </w:pPr>
                  <w:r>
                    <w:rPr>
                      <w:rFonts w:hint="eastAsia"/>
                      <w:color w:val="auto"/>
                      <w:lang w:eastAsia="zh-CN"/>
                    </w:rPr>
                    <w:t>洒水抑尘、密闭车间</w:t>
                  </w:r>
                </w:p>
              </w:tc>
              <w:tc>
                <w:tcPr>
                  <w:tcW w:w="57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color w:val="auto"/>
                      <w:lang w:val="en-US" w:eastAsia="zh-CN"/>
                    </w:rPr>
                  </w:pPr>
                  <w:r>
                    <w:rPr>
                      <w:rFonts w:hint="eastAsia"/>
                      <w:color w:val="auto"/>
                      <w:lang w:val="en-US" w:eastAsia="zh-CN"/>
                    </w:rPr>
                    <w:t>/</w:t>
                  </w:r>
                </w:p>
              </w:tc>
              <w:tc>
                <w:tcPr>
                  <w:tcW w:w="4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color w:val="auto"/>
                      <w:lang w:val="en-US" w:eastAsia="zh-CN"/>
                    </w:rPr>
                  </w:pPr>
                  <w:r>
                    <w:rPr>
                      <w:rFonts w:hint="eastAsia"/>
                      <w:color w:val="auto"/>
                      <w:lang w:val="en-US" w:eastAsia="zh-CN"/>
                    </w:rPr>
                    <w:t>0.0025</w:t>
                  </w:r>
                </w:p>
              </w:tc>
              <w:tc>
                <w:tcPr>
                  <w:tcW w:w="54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color w:val="auto"/>
                      <w:lang w:val="en-US" w:eastAsia="zh-CN"/>
                    </w:rPr>
                  </w:pPr>
                  <w:r>
                    <w:rPr>
                      <w:rFonts w:hint="eastAsia"/>
                      <w:color w:val="auto"/>
                      <w:lang w:val="en-US" w:eastAsia="zh-CN"/>
                    </w:rPr>
                    <w:t>0.0009</w:t>
                  </w:r>
                </w:p>
              </w:tc>
              <w:tc>
                <w:tcPr>
                  <w:tcW w:w="567"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47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rPr>
                  </w:pPr>
                  <w:r>
                    <w:rPr>
                      <w:color w:val="auto"/>
                    </w:rPr>
                    <w:t>车辆运输</w:t>
                  </w:r>
                </w:p>
              </w:tc>
              <w:tc>
                <w:tcPr>
                  <w:tcW w:w="55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rPr>
                  </w:pPr>
                  <w:r>
                    <w:rPr>
                      <w:color w:val="auto"/>
                    </w:rPr>
                    <w:t>/</w:t>
                  </w:r>
                </w:p>
              </w:tc>
              <w:tc>
                <w:tcPr>
                  <w:tcW w:w="51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color w:val="auto"/>
                      <w:lang w:val="en-US" w:eastAsia="zh-CN"/>
                    </w:rPr>
                  </w:pPr>
                  <w:r>
                    <w:rPr>
                      <w:rFonts w:hint="eastAsia"/>
                      <w:color w:val="auto"/>
                      <w:lang w:val="en-US" w:eastAsia="zh-CN"/>
                    </w:rPr>
                    <w:t>0.226</w:t>
                  </w:r>
                </w:p>
              </w:tc>
              <w:tc>
                <w:tcPr>
                  <w:tcW w:w="52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color w:val="auto"/>
                      <w:lang w:val="en-US" w:eastAsia="zh-CN"/>
                    </w:rPr>
                  </w:pPr>
                  <w:r>
                    <w:rPr>
                      <w:rFonts w:hint="eastAsia"/>
                      <w:color w:val="auto"/>
                      <w:lang w:val="en-US" w:eastAsia="zh-CN"/>
                    </w:rPr>
                    <w:t>0.0856</w:t>
                  </w:r>
                </w:p>
              </w:tc>
              <w:tc>
                <w:tcPr>
                  <w:tcW w:w="73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rPr>
                  </w:pPr>
                  <w:r>
                    <w:rPr>
                      <w:color w:val="auto"/>
                    </w:rPr>
                    <w:t>道路硬化、洒水抑尘、车辆冲洗</w:t>
                  </w:r>
                </w:p>
              </w:tc>
              <w:tc>
                <w:tcPr>
                  <w:tcW w:w="57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rPr>
                  </w:pPr>
                  <w:r>
                    <w:rPr>
                      <w:color w:val="auto"/>
                    </w:rPr>
                    <w:t>/</w:t>
                  </w:r>
                </w:p>
              </w:tc>
              <w:tc>
                <w:tcPr>
                  <w:tcW w:w="4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color w:val="auto"/>
                      <w:lang w:val="en-US" w:eastAsia="zh-CN"/>
                    </w:rPr>
                  </w:pPr>
                  <w:r>
                    <w:rPr>
                      <w:rFonts w:hint="eastAsia"/>
                      <w:color w:val="auto"/>
                      <w:lang w:val="en-US" w:eastAsia="zh-CN"/>
                    </w:rPr>
                    <w:t>0.045</w:t>
                  </w:r>
                </w:p>
              </w:tc>
              <w:tc>
                <w:tcPr>
                  <w:tcW w:w="54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color w:val="auto"/>
                      <w:lang w:val="en-US" w:eastAsia="zh-CN"/>
                    </w:rPr>
                  </w:pPr>
                  <w:r>
                    <w:rPr>
                      <w:rFonts w:hint="eastAsia"/>
                      <w:color w:val="auto"/>
                    </w:rPr>
                    <w:t>0.0</w:t>
                  </w:r>
                  <w:r>
                    <w:rPr>
                      <w:rFonts w:hint="eastAsia"/>
                      <w:color w:val="auto"/>
                      <w:lang w:val="en-US" w:eastAsia="zh-CN"/>
                    </w:rPr>
                    <w:t>17</w:t>
                  </w:r>
                </w:p>
              </w:tc>
              <w:tc>
                <w:tcPr>
                  <w:tcW w:w="567"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rPr>
                  </w:pPr>
                </w:p>
              </w:tc>
            </w:tr>
          </w:tbl>
          <w:p>
            <w:pPr>
              <w:spacing w:line="480" w:lineRule="exact"/>
              <w:ind w:firstLine="422" w:firstLineChars="200"/>
              <w:textAlignment w:val="baseline"/>
              <w:rPr>
                <w:b/>
                <w:bCs/>
                <w:color w:val="auto"/>
              </w:rPr>
            </w:pPr>
            <w:r>
              <w:rPr>
                <w:rFonts w:hint="eastAsia"/>
                <w:b/>
                <w:bCs/>
                <w:color w:val="auto"/>
              </w:rPr>
              <w:t>4.2.2非正常工况</w:t>
            </w:r>
          </w:p>
          <w:p>
            <w:pPr>
              <w:pStyle w:val="7"/>
              <w:widowControl/>
              <w:spacing w:before="0" w:after="0" w:line="480" w:lineRule="exact"/>
              <w:ind w:firstLine="420" w:firstLineChars="200"/>
              <w:jc w:val="left"/>
              <w:rPr>
                <w:b w:val="0"/>
                <w:bCs w:val="0"/>
                <w:color w:val="auto"/>
                <w:sz w:val="21"/>
                <w:szCs w:val="21"/>
              </w:rPr>
            </w:pPr>
            <w:r>
              <w:rPr>
                <w:b w:val="0"/>
                <w:bCs w:val="0"/>
                <w:color w:val="auto"/>
                <w:sz w:val="21"/>
                <w:szCs w:val="21"/>
              </w:rPr>
              <w:t>本项目的非正常工况主要是污染物排放控制措施达不到应有效率</w:t>
            </w:r>
            <w:r>
              <w:rPr>
                <w:rFonts w:hint="eastAsia"/>
                <w:b w:val="0"/>
                <w:bCs w:val="0"/>
                <w:color w:val="auto"/>
                <w:sz w:val="21"/>
                <w:szCs w:val="21"/>
              </w:rPr>
              <w:t>（取50%）</w:t>
            </w:r>
            <w:r>
              <w:rPr>
                <w:b w:val="0"/>
                <w:bCs w:val="0"/>
                <w:color w:val="auto"/>
                <w:sz w:val="21"/>
                <w:szCs w:val="21"/>
              </w:rPr>
              <w:t>，造成排气筒废气中</w:t>
            </w:r>
            <w:r>
              <w:rPr>
                <w:rFonts w:hint="eastAsia"/>
                <w:b w:val="0"/>
                <w:bCs w:val="0"/>
                <w:color w:val="auto"/>
                <w:sz w:val="21"/>
                <w:szCs w:val="21"/>
              </w:rPr>
              <w:t>污染物</w:t>
            </w:r>
            <w:r>
              <w:rPr>
                <w:b w:val="0"/>
                <w:bCs w:val="0"/>
                <w:color w:val="auto"/>
                <w:sz w:val="21"/>
                <w:szCs w:val="21"/>
              </w:rPr>
              <w:t>直接排放，其排放情况见表4-</w:t>
            </w:r>
            <w:r>
              <w:rPr>
                <w:rFonts w:hint="eastAsia"/>
                <w:b w:val="0"/>
                <w:bCs w:val="0"/>
                <w:color w:val="auto"/>
                <w:sz w:val="21"/>
                <w:szCs w:val="21"/>
              </w:rPr>
              <w:t>3</w:t>
            </w:r>
            <w:r>
              <w:rPr>
                <w:b w:val="0"/>
                <w:bCs w:val="0"/>
                <w:color w:val="auto"/>
                <w:sz w:val="21"/>
                <w:szCs w:val="21"/>
              </w:rPr>
              <w:t>。</w:t>
            </w:r>
          </w:p>
          <w:p>
            <w:pPr>
              <w:tabs>
                <w:tab w:val="left" w:pos="7600"/>
                <w:tab w:val="right" w:pos="14293"/>
              </w:tabs>
              <w:spacing w:line="480" w:lineRule="exact"/>
              <w:jc w:val="center"/>
              <w:rPr>
                <w:b/>
                <w:bCs/>
                <w:color w:val="auto"/>
              </w:rPr>
            </w:pPr>
            <w:r>
              <w:rPr>
                <w:b/>
                <w:bCs/>
                <w:color w:val="auto"/>
              </w:rPr>
              <w:t>表4-</w:t>
            </w:r>
            <w:r>
              <w:rPr>
                <w:rFonts w:hint="eastAsia"/>
                <w:b/>
                <w:bCs/>
                <w:color w:val="auto"/>
              </w:rPr>
              <w:t>3</w:t>
            </w:r>
            <w:r>
              <w:rPr>
                <w:b/>
                <w:bCs/>
                <w:color w:val="auto"/>
              </w:rPr>
              <w:t xml:space="preserve">    </w:t>
            </w:r>
            <w:r>
              <w:rPr>
                <w:rFonts w:hint="eastAsia"/>
                <w:b/>
                <w:bCs/>
                <w:color w:val="auto"/>
              </w:rPr>
              <w:t>非正常工况下废气排放情况</w:t>
            </w:r>
          </w:p>
          <w:tbl>
            <w:tblPr>
              <w:tblStyle w:val="23"/>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09"/>
              <w:gridCol w:w="1450"/>
              <w:gridCol w:w="2074"/>
              <w:gridCol w:w="2175"/>
              <w:gridCol w:w="10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0" w:hRule="atLeast"/>
              </w:trPr>
              <w:tc>
                <w:tcPr>
                  <w:tcW w:w="911" w:type="pct"/>
                  <w:tcBorders>
                    <w:tl2br w:val="nil"/>
                    <w:tr2bl w:val="nil"/>
                  </w:tcBorders>
                  <w:vAlign w:val="center"/>
                </w:tcPr>
                <w:p>
                  <w:pPr>
                    <w:spacing w:line="360" w:lineRule="exact"/>
                    <w:jc w:val="center"/>
                    <w:rPr>
                      <w:b/>
                      <w:bCs/>
                      <w:color w:val="auto"/>
                    </w:rPr>
                  </w:pPr>
                  <w:r>
                    <w:rPr>
                      <w:b/>
                      <w:bCs/>
                      <w:color w:val="auto"/>
                    </w:rPr>
                    <w:t>非正常排放源</w:t>
                  </w:r>
                </w:p>
              </w:tc>
              <w:tc>
                <w:tcPr>
                  <w:tcW w:w="875" w:type="pct"/>
                  <w:tcBorders>
                    <w:tl2br w:val="nil"/>
                    <w:tr2bl w:val="nil"/>
                  </w:tcBorders>
                  <w:vAlign w:val="center"/>
                </w:tcPr>
                <w:p>
                  <w:pPr>
                    <w:spacing w:line="360" w:lineRule="exact"/>
                    <w:jc w:val="center"/>
                    <w:rPr>
                      <w:b/>
                      <w:bCs/>
                      <w:color w:val="auto"/>
                    </w:rPr>
                  </w:pPr>
                  <w:r>
                    <w:rPr>
                      <w:b/>
                      <w:bCs/>
                      <w:color w:val="auto"/>
                    </w:rPr>
                    <w:t>污染物</w:t>
                  </w:r>
                </w:p>
              </w:tc>
              <w:tc>
                <w:tcPr>
                  <w:tcW w:w="1252" w:type="pct"/>
                  <w:tcBorders>
                    <w:tl2br w:val="nil"/>
                    <w:tr2bl w:val="nil"/>
                  </w:tcBorders>
                  <w:vAlign w:val="center"/>
                </w:tcPr>
                <w:p>
                  <w:pPr>
                    <w:spacing w:line="360" w:lineRule="exact"/>
                    <w:jc w:val="center"/>
                    <w:rPr>
                      <w:b/>
                      <w:bCs/>
                      <w:color w:val="auto"/>
                    </w:rPr>
                  </w:pPr>
                  <w:r>
                    <w:rPr>
                      <w:b/>
                      <w:bCs/>
                      <w:color w:val="auto"/>
                    </w:rPr>
                    <w:t>非正常排放浓度（mg/Nm</w:t>
                  </w:r>
                  <w:r>
                    <w:rPr>
                      <w:b/>
                      <w:bCs/>
                      <w:color w:val="auto"/>
                      <w:vertAlign w:val="superscript"/>
                    </w:rPr>
                    <w:t>3</w:t>
                  </w:r>
                  <w:r>
                    <w:rPr>
                      <w:b/>
                      <w:bCs/>
                      <w:color w:val="auto"/>
                    </w:rPr>
                    <w:t>）</w:t>
                  </w:r>
                </w:p>
              </w:tc>
              <w:tc>
                <w:tcPr>
                  <w:tcW w:w="1313" w:type="pct"/>
                  <w:tcBorders>
                    <w:tl2br w:val="nil"/>
                    <w:tr2bl w:val="nil"/>
                  </w:tcBorders>
                  <w:vAlign w:val="center"/>
                </w:tcPr>
                <w:p>
                  <w:pPr>
                    <w:spacing w:line="360" w:lineRule="exact"/>
                    <w:jc w:val="center"/>
                    <w:rPr>
                      <w:b/>
                      <w:bCs/>
                      <w:color w:val="auto"/>
                      <w:sz w:val="21"/>
                      <w:szCs w:val="21"/>
                    </w:rPr>
                  </w:pPr>
                  <w:r>
                    <w:rPr>
                      <w:b/>
                      <w:bCs/>
                      <w:color w:val="auto"/>
                      <w:sz w:val="21"/>
                      <w:szCs w:val="21"/>
                    </w:rPr>
                    <w:t>非正常排放速率</w:t>
                  </w:r>
                </w:p>
                <w:p>
                  <w:pPr>
                    <w:pStyle w:val="7"/>
                    <w:spacing w:before="0" w:after="0" w:line="360" w:lineRule="exact"/>
                    <w:jc w:val="center"/>
                    <w:outlineLvl w:val="2"/>
                    <w:rPr>
                      <w:b/>
                      <w:bCs/>
                      <w:color w:val="auto"/>
                      <w:sz w:val="21"/>
                      <w:szCs w:val="21"/>
                    </w:rPr>
                  </w:pPr>
                  <w:r>
                    <w:rPr>
                      <w:b/>
                      <w:bCs/>
                      <w:color w:val="auto"/>
                      <w:sz w:val="21"/>
                      <w:szCs w:val="21"/>
                    </w:rPr>
                    <w:t>（Kg/h）</w:t>
                  </w:r>
                </w:p>
              </w:tc>
              <w:tc>
                <w:tcPr>
                  <w:tcW w:w="646" w:type="pct"/>
                  <w:tcBorders>
                    <w:tl2br w:val="nil"/>
                    <w:tr2bl w:val="nil"/>
                  </w:tcBorders>
                  <w:vAlign w:val="center"/>
                </w:tcPr>
                <w:p>
                  <w:pPr>
                    <w:pStyle w:val="7"/>
                    <w:spacing w:before="0" w:after="0" w:line="360" w:lineRule="exact"/>
                    <w:jc w:val="center"/>
                    <w:outlineLvl w:val="2"/>
                    <w:rPr>
                      <w:b/>
                      <w:bCs/>
                      <w:color w:val="auto"/>
                      <w:sz w:val="21"/>
                      <w:szCs w:val="21"/>
                    </w:rPr>
                  </w:pPr>
                  <w:r>
                    <w:rPr>
                      <w:b/>
                      <w:bCs/>
                      <w:color w:val="auto"/>
                      <w:sz w:val="21"/>
                      <w:szCs w:val="21"/>
                    </w:rPr>
                    <w:t>单次持续时间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1" w:type="pct"/>
                  <w:tcBorders>
                    <w:tl2br w:val="nil"/>
                    <w:tr2bl w:val="nil"/>
                  </w:tcBorders>
                  <w:vAlign w:val="center"/>
                </w:tcPr>
                <w:p>
                  <w:pPr>
                    <w:spacing w:line="360" w:lineRule="exact"/>
                    <w:jc w:val="center"/>
                    <w:rPr>
                      <w:color w:val="auto"/>
                    </w:rPr>
                  </w:pPr>
                  <w:r>
                    <w:rPr>
                      <w:rFonts w:hint="eastAsia"/>
                      <w:color w:val="auto"/>
                    </w:rPr>
                    <w:t>炉渣破碎筛分</w:t>
                  </w:r>
                </w:p>
              </w:tc>
              <w:tc>
                <w:tcPr>
                  <w:tcW w:w="875" w:type="pct"/>
                  <w:tcBorders>
                    <w:tl2br w:val="nil"/>
                    <w:tr2bl w:val="nil"/>
                  </w:tcBorders>
                  <w:vAlign w:val="center"/>
                </w:tcPr>
                <w:p>
                  <w:pPr>
                    <w:spacing w:line="360" w:lineRule="exact"/>
                    <w:jc w:val="center"/>
                    <w:rPr>
                      <w:color w:val="auto"/>
                    </w:rPr>
                  </w:pPr>
                  <w:r>
                    <w:rPr>
                      <w:rFonts w:hint="eastAsia"/>
                      <w:color w:val="auto"/>
                    </w:rPr>
                    <w:t>颗粒物</w:t>
                  </w:r>
                </w:p>
              </w:tc>
              <w:tc>
                <w:tcPr>
                  <w:tcW w:w="1252" w:type="pct"/>
                  <w:tcBorders>
                    <w:tl2br w:val="nil"/>
                    <w:tr2bl w:val="nil"/>
                  </w:tcBorders>
                  <w:vAlign w:val="center"/>
                </w:tcPr>
                <w:p>
                  <w:pPr>
                    <w:spacing w:line="360" w:lineRule="exact"/>
                    <w:jc w:val="center"/>
                    <w:rPr>
                      <w:rFonts w:hint="default"/>
                      <w:color w:val="auto"/>
                      <w:lang w:val="en-US" w:eastAsia="zh-CN"/>
                    </w:rPr>
                  </w:pPr>
                  <w:r>
                    <w:rPr>
                      <w:rFonts w:hint="eastAsia"/>
                      <w:color w:val="auto"/>
                      <w:lang w:val="en-US" w:eastAsia="zh-CN"/>
                    </w:rPr>
                    <w:t>683</w:t>
                  </w:r>
                </w:p>
              </w:tc>
              <w:tc>
                <w:tcPr>
                  <w:tcW w:w="1313" w:type="pct"/>
                  <w:tcBorders>
                    <w:tl2br w:val="nil"/>
                    <w:tr2bl w:val="nil"/>
                  </w:tcBorders>
                  <w:vAlign w:val="center"/>
                </w:tcPr>
                <w:p>
                  <w:pPr>
                    <w:spacing w:line="360" w:lineRule="exact"/>
                    <w:jc w:val="center"/>
                    <w:rPr>
                      <w:rFonts w:hint="default"/>
                      <w:color w:val="auto"/>
                      <w:lang w:val="en-US" w:eastAsia="zh-CN"/>
                    </w:rPr>
                  </w:pPr>
                  <w:r>
                    <w:rPr>
                      <w:rFonts w:hint="eastAsia"/>
                      <w:color w:val="auto"/>
                      <w:lang w:val="en-US" w:eastAsia="zh-CN"/>
                    </w:rPr>
                    <w:t>5.47</w:t>
                  </w:r>
                </w:p>
              </w:tc>
              <w:tc>
                <w:tcPr>
                  <w:tcW w:w="646" w:type="pct"/>
                  <w:tcBorders>
                    <w:tl2br w:val="nil"/>
                    <w:tr2bl w:val="nil"/>
                  </w:tcBorders>
                  <w:vAlign w:val="center"/>
                </w:tcPr>
                <w:p>
                  <w:pPr>
                    <w:spacing w:line="360" w:lineRule="exact"/>
                    <w:jc w:val="center"/>
                    <w:rPr>
                      <w:color w:val="auto"/>
                    </w:rPr>
                  </w:pPr>
                  <w:r>
                    <w:rPr>
                      <w:color w:val="auto"/>
                    </w:rPr>
                    <w:t>1h</w:t>
                  </w:r>
                </w:p>
              </w:tc>
            </w:tr>
          </w:tbl>
          <w:p>
            <w:pPr>
              <w:spacing w:line="480" w:lineRule="exact"/>
              <w:ind w:firstLine="420" w:firstLineChars="200"/>
              <w:rPr>
                <w:color w:val="auto"/>
              </w:rPr>
            </w:pPr>
            <w:r>
              <w:rPr>
                <w:color w:val="auto"/>
              </w:rPr>
              <w:t>由上表可知，非正常工况下，</w:t>
            </w:r>
            <w:r>
              <w:rPr>
                <w:rFonts w:hint="eastAsia"/>
                <w:color w:val="auto"/>
              </w:rPr>
              <w:t>颗粒物</w:t>
            </w:r>
            <w:r>
              <w:rPr>
                <w:color w:val="auto"/>
              </w:rPr>
              <w:t>排放浓度超标。为防止生产废气非正常工况排放，企业必须加强废气处理设施的管理，定期检修，确保废气处理设施正常运行，在废气处理设备停止运行或出现故障时，产生废气的各工序也必须相应停止生产。为杜绝废气非正常排放，应采取以下措施确保废气达标排放：</w:t>
            </w:r>
          </w:p>
          <w:p>
            <w:pPr>
              <w:spacing w:line="480" w:lineRule="exact"/>
              <w:ind w:firstLine="420" w:firstLineChars="200"/>
              <w:rPr>
                <w:color w:val="auto"/>
              </w:rPr>
            </w:pPr>
            <w:r>
              <w:rPr>
                <w:color w:val="auto"/>
              </w:rPr>
              <w:t>①安排专人负责环保设备的日常维护和管理，每个固定时间检查、汇报情况，及时发现废气处理设备的隐患，确保废气处理系统正常运行；</w:t>
            </w:r>
          </w:p>
          <w:p>
            <w:pPr>
              <w:spacing w:line="480" w:lineRule="exact"/>
              <w:ind w:firstLine="420" w:firstLineChars="200"/>
              <w:rPr>
                <w:color w:val="auto"/>
              </w:rPr>
            </w:pPr>
            <w:r>
              <w:rPr>
                <w:color w:val="auto"/>
              </w:rPr>
              <w:t>②建立健全的环保管理机构，对环保管理人员和技术人员进行岗位培训，委托具有专业资质的环境检测单位对项目排放的各类污染物进行定期检测；</w:t>
            </w:r>
          </w:p>
          <w:p>
            <w:pPr>
              <w:spacing w:line="480" w:lineRule="exact"/>
              <w:ind w:firstLine="420" w:firstLineChars="200"/>
              <w:rPr>
                <w:rFonts w:hint="eastAsia"/>
                <w:color w:val="auto"/>
                <w:lang w:eastAsia="zh-CN"/>
              </w:rPr>
            </w:pPr>
            <w:r>
              <w:rPr>
                <w:color w:val="auto"/>
              </w:rPr>
              <w:t>③应定期维护、检修废气处理装置，以保持废气处理装置的净化能力</w:t>
            </w:r>
            <w:r>
              <w:rPr>
                <w:rFonts w:hint="eastAsia"/>
                <w:color w:val="auto"/>
                <w:lang w:eastAsia="zh-CN"/>
              </w:rPr>
              <w:t>；</w:t>
            </w:r>
          </w:p>
          <w:p>
            <w:pPr>
              <w:spacing w:line="480" w:lineRule="exact"/>
              <w:ind w:firstLine="420" w:firstLineChars="200"/>
              <w:rPr>
                <w:rFonts w:hint="eastAsia"/>
                <w:color w:val="auto"/>
                <w:lang w:val="en-US" w:eastAsia="zh-CN"/>
              </w:rPr>
            </w:pPr>
            <w:r>
              <w:rPr>
                <w:rFonts w:hint="eastAsia"/>
                <w:color w:val="auto"/>
                <w:lang w:val="en-US" w:eastAsia="zh-CN"/>
              </w:rPr>
              <w:t>④保证车间内洒水降尘设施正常工作，在作业时同时开启；</w:t>
            </w:r>
          </w:p>
          <w:p>
            <w:pPr>
              <w:spacing w:line="480" w:lineRule="exact"/>
              <w:ind w:firstLine="420" w:firstLineChars="200"/>
              <w:rPr>
                <w:rFonts w:hint="eastAsia"/>
                <w:color w:val="auto"/>
                <w:lang w:val="en-US" w:eastAsia="zh-CN"/>
              </w:rPr>
            </w:pPr>
            <w:r>
              <w:rPr>
                <w:rFonts w:hint="eastAsia"/>
                <w:color w:val="auto"/>
                <w:lang w:val="en-US" w:eastAsia="zh-CN"/>
              </w:rPr>
              <w:t>⑤进出车辆进行冲洗，车间在作业时保持全封闭状态；</w:t>
            </w:r>
          </w:p>
          <w:p>
            <w:pPr>
              <w:spacing w:line="480" w:lineRule="exact"/>
              <w:ind w:firstLine="420" w:firstLineChars="200"/>
              <w:rPr>
                <w:rFonts w:hint="eastAsia"/>
                <w:color w:val="auto"/>
                <w:lang w:val="en-US" w:eastAsia="zh-CN"/>
              </w:rPr>
            </w:pPr>
            <w:r>
              <w:rPr>
                <w:rFonts w:hint="eastAsia"/>
                <w:color w:val="auto"/>
                <w:lang w:val="en-US" w:eastAsia="zh-CN"/>
              </w:rPr>
              <w:t>⑥保证炉渣、水泥等原材料堆场位于全封闭车间内，不在室外堆放。</w:t>
            </w:r>
          </w:p>
          <w:p>
            <w:pPr>
              <w:spacing w:line="480" w:lineRule="exact"/>
              <w:ind w:firstLine="422" w:firstLineChars="200"/>
              <w:textAlignment w:val="baseline"/>
              <w:rPr>
                <w:b/>
                <w:bCs/>
                <w:color w:val="auto"/>
              </w:rPr>
            </w:pPr>
            <w:r>
              <w:rPr>
                <w:rFonts w:hint="eastAsia"/>
                <w:b/>
                <w:bCs/>
                <w:color w:val="auto"/>
              </w:rPr>
              <w:t>4.2.3废气达标排放可行性分析</w:t>
            </w:r>
          </w:p>
          <w:p>
            <w:pPr>
              <w:tabs>
                <w:tab w:val="left" w:pos="7600"/>
                <w:tab w:val="right" w:pos="14293"/>
              </w:tabs>
              <w:spacing w:line="480" w:lineRule="exact"/>
              <w:ind w:firstLine="420" w:firstLineChars="200"/>
              <w:rPr>
                <w:color w:val="auto"/>
              </w:rPr>
            </w:pPr>
            <w:r>
              <w:rPr>
                <w:color w:val="auto"/>
              </w:rPr>
              <w:t>由表4-</w:t>
            </w:r>
            <w:r>
              <w:rPr>
                <w:rFonts w:hint="eastAsia"/>
                <w:color w:val="auto"/>
              </w:rPr>
              <w:t>2</w:t>
            </w:r>
            <w:r>
              <w:rPr>
                <w:color w:val="auto"/>
              </w:rPr>
              <w:t>可知，废气经</w:t>
            </w:r>
            <w:r>
              <w:rPr>
                <w:rFonts w:hint="eastAsia"/>
                <w:color w:val="auto"/>
              </w:rPr>
              <w:t>“集气罩+风机+</w:t>
            </w:r>
            <w:r>
              <w:rPr>
                <w:color w:val="auto"/>
              </w:rPr>
              <w:t>布袋除尘器</w:t>
            </w:r>
            <w:r>
              <w:rPr>
                <w:rFonts w:hint="eastAsia"/>
                <w:color w:val="auto"/>
              </w:rPr>
              <w:t>+15m高烟囱”</w:t>
            </w:r>
            <w:r>
              <w:rPr>
                <w:color w:val="auto"/>
              </w:rPr>
              <w:t>处理后，颗粒物排放浓度可</w:t>
            </w:r>
            <w:r>
              <w:rPr>
                <w:rFonts w:hint="eastAsia"/>
                <w:color w:val="auto"/>
              </w:rPr>
              <w:t>满足《砖瓦工业大气污染物排放标准》</w:t>
            </w:r>
            <w:r>
              <w:rPr>
                <w:color w:val="auto"/>
              </w:rPr>
              <w:t>GB29620-2013表2有组</w:t>
            </w:r>
            <w:r>
              <w:rPr>
                <w:rFonts w:hint="eastAsia"/>
                <w:color w:val="auto"/>
              </w:rPr>
              <w:t>织废气</w:t>
            </w:r>
            <w:r>
              <w:rPr>
                <w:color w:val="auto"/>
              </w:rPr>
              <w:t>排放限值要求</w:t>
            </w:r>
            <w:r>
              <w:rPr>
                <w:rFonts w:hint="eastAsia"/>
                <w:color w:val="auto"/>
              </w:rPr>
              <w:t>。</w:t>
            </w:r>
          </w:p>
          <w:p>
            <w:pPr>
              <w:tabs>
                <w:tab w:val="left" w:pos="7600"/>
                <w:tab w:val="right" w:pos="14293"/>
              </w:tabs>
              <w:spacing w:line="480" w:lineRule="exact"/>
              <w:ind w:firstLine="420" w:firstLineChars="200"/>
              <w:rPr>
                <w:color w:val="auto"/>
              </w:rPr>
            </w:pPr>
            <w:r>
              <w:rPr>
                <w:rFonts w:hint="eastAsia"/>
                <w:color w:val="auto"/>
              </w:rPr>
              <w:t>布袋除尘器</w:t>
            </w:r>
            <w:r>
              <w:rPr>
                <w:color w:val="auto"/>
              </w:rPr>
              <w:t>收集处理：</w:t>
            </w:r>
            <w:r>
              <w:rPr>
                <w:rFonts w:hint="eastAsia"/>
                <w:color w:val="auto"/>
              </w:rPr>
              <w:t>布袋除尘器</w:t>
            </w:r>
            <w:r>
              <w:rPr>
                <w:color w:val="auto"/>
              </w:rPr>
              <w:t>是一种干式滤尘装置，适用于捕集细小、干燥、非纤维性粉尘。</w:t>
            </w:r>
            <w:r>
              <w:rPr>
                <w:rFonts w:hint="eastAsia"/>
                <w:color w:val="auto"/>
              </w:rPr>
              <w:t>布袋除尘器</w:t>
            </w:r>
            <w:r>
              <w:rPr>
                <w:color w:val="auto"/>
              </w:rPr>
              <w:t>的滤袋采用纺织的滤布或非纺织的毡制成，利用纤维织物的过滤作用对含尘气体进行过滤，当含尘气体进入</w:t>
            </w:r>
            <w:r>
              <w:rPr>
                <w:rFonts w:hint="eastAsia"/>
                <w:color w:val="auto"/>
              </w:rPr>
              <w:t>布袋除尘器</w:t>
            </w:r>
            <w:r>
              <w:rPr>
                <w:color w:val="auto"/>
              </w:rPr>
              <w:t>后，颗粒大、比重大的粉尘，由于重力的作用沉降下来，落入灰斗，含有较细小粉尘的气体在通过滤料时，粉尘被阻留，使气体得到净化。</w:t>
            </w:r>
          </w:p>
          <w:p>
            <w:pPr>
              <w:spacing w:line="480" w:lineRule="exact"/>
              <w:ind w:firstLine="420" w:firstLineChars="200"/>
              <w:rPr>
                <w:color w:val="auto"/>
              </w:rPr>
            </w:pPr>
            <w:r>
              <w:rPr>
                <w:rFonts w:hint="eastAsia"/>
                <w:color w:val="auto"/>
              </w:rPr>
              <w:t>布袋除尘器</w:t>
            </w:r>
            <w:r>
              <w:rPr>
                <w:color w:val="auto"/>
              </w:rPr>
              <w:t>为现行粉尘废气较为常用的废水处理方式，具有以下特点：</w:t>
            </w:r>
          </w:p>
          <w:p>
            <w:pPr>
              <w:spacing w:line="480" w:lineRule="exact"/>
              <w:ind w:firstLine="420" w:firstLineChars="200"/>
              <w:rPr>
                <w:color w:val="auto"/>
              </w:rPr>
            </w:pPr>
            <w:r>
              <w:rPr>
                <w:color w:val="auto"/>
              </w:rPr>
              <w:t>A除尘效率高，一般在99%以上，除尘器出口气体含尘浓度在数十</w:t>
            </w:r>
            <w:r>
              <w:rPr>
                <w:rFonts w:hint="eastAsia"/>
                <w:color w:val="auto"/>
              </w:rPr>
              <w:t>毫克</w:t>
            </w:r>
            <w:r>
              <w:rPr>
                <w:color w:val="auto"/>
              </w:rPr>
              <w:t>/</w:t>
            </w:r>
            <w:r>
              <w:rPr>
                <w:rFonts w:hint="eastAsia"/>
                <w:color w:val="auto"/>
              </w:rPr>
              <w:t>立方米</w:t>
            </w:r>
            <w:r>
              <w:rPr>
                <w:color w:val="auto"/>
              </w:rPr>
              <w:t>之内，对亚微米粒径的细尘有较高的分级效率。</w:t>
            </w:r>
          </w:p>
          <w:p>
            <w:pPr>
              <w:spacing w:line="480" w:lineRule="exact"/>
              <w:ind w:firstLine="420" w:firstLineChars="200"/>
              <w:rPr>
                <w:color w:val="auto"/>
              </w:rPr>
            </w:pPr>
            <w:r>
              <w:rPr>
                <w:color w:val="auto"/>
              </w:rPr>
              <w:t>B处理风量的范围广，小的仅1min数</w:t>
            </w:r>
            <w:r>
              <w:rPr>
                <w:rFonts w:hint="eastAsia"/>
                <w:color w:val="auto"/>
              </w:rPr>
              <w:t>立方米</w:t>
            </w:r>
            <w:r>
              <w:rPr>
                <w:color w:val="auto"/>
              </w:rPr>
              <w:t>，大的可达1min数万</w:t>
            </w:r>
            <w:r>
              <w:rPr>
                <w:rFonts w:hint="eastAsia"/>
                <w:color w:val="auto"/>
              </w:rPr>
              <w:t>立方米</w:t>
            </w:r>
            <w:r>
              <w:rPr>
                <w:color w:val="auto"/>
              </w:rPr>
              <w:t>，减少大气污染物的排放。</w:t>
            </w:r>
          </w:p>
          <w:p>
            <w:pPr>
              <w:spacing w:line="480" w:lineRule="exact"/>
              <w:ind w:firstLine="420" w:firstLineChars="200"/>
              <w:rPr>
                <w:color w:val="auto"/>
              </w:rPr>
            </w:pPr>
            <w:r>
              <w:rPr>
                <w:color w:val="auto"/>
              </w:rPr>
              <w:t>C结构简单，维护操作方便。</w:t>
            </w:r>
          </w:p>
          <w:p>
            <w:pPr>
              <w:spacing w:line="480" w:lineRule="exact"/>
              <w:ind w:firstLine="420" w:firstLineChars="200"/>
              <w:rPr>
                <w:color w:val="auto"/>
              </w:rPr>
            </w:pPr>
            <w:r>
              <w:rPr>
                <w:color w:val="auto"/>
              </w:rPr>
              <w:t>D在保证同样高除尘效率的前提下，造价低于电除尘器。</w:t>
            </w:r>
          </w:p>
          <w:p>
            <w:pPr>
              <w:spacing w:line="480" w:lineRule="exact"/>
              <w:ind w:firstLine="420" w:firstLineChars="200"/>
              <w:rPr>
                <w:color w:val="auto"/>
              </w:rPr>
            </w:pPr>
            <w:r>
              <w:rPr>
                <w:color w:val="auto"/>
              </w:rPr>
              <w:t>E采用玻璃纤维、聚四氟乙烯、P84等耐高温滤料时，可在200℃以上的高温条件下运行。</w:t>
            </w:r>
          </w:p>
          <w:p>
            <w:pPr>
              <w:spacing w:line="480" w:lineRule="exact"/>
              <w:ind w:firstLine="420" w:firstLineChars="200"/>
              <w:rPr>
                <w:color w:val="auto"/>
              </w:rPr>
            </w:pPr>
            <w:r>
              <w:rPr>
                <w:color w:val="auto"/>
              </w:rPr>
              <w:t>F对粉尘的特性不敏感，不受粉尘及电阻的影响。</w:t>
            </w:r>
          </w:p>
          <w:p>
            <w:pPr>
              <w:spacing w:line="480" w:lineRule="exact"/>
              <w:ind w:firstLine="422" w:firstLineChars="200"/>
              <w:textAlignment w:val="baseline"/>
              <w:rPr>
                <w:b/>
                <w:bCs/>
                <w:color w:val="auto"/>
              </w:rPr>
            </w:pPr>
            <w:r>
              <w:rPr>
                <w:rFonts w:hint="eastAsia"/>
                <w:b/>
                <w:bCs/>
                <w:color w:val="auto"/>
              </w:rPr>
              <w:t>4.2.4废气环境影响分析</w:t>
            </w:r>
          </w:p>
          <w:p>
            <w:pPr>
              <w:spacing w:line="480" w:lineRule="exact"/>
              <w:ind w:firstLine="420" w:firstLineChars="200"/>
              <w:rPr>
                <w:color w:val="auto"/>
              </w:rPr>
            </w:pPr>
            <w:r>
              <w:rPr>
                <w:rFonts w:hint="eastAsia"/>
                <w:color w:val="auto"/>
              </w:rPr>
              <w:t>根据上述分析，本项目在对炉渣筛分及一级破碎工序采用“集气罩+布袋除尘器+15高烟囱”处理后，有组织颗粒物排放浓度可满足《砖瓦工业大气污染物排放标准》GB29620-2013表2有组织废气</w:t>
            </w:r>
            <w:r>
              <w:rPr>
                <w:color w:val="auto"/>
              </w:rPr>
              <w:t>排放限值要求。</w:t>
            </w:r>
            <w:r>
              <w:rPr>
                <w:rFonts w:hint="eastAsia"/>
                <w:color w:val="auto"/>
              </w:rPr>
              <w:t>经预测，在</w:t>
            </w:r>
            <w:r>
              <w:rPr>
                <w:rFonts w:hint="eastAsia"/>
                <w:color w:val="auto"/>
                <w:lang w:eastAsia="zh-CN"/>
              </w:rPr>
              <w:t>全封闭</w:t>
            </w:r>
            <w:r>
              <w:rPr>
                <w:rFonts w:hint="eastAsia"/>
                <w:color w:val="auto"/>
              </w:rPr>
              <w:t>厂房采用洒水降尘、出入车辆冲洗措施后，项目无组织颗粒物在厂房外最大落地浓度为0.0</w:t>
            </w:r>
            <w:r>
              <w:rPr>
                <w:rFonts w:hint="eastAsia"/>
                <w:color w:val="auto"/>
                <w:lang w:val="en-US" w:eastAsia="zh-CN"/>
              </w:rPr>
              <w:t>56</w:t>
            </w:r>
            <w:r>
              <w:rPr>
                <w:rFonts w:hint="eastAsia"/>
                <w:color w:val="auto"/>
              </w:rPr>
              <w:t>mg/m</w:t>
            </w:r>
            <w:r>
              <w:rPr>
                <w:rFonts w:hint="eastAsia"/>
                <w:color w:val="auto"/>
                <w:vertAlign w:val="superscript"/>
              </w:rPr>
              <w:t>3</w:t>
            </w:r>
            <w:r>
              <w:rPr>
                <w:rFonts w:hint="eastAsia"/>
                <w:color w:val="auto"/>
              </w:rPr>
              <w:t>，位于厂房外79m处，因此项目无组织颗粒物排放浓度可达到《砖瓦工业大气污染物排放标准》GB29620-2013表2有组织废气</w:t>
            </w:r>
            <w:r>
              <w:rPr>
                <w:color w:val="auto"/>
              </w:rPr>
              <w:t>排放限值要求。</w:t>
            </w:r>
            <w:r>
              <w:rPr>
                <w:rFonts w:hint="eastAsia"/>
                <w:color w:val="auto"/>
              </w:rPr>
              <w:t>厂区运输道路洒水降尘，并设置车辆冲洗平台后，厂区运输扬尘产生量为0.</w:t>
            </w:r>
            <w:r>
              <w:rPr>
                <w:rFonts w:hint="eastAsia"/>
                <w:color w:val="auto"/>
                <w:lang w:val="en-US" w:eastAsia="zh-CN"/>
              </w:rPr>
              <w:t>045</w:t>
            </w:r>
            <w:r>
              <w:rPr>
                <w:rFonts w:hint="eastAsia"/>
                <w:color w:val="auto"/>
              </w:rPr>
              <w:t>t/a，对周围环境影响不大。因此本项目废气对区域大气环境的环境影响较小，不会改变当地环境空气质量。</w:t>
            </w:r>
          </w:p>
          <w:p>
            <w:pPr>
              <w:spacing w:line="480" w:lineRule="exact"/>
              <w:ind w:firstLine="422" w:firstLineChars="200"/>
              <w:textAlignment w:val="baseline"/>
              <w:rPr>
                <w:b/>
                <w:bCs/>
                <w:color w:val="auto"/>
              </w:rPr>
            </w:pPr>
            <w:r>
              <w:rPr>
                <w:rFonts w:hint="eastAsia"/>
                <w:b/>
                <w:bCs/>
                <w:color w:val="auto"/>
              </w:rPr>
              <w:t>4.2.5监测要求</w:t>
            </w:r>
          </w:p>
          <w:p>
            <w:pPr>
              <w:spacing w:line="480" w:lineRule="exact"/>
              <w:ind w:firstLine="420" w:firstLineChars="200"/>
              <w:rPr>
                <w:color w:val="auto"/>
              </w:rPr>
            </w:pPr>
            <w:r>
              <w:rPr>
                <w:rFonts w:hint="eastAsia"/>
                <w:color w:val="auto"/>
              </w:rPr>
              <w:t>根据本项目生产工艺特点，</w:t>
            </w:r>
            <w:r>
              <w:rPr>
                <w:rFonts w:hint="eastAsia"/>
                <w:color w:val="auto"/>
                <w:lang w:eastAsia="zh-CN"/>
              </w:rPr>
              <w:t>按照《排污许可证申请与核发技术规范 陶瓷砖瓦工业》（HJ954）和《排污单位自行监测指南 砖瓦行业》（征求意见版），</w:t>
            </w:r>
            <w:r>
              <w:rPr>
                <w:rFonts w:hint="eastAsia"/>
                <w:color w:val="auto"/>
              </w:rPr>
              <w:t>其废气监测工作内容详见表4-4。</w:t>
            </w:r>
          </w:p>
          <w:p>
            <w:pPr>
              <w:spacing w:line="520" w:lineRule="exact"/>
              <w:jc w:val="center"/>
              <w:rPr>
                <w:b/>
                <w:bCs/>
                <w:color w:val="auto"/>
              </w:rPr>
            </w:pPr>
            <w:r>
              <w:rPr>
                <w:b/>
                <w:bCs/>
                <w:color w:val="auto"/>
              </w:rPr>
              <w:t>表4-4    废气自行监测要求一览表</w:t>
            </w:r>
          </w:p>
          <w:tbl>
            <w:tblPr>
              <w:tblStyle w:val="23"/>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2074"/>
              <w:gridCol w:w="2074"/>
              <w:gridCol w:w="20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18" w:hRule="atLeast"/>
              </w:trPr>
              <w:tc>
                <w:tcPr>
                  <w:tcW w:w="2074" w:type="dxa"/>
                  <w:tcBorders>
                    <w:tl2br w:val="nil"/>
                    <w:tr2bl w:val="nil"/>
                  </w:tcBorders>
                  <w:vAlign w:val="center"/>
                </w:tcPr>
                <w:p>
                  <w:pPr>
                    <w:spacing w:line="360" w:lineRule="exact"/>
                    <w:jc w:val="center"/>
                    <w:rPr>
                      <w:b/>
                      <w:bCs/>
                      <w:color w:val="auto"/>
                    </w:rPr>
                  </w:pPr>
                  <w:r>
                    <w:rPr>
                      <w:rFonts w:hint="eastAsia"/>
                      <w:b/>
                      <w:bCs/>
                      <w:color w:val="auto"/>
                    </w:rPr>
                    <w:t>监测对象</w:t>
                  </w:r>
                </w:p>
              </w:tc>
              <w:tc>
                <w:tcPr>
                  <w:tcW w:w="2074" w:type="dxa"/>
                  <w:tcBorders>
                    <w:tl2br w:val="nil"/>
                    <w:tr2bl w:val="nil"/>
                  </w:tcBorders>
                  <w:vAlign w:val="center"/>
                </w:tcPr>
                <w:p>
                  <w:pPr>
                    <w:spacing w:line="360" w:lineRule="exact"/>
                    <w:jc w:val="center"/>
                    <w:rPr>
                      <w:b/>
                      <w:bCs/>
                      <w:color w:val="auto"/>
                    </w:rPr>
                  </w:pPr>
                  <w:r>
                    <w:rPr>
                      <w:rFonts w:hint="eastAsia"/>
                      <w:b/>
                      <w:bCs/>
                      <w:color w:val="auto"/>
                    </w:rPr>
                    <w:t>监测点位</w:t>
                  </w:r>
                </w:p>
              </w:tc>
              <w:tc>
                <w:tcPr>
                  <w:tcW w:w="2074" w:type="dxa"/>
                  <w:tcBorders>
                    <w:tl2br w:val="nil"/>
                    <w:tr2bl w:val="nil"/>
                  </w:tcBorders>
                  <w:vAlign w:val="center"/>
                </w:tcPr>
                <w:p>
                  <w:pPr>
                    <w:spacing w:line="360" w:lineRule="exact"/>
                    <w:jc w:val="center"/>
                    <w:rPr>
                      <w:b/>
                      <w:bCs/>
                      <w:color w:val="auto"/>
                    </w:rPr>
                  </w:pPr>
                  <w:r>
                    <w:rPr>
                      <w:rFonts w:hint="eastAsia"/>
                      <w:b/>
                      <w:bCs/>
                      <w:color w:val="auto"/>
                    </w:rPr>
                    <w:t>监测因子</w:t>
                  </w:r>
                </w:p>
              </w:tc>
              <w:tc>
                <w:tcPr>
                  <w:tcW w:w="2087" w:type="dxa"/>
                  <w:tcBorders>
                    <w:tl2br w:val="nil"/>
                    <w:tr2bl w:val="nil"/>
                  </w:tcBorders>
                  <w:vAlign w:val="center"/>
                </w:tcPr>
                <w:p>
                  <w:pPr>
                    <w:spacing w:line="360" w:lineRule="exact"/>
                    <w:jc w:val="center"/>
                    <w:rPr>
                      <w:b/>
                      <w:bCs/>
                      <w:color w:val="auto"/>
                    </w:rPr>
                  </w:pPr>
                  <w:r>
                    <w:rPr>
                      <w:rFonts w:hint="eastAsia"/>
                      <w:b/>
                      <w:bCs/>
                      <w:color w:val="auto"/>
                    </w:rPr>
                    <w:t>监测频次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074" w:type="dxa"/>
                  <w:tcBorders>
                    <w:tl2br w:val="nil"/>
                    <w:tr2bl w:val="nil"/>
                  </w:tcBorders>
                  <w:vAlign w:val="center"/>
                </w:tcPr>
                <w:p>
                  <w:pPr>
                    <w:spacing w:line="360" w:lineRule="exact"/>
                    <w:jc w:val="center"/>
                    <w:rPr>
                      <w:color w:val="auto"/>
                    </w:rPr>
                  </w:pPr>
                  <w:r>
                    <w:rPr>
                      <w:rFonts w:hint="eastAsia"/>
                      <w:color w:val="auto"/>
                    </w:rPr>
                    <w:t>颗粒物</w:t>
                  </w:r>
                </w:p>
              </w:tc>
              <w:tc>
                <w:tcPr>
                  <w:tcW w:w="2074" w:type="dxa"/>
                  <w:tcBorders>
                    <w:tl2br w:val="nil"/>
                    <w:tr2bl w:val="nil"/>
                  </w:tcBorders>
                  <w:vAlign w:val="center"/>
                </w:tcPr>
                <w:p>
                  <w:pPr>
                    <w:spacing w:line="360" w:lineRule="exact"/>
                    <w:jc w:val="center"/>
                    <w:rPr>
                      <w:color w:val="auto"/>
                    </w:rPr>
                  </w:pPr>
                  <w:r>
                    <w:rPr>
                      <w:rFonts w:hint="eastAsia"/>
                      <w:color w:val="auto"/>
                    </w:rPr>
                    <w:t>炉渣处理车间布袋除尘器排气筒</w:t>
                  </w:r>
                </w:p>
              </w:tc>
              <w:tc>
                <w:tcPr>
                  <w:tcW w:w="2074" w:type="dxa"/>
                  <w:tcBorders>
                    <w:tl2br w:val="nil"/>
                    <w:tr2bl w:val="nil"/>
                  </w:tcBorders>
                  <w:vAlign w:val="center"/>
                </w:tcPr>
                <w:p>
                  <w:pPr>
                    <w:spacing w:line="360" w:lineRule="exact"/>
                    <w:jc w:val="center"/>
                    <w:rPr>
                      <w:color w:val="auto"/>
                    </w:rPr>
                  </w:pPr>
                  <w:r>
                    <w:rPr>
                      <w:rFonts w:hint="eastAsia"/>
                      <w:color w:val="auto"/>
                    </w:rPr>
                    <w:t>颗粒物</w:t>
                  </w:r>
                </w:p>
              </w:tc>
              <w:tc>
                <w:tcPr>
                  <w:tcW w:w="2087" w:type="dxa"/>
                  <w:tcBorders>
                    <w:tl2br w:val="nil"/>
                    <w:tr2bl w:val="nil"/>
                  </w:tcBorders>
                  <w:vAlign w:val="center"/>
                </w:tcPr>
                <w:p>
                  <w:pPr>
                    <w:spacing w:line="360" w:lineRule="exact"/>
                    <w:jc w:val="center"/>
                    <w:rPr>
                      <w:rFonts w:hint="eastAsia"/>
                      <w:color w:val="auto"/>
                      <w:lang w:eastAsia="zh-CN"/>
                    </w:rPr>
                  </w:pPr>
                  <w:r>
                    <w:rPr>
                      <w:rFonts w:hint="eastAsia"/>
                      <w:color w:val="auto"/>
                    </w:rPr>
                    <w:t>1次/</w:t>
                  </w:r>
                  <w:r>
                    <w:rPr>
                      <w:rFonts w:hint="eastAsia"/>
                      <w:color w:val="auto"/>
                      <w:lang w:eastAsia="zh-CN"/>
                    </w:rPr>
                    <w:t>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34" w:hRule="atLeast"/>
              </w:trPr>
              <w:tc>
                <w:tcPr>
                  <w:tcW w:w="2074" w:type="dxa"/>
                  <w:tcBorders>
                    <w:tl2br w:val="nil"/>
                    <w:tr2bl w:val="nil"/>
                  </w:tcBorders>
                  <w:vAlign w:val="center"/>
                </w:tcPr>
                <w:p>
                  <w:pPr>
                    <w:spacing w:line="360" w:lineRule="exact"/>
                    <w:jc w:val="center"/>
                    <w:rPr>
                      <w:color w:val="auto"/>
                    </w:rPr>
                  </w:pPr>
                  <w:r>
                    <w:rPr>
                      <w:rFonts w:hint="eastAsia"/>
                      <w:color w:val="auto"/>
                    </w:rPr>
                    <w:t>颗粒物</w:t>
                  </w:r>
                </w:p>
              </w:tc>
              <w:tc>
                <w:tcPr>
                  <w:tcW w:w="2074" w:type="dxa"/>
                  <w:tcBorders>
                    <w:tl2br w:val="nil"/>
                    <w:tr2bl w:val="nil"/>
                  </w:tcBorders>
                  <w:vAlign w:val="center"/>
                </w:tcPr>
                <w:p>
                  <w:pPr>
                    <w:spacing w:line="360" w:lineRule="exact"/>
                    <w:jc w:val="center"/>
                    <w:rPr>
                      <w:color w:val="auto"/>
                    </w:rPr>
                  </w:pPr>
                  <w:r>
                    <w:rPr>
                      <w:rFonts w:hint="eastAsia"/>
                      <w:color w:val="auto"/>
                    </w:rPr>
                    <w:t>厂界四周</w:t>
                  </w:r>
                </w:p>
              </w:tc>
              <w:tc>
                <w:tcPr>
                  <w:tcW w:w="2074" w:type="dxa"/>
                  <w:tcBorders>
                    <w:tl2br w:val="nil"/>
                    <w:tr2bl w:val="nil"/>
                  </w:tcBorders>
                  <w:vAlign w:val="center"/>
                </w:tcPr>
                <w:p>
                  <w:pPr>
                    <w:spacing w:line="360" w:lineRule="exact"/>
                    <w:jc w:val="center"/>
                    <w:rPr>
                      <w:color w:val="auto"/>
                    </w:rPr>
                  </w:pPr>
                  <w:r>
                    <w:rPr>
                      <w:rFonts w:hint="eastAsia"/>
                      <w:color w:val="auto"/>
                    </w:rPr>
                    <w:t>颗粒物</w:t>
                  </w:r>
                </w:p>
              </w:tc>
              <w:tc>
                <w:tcPr>
                  <w:tcW w:w="2087" w:type="dxa"/>
                  <w:tcBorders>
                    <w:tl2br w:val="nil"/>
                    <w:tr2bl w:val="nil"/>
                  </w:tcBorders>
                  <w:vAlign w:val="center"/>
                </w:tcPr>
                <w:p>
                  <w:pPr>
                    <w:spacing w:line="360" w:lineRule="exact"/>
                    <w:jc w:val="center"/>
                    <w:rPr>
                      <w:rFonts w:hint="eastAsia"/>
                      <w:color w:val="auto"/>
                      <w:lang w:eastAsia="zh-CN"/>
                    </w:rPr>
                  </w:pPr>
                  <w:r>
                    <w:rPr>
                      <w:rFonts w:hint="eastAsia"/>
                      <w:color w:val="auto"/>
                    </w:rPr>
                    <w:t>1次/</w:t>
                  </w:r>
                  <w:r>
                    <w:rPr>
                      <w:rFonts w:hint="eastAsia"/>
                      <w:color w:val="auto"/>
                      <w:lang w:eastAsia="zh-CN"/>
                    </w:rPr>
                    <w:t>年</w:t>
                  </w:r>
                </w:p>
              </w:tc>
            </w:tr>
          </w:tbl>
          <w:p>
            <w:pPr>
              <w:spacing w:line="480" w:lineRule="exact"/>
              <w:ind w:firstLine="422" w:firstLineChars="200"/>
              <w:textAlignment w:val="baseline"/>
              <w:rPr>
                <w:b/>
                <w:bCs/>
                <w:color w:val="auto"/>
              </w:rPr>
            </w:pPr>
            <w:r>
              <w:rPr>
                <w:rFonts w:hint="eastAsia"/>
                <w:b/>
                <w:bCs/>
                <w:color w:val="auto"/>
              </w:rPr>
              <w:t>4.3土壤、水环境影响分析及治理措施</w:t>
            </w:r>
          </w:p>
          <w:p>
            <w:pPr>
              <w:tabs>
                <w:tab w:val="left" w:pos="7600"/>
                <w:tab w:val="right" w:pos="14293"/>
              </w:tabs>
              <w:spacing w:line="480" w:lineRule="exact"/>
              <w:ind w:firstLine="420" w:firstLineChars="200"/>
              <w:rPr>
                <w:color w:val="auto"/>
              </w:rPr>
            </w:pPr>
            <w:r>
              <w:rPr>
                <w:color w:val="auto"/>
              </w:rPr>
              <w:t>本项目用水主要为</w:t>
            </w:r>
            <w:r>
              <w:rPr>
                <w:rFonts w:hint="eastAsia"/>
                <w:color w:val="auto"/>
              </w:rPr>
              <w:t>生产工艺用水、</w:t>
            </w:r>
            <w:r>
              <w:rPr>
                <w:rFonts w:hint="eastAsia"/>
                <w:color w:val="auto"/>
                <w:lang w:eastAsia="zh-CN"/>
              </w:rPr>
              <w:t>制砖用水、</w:t>
            </w:r>
            <w:r>
              <w:rPr>
                <w:rFonts w:hint="eastAsia"/>
                <w:color w:val="auto"/>
              </w:rPr>
              <w:t>洒水降尘用水</w:t>
            </w:r>
            <w:r>
              <w:rPr>
                <w:rFonts w:hint="eastAsia"/>
                <w:color w:val="auto"/>
                <w:lang w:eastAsia="zh-CN"/>
              </w:rPr>
              <w:t>、车辆冲洗用水</w:t>
            </w:r>
            <w:r>
              <w:rPr>
                <w:color w:val="auto"/>
              </w:rPr>
              <w:t>和生活用水。</w:t>
            </w:r>
          </w:p>
          <w:p>
            <w:pPr>
              <w:tabs>
                <w:tab w:val="left" w:pos="7600"/>
                <w:tab w:val="right" w:pos="14293"/>
              </w:tabs>
              <w:spacing w:line="480" w:lineRule="exact"/>
              <w:ind w:firstLine="420" w:firstLineChars="200"/>
              <w:rPr>
                <w:rFonts w:hint="default"/>
                <w:color w:val="auto"/>
                <w:lang w:val="en-US" w:eastAsia="zh-CN"/>
              </w:rPr>
            </w:pPr>
            <w:r>
              <w:rPr>
                <w:rFonts w:hint="eastAsia"/>
                <w:color w:val="auto"/>
              </w:rPr>
              <w:t>运营期生产工艺用水主要污染物为SS，经</w:t>
            </w:r>
            <w:r>
              <w:rPr>
                <w:rFonts w:hint="eastAsia"/>
                <w:color w:val="auto"/>
                <w:lang w:val="en-US" w:eastAsia="zh-CN"/>
              </w:rPr>
              <w:t>300m</w:t>
            </w:r>
            <w:r>
              <w:rPr>
                <w:rFonts w:hint="eastAsia"/>
                <w:color w:val="auto"/>
                <w:vertAlign w:val="superscript"/>
                <w:lang w:val="en-US" w:eastAsia="zh-CN"/>
              </w:rPr>
              <w:t>3</w:t>
            </w:r>
            <w:r>
              <w:rPr>
                <w:rFonts w:hint="eastAsia"/>
                <w:color w:val="auto"/>
              </w:rPr>
              <w:t>三级沉淀池沉淀后回用，不外排</w:t>
            </w:r>
            <w:r>
              <w:rPr>
                <w:rFonts w:hint="eastAsia"/>
                <w:color w:val="auto"/>
                <w:lang w:eastAsia="zh-CN"/>
              </w:rPr>
              <w:t>；制砖用水全部损耗；</w:t>
            </w:r>
            <w:r>
              <w:rPr>
                <w:rFonts w:hint="eastAsia"/>
                <w:color w:val="auto"/>
              </w:rPr>
              <w:t>洒水降尘用水量较小，均蒸发损耗，不产生径流</w:t>
            </w:r>
            <w:r>
              <w:rPr>
                <w:rFonts w:hint="eastAsia"/>
                <w:color w:val="auto"/>
                <w:lang w:eastAsia="zh-CN"/>
              </w:rPr>
              <w:t>；车辆冲洗废水经</w:t>
            </w:r>
            <w:r>
              <w:rPr>
                <w:rFonts w:hint="eastAsia"/>
                <w:color w:val="auto"/>
                <w:lang w:val="en-US" w:eastAsia="zh-CN"/>
              </w:rPr>
              <w:t>3m</w:t>
            </w:r>
            <w:r>
              <w:rPr>
                <w:rFonts w:hint="eastAsia"/>
                <w:color w:val="auto"/>
                <w:vertAlign w:val="superscript"/>
                <w:lang w:val="en-US" w:eastAsia="zh-CN"/>
              </w:rPr>
              <w:t>3</w:t>
            </w:r>
            <w:r>
              <w:rPr>
                <w:rFonts w:hint="eastAsia"/>
                <w:color w:val="auto"/>
                <w:lang w:val="en-US" w:eastAsia="zh-CN"/>
              </w:rPr>
              <w:t>沉淀池沉淀后回用于冲洗水，不外排。</w:t>
            </w:r>
          </w:p>
          <w:p>
            <w:pPr>
              <w:tabs>
                <w:tab w:val="left" w:pos="7600"/>
                <w:tab w:val="right" w:pos="14293"/>
              </w:tabs>
              <w:spacing w:line="480" w:lineRule="exact"/>
              <w:ind w:firstLine="420" w:firstLineChars="200"/>
              <w:rPr>
                <w:color w:val="auto"/>
              </w:rPr>
            </w:pPr>
            <w:r>
              <w:rPr>
                <w:color w:val="auto"/>
              </w:rPr>
              <w:t>员工生活污水排放量为</w:t>
            </w:r>
            <w:r>
              <w:rPr>
                <w:rFonts w:hint="eastAsia"/>
                <w:color w:val="auto"/>
              </w:rPr>
              <w:t>1584</w:t>
            </w:r>
            <w:r>
              <w:rPr>
                <w:color w:val="auto"/>
              </w:rPr>
              <w:t>m</w:t>
            </w:r>
            <w:r>
              <w:rPr>
                <w:color w:val="auto"/>
                <w:vertAlign w:val="superscript"/>
              </w:rPr>
              <w:t>3</w:t>
            </w:r>
            <w:r>
              <w:rPr>
                <w:color w:val="auto"/>
              </w:rPr>
              <w:t>/a，生活污水水质一般为：COD</w:t>
            </w:r>
            <w:r>
              <w:rPr>
                <w:color w:val="auto"/>
                <w:vertAlign w:val="subscript"/>
              </w:rPr>
              <w:t>Cr</w:t>
            </w:r>
            <w:r>
              <w:rPr>
                <w:color w:val="auto"/>
              </w:rPr>
              <w:t>：300mg/L、BOD</w:t>
            </w:r>
            <w:r>
              <w:rPr>
                <w:color w:val="auto"/>
                <w:vertAlign w:val="subscript"/>
              </w:rPr>
              <w:t>5</w:t>
            </w:r>
            <w:r>
              <w:rPr>
                <w:color w:val="auto"/>
              </w:rPr>
              <w:t>：200mg/L、SS：200mg/L、NH</w:t>
            </w:r>
            <w:r>
              <w:rPr>
                <w:color w:val="auto"/>
                <w:vertAlign w:val="subscript"/>
              </w:rPr>
              <w:t>3</w:t>
            </w:r>
            <w:r>
              <w:rPr>
                <w:color w:val="auto"/>
              </w:rPr>
              <w:t>-N：25mg/L，</w:t>
            </w:r>
            <w:r>
              <w:rPr>
                <w:rFonts w:hint="eastAsia"/>
                <w:color w:val="auto"/>
              </w:rPr>
              <w:t>经地埋式一体化污水处理设施处理后水质可满足《城市污水再生利用 城市杂用水水质》要求，</w:t>
            </w:r>
            <w:r>
              <w:rPr>
                <w:rFonts w:hint="eastAsia"/>
                <w:color w:val="auto"/>
                <w:lang w:eastAsia="zh-CN"/>
              </w:rPr>
              <w:t>春夏秋季</w:t>
            </w:r>
            <w:r>
              <w:rPr>
                <w:rFonts w:hint="eastAsia"/>
                <w:color w:val="auto"/>
              </w:rPr>
              <w:t>可用于厂区绿化、车辆冲洗及道路降尘</w:t>
            </w:r>
            <w:r>
              <w:rPr>
                <w:rFonts w:hint="eastAsia"/>
                <w:color w:val="auto"/>
                <w:lang w:eastAsia="zh-CN"/>
              </w:rPr>
              <w:t>，冬季不需灌溉时车辆冲洗及道路降尘剩余水可排入</w:t>
            </w:r>
            <w:r>
              <w:rPr>
                <w:rFonts w:hint="eastAsia"/>
                <w:color w:val="auto"/>
                <w:lang w:val="en-US" w:eastAsia="zh-CN"/>
              </w:rPr>
              <w:t>300m</w:t>
            </w:r>
            <w:r>
              <w:rPr>
                <w:rFonts w:hint="eastAsia"/>
                <w:color w:val="auto"/>
                <w:vertAlign w:val="superscript"/>
                <w:lang w:val="en-US" w:eastAsia="zh-CN"/>
              </w:rPr>
              <w:t>3</w:t>
            </w:r>
            <w:r>
              <w:rPr>
                <w:rFonts w:hint="eastAsia"/>
                <w:color w:val="auto"/>
                <w:lang w:val="en-US" w:eastAsia="zh-CN"/>
              </w:rPr>
              <w:t>的储存池中，开春后用于灌溉</w:t>
            </w:r>
            <w:r>
              <w:rPr>
                <w:rFonts w:hint="eastAsia"/>
                <w:color w:val="auto"/>
              </w:rPr>
              <w:t>。</w:t>
            </w:r>
          </w:p>
          <w:p>
            <w:pPr>
              <w:tabs>
                <w:tab w:val="left" w:pos="7600"/>
                <w:tab w:val="right" w:pos="14293"/>
              </w:tabs>
              <w:spacing w:line="480" w:lineRule="exact"/>
              <w:ind w:firstLine="420" w:firstLineChars="200"/>
              <w:rPr>
                <w:color w:val="auto"/>
              </w:rPr>
            </w:pPr>
            <w:r>
              <w:rPr>
                <w:rFonts w:hint="eastAsia"/>
                <w:color w:val="auto"/>
              </w:rPr>
              <w:t>根据工程分析，本项目没有生产废水外排，项目使用的炉渣不属于危险废物，本工程厂房</w:t>
            </w:r>
            <w:r>
              <w:rPr>
                <w:rFonts w:hint="eastAsia"/>
                <w:color w:val="auto"/>
                <w:lang w:eastAsia="zh-CN"/>
              </w:rPr>
              <w:t>地面</w:t>
            </w:r>
            <w:r>
              <w:rPr>
                <w:rFonts w:hint="eastAsia"/>
                <w:color w:val="auto"/>
              </w:rPr>
              <w:t>进行了防渗处理，能有效防止渗水下渗，且车间内设置有回水沟；本项目设置容积为35m</w:t>
            </w:r>
            <w:r>
              <w:rPr>
                <w:rFonts w:hint="eastAsia"/>
                <w:color w:val="auto"/>
                <w:vertAlign w:val="superscript"/>
              </w:rPr>
              <w:t>3</w:t>
            </w:r>
            <w:r>
              <w:rPr>
                <w:rFonts w:hint="eastAsia"/>
                <w:color w:val="auto"/>
              </w:rPr>
              <w:t>的事故池，在事故状态下，生活污水排放至事故池中。采取上述措施后，将有效减少地面废水下渗污染地下水，项目投产后做好环境管理，保持厂区清洁，对地下水影响较小。</w:t>
            </w:r>
          </w:p>
          <w:p>
            <w:pPr>
              <w:tabs>
                <w:tab w:val="left" w:pos="7600"/>
                <w:tab w:val="right" w:pos="14293"/>
              </w:tabs>
              <w:spacing w:line="480" w:lineRule="exact"/>
              <w:ind w:firstLine="420" w:firstLineChars="200"/>
              <w:rPr>
                <w:rFonts w:hint="eastAsia"/>
                <w:color w:val="auto"/>
              </w:rPr>
            </w:pPr>
            <w:r>
              <w:rPr>
                <w:rFonts w:hint="eastAsia"/>
                <w:color w:val="auto"/>
              </w:rPr>
              <w:t>本工程的生产用水沉淀循环水池需要下挖，因此在修建沉淀循环水池时应做好相关防护措施，防止由于不均匀沉降或者地下水产生的剪力对沉淀循环水池造成破坏污染地下水。</w:t>
            </w:r>
          </w:p>
          <w:p>
            <w:pPr>
              <w:pStyle w:val="8"/>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此外，本项目原料炉渣属于一般固废，其堆场位于全封闭式车间内，应执行</w:t>
            </w:r>
            <w:r>
              <w:rPr>
                <w:rFonts w:hint="default" w:ascii="Times New Roman" w:hAnsi="Times New Roman" w:eastAsia="宋体" w:cs="Times New Roman"/>
                <w:b w:val="0"/>
                <w:bCs w:val="0"/>
                <w:color w:val="auto"/>
                <w:sz w:val="21"/>
                <w:szCs w:val="21"/>
                <w:lang w:val="en-US" w:eastAsia="zh-CN"/>
              </w:rPr>
              <w:t>GB18597-2020中相应要求，在堆场周围设计导流槽，将炉渣渗水收集至生产用水循环水池中沉淀后回用，防止炉渣渗水污染土壤及地下水。</w:t>
            </w:r>
          </w:p>
          <w:p>
            <w:pPr>
              <w:spacing w:line="480" w:lineRule="exact"/>
              <w:ind w:firstLine="420" w:firstLineChars="200"/>
              <w:rPr>
                <w:color w:val="auto"/>
              </w:rPr>
            </w:pPr>
            <w:r>
              <w:rPr>
                <w:color w:val="auto"/>
              </w:rPr>
              <w:t>地下水、土壤污染源及污染途径如下表。</w:t>
            </w:r>
          </w:p>
          <w:p>
            <w:pPr>
              <w:spacing w:line="520" w:lineRule="exact"/>
              <w:jc w:val="center"/>
              <w:rPr>
                <w:b/>
                <w:bCs/>
                <w:color w:val="auto"/>
              </w:rPr>
            </w:pPr>
            <w:r>
              <w:rPr>
                <w:b/>
                <w:bCs/>
                <w:color w:val="auto"/>
              </w:rPr>
              <w:t>表</w:t>
            </w:r>
            <w:r>
              <w:rPr>
                <w:rFonts w:hint="eastAsia"/>
                <w:b/>
                <w:bCs/>
                <w:color w:val="auto"/>
              </w:rPr>
              <w:t xml:space="preserve">4-5    </w:t>
            </w:r>
            <w:r>
              <w:rPr>
                <w:b/>
                <w:bCs/>
                <w:color w:val="auto"/>
              </w:rPr>
              <w:t>地下水</w:t>
            </w:r>
            <w:r>
              <w:rPr>
                <w:rFonts w:hint="eastAsia"/>
                <w:b/>
                <w:bCs/>
                <w:color w:val="auto"/>
              </w:rPr>
              <w:t>、土壤</w:t>
            </w:r>
            <w:r>
              <w:rPr>
                <w:b/>
                <w:bCs/>
                <w:color w:val="auto"/>
              </w:rPr>
              <w:t>污染源及污染途径</w:t>
            </w:r>
          </w:p>
          <w:tbl>
            <w:tblPr>
              <w:tblStyle w:val="22"/>
              <w:tblW w:w="794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983"/>
              <w:gridCol w:w="2367"/>
              <w:gridCol w:w="28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tblHeader/>
              </w:trPr>
              <w:tc>
                <w:tcPr>
                  <w:tcW w:w="698" w:type="dxa"/>
                  <w:tcBorders>
                    <w:tl2br w:val="nil"/>
                    <w:tr2bl w:val="nil"/>
                  </w:tcBorders>
                  <w:vAlign w:val="center"/>
                </w:tcPr>
                <w:p>
                  <w:pPr>
                    <w:snapToGrid w:val="0"/>
                    <w:contextualSpacing/>
                    <w:jc w:val="center"/>
                    <w:rPr>
                      <w:b/>
                      <w:bCs/>
                      <w:color w:val="auto"/>
                    </w:rPr>
                  </w:pPr>
                  <w:r>
                    <w:rPr>
                      <w:b/>
                      <w:bCs/>
                      <w:color w:val="auto"/>
                    </w:rPr>
                    <w:t>序号</w:t>
                  </w:r>
                </w:p>
              </w:tc>
              <w:tc>
                <w:tcPr>
                  <w:tcW w:w="1983" w:type="dxa"/>
                  <w:tcBorders>
                    <w:tl2br w:val="nil"/>
                    <w:tr2bl w:val="nil"/>
                  </w:tcBorders>
                  <w:vAlign w:val="center"/>
                </w:tcPr>
                <w:p>
                  <w:pPr>
                    <w:snapToGrid w:val="0"/>
                    <w:contextualSpacing/>
                    <w:jc w:val="center"/>
                    <w:rPr>
                      <w:b/>
                      <w:bCs/>
                      <w:color w:val="auto"/>
                    </w:rPr>
                  </w:pPr>
                  <w:r>
                    <w:rPr>
                      <w:b/>
                      <w:bCs/>
                      <w:color w:val="auto"/>
                    </w:rPr>
                    <w:t>污染源</w:t>
                  </w:r>
                </w:p>
              </w:tc>
              <w:tc>
                <w:tcPr>
                  <w:tcW w:w="2367" w:type="dxa"/>
                  <w:tcBorders>
                    <w:tl2br w:val="nil"/>
                    <w:tr2bl w:val="nil"/>
                  </w:tcBorders>
                  <w:vAlign w:val="center"/>
                </w:tcPr>
                <w:p>
                  <w:pPr>
                    <w:snapToGrid w:val="0"/>
                    <w:contextualSpacing/>
                    <w:jc w:val="center"/>
                    <w:rPr>
                      <w:b/>
                      <w:bCs/>
                      <w:color w:val="auto"/>
                    </w:rPr>
                  </w:pPr>
                  <w:r>
                    <w:rPr>
                      <w:b/>
                      <w:bCs/>
                      <w:color w:val="auto"/>
                    </w:rPr>
                    <w:t>污染物类型</w:t>
                  </w:r>
                </w:p>
              </w:tc>
              <w:tc>
                <w:tcPr>
                  <w:tcW w:w="2898" w:type="dxa"/>
                  <w:tcBorders>
                    <w:tl2br w:val="nil"/>
                    <w:tr2bl w:val="nil"/>
                  </w:tcBorders>
                  <w:vAlign w:val="center"/>
                </w:tcPr>
                <w:p>
                  <w:pPr>
                    <w:snapToGrid w:val="0"/>
                    <w:contextualSpacing/>
                    <w:jc w:val="center"/>
                    <w:rPr>
                      <w:b/>
                      <w:bCs/>
                      <w:color w:val="auto"/>
                    </w:rPr>
                  </w:pPr>
                  <w:r>
                    <w:rPr>
                      <w:b/>
                      <w:bCs/>
                      <w:color w:val="auto"/>
                    </w:rPr>
                    <w:t>污染途径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8" w:type="dxa"/>
                  <w:tcBorders>
                    <w:tl2br w:val="nil"/>
                    <w:tr2bl w:val="nil"/>
                  </w:tcBorders>
                  <w:vAlign w:val="center"/>
                </w:tcPr>
                <w:p>
                  <w:pPr>
                    <w:snapToGrid w:val="0"/>
                    <w:contextualSpacing/>
                    <w:jc w:val="center"/>
                    <w:rPr>
                      <w:color w:val="auto"/>
                    </w:rPr>
                  </w:pPr>
                  <w:r>
                    <w:rPr>
                      <w:color w:val="auto"/>
                    </w:rPr>
                    <w:t>1</w:t>
                  </w:r>
                </w:p>
              </w:tc>
              <w:tc>
                <w:tcPr>
                  <w:tcW w:w="1983" w:type="dxa"/>
                  <w:tcBorders>
                    <w:tl2br w:val="nil"/>
                    <w:tr2bl w:val="nil"/>
                  </w:tcBorders>
                  <w:vAlign w:val="center"/>
                </w:tcPr>
                <w:p>
                  <w:pPr>
                    <w:snapToGrid w:val="0"/>
                    <w:contextualSpacing/>
                    <w:jc w:val="center"/>
                    <w:rPr>
                      <w:color w:val="auto"/>
                    </w:rPr>
                  </w:pPr>
                  <w:r>
                    <w:rPr>
                      <w:rFonts w:hint="eastAsia"/>
                      <w:color w:val="auto"/>
                    </w:rPr>
                    <w:t>循环水池</w:t>
                  </w:r>
                </w:p>
              </w:tc>
              <w:tc>
                <w:tcPr>
                  <w:tcW w:w="2367" w:type="dxa"/>
                  <w:tcBorders>
                    <w:tl2br w:val="nil"/>
                    <w:tr2bl w:val="nil"/>
                  </w:tcBorders>
                  <w:vAlign w:val="center"/>
                </w:tcPr>
                <w:p>
                  <w:pPr>
                    <w:snapToGrid w:val="0"/>
                    <w:contextualSpacing/>
                    <w:jc w:val="center"/>
                    <w:rPr>
                      <w:color w:val="auto"/>
                    </w:rPr>
                  </w:pPr>
                  <w:r>
                    <w:rPr>
                      <w:color w:val="auto"/>
                    </w:rPr>
                    <w:t>悬浮物</w:t>
                  </w:r>
                  <w:r>
                    <w:rPr>
                      <w:rFonts w:hint="eastAsia"/>
                      <w:color w:val="auto"/>
                    </w:rPr>
                    <w:t>等</w:t>
                  </w:r>
                </w:p>
              </w:tc>
              <w:tc>
                <w:tcPr>
                  <w:tcW w:w="2898" w:type="dxa"/>
                  <w:tcBorders>
                    <w:tl2br w:val="nil"/>
                    <w:tr2bl w:val="nil"/>
                  </w:tcBorders>
                  <w:vAlign w:val="center"/>
                </w:tcPr>
                <w:p>
                  <w:pPr>
                    <w:snapToGrid w:val="0"/>
                    <w:contextualSpacing/>
                    <w:jc w:val="center"/>
                    <w:rPr>
                      <w:color w:val="auto"/>
                    </w:rPr>
                  </w:pPr>
                  <w:r>
                    <w:rPr>
                      <w:color w:val="auto"/>
                    </w:rPr>
                    <w:t>水池下方及四周渗漏污染地下水、土壤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8" w:type="dxa"/>
                  <w:tcBorders>
                    <w:tl2br w:val="nil"/>
                    <w:tr2bl w:val="nil"/>
                  </w:tcBorders>
                  <w:vAlign w:val="center"/>
                </w:tcPr>
                <w:p>
                  <w:pPr>
                    <w:snapToGrid w:val="0"/>
                    <w:contextualSpacing/>
                    <w:jc w:val="center"/>
                    <w:rPr>
                      <w:color w:val="auto"/>
                    </w:rPr>
                  </w:pPr>
                  <w:r>
                    <w:rPr>
                      <w:rFonts w:hint="eastAsia"/>
                      <w:color w:val="auto"/>
                    </w:rPr>
                    <w:t>2</w:t>
                  </w:r>
                </w:p>
              </w:tc>
              <w:tc>
                <w:tcPr>
                  <w:tcW w:w="1983" w:type="dxa"/>
                  <w:tcBorders>
                    <w:tl2br w:val="nil"/>
                    <w:tr2bl w:val="nil"/>
                  </w:tcBorders>
                  <w:vAlign w:val="center"/>
                </w:tcPr>
                <w:p>
                  <w:pPr>
                    <w:snapToGrid w:val="0"/>
                    <w:contextualSpacing/>
                    <w:jc w:val="center"/>
                    <w:rPr>
                      <w:color w:val="auto"/>
                    </w:rPr>
                  </w:pPr>
                  <w:r>
                    <w:rPr>
                      <w:rFonts w:hint="eastAsia"/>
                      <w:color w:val="auto"/>
                    </w:rPr>
                    <w:t>地埋式一体化污水处理设施</w:t>
                  </w:r>
                </w:p>
              </w:tc>
              <w:tc>
                <w:tcPr>
                  <w:tcW w:w="2367" w:type="dxa"/>
                  <w:tcBorders>
                    <w:tl2br w:val="nil"/>
                    <w:tr2bl w:val="nil"/>
                  </w:tcBorders>
                  <w:vAlign w:val="center"/>
                </w:tcPr>
                <w:p>
                  <w:pPr>
                    <w:snapToGrid w:val="0"/>
                    <w:contextualSpacing/>
                    <w:jc w:val="center"/>
                    <w:rPr>
                      <w:color w:val="auto"/>
                    </w:rPr>
                  </w:pPr>
                  <w:r>
                    <w:rPr>
                      <w:rFonts w:hint="eastAsia"/>
                      <w:color w:val="auto"/>
                    </w:rPr>
                    <w:t>COD、BOD</w:t>
                  </w:r>
                  <w:r>
                    <w:rPr>
                      <w:rFonts w:hint="eastAsia"/>
                      <w:color w:val="auto"/>
                      <w:vertAlign w:val="subscript"/>
                    </w:rPr>
                    <w:t>5</w:t>
                  </w:r>
                  <w:r>
                    <w:rPr>
                      <w:rFonts w:hint="eastAsia"/>
                      <w:color w:val="auto"/>
                    </w:rPr>
                    <w:t>、NH</w:t>
                  </w:r>
                  <w:r>
                    <w:rPr>
                      <w:rFonts w:hint="eastAsia"/>
                      <w:color w:val="auto"/>
                      <w:vertAlign w:val="subscript"/>
                    </w:rPr>
                    <w:t>3</w:t>
                  </w:r>
                  <w:r>
                    <w:rPr>
                      <w:rFonts w:hint="eastAsia"/>
                      <w:color w:val="auto"/>
                    </w:rPr>
                    <w:t>-N等</w:t>
                  </w:r>
                </w:p>
              </w:tc>
              <w:tc>
                <w:tcPr>
                  <w:tcW w:w="2898" w:type="dxa"/>
                  <w:tcBorders>
                    <w:tl2br w:val="nil"/>
                    <w:tr2bl w:val="nil"/>
                  </w:tcBorders>
                  <w:vAlign w:val="center"/>
                </w:tcPr>
                <w:p>
                  <w:pPr>
                    <w:snapToGrid w:val="0"/>
                    <w:contextualSpacing/>
                    <w:jc w:val="center"/>
                    <w:rPr>
                      <w:color w:val="auto"/>
                    </w:rPr>
                  </w:pPr>
                  <w:r>
                    <w:rPr>
                      <w:rFonts w:hint="eastAsia"/>
                      <w:color w:val="auto"/>
                    </w:rPr>
                    <w:t>设施破损</w:t>
                  </w:r>
                  <w:r>
                    <w:rPr>
                      <w:color w:val="auto"/>
                    </w:rPr>
                    <w:t>污染地下水、土壤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8" w:type="dxa"/>
                  <w:tcBorders>
                    <w:tl2br w:val="nil"/>
                    <w:tr2bl w:val="nil"/>
                  </w:tcBorders>
                  <w:vAlign w:val="center"/>
                </w:tcPr>
                <w:p>
                  <w:pPr>
                    <w:snapToGrid w:val="0"/>
                    <w:contextualSpacing/>
                    <w:jc w:val="center"/>
                    <w:rPr>
                      <w:rFonts w:hint="eastAsia"/>
                      <w:color w:val="auto"/>
                      <w:lang w:val="en-US" w:eastAsia="zh-CN"/>
                    </w:rPr>
                  </w:pPr>
                  <w:r>
                    <w:rPr>
                      <w:rFonts w:hint="eastAsia"/>
                      <w:color w:val="auto"/>
                      <w:lang w:val="en-US" w:eastAsia="zh-CN"/>
                    </w:rPr>
                    <w:t>3</w:t>
                  </w:r>
                </w:p>
              </w:tc>
              <w:tc>
                <w:tcPr>
                  <w:tcW w:w="1983" w:type="dxa"/>
                  <w:tcBorders>
                    <w:tl2br w:val="nil"/>
                    <w:tr2bl w:val="nil"/>
                  </w:tcBorders>
                  <w:vAlign w:val="center"/>
                </w:tcPr>
                <w:p>
                  <w:pPr>
                    <w:snapToGrid w:val="0"/>
                    <w:contextualSpacing/>
                    <w:jc w:val="center"/>
                    <w:rPr>
                      <w:rFonts w:hint="eastAsia"/>
                      <w:color w:val="auto"/>
                      <w:lang w:eastAsia="zh-CN"/>
                    </w:rPr>
                  </w:pPr>
                  <w:r>
                    <w:rPr>
                      <w:rFonts w:hint="eastAsia"/>
                      <w:color w:val="auto"/>
                      <w:lang w:eastAsia="zh-CN"/>
                    </w:rPr>
                    <w:t>炉渣堆场</w:t>
                  </w:r>
                </w:p>
              </w:tc>
              <w:tc>
                <w:tcPr>
                  <w:tcW w:w="2367" w:type="dxa"/>
                  <w:tcBorders>
                    <w:tl2br w:val="nil"/>
                    <w:tr2bl w:val="nil"/>
                  </w:tcBorders>
                  <w:vAlign w:val="center"/>
                </w:tcPr>
                <w:p>
                  <w:pPr>
                    <w:snapToGrid w:val="0"/>
                    <w:contextualSpacing/>
                    <w:jc w:val="center"/>
                    <w:rPr>
                      <w:rFonts w:hint="eastAsia"/>
                      <w:color w:val="auto"/>
                      <w:lang w:eastAsia="zh-CN"/>
                    </w:rPr>
                  </w:pPr>
                  <w:r>
                    <w:rPr>
                      <w:rFonts w:hint="eastAsia"/>
                      <w:color w:val="auto"/>
                      <w:lang w:eastAsia="zh-CN"/>
                    </w:rPr>
                    <w:t>悬浮物等</w:t>
                  </w:r>
                </w:p>
              </w:tc>
              <w:tc>
                <w:tcPr>
                  <w:tcW w:w="2898" w:type="dxa"/>
                  <w:tcBorders>
                    <w:tl2br w:val="nil"/>
                    <w:tr2bl w:val="nil"/>
                  </w:tcBorders>
                  <w:vAlign w:val="center"/>
                </w:tcPr>
                <w:p>
                  <w:pPr>
                    <w:snapToGrid w:val="0"/>
                    <w:contextualSpacing/>
                    <w:jc w:val="center"/>
                    <w:rPr>
                      <w:rFonts w:hint="eastAsia"/>
                      <w:color w:val="auto"/>
                      <w:lang w:eastAsia="zh-CN"/>
                    </w:rPr>
                  </w:pPr>
                  <w:r>
                    <w:rPr>
                      <w:rFonts w:hint="eastAsia"/>
                      <w:color w:val="auto"/>
                      <w:lang w:eastAsia="zh-CN"/>
                    </w:rPr>
                    <w:t>炉渣渗水渗入土壤</w:t>
                  </w:r>
                </w:p>
              </w:tc>
            </w:tr>
          </w:tbl>
          <w:p>
            <w:pPr>
              <w:tabs>
                <w:tab w:val="left" w:pos="7600"/>
                <w:tab w:val="right" w:pos="14293"/>
              </w:tabs>
              <w:spacing w:line="480" w:lineRule="exact"/>
              <w:ind w:firstLine="420" w:firstLineChars="200"/>
              <w:rPr>
                <w:color w:val="auto"/>
              </w:rPr>
            </w:pPr>
            <w:r>
              <w:rPr>
                <w:color w:val="auto"/>
              </w:rPr>
              <w:t>地下水、土壤防控措施如下表</w:t>
            </w:r>
            <w:r>
              <w:rPr>
                <w:rFonts w:hint="eastAsia"/>
                <w:color w:val="auto"/>
              </w:rPr>
              <w:t>4-6</w:t>
            </w:r>
            <w:r>
              <w:rPr>
                <w:color w:val="auto"/>
              </w:rPr>
              <w:t>。</w:t>
            </w:r>
          </w:p>
          <w:p>
            <w:pPr>
              <w:spacing w:line="520" w:lineRule="exact"/>
              <w:jc w:val="center"/>
              <w:rPr>
                <w:b/>
                <w:bCs/>
                <w:color w:val="auto"/>
              </w:rPr>
            </w:pPr>
            <w:r>
              <w:rPr>
                <w:b/>
                <w:bCs/>
                <w:color w:val="auto"/>
              </w:rPr>
              <w:t>表</w:t>
            </w:r>
            <w:r>
              <w:rPr>
                <w:rFonts w:hint="eastAsia"/>
                <w:b/>
                <w:bCs/>
                <w:color w:val="auto"/>
              </w:rPr>
              <w:t>4-6</w:t>
            </w:r>
            <w:r>
              <w:rPr>
                <w:b/>
                <w:bCs/>
                <w:color w:val="auto"/>
              </w:rPr>
              <w:t xml:space="preserve">    地下水、土壤污染防控措施</w:t>
            </w:r>
          </w:p>
          <w:tbl>
            <w:tblPr>
              <w:tblStyle w:val="22"/>
              <w:tblW w:w="794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442"/>
              <w:gridCol w:w="2316"/>
              <w:gridCol w:w="34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tblHeader/>
              </w:trPr>
              <w:tc>
                <w:tcPr>
                  <w:tcW w:w="698" w:type="dxa"/>
                  <w:tcBorders>
                    <w:tl2br w:val="nil"/>
                    <w:tr2bl w:val="nil"/>
                  </w:tcBorders>
                  <w:vAlign w:val="center"/>
                </w:tcPr>
                <w:p>
                  <w:pPr>
                    <w:snapToGrid w:val="0"/>
                    <w:contextualSpacing/>
                    <w:jc w:val="center"/>
                    <w:rPr>
                      <w:b/>
                      <w:bCs/>
                      <w:color w:val="auto"/>
                    </w:rPr>
                  </w:pPr>
                  <w:r>
                    <w:rPr>
                      <w:b/>
                      <w:bCs/>
                      <w:color w:val="auto"/>
                    </w:rPr>
                    <w:t>序号</w:t>
                  </w:r>
                </w:p>
              </w:tc>
              <w:tc>
                <w:tcPr>
                  <w:tcW w:w="1442" w:type="dxa"/>
                  <w:tcBorders>
                    <w:tl2br w:val="nil"/>
                    <w:tr2bl w:val="nil"/>
                  </w:tcBorders>
                  <w:vAlign w:val="center"/>
                </w:tcPr>
                <w:p>
                  <w:pPr>
                    <w:snapToGrid w:val="0"/>
                    <w:contextualSpacing/>
                    <w:jc w:val="center"/>
                    <w:rPr>
                      <w:b/>
                      <w:bCs/>
                      <w:color w:val="auto"/>
                    </w:rPr>
                  </w:pPr>
                  <w:r>
                    <w:rPr>
                      <w:b/>
                      <w:bCs/>
                      <w:color w:val="auto"/>
                    </w:rPr>
                    <w:t>污染源</w:t>
                  </w:r>
                </w:p>
              </w:tc>
              <w:tc>
                <w:tcPr>
                  <w:tcW w:w="2316" w:type="dxa"/>
                  <w:tcBorders>
                    <w:tl2br w:val="nil"/>
                    <w:tr2bl w:val="nil"/>
                  </w:tcBorders>
                  <w:vAlign w:val="center"/>
                </w:tcPr>
                <w:p>
                  <w:pPr>
                    <w:snapToGrid w:val="0"/>
                    <w:contextualSpacing/>
                    <w:jc w:val="center"/>
                    <w:rPr>
                      <w:b/>
                      <w:bCs/>
                      <w:color w:val="auto"/>
                    </w:rPr>
                  </w:pPr>
                  <w:r>
                    <w:rPr>
                      <w:b/>
                      <w:bCs/>
                      <w:color w:val="auto"/>
                    </w:rPr>
                    <w:t>防控措施</w:t>
                  </w:r>
                </w:p>
              </w:tc>
              <w:tc>
                <w:tcPr>
                  <w:tcW w:w="3490" w:type="dxa"/>
                  <w:tcBorders>
                    <w:tl2br w:val="nil"/>
                    <w:tr2bl w:val="nil"/>
                  </w:tcBorders>
                  <w:vAlign w:val="center"/>
                </w:tcPr>
                <w:p>
                  <w:pPr>
                    <w:snapToGrid w:val="0"/>
                    <w:contextualSpacing/>
                    <w:jc w:val="center"/>
                    <w:rPr>
                      <w:b/>
                      <w:bCs/>
                      <w:color w:val="auto"/>
                    </w:rPr>
                  </w:pPr>
                  <w:r>
                    <w:rPr>
                      <w:b/>
                      <w:bCs/>
                      <w:color w:val="auto"/>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8" w:type="dxa"/>
                  <w:tcBorders>
                    <w:tl2br w:val="nil"/>
                    <w:tr2bl w:val="nil"/>
                  </w:tcBorders>
                  <w:vAlign w:val="center"/>
                </w:tcPr>
                <w:p>
                  <w:pPr>
                    <w:snapToGrid w:val="0"/>
                    <w:contextualSpacing/>
                    <w:jc w:val="center"/>
                    <w:rPr>
                      <w:color w:val="auto"/>
                    </w:rPr>
                  </w:pPr>
                  <w:r>
                    <w:rPr>
                      <w:color w:val="auto"/>
                    </w:rPr>
                    <w:t>1</w:t>
                  </w:r>
                </w:p>
              </w:tc>
              <w:tc>
                <w:tcPr>
                  <w:tcW w:w="1442" w:type="dxa"/>
                  <w:tcBorders>
                    <w:tl2br w:val="nil"/>
                    <w:tr2bl w:val="nil"/>
                  </w:tcBorders>
                  <w:vAlign w:val="center"/>
                </w:tcPr>
                <w:p>
                  <w:pPr>
                    <w:snapToGrid w:val="0"/>
                    <w:contextualSpacing/>
                    <w:jc w:val="center"/>
                    <w:rPr>
                      <w:color w:val="auto"/>
                    </w:rPr>
                  </w:pPr>
                  <w:r>
                    <w:rPr>
                      <w:color w:val="auto"/>
                    </w:rPr>
                    <w:t>循环水池</w:t>
                  </w:r>
                </w:p>
              </w:tc>
              <w:tc>
                <w:tcPr>
                  <w:tcW w:w="2316" w:type="dxa"/>
                  <w:vMerge w:val="restart"/>
                  <w:tcBorders>
                    <w:tl2br w:val="nil"/>
                    <w:tr2bl w:val="nil"/>
                  </w:tcBorders>
                  <w:vAlign w:val="center"/>
                </w:tcPr>
                <w:p>
                  <w:pPr>
                    <w:snapToGrid w:val="0"/>
                    <w:contextualSpacing/>
                    <w:jc w:val="center"/>
                    <w:rPr>
                      <w:color w:val="auto"/>
                    </w:rPr>
                  </w:pPr>
                  <w:r>
                    <w:rPr>
                      <w:color w:val="auto"/>
                    </w:rPr>
                    <w:t>设置一般防渗区；在厂区内及周边采取绿化措</w:t>
                  </w:r>
                </w:p>
                <w:p>
                  <w:pPr>
                    <w:snapToGrid w:val="0"/>
                    <w:contextualSpacing/>
                    <w:jc w:val="center"/>
                    <w:rPr>
                      <w:color w:val="auto"/>
                    </w:rPr>
                  </w:pPr>
                  <w:r>
                    <w:rPr>
                      <w:color w:val="auto"/>
                    </w:rPr>
                    <w:t>施，以种植较强吸附能力的植物为主</w:t>
                  </w:r>
                </w:p>
              </w:tc>
              <w:tc>
                <w:tcPr>
                  <w:tcW w:w="3490" w:type="dxa"/>
                  <w:vMerge w:val="restart"/>
                  <w:tcBorders>
                    <w:tl2br w:val="nil"/>
                    <w:tr2bl w:val="nil"/>
                  </w:tcBorders>
                  <w:vAlign w:val="center"/>
                </w:tcPr>
                <w:p>
                  <w:pPr>
                    <w:snapToGrid w:val="0"/>
                    <w:contextualSpacing/>
                    <w:rPr>
                      <w:color w:val="auto"/>
                    </w:rPr>
                  </w:pPr>
                  <w:r>
                    <w:rPr>
                      <w:color w:val="auto"/>
                    </w:rPr>
                    <w:t>一般防渗区防渗能力应达到等效黏土防渗层Mb≥1.5m，K＜10</w:t>
                  </w:r>
                  <w:r>
                    <w:rPr>
                      <w:color w:val="auto"/>
                      <w:vertAlign w:val="superscript"/>
                    </w:rPr>
                    <w:t>-7</w:t>
                  </w:r>
                  <w:r>
                    <w:rPr>
                      <w:color w:val="auto"/>
                    </w:rPr>
                    <w:t>cm/s；或参照GB16889执行</w:t>
                  </w:r>
                  <w:r>
                    <w:rPr>
                      <w:rFonts w:hint="eastAsia"/>
                      <w:color w:val="auto"/>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8" w:type="dxa"/>
                  <w:tcBorders>
                    <w:tl2br w:val="nil"/>
                    <w:tr2bl w:val="nil"/>
                  </w:tcBorders>
                  <w:vAlign w:val="center"/>
                </w:tcPr>
                <w:p>
                  <w:pPr>
                    <w:snapToGrid w:val="0"/>
                    <w:contextualSpacing/>
                    <w:jc w:val="center"/>
                    <w:rPr>
                      <w:color w:val="auto"/>
                    </w:rPr>
                  </w:pPr>
                  <w:r>
                    <w:rPr>
                      <w:rFonts w:hint="eastAsia"/>
                      <w:color w:val="auto"/>
                    </w:rPr>
                    <w:t>2</w:t>
                  </w:r>
                </w:p>
              </w:tc>
              <w:tc>
                <w:tcPr>
                  <w:tcW w:w="1442" w:type="dxa"/>
                  <w:tcBorders>
                    <w:tl2br w:val="nil"/>
                    <w:tr2bl w:val="nil"/>
                  </w:tcBorders>
                  <w:vAlign w:val="center"/>
                </w:tcPr>
                <w:p>
                  <w:pPr>
                    <w:snapToGrid w:val="0"/>
                    <w:contextualSpacing/>
                    <w:jc w:val="center"/>
                    <w:rPr>
                      <w:color w:val="auto"/>
                    </w:rPr>
                  </w:pPr>
                  <w:r>
                    <w:rPr>
                      <w:rFonts w:hint="eastAsia"/>
                      <w:color w:val="auto"/>
                    </w:rPr>
                    <w:t>地埋式一体化污水处理设施</w:t>
                  </w:r>
                </w:p>
              </w:tc>
              <w:tc>
                <w:tcPr>
                  <w:tcW w:w="2316" w:type="dxa"/>
                  <w:vMerge w:val="continue"/>
                  <w:tcBorders>
                    <w:tl2br w:val="nil"/>
                    <w:tr2bl w:val="nil"/>
                  </w:tcBorders>
                  <w:vAlign w:val="center"/>
                </w:tcPr>
                <w:p>
                  <w:pPr>
                    <w:snapToGrid w:val="0"/>
                    <w:contextualSpacing/>
                    <w:jc w:val="center"/>
                    <w:rPr>
                      <w:color w:val="auto"/>
                    </w:rPr>
                  </w:pPr>
                </w:p>
              </w:tc>
              <w:tc>
                <w:tcPr>
                  <w:tcW w:w="3490" w:type="dxa"/>
                  <w:vMerge w:val="continue"/>
                  <w:tcBorders>
                    <w:tl2br w:val="nil"/>
                    <w:tr2bl w:val="nil"/>
                  </w:tcBorders>
                  <w:vAlign w:val="center"/>
                </w:tcPr>
                <w:p>
                  <w:pPr>
                    <w:snapToGrid w:val="0"/>
                    <w:contextualSpacing/>
                    <w:rPr>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8" w:type="dxa"/>
                  <w:tcBorders>
                    <w:tl2br w:val="nil"/>
                    <w:tr2bl w:val="nil"/>
                  </w:tcBorders>
                  <w:vAlign w:val="center"/>
                </w:tcPr>
                <w:p>
                  <w:pPr>
                    <w:snapToGrid w:val="0"/>
                    <w:contextualSpacing/>
                    <w:jc w:val="center"/>
                    <w:rPr>
                      <w:rFonts w:hint="eastAsia"/>
                      <w:color w:val="auto"/>
                      <w:lang w:val="en-US" w:eastAsia="zh-CN"/>
                    </w:rPr>
                  </w:pPr>
                  <w:r>
                    <w:rPr>
                      <w:rFonts w:hint="eastAsia"/>
                      <w:color w:val="auto"/>
                      <w:lang w:val="en-US" w:eastAsia="zh-CN"/>
                    </w:rPr>
                    <w:t>3</w:t>
                  </w:r>
                </w:p>
              </w:tc>
              <w:tc>
                <w:tcPr>
                  <w:tcW w:w="1442" w:type="dxa"/>
                  <w:tcBorders>
                    <w:tl2br w:val="nil"/>
                    <w:tr2bl w:val="nil"/>
                  </w:tcBorders>
                  <w:vAlign w:val="center"/>
                </w:tcPr>
                <w:p>
                  <w:pPr>
                    <w:snapToGrid w:val="0"/>
                    <w:contextualSpacing/>
                    <w:jc w:val="center"/>
                    <w:rPr>
                      <w:rFonts w:hint="eastAsia"/>
                      <w:color w:val="auto"/>
                      <w:lang w:eastAsia="zh-CN"/>
                    </w:rPr>
                  </w:pPr>
                  <w:r>
                    <w:rPr>
                      <w:rFonts w:hint="eastAsia"/>
                      <w:color w:val="auto"/>
                      <w:lang w:eastAsia="zh-CN"/>
                    </w:rPr>
                    <w:t>生产车间</w:t>
                  </w:r>
                </w:p>
              </w:tc>
              <w:tc>
                <w:tcPr>
                  <w:tcW w:w="2316" w:type="dxa"/>
                  <w:vMerge w:val="continue"/>
                  <w:tcBorders>
                    <w:tl2br w:val="nil"/>
                    <w:tr2bl w:val="nil"/>
                  </w:tcBorders>
                  <w:vAlign w:val="center"/>
                </w:tcPr>
                <w:p>
                  <w:pPr>
                    <w:snapToGrid w:val="0"/>
                    <w:contextualSpacing/>
                    <w:jc w:val="center"/>
                    <w:rPr>
                      <w:color w:val="auto"/>
                    </w:rPr>
                  </w:pPr>
                </w:p>
              </w:tc>
              <w:tc>
                <w:tcPr>
                  <w:tcW w:w="3490" w:type="dxa"/>
                  <w:vMerge w:val="continue"/>
                  <w:tcBorders>
                    <w:tl2br w:val="nil"/>
                    <w:tr2bl w:val="nil"/>
                  </w:tcBorders>
                  <w:vAlign w:val="center"/>
                </w:tcPr>
                <w:p>
                  <w:pPr>
                    <w:snapToGrid w:val="0"/>
                    <w:contextualSpacing/>
                    <w:rPr>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8" w:type="dxa"/>
                  <w:tcBorders>
                    <w:tl2br w:val="nil"/>
                    <w:tr2bl w:val="nil"/>
                  </w:tcBorders>
                  <w:vAlign w:val="center"/>
                </w:tcPr>
                <w:p>
                  <w:pPr>
                    <w:snapToGrid w:val="0"/>
                    <w:contextualSpacing/>
                    <w:jc w:val="center"/>
                    <w:rPr>
                      <w:rFonts w:hint="default"/>
                      <w:color w:val="auto"/>
                      <w:lang w:val="en-US" w:eastAsia="zh-CN"/>
                    </w:rPr>
                  </w:pPr>
                  <w:r>
                    <w:rPr>
                      <w:rFonts w:hint="eastAsia"/>
                      <w:color w:val="auto"/>
                      <w:lang w:val="en-US" w:eastAsia="zh-CN"/>
                    </w:rPr>
                    <w:t>4</w:t>
                  </w:r>
                </w:p>
              </w:tc>
              <w:tc>
                <w:tcPr>
                  <w:tcW w:w="1442" w:type="dxa"/>
                  <w:tcBorders>
                    <w:tl2br w:val="nil"/>
                    <w:tr2bl w:val="nil"/>
                  </w:tcBorders>
                  <w:vAlign w:val="center"/>
                </w:tcPr>
                <w:p>
                  <w:pPr>
                    <w:snapToGrid w:val="0"/>
                    <w:contextualSpacing/>
                    <w:jc w:val="center"/>
                    <w:rPr>
                      <w:rFonts w:hint="eastAsia"/>
                      <w:color w:val="auto"/>
                      <w:lang w:eastAsia="zh-CN"/>
                    </w:rPr>
                  </w:pPr>
                  <w:r>
                    <w:rPr>
                      <w:rFonts w:hint="eastAsia"/>
                      <w:color w:val="auto"/>
                      <w:lang w:eastAsia="zh-CN"/>
                    </w:rPr>
                    <w:t>其他区域</w:t>
                  </w:r>
                </w:p>
              </w:tc>
              <w:tc>
                <w:tcPr>
                  <w:tcW w:w="2316" w:type="dxa"/>
                  <w:tcBorders>
                    <w:tl2br w:val="nil"/>
                    <w:tr2bl w:val="nil"/>
                  </w:tcBorders>
                  <w:vAlign w:val="center"/>
                </w:tcPr>
                <w:p>
                  <w:pPr>
                    <w:snapToGrid w:val="0"/>
                    <w:contextualSpacing/>
                    <w:jc w:val="center"/>
                    <w:rPr>
                      <w:rFonts w:hint="eastAsia"/>
                      <w:color w:val="auto"/>
                      <w:lang w:eastAsia="zh-CN"/>
                    </w:rPr>
                  </w:pPr>
                  <w:r>
                    <w:rPr>
                      <w:rFonts w:hint="eastAsia"/>
                      <w:color w:val="auto"/>
                      <w:lang w:eastAsia="zh-CN"/>
                    </w:rPr>
                    <w:t>简单防渗</w:t>
                  </w:r>
                </w:p>
              </w:tc>
              <w:tc>
                <w:tcPr>
                  <w:tcW w:w="3490" w:type="dxa"/>
                  <w:tcBorders>
                    <w:tl2br w:val="nil"/>
                    <w:tr2bl w:val="nil"/>
                  </w:tcBorders>
                  <w:vAlign w:val="center"/>
                </w:tcPr>
                <w:p>
                  <w:pPr>
                    <w:snapToGrid w:val="0"/>
                    <w:ind w:left="0" w:leftChars="0" w:right="0" w:rightChars="0" w:firstLine="0" w:firstLineChars="0"/>
                    <w:contextualSpacing/>
                    <w:jc w:val="center"/>
                    <w:rPr>
                      <w:rFonts w:hint="eastAsia" w:eastAsia="宋体"/>
                      <w:color w:val="auto"/>
                      <w:lang w:eastAsia="zh-CN"/>
                    </w:rPr>
                  </w:pPr>
                  <w:r>
                    <w:rPr>
                      <w:rFonts w:hint="eastAsia"/>
                      <w:color w:val="auto"/>
                      <w:lang w:eastAsia="zh-CN"/>
                    </w:rPr>
                    <w:t>地面硬化</w:t>
                  </w:r>
                </w:p>
              </w:tc>
            </w:tr>
          </w:tbl>
          <w:p>
            <w:pPr>
              <w:tabs>
                <w:tab w:val="left" w:pos="7600"/>
                <w:tab w:val="right" w:pos="14293"/>
              </w:tabs>
              <w:spacing w:line="480" w:lineRule="exact"/>
              <w:ind w:firstLine="420" w:firstLineChars="200"/>
              <w:rPr>
                <w:color w:val="auto"/>
              </w:rPr>
            </w:pPr>
            <w:r>
              <w:rPr>
                <w:color w:val="auto"/>
              </w:rPr>
              <w:t>本工程营运期地下水</w:t>
            </w:r>
            <w:r>
              <w:rPr>
                <w:rFonts w:hint="eastAsia"/>
                <w:color w:val="auto"/>
              </w:rPr>
              <w:t>监</w:t>
            </w:r>
            <w:r>
              <w:rPr>
                <w:color w:val="auto"/>
              </w:rPr>
              <w:t>测方案计划见下表。</w:t>
            </w:r>
          </w:p>
          <w:p>
            <w:pPr>
              <w:spacing w:line="520" w:lineRule="exact"/>
              <w:jc w:val="center"/>
              <w:rPr>
                <w:b/>
                <w:bCs/>
                <w:color w:val="auto"/>
              </w:rPr>
            </w:pPr>
            <w:r>
              <w:rPr>
                <w:b/>
                <w:bCs/>
                <w:color w:val="auto"/>
              </w:rPr>
              <w:t>表</w:t>
            </w:r>
            <w:r>
              <w:rPr>
                <w:rFonts w:hint="eastAsia"/>
                <w:b/>
                <w:bCs/>
                <w:color w:val="auto"/>
              </w:rPr>
              <w:t>4-7</w:t>
            </w:r>
            <w:r>
              <w:rPr>
                <w:b/>
                <w:bCs/>
                <w:color w:val="auto"/>
              </w:rPr>
              <w:t xml:space="preserve">    运营期监测计划表</w:t>
            </w:r>
          </w:p>
          <w:tbl>
            <w:tblPr>
              <w:tblStyle w:val="22"/>
              <w:tblW w:w="794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2689"/>
              <w:gridCol w:w="1436"/>
              <w:gridCol w:w="246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tblHeader/>
              </w:trPr>
              <w:tc>
                <w:tcPr>
                  <w:tcW w:w="1360" w:type="dxa"/>
                  <w:tcBorders>
                    <w:tl2br w:val="nil"/>
                    <w:tr2bl w:val="nil"/>
                  </w:tcBorders>
                  <w:vAlign w:val="center"/>
                </w:tcPr>
                <w:p>
                  <w:pPr>
                    <w:snapToGrid w:val="0"/>
                    <w:contextualSpacing/>
                    <w:jc w:val="center"/>
                    <w:rPr>
                      <w:b/>
                      <w:bCs/>
                      <w:color w:val="auto"/>
                    </w:rPr>
                  </w:pPr>
                  <w:r>
                    <w:rPr>
                      <w:b/>
                      <w:bCs/>
                      <w:color w:val="auto"/>
                    </w:rPr>
                    <w:t>监测点位</w:t>
                  </w:r>
                </w:p>
              </w:tc>
              <w:tc>
                <w:tcPr>
                  <w:tcW w:w="2689" w:type="dxa"/>
                  <w:tcBorders>
                    <w:tl2br w:val="nil"/>
                    <w:tr2bl w:val="nil"/>
                  </w:tcBorders>
                  <w:vAlign w:val="center"/>
                </w:tcPr>
                <w:p>
                  <w:pPr>
                    <w:snapToGrid w:val="0"/>
                    <w:contextualSpacing/>
                    <w:jc w:val="center"/>
                    <w:rPr>
                      <w:b/>
                      <w:bCs/>
                      <w:color w:val="auto"/>
                    </w:rPr>
                  </w:pPr>
                  <w:r>
                    <w:rPr>
                      <w:b/>
                      <w:bCs/>
                      <w:color w:val="auto"/>
                    </w:rPr>
                    <w:t>监测指标</w:t>
                  </w:r>
                </w:p>
              </w:tc>
              <w:tc>
                <w:tcPr>
                  <w:tcW w:w="1436" w:type="dxa"/>
                  <w:tcBorders>
                    <w:tl2br w:val="nil"/>
                    <w:tr2bl w:val="nil"/>
                  </w:tcBorders>
                  <w:vAlign w:val="center"/>
                </w:tcPr>
                <w:p>
                  <w:pPr>
                    <w:snapToGrid w:val="0"/>
                    <w:contextualSpacing/>
                    <w:jc w:val="center"/>
                    <w:rPr>
                      <w:b/>
                      <w:bCs/>
                      <w:color w:val="auto"/>
                    </w:rPr>
                  </w:pPr>
                  <w:r>
                    <w:rPr>
                      <w:b/>
                      <w:bCs/>
                      <w:color w:val="auto"/>
                    </w:rPr>
                    <w:t>监测频次</w:t>
                  </w:r>
                </w:p>
              </w:tc>
              <w:tc>
                <w:tcPr>
                  <w:tcW w:w="2461" w:type="dxa"/>
                  <w:tcBorders>
                    <w:tl2br w:val="nil"/>
                    <w:tr2bl w:val="nil"/>
                  </w:tcBorders>
                  <w:vAlign w:val="center"/>
                </w:tcPr>
                <w:p>
                  <w:pPr>
                    <w:snapToGrid w:val="0"/>
                    <w:contextualSpacing/>
                    <w:jc w:val="center"/>
                    <w:rPr>
                      <w:b/>
                      <w:bCs/>
                      <w:color w:val="auto"/>
                    </w:rPr>
                  </w:pPr>
                  <w:r>
                    <w:rPr>
                      <w:b/>
                      <w:bCs/>
                      <w:color w:val="auto"/>
                    </w:rPr>
                    <w:t>执行排放标准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60" w:type="dxa"/>
                  <w:tcBorders>
                    <w:tl2br w:val="nil"/>
                    <w:tr2bl w:val="nil"/>
                  </w:tcBorders>
                  <w:vAlign w:val="center"/>
                </w:tcPr>
                <w:p>
                  <w:pPr>
                    <w:snapToGrid w:val="0"/>
                    <w:contextualSpacing/>
                    <w:jc w:val="center"/>
                    <w:rPr>
                      <w:color w:val="auto"/>
                    </w:rPr>
                  </w:pPr>
                  <w:r>
                    <w:rPr>
                      <w:rFonts w:hint="eastAsia"/>
                      <w:color w:val="auto"/>
                      <w:lang w:eastAsia="zh-CN"/>
                    </w:rPr>
                    <w:t>生活污水</w:t>
                  </w:r>
                  <w:r>
                    <w:rPr>
                      <w:color w:val="auto"/>
                    </w:rPr>
                    <w:t>排放口</w:t>
                  </w:r>
                </w:p>
              </w:tc>
              <w:tc>
                <w:tcPr>
                  <w:tcW w:w="2689" w:type="dxa"/>
                  <w:tcBorders>
                    <w:tl2br w:val="nil"/>
                    <w:tr2bl w:val="nil"/>
                  </w:tcBorders>
                  <w:vAlign w:val="center"/>
                </w:tcPr>
                <w:p>
                  <w:pPr>
                    <w:snapToGrid w:val="0"/>
                    <w:contextualSpacing/>
                    <w:jc w:val="center"/>
                    <w:rPr>
                      <w:color w:val="auto"/>
                    </w:rPr>
                  </w:pPr>
                  <w:r>
                    <w:rPr>
                      <w:rFonts w:hint="eastAsia"/>
                      <w:color w:val="auto"/>
                      <w:lang w:val="en-US" w:eastAsia="zh-CN"/>
                    </w:rPr>
                    <w:t>pH、</w:t>
                  </w:r>
                  <w:r>
                    <w:rPr>
                      <w:rFonts w:hint="eastAsia"/>
                      <w:color w:val="auto"/>
                    </w:rPr>
                    <w:t>COD、NH</w:t>
                  </w:r>
                  <w:r>
                    <w:rPr>
                      <w:rFonts w:hint="eastAsia"/>
                      <w:color w:val="auto"/>
                      <w:vertAlign w:val="subscript"/>
                    </w:rPr>
                    <w:t>3</w:t>
                  </w:r>
                  <w:r>
                    <w:rPr>
                      <w:rFonts w:hint="eastAsia"/>
                      <w:color w:val="auto"/>
                    </w:rPr>
                    <w:t>-N</w:t>
                  </w:r>
                  <w:r>
                    <w:rPr>
                      <w:rFonts w:hint="eastAsia"/>
                      <w:color w:val="auto"/>
                      <w:lang w:eastAsia="zh-CN"/>
                    </w:rPr>
                    <w:t>、</w:t>
                  </w:r>
                  <w:r>
                    <w:rPr>
                      <w:rFonts w:hint="eastAsia"/>
                      <w:color w:val="auto"/>
                      <w:lang w:val="en-US" w:eastAsia="zh-CN"/>
                    </w:rPr>
                    <w:t>BOD</w:t>
                  </w:r>
                  <w:r>
                    <w:rPr>
                      <w:rFonts w:hint="eastAsia"/>
                      <w:color w:val="auto"/>
                      <w:vertAlign w:val="subscript"/>
                      <w:lang w:val="en-US" w:eastAsia="zh-CN"/>
                    </w:rPr>
                    <w:t>5</w:t>
                  </w:r>
                  <w:r>
                    <w:rPr>
                      <w:rFonts w:hint="eastAsia"/>
                      <w:color w:val="auto"/>
                      <w:lang w:val="en-US" w:eastAsia="zh-CN"/>
                    </w:rPr>
                    <w:t>、SS、总磷</w:t>
                  </w:r>
                  <w:r>
                    <w:rPr>
                      <w:rFonts w:hint="eastAsia"/>
                      <w:color w:val="auto"/>
                    </w:rPr>
                    <w:t>等</w:t>
                  </w:r>
                </w:p>
              </w:tc>
              <w:tc>
                <w:tcPr>
                  <w:tcW w:w="1436" w:type="dxa"/>
                  <w:tcBorders>
                    <w:tl2br w:val="nil"/>
                    <w:tr2bl w:val="nil"/>
                  </w:tcBorders>
                  <w:vAlign w:val="center"/>
                </w:tcPr>
                <w:p>
                  <w:pPr>
                    <w:snapToGrid w:val="0"/>
                    <w:contextualSpacing/>
                    <w:jc w:val="center"/>
                    <w:rPr>
                      <w:color w:val="auto"/>
                    </w:rPr>
                  </w:pPr>
                  <w:r>
                    <w:rPr>
                      <w:color w:val="auto"/>
                    </w:rPr>
                    <w:t>每</w:t>
                  </w:r>
                  <w:r>
                    <w:rPr>
                      <w:rFonts w:hint="eastAsia"/>
                      <w:color w:val="auto"/>
                      <w:lang w:eastAsia="zh-CN"/>
                    </w:rPr>
                    <w:t>年</w:t>
                  </w:r>
                  <w:r>
                    <w:rPr>
                      <w:color w:val="auto"/>
                    </w:rPr>
                    <w:t>一次</w:t>
                  </w:r>
                </w:p>
              </w:tc>
              <w:tc>
                <w:tcPr>
                  <w:tcW w:w="2461" w:type="dxa"/>
                  <w:tcBorders>
                    <w:tl2br w:val="nil"/>
                    <w:tr2bl w:val="nil"/>
                  </w:tcBorders>
                  <w:vAlign w:val="center"/>
                </w:tcPr>
                <w:p>
                  <w:pPr>
                    <w:snapToGrid w:val="0"/>
                    <w:contextualSpacing/>
                    <w:jc w:val="center"/>
                    <w:rPr>
                      <w:color w:val="auto"/>
                    </w:rPr>
                  </w:pPr>
                  <w:r>
                    <w:rPr>
                      <w:color w:val="auto"/>
                    </w:rPr>
                    <w:t>《</w:t>
                  </w:r>
                  <w:r>
                    <w:rPr>
                      <w:rFonts w:hint="eastAsia"/>
                      <w:color w:val="auto"/>
                    </w:rPr>
                    <w:t>城市污水再生利用 城市杂用水水质</w:t>
                  </w:r>
                  <w:r>
                    <w:rPr>
                      <w:color w:val="auto"/>
                    </w:rPr>
                    <w:t>》(GB</w:t>
                  </w:r>
                  <w:r>
                    <w:rPr>
                      <w:rFonts w:hint="eastAsia"/>
                      <w:color w:val="auto"/>
                    </w:rPr>
                    <w:t>18920-2020</w:t>
                  </w:r>
                  <w:r>
                    <w:rPr>
                      <w:color w:val="auto"/>
                    </w:rPr>
                    <w:t>)</w:t>
                  </w:r>
                </w:p>
              </w:tc>
            </w:tr>
          </w:tbl>
          <w:p>
            <w:pPr>
              <w:spacing w:line="480" w:lineRule="exact"/>
              <w:ind w:firstLine="422" w:firstLineChars="200"/>
              <w:textAlignment w:val="baseline"/>
              <w:rPr>
                <w:b/>
                <w:bCs/>
                <w:color w:val="auto"/>
              </w:rPr>
            </w:pPr>
            <w:r>
              <w:rPr>
                <w:rFonts w:hint="eastAsia"/>
                <w:b/>
                <w:bCs/>
                <w:color w:val="auto"/>
              </w:rPr>
              <w:t>4.4</w:t>
            </w:r>
            <w:r>
              <w:rPr>
                <w:b/>
                <w:bCs/>
                <w:color w:val="auto"/>
              </w:rPr>
              <w:t>噪声</w:t>
            </w:r>
            <w:r>
              <w:rPr>
                <w:rFonts w:hint="eastAsia"/>
                <w:b/>
                <w:bCs/>
                <w:color w:val="auto"/>
              </w:rPr>
              <w:t>环境影响分析及治理措施</w:t>
            </w:r>
          </w:p>
          <w:p>
            <w:pPr>
              <w:spacing w:line="480" w:lineRule="exact"/>
              <w:ind w:firstLine="422" w:firstLineChars="200"/>
              <w:textAlignment w:val="baseline"/>
              <w:rPr>
                <w:b/>
                <w:bCs/>
                <w:color w:val="auto"/>
              </w:rPr>
            </w:pPr>
            <w:r>
              <w:rPr>
                <w:rFonts w:hint="eastAsia"/>
                <w:b/>
                <w:bCs/>
                <w:color w:val="auto"/>
              </w:rPr>
              <w:t>4.4.1噪声源</w:t>
            </w:r>
          </w:p>
          <w:p>
            <w:pPr>
              <w:tabs>
                <w:tab w:val="left" w:pos="7600"/>
                <w:tab w:val="right" w:pos="14293"/>
              </w:tabs>
              <w:spacing w:line="480" w:lineRule="exact"/>
              <w:ind w:firstLine="420" w:firstLineChars="200"/>
              <w:rPr>
                <w:color w:val="auto"/>
              </w:rPr>
            </w:pPr>
            <w:r>
              <w:rPr>
                <w:color w:val="auto"/>
              </w:rPr>
              <w:t>本项目主要噪声为运营过程中带式输送机、破碎机、筛分系统等设备运行产生的噪声</w:t>
            </w:r>
            <w:r>
              <w:rPr>
                <w:rFonts w:hint="eastAsia"/>
                <w:color w:val="auto"/>
              </w:rPr>
              <w:t>，本项目</w:t>
            </w:r>
            <w:r>
              <w:rPr>
                <w:color w:val="auto"/>
              </w:rPr>
              <w:t>噪声值在70～</w:t>
            </w:r>
            <w:r>
              <w:rPr>
                <w:rFonts w:hint="eastAsia"/>
                <w:color w:val="auto"/>
              </w:rPr>
              <w:t>8</w:t>
            </w:r>
            <w:r>
              <w:rPr>
                <w:color w:val="auto"/>
              </w:rPr>
              <w:t>5dB(A)。各噪声源采用低噪声设备，安装减震基础，经绿化吸声等降噪措施。</w:t>
            </w:r>
          </w:p>
          <w:p>
            <w:pPr>
              <w:tabs>
                <w:tab w:val="left" w:pos="7600"/>
                <w:tab w:val="right" w:pos="14293"/>
              </w:tabs>
              <w:spacing w:line="480" w:lineRule="exact"/>
              <w:ind w:firstLine="420" w:firstLineChars="200"/>
              <w:rPr>
                <w:color w:val="auto"/>
              </w:rPr>
            </w:pPr>
            <w:r>
              <w:rPr>
                <w:rFonts w:hint="eastAsia"/>
                <w:color w:val="auto"/>
              </w:rPr>
              <w:t>项目噪声设备源强见表4-8</w:t>
            </w:r>
            <w:r>
              <w:rPr>
                <w:color w:val="auto"/>
              </w:rPr>
              <w:t>。</w:t>
            </w:r>
          </w:p>
          <w:p>
            <w:pPr>
              <w:spacing w:line="520" w:lineRule="exact"/>
              <w:jc w:val="center"/>
              <w:rPr>
                <w:b/>
                <w:bCs/>
                <w:color w:val="auto"/>
              </w:rPr>
            </w:pPr>
            <w:r>
              <w:rPr>
                <w:rFonts w:hint="eastAsia"/>
                <w:b/>
                <w:bCs/>
                <w:color w:val="auto"/>
              </w:rPr>
              <w:t>表4-8    主要设备噪声源强    单位：dB（A）</w:t>
            </w:r>
          </w:p>
          <w:tbl>
            <w:tblPr>
              <w:tblStyle w:val="22"/>
              <w:tblW w:w="831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988"/>
              <w:gridCol w:w="2100"/>
              <w:gridCol w:w="2413"/>
              <w:gridCol w:w="164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 w:hRule="atLeast"/>
                <w:jc w:val="center"/>
              </w:trPr>
              <w:tc>
                <w:tcPr>
                  <w:tcW w:w="1163" w:type="dxa"/>
                  <w:tcBorders>
                    <w:tl2br w:val="nil"/>
                    <w:tr2bl w:val="nil"/>
                  </w:tcBorders>
                  <w:vAlign w:val="center"/>
                </w:tcPr>
                <w:p>
                  <w:pPr>
                    <w:spacing w:line="360" w:lineRule="exact"/>
                    <w:jc w:val="center"/>
                    <w:rPr>
                      <w:b/>
                      <w:bCs/>
                      <w:color w:val="auto"/>
                    </w:rPr>
                  </w:pPr>
                  <w:r>
                    <w:rPr>
                      <w:b/>
                      <w:bCs/>
                      <w:color w:val="auto"/>
                    </w:rPr>
                    <w:t>设备名称</w:t>
                  </w:r>
                </w:p>
              </w:tc>
              <w:tc>
                <w:tcPr>
                  <w:tcW w:w="988" w:type="dxa"/>
                  <w:tcBorders>
                    <w:tl2br w:val="nil"/>
                    <w:tr2bl w:val="nil"/>
                  </w:tcBorders>
                  <w:vAlign w:val="center"/>
                </w:tcPr>
                <w:p>
                  <w:pPr>
                    <w:spacing w:line="360" w:lineRule="exact"/>
                    <w:jc w:val="center"/>
                    <w:rPr>
                      <w:b/>
                      <w:bCs/>
                      <w:color w:val="auto"/>
                    </w:rPr>
                  </w:pPr>
                  <w:r>
                    <w:rPr>
                      <w:b/>
                      <w:bCs/>
                      <w:color w:val="auto"/>
                    </w:rPr>
                    <w:t>数量</w:t>
                  </w:r>
                </w:p>
              </w:tc>
              <w:tc>
                <w:tcPr>
                  <w:tcW w:w="2100" w:type="dxa"/>
                  <w:tcBorders>
                    <w:tl2br w:val="nil"/>
                    <w:tr2bl w:val="nil"/>
                  </w:tcBorders>
                  <w:vAlign w:val="center"/>
                </w:tcPr>
                <w:p>
                  <w:pPr>
                    <w:spacing w:line="360" w:lineRule="exact"/>
                    <w:jc w:val="center"/>
                    <w:rPr>
                      <w:b/>
                      <w:bCs/>
                      <w:color w:val="auto"/>
                    </w:rPr>
                  </w:pPr>
                  <w:r>
                    <w:rPr>
                      <w:b/>
                      <w:bCs/>
                      <w:color w:val="auto"/>
                    </w:rPr>
                    <w:t>单机噪声源强dB(A)</w:t>
                  </w:r>
                </w:p>
              </w:tc>
              <w:tc>
                <w:tcPr>
                  <w:tcW w:w="2413" w:type="dxa"/>
                  <w:tcBorders>
                    <w:tl2br w:val="nil"/>
                    <w:tr2bl w:val="nil"/>
                  </w:tcBorders>
                  <w:vAlign w:val="center"/>
                </w:tcPr>
                <w:p>
                  <w:pPr>
                    <w:spacing w:line="360" w:lineRule="exact"/>
                    <w:jc w:val="center"/>
                    <w:rPr>
                      <w:b/>
                      <w:bCs/>
                      <w:color w:val="auto"/>
                    </w:rPr>
                  </w:pPr>
                  <w:r>
                    <w:rPr>
                      <w:b/>
                      <w:bCs/>
                      <w:color w:val="auto"/>
                      <w:lang w:val="zh-CN"/>
                    </w:rPr>
                    <w:t>减噪措施</w:t>
                  </w:r>
                </w:p>
              </w:tc>
              <w:tc>
                <w:tcPr>
                  <w:tcW w:w="1648" w:type="dxa"/>
                  <w:tcBorders>
                    <w:tl2br w:val="nil"/>
                    <w:tr2bl w:val="nil"/>
                  </w:tcBorders>
                  <w:vAlign w:val="center"/>
                </w:tcPr>
                <w:p>
                  <w:pPr>
                    <w:spacing w:line="360" w:lineRule="exact"/>
                    <w:jc w:val="center"/>
                    <w:rPr>
                      <w:b/>
                      <w:bCs/>
                      <w:color w:val="auto"/>
                    </w:rPr>
                  </w:pPr>
                  <w:r>
                    <w:rPr>
                      <w:b/>
                      <w:bCs/>
                      <w:color w:val="auto"/>
                      <w:lang w:val="zh-CN"/>
                    </w:rPr>
                    <w:t>治理后dB（A）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163" w:type="dxa"/>
                  <w:tcBorders>
                    <w:tl2br w:val="nil"/>
                    <w:tr2bl w:val="nil"/>
                  </w:tcBorders>
                  <w:vAlign w:val="center"/>
                </w:tcPr>
                <w:p>
                  <w:pPr>
                    <w:spacing w:line="360" w:lineRule="exact"/>
                    <w:jc w:val="center"/>
                    <w:rPr>
                      <w:color w:val="auto"/>
                    </w:rPr>
                  </w:pPr>
                  <w:r>
                    <w:rPr>
                      <w:color w:val="auto"/>
                    </w:rPr>
                    <w:t>破碎机</w:t>
                  </w:r>
                </w:p>
              </w:tc>
              <w:tc>
                <w:tcPr>
                  <w:tcW w:w="988" w:type="dxa"/>
                  <w:tcBorders>
                    <w:tl2br w:val="nil"/>
                    <w:tr2bl w:val="nil"/>
                  </w:tcBorders>
                  <w:vAlign w:val="center"/>
                </w:tcPr>
                <w:p>
                  <w:pPr>
                    <w:spacing w:line="360" w:lineRule="exact"/>
                    <w:jc w:val="center"/>
                    <w:rPr>
                      <w:color w:val="auto"/>
                    </w:rPr>
                  </w:pPr>
                  <w:r>
                    <w:rPr>
                      <w:rFonts w:hint="eastAsia"/>
                      <w:color w:val="auto"/>
                    </w:rPr>
                    <w:t>1</w:t>
                  </w:r>
                </w:p>
              </w:tc>
              <w:tc>
                <w:tcPr>
                  <w:tcW w:w="2100" w:type="dxa"/>
                  <w:tcBorders>
                    <w:tl2br w:val="nil"/>
                    <w:tr2bl w:val="nil"/>
                  </w:tcBorders>
                  <w:vAlign w:val="center"/>
                </w:tcPr>
                <w:p>
                  <w:pPr>
                    <w:spacing w:line="360" w:lineRule="exact"/>
                    <w:jc w:val="center"/>
                    <w:rPr>
                      <w:color w:val="auto"/>
                    </w:rPr>
                  </w:pPr>
                  <w:r>
                    <w:rPr>
                      <w:color w:val="auto"/>
                    </w:rPr>
                    <w:t>85</w:t>
                  </w:r>
                </w:p>
              </w:tc>
              <w:tc>
                <w:tcPr>
                  <w:tcW w:w="2413" w:type="dxa"/>
                  <w:vMerge w:val="restart"/>
                  <w:tcBorders>
                    <w:tl2br w:val="nil"/>
                    <w:tr2bl w:val="nil"/>
                  </w:tcBorders>
                  <w:vAlign w:val="center"/>
                </w:tcPr>
                <w:p>
                  <w:pPr>
                    <w:spacing w:line="360" w:lineRule="exact"/>
                    <w:jc w:val="center"/>
                    <w:rPr>
                      <w:color w:val="auto"/>
                    </w:rPr>
                  </w:pPr>
                  <w:r>
                    <w:rPr>
                      <w:color w:val="auto"/>
                    </w:rPr>
                    <w:t>基础</w:t>
                  </w:r>
                  <w:r>
                    <w:rPr>
                      <w:color w:val="auto"/>
                      <w:lang w:val="zh-CN"/>
                    </w:rPr>
                    <w:t>减震、消声、厂房隔声</w:t>
                  </w:r>
                </w:p>
              </w:tc>
              <w:tc>
                <w:tcPr>
                  <w:tcW w:w="1648" w:type="dxa"/>
                  <w:tcBorders>
                    <w:tl2br w:val="nil"/>
                    <w:tr2bl w:val="nil"/>
                  </w:tcBorders>
                  <w:vAlign w:val="center"/>
                </w:tcPr>
                <w:p>
                  <w:pPr>
                    <w:spacing w:line="360" w:lineRule="exact"/>
                    <w:jc w:val="center"/>
                    <w:rPr>
                      <w:color w:val="auto"/>
                    </w:rPr>
                  </w:pPr>
                  <w:r>
                    <w:rPr>
                      <w:color w:val="auto"/>
                    </w:rPr>
                    <w:t>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163" w:type="dxa"/>
                  <w:tcBorders>
                    <w:tl2br w:val="nil"/>
                    <w:tr2bl w:val="nil"/>
                  </w:tcBorders>
                  <w:vAlign w:val="center"/>
                </w:tcPr>
                <w:p>
                  <w:pPr>
                    <w:spacing w:line="360" w:lineRule="exact"/>
                    <w:jc w:val="center"/>
                    <w:rPr>
                      <w:color w:val="auto"/>
                    </w:rPr>
                  </w:pPr>
                  <w:r>
                    <w:rPr>
                      <w:color w:val="auto"/>
                    </w:rPr>
                    <w:t>输送带</w:t>
                  </w:r>
                </w:p>
              </w:tc>
              <w:tc>
                <w:tcPr>
                  <w:tcW w:w="988" w:type="dxa"/>
                  <w:tcBorders>
                    <w:tl2br w:val="nil"/>
                    <w:tr2bl w:val="nil"/>
                  </w:tcBorders>
                  <w:vAlign w:val="center"/>
                </w:tcPr>
                <w:p>
                  <w:pPr>
                    <w:spacing w:line="360" w:lineRule="exact"/>
                    <w:jc w:val="center"/>
                    <w:rPr>
                      <w:color w:val="auto"/>
                    </w:rPr>
                  </w:pPr>
                  <w:r>
                    <w:rPr>
                      <w:rFonts w:hint="eastAsia"/>
                      <w:color w:val="auto"/>
                    </w:rPr>
                    <w:t>4</w:t>
                  </w:r>
                </w:p>
              </w:tc>
              <w:tc>
                <w:tcPr>
                  <w:tcW w:w="2100" w:type="dxa"/>
                  <w:tcBorders>
                    <w:tl2br w:val="nil"/>
                    <w:tr2bl w:val="nil"/>
                  </w:tcBorders>
                  <w:vAlign w:val="center"/>
                </w:tcPr>
                <w:p>
                  <w:pPr>
                    <w:spacing w:line="360" w:lineRule="exact"/>
                    <w:jc w:val="center"/>
                    <w:rPr>
                      <w:color w:val="auto"/>
                    </w:rPr>
                  </w:pPr>
                  <w:r>
                    <w:rPr>
                      <w:color w:val="auto"/>
                    </w:rPr>
                    <w:t>70</w:t>
                  </w:r>
                </w:p>
              </w:tc>
              <w:tc>
                <w:tcPr>
                  <w:tcW w:w="2413" w:type="dxa"/>
                  <w:vMerge w:val="continue"/>
                  <w:tcBorders>
                    <w:tl2br w:val="nil"/>
                    <w:tr2bl w:val="nil"/>
                  </w:tcBorders>
                  <w:vAlign w:val="center"/>
                </w:tcPr>
                <w:p>
                  <w:pPr>
                    <w:spacing w:line="360" w:lineRule="exact"/>
                    <w:jc w:val="center"/>
                    <w:rPr>
                      <w:color w:val="auto"/>
                    </w:rPr>
                  </w:pPr>
                </w:p>
              </w:tc>
              <w:tc>
                <w:tcPr>
                  <w:tcW w:w="1648" w:type="dxa"/>
                  <w:tcBorders>
                    <w:tl2br w:val="nil"/>
                    <w:tr2bl w:val="nil"/>
                  </w:tcBorders>
                  <w:vAlign w:val="center"/>
                </w:tcPr>
                <w:p>
                  <w:pPr>
                    <w:spacing w:line="360" w:lineRule="exact"/>
                    <w:jc w:val="center"/>
                    <w:rPr>
                      <w:color w:val="auto"/>
                    </w:rPr>
                  </w:pPr>
                  <w:r>
                    <w:rPr>
                      <w:color w:val="auto"/>
                    </w:rPr>
                    <w:t>40</w:t>
                  </w:r>
                </w:p>
              </w:tc>
            </w:tr>
          </w:tbl>
          <w:p>
            <w:pPr>
              <w:spacing w:line="480" w:lineRule="exact"/>
              <w:ind w:firstLine="422" w:firstLineChars="200"/>
              <w:textAlignment w:val="baseline"/>
              <w:rPr>
                <w:b/>
                <w:bCs/>
                <w:color w:val="auto"/>
              </w:rPr>
            </w:pPr>
            <w:r>
              <w:rPr>
                <w:rFonts w:hint="eastAsia"/>
                <w:b/>
                <w:bCs/>
                <w:color w:val="auto"/>
              </w:rPr>
              <w:t>4.4.2噪声环境影响及达标分析</w:t>
            </w:r>
          </w:p>
          <w:p>
            <w:pPr>
              <w:tabs>
                <w:tab w:val="left" w:pos="7600"/>
                <w:tab w:val="right" w:pos="14293"/>
              </w:tabs>
              <w:spacing w:line="480" w:lineRule="exact"/>
              <w:ind w:firstLine="420" w:firstLineChars="200"/>
              <w:rPr>
                <w:color w:val="auto"/>
              </w:rPr>
            </w:pPr>
            <w:r>
              <w:rPr>
                <w:rFonts w:hint="eastAsia"/>
                <w:color w:val="auto"/>
              </w:rPr>
              <w:t>（1）</w:t>
            </w:r>
            <w:r>
              <w:rPr>
                <w:color w:val="auto"/>
              </w:rPr>
              <w:t>噪声排放标准</w:t>
            </w:r>
          </w:p>
          <w:p>
            <w:pPr>
              <w:tabs>
                <w:tab w:val="left" w:pos="7600"/>
                <w:tab w:val="right" w:pos="14293"/>
              </w:tabs>
              <w:spacing w:line="480" w:lineRule="exact"/>
              <w:ind w:firstLine="420" w:firstLineChars="200"/>
              <w:rPr>
                <w:color w:val="auto"/>
              </w:rPr>
            </w:pPr>
            <w:r>
              <w:rPr>
                <w:color w:val="auto"/>
              </w:rPr>
              <w:t>场界噪声标准采用《工业企业厂界环境噪声排放标准》（GB12348-2008）中的</w:t>
            </w:r>
            <w:r>
              <w:rPr>
                <w:rFonts w:hint="eastAsia"/>
                <w:color w:val="auto"/>
                <w:lang w:val="en-US" w:eastAsia="zh-CN"/>
              </w:rPr>
              <w:t>2</w:t>
            </w:r>
            <w:r>
              <w:rPr>
                <w:color w:val="auto"/>
              </w:rPr>
              <w:t>类标准。</w:t>
            </w:r>
          </w:p>
          <w:p>
            <w:pPr>
              <w:tabs>
                <w:tab w:val="left" w:pos="7600"/>
                <w:tab w:val="right" w:pos="14293"/>
              </w:tabs>
              <w:spacing w:line="480" w:lineRule="exact"/>
              <w:ind w:firstLine="420" w:firstLineChars="200"/>
              <w:rPr>
                <w:color w:val="auto"/>
              </w:rPr>
            </w:pPr>
            <w:r>
              <w:rPr>
                <w:rFonts w:hint="eastAsia"/>
                <w:color w:val="auto"/>
              </w:rPr>
              <w:t>（2）预测方法</w:t>
            </w:r>
          </w:p>
          <w:p>
            <w:pPr>
              <w:tabs>
                <w:tab w:val="left" w:pos="7600"/>
                <w:tab w:val="right" w:pos="14293"/>
              </w:tabs>
              <w:spacing w:line="480" w:lineRule="exact"/>
              <w:ind w:firstLine="420" w:firstLineChars="200"/>
              <w:rPr>
                <w:color w:val="auto"/>
              </w:rPr>
            </w:pPr>
            <w:r>
              <w:rPr>
                <w:color w:val="auto"/>
              </w:rPr>
              <w:t>噪声距离衰减模式</w:t>
            </w:r>
            <w:r>
              <w:rPr>
                <w:rFonts w:hint="eastAsia"/>
                <w:color w:val="auto"/>
              </w:rPr>
              <w:t>：</w:t>
            </w:r>
          </w:p>
          <w:p>
            <w:pPr>
              <w:tabs>
                <w:tab w:val="left" w:pos="7600"/>
                <w:tab w:val="right" w:pos="14293"/>
              </w:tabs>
              <w:spacing w:line="480" w:lineRule="exact"/>
              <w:ind w:firstLine="420" w:firstLineChars="200"/>
              <w:jc w:val="center"/>
              <w:rPr>
                <w:color w:val="auto"/>
              </w:rPr>
            </w:pPr>
            <w:r>
              <w:rPr>
                <w:color w:val="auto"/>
              </w:rPr>
              <w:t>Lp=Lw-20lg(r/r</w:t>
            </w:r>
            <w:r>
              <w:rPr>
                <w:color w:val="auto"/>
                <w:vertAlign w:val="subscript"/>
              </w:rPr>
              <w:t>0</w:t>
            </w:r>
            <w:r>
              <w:rPr>
                <w:color w:val="auto"/>
              </w:rPr>
              <w:t>)-R-a(r-r</w:t>
            </w:r>
            <w:r>
              <w:rPr>
                <w:color w:val="auto"/>
                <w:vertAlign w:val="subscript"/>
              </w:rPr>
              <w:t>0</w:t>
            </w:r>
            <w:r>
              <w:rPr>
                <w:color w:val="auto"/>
              </w:rPr>
              <w:t>)</w:t>
            </w:r>
          </w:p>
          <w:p>
            <w:pPr>
              <w:tabs>
                <w:tab w:val="left" w:pos="7600"/>
                <w:tab w:val="right" w:pos="14293"/>
              </w:tabs>
              <w:spacing w:line="480" w:lineRule="exact"/>
              <w:ind w:firstLine="420" w:firstLineChars="200"/>
              <w:rPr>
                <w:color w:val="auto"/>
              </w:rPr>
            </w:pPr>
            <w:r>
              <w:rPr>
                <w:color w:val="auto"/>
              </w:rPr>
              <w:t>式中：L</w:t>
            </w:r>
            <w:r>
              <w:rPr>
                <w:color w:val="auto"/>
                <w:vertAlign w:val="subscript"/>
              </w:rPr>
              <w:t>p</w:t>
            </w:r>
            <w:r>
              <w:rPr>
                <w:color w:val="auto"/>
              </w:rPr>
              <w:t>－受声点（即被影响点）所接受的声压级，dB(A)；</w:t>
            </w:r>
          </w:p>
          <w:p>
            <w:pPr>
              <w:tabs>
                <w:tab w:val="left" w:pos="7600"/>
                <w:tab w:val="right" w:pos="14293"/>
              </w:tabs>
              <w:spacing w:line="480" w:lineRule="exact"/>
              <w:ind w:firstLine="420" w:firstLineChars="200"/>
              <w:rPr>
                <w:color w:val="auto"/>
              </w:rPr>
            </w:pPr>
            <w:r>
              <w:rPr>
                <w:color w:val="auto"/>
              </w:rPr>
              <w:t>L</w:t>
            </w:r>
            <w:r>
              <w:rPr>
                <w:color w:val="auto"/>
                <w:vertAlign w:val="subscript"/>
              </w:rPr>
              <w:t>w</w:t>
            </w:r>
            <w:r>
              <w:rPr>
                <w:color w:val="auto"/>
              </w:rPr>
              <w:t>－噪声源的声功率级，dB(A)；</w:t>
            </w:r>
          </w:p>
          <w:p>
            <w:pPr>
              <w:tabs>
                <w:tab w:val="left" w:pos="7600"/>
                <w:tab w:val="right" w:pos="14293"/>
              </w:tabs>
              <w:spacing w:line="480" w:lineRule="exact"/>
              <w:ind w:firstLine="420" w:firstLineChars="200"/>
              <w:rPr>
                <w:color w:val="auto"/>
              </w:rPr>
            </w:pPr>
            <w:r>
              <w:rPr>
                <w:color w:val="auto"/>
              </w:rPr>
              <w:t>r－声源至受声点的距离，m；</w:t>
            </w:r>
          </w:p>
          <w:p>
            <w:pPr>
              <w:tabs>
                <w:tab w:val="left" w:pos="7600"/>
                <w:tab w:val="right" w:pos="14293"/>
              </w:tabs>
              <w:spacing w:line="480" w:lineRule="exact"/>
              <w:ind w:firstLine="420" w:firstLineChars="200"/>
              <w:rPr>
                <w:color w:val="auto"/>
              </w:rPr>
            </w:pPr>
            <w:r>
              <w:rPr>
                <w:color w:val="auto"/>
              </w:rPr>
              <w:t>r</w:t>
            </w:r>
            <w:r>
              <w:rPr>
                <w:color w:val="auto"/>
                <w:vertAlign w:val="subscript"/>
              </w:rPr>
              <w:t>0</w:t>
            </w:r>
            <w:r>
              <w:rPr>
                <w:color w:val="auto"/>
              </w:rPr>
              <w:t>－参考位置的距离，m；</w:t>
            </w:r>
          </w:p>
          <w:p>
            <w:pPr>
              <w:tabs>
                <w:tab w:val="left" w:pos="7600"/>
                <w:tab w:val="right" w:pos="14293"/>
              </w:tabs>
              <w:spacing w:line="480" w:lineRule="exact"/>
              <w:ind w:firstLine="420" w:firstLineChars="200"/>
              <w:rPr>
                <w:color w:val="auto"/>
              </w:rPr>
            </w:pPr>
            <w:r>
              <w:rPr>
                <w:color w:val="auto"/>
              </w:rPr>
              <w:t>R－厂房墙体的隔声量，取</w:t>
            </w:r>
            <w:r>
              <w:rPr>
                <w:rFonts w:hint="eastAsia"/>
                <w:color w:val="auto"/>
              </w:rPr>
              <w:t>30</w:t>
            </w:r>
            <w:r>
              <w:rPr>
                <w:color w:val="auto"/>
              </w:rPr>
              <w:t>dB(A)；</w:t>
            </w:r>
          </w:p>
          <w:p>
            <w:pPr>
              <w:tabs>
                <w:tab w:val="left" w:pos="7600"/>
                <w:tab w:val="right" w:pos="14293"/>
              </w:tabs>
              <w:spacing w:line="480" w:lineRule="exact"/>
              <w:ind w:firstLine="420" w:firstLineChars="200"/>
              <w:rPr>
                <w:color w:val="auto"/>
              </w:rPr>
            </w:pPr>
            <w:r>
              <w:rPr>
                <w:color w:val="auto"/>
              </w:rPr>
              <w:t>a－大气对声波的吸收系数，dB(A)/m，平均值为0.008dB(A)/m。</w:t>
            </w:r>
          </w:p>
          <w:p>
            <w:pPr>
              <w:tabs>
                <w:tab w:val="left" w:pos="7600"/>
                <w:tab w:val="right" w:pos="14293"/>
              </w:tabs>
              <w:spacing w:line="480" w:lineRule="exact"/>
              <w:ind w:firstLine="420" w:firstLineChars="200"/>
              <w:rPr>
                <w:color w:val="auto"/>
              </w:rPr>
            </w:pPr>
            <w:r>
              <w:rPr>
                <w:color w:val="auto"/>
              </w:rPr>
              <w:t>（</w:t>
            </w:r>
            <w:r>
              <w:rPr>
                <w:rFonts w:hint="eastAsia"/>
                <w:color w:val="auto"/>
              </w:rPr>
              <w:t>3</w:t>
            </w:r>
            <w:r>
              <w:rPr>
                <w:color w:val="auto"/>
              </w:rPr>
              <w:t>）预测内容</w:t>
            </w:r>
          </w:p>
          <w:p>
            <w:pPr>
              <w:tabs>
                <w:tab w:val="left" w:pos="7600"/>
                <w:tab w:val="right" w:pos="14293"/>
              </w:tabs>
              <w:spacing w:line="480" w:lineRule="exact"/>
              <w:ind w:firstLine="420" w:firstLineChars="200"/>
              <w:rPr>
                <w:color w:val="auto"/>
              </w:rPr>
            </w:pPr>
            <w:r>
              <w:rPr>
                <w:color w:val="auto"/>
              </w:rPr>
              <w:t>定量预测项目运行时各主要声源对东、西、南、北厂界的噪声贡献值，并按照《声环境质量标准》（GB3096-2008）的要求评价。生产厂房至各厂界的距离如下表：</w:t>
            </w:r>
          </w:p>
          <w:p>
            <w:pPr>
              <w:spacing w:line="520" w:lineRule="exact"/>
              <w:jc w:val="center"/>
              <w:rPr>
                <w:b/>
                <w:bCs/>
                <w:color w:val="auto"/>
              </w:rPr>
            </w:pPr>
            <w:r>
              <w:rPr>
                <w:b/>
                <w:bCs/>
                <w:color w:val="auto"/>
              </w:rPr>
              <w:t>表4-</w:t>
            </w:r>
            <w:r>
              <w:rPr>
                <w:rFonts w:hint="eastAsia"/>
                <w:b/>
                <w:bCs/>
                <w:color w:val="auto"/>
              </w:rPr>
              <w:t>9</w:t>
            </w:r>
            <w:r>
              <w:rPr>
                <w:b/>
                <w:bCs/>
                <w:color w:val="auto"/>
              </w:rPr>
              <w:t xml:space="preserve">    生产车间至各厂界距离统计表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43"/>
              <w:gridCol w:w="1345"/>
              <w:gridCol w:w="1199"/>
              <w:gridCol w:w="1111"/>
              <w:gridCol w:w="110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3543" w:type="dxa"/>
                  <w:tcBorders>
                    <w:tl2br w:val="nil"/>
                    <w:tr2bl w:val="nil"/>
                  </w:tcBorders>
                  <w:vAlign w:val="center"/>
                </w:tcPr>
                <w:p>
                  <w:pPr>
                    <w:widowControl/>
                    <w:spacing w:line="360" w:lineRule="exact"/>
                    <w:ind w:firstLine="420"/>
                    <w:jc w:val="center"/>
                    <w:rPr>
                      <w:b/>
                      <w:bCs/>
                      <w:color w:val="auto"/>
                    </w:rPr>
                  </w:pPr>
                  <w:r>
                    <w:rPr>
                      <w:b/>
                      <w:bCs/>
                      <w:color w:val="auto"/>
                    </w:rPr>
                    <w:t>预测厂界</w:t>
                  </w:r>
                </w:p>
              </w:tc>
              <w:tc>
                <w:tcPr>
                  <w:tcW w:w="1345" w:type="dxa"/>
                  <w:tcBorders>
                    <w:tl2br w:val="nil"/>
                    <w:tr2bl w:val="nil"/>
                  </w:tcBorders>
                  <w:vAlign w:val="center"/>
                </w:tcPr>
                <w:p>
                  <w:pPr>
                    <w:widowControl/>
                    <w:spacing w:line="360" w:lineRule="exact"/>
                    <w:jc w:val="center"/>
                    <w:rPr>
                      <w:b/>
                      <w:bCs/>
                      <w:color w:val="auto"/>
                    </w:rPr>
                  </w:pPr>
                  <w:r>
                    <w:rPr>
                      <w:b/>
                      <w:bCs/>
                      <w:color w:val="auto"/>
                    </w:rPr>
                    <w:t>东厂界</w:t>
                  </w:r>
                </w:p>
              </w:tc>
              <w:tc>
                <w:tcPr>
                  <w:tcW w:w="1199" w:type="dxa"/>
                  <w:tcBorders>
                    <w:tl2br w:val="nil"/>
                    <w:tr2bl w:val="nil"/>
                  </w:tcBorders>
                  <w:vAlign w:val="center"/>
                </w:tcPr>
                <w:p>
                  <w:pPr>
                    <w:widowControl/>
                    <w:spacing w:line="360" w:lineRule="exact"/>
                    <w:jc w:val="center"/>
                    <w:rPr>
                      <w:b/>
                      <w:bCs/>
                      <w:color w:val="auto"/>
                    </w:rPr>
                  </w:pPr>
                  <w:r>
                    <w:rPr>
                      <w:b/>
                      <w:bCs/>
                      <w:color w:val="auto"/>
                    </w:rPr>
                    <w:t>南厂界</w:t>
                  </w:r>
                </w:p>
              </w:tc>
              <w:tc>
                <w:tcPr>
                  <w:tcW w:w="1111" w:type="dxa"/>
                  <w:tcBorders>
                    <w:tl2br w:val="nil"/>
                    <w:tr2bl w:val="nil"/>
                  </w:tcBorders>
                  <w:vAlign w:val="center"/>
                </w:tcPr>
                <w:p>
                  <w:pPr>
                    <w:widowControl/>
                    <w:spacing w:line="360" w:lineRule="exact"/>
                    <w:jc w:val="center"/>
                    <w:rPr>
                      <w:b/>
                      <w:bCs/>
                      <w:color w:val="auto"/>
                    </w:rPr>
                  </w:pPr>
                  <w:r>
                    <w:rPr>
                      <w:b/>
                      <w:bCs/>
                      <w:color w:val="auto"/>
                    </w:rPr>
                    <w:t>西厂界</w:t>
                  </w:r>
                </w:p>
              </w:tc>
              <w:tc>
                <w:tcPr>
                  <w:tcW w:w="1108" w:type="dxa"/>
                  <w:tcBorders>
                    <w:tl2br w:val="nil"/>
                    <w:tr2bl w:val="nil"/>
                  </w:tcBorders>
                  <w:vAlign w:val="center"/>
                </w:tcPr>
                <w:p>
                  <w:pPr>
                    <w:widowControl/>
                    <w:spacing w:line="360" w:lineRule="exact"/>
                    <w:jc w:val="center"/>
                    <w:rPr>
                      <w:b/>
                      <w:bCs/>
                      <w:color w:val="auto"/>
                    </w:rPr>
                  </w:pPr>
                  <w:r>
                    <w:rPr>
                      <w:b/>
                      <w:bCs/>
                      <w:color w:val="auto"/>
                    </w:rPr>
                    <w:t>北厂界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3543" w:type="dxa"/>
                  <w:tcBorders>
                    <w:tl2br w:val="nil"/>
                    <w:tr2bl w:val="nil"/>
                  </w:tcBorders>
                  <w:vAlign w:val="center"/>
                </w:tcPr>
                <w:p>
                  <w:pPr>
                    <w:widowControl/>
                    <w:spacing w:line="360" w:lineRule="exact"/>
                    <w:jc w:val="center"/>
                    <w:rPr>
                      <w:color w:val="auto"/>
                    </w:rPr>
                  </w:pPr>
                  <w:r>
                    <w:rPr>
                      <w:color w:val="auto"/>
                    </w:rPr>
                    <w:t>厂房至各厂界的最短距离</w:t>
                  </w:r>
                </w:p>
              </w:tc>
              <w:tc>
                <w:tcPr>
                  <w:tcW w:w="1345" w:type="dxa"/>
                  <w:tcBorders>
                    <w:tl2br w:val="nil"/>
                    <w:tr2bl w:val="nil"/>
                  </w:tcBorders>
                  <w:vAlign w:val="center"/>
                </w:tcPr>
                <w:p>
                  <w:pPr>
                    <w:spacing w:line="360" w:lineRule="exact"/>
                    <w:jc w:val="center"/>
                    <w:rPr>
                      <w:color w:val="auto"/>
                    </w:rPr>
                  </w:pPr>
                  <w:r>
                    <w:rPr>
                      <w:rFonts w:hint="eastAsia"/>
                      <w:color w:val="auto"/>
                    </w:rPr>
                    <w:t>10</w:t>
                  </w:r>
                  <w:r>
                    <w:rPr>
                      <w:color w:val="auto"/>
                    </w:rPr>
                    <w:t>m</w:t>
                  </w:r>
                </w:p>
              </w:tc>
              <w:tc>
                <w:tcPr>
                  <w:tcW w:w="1199" w:type="dxa"/>
                  <w:tcBorders>
                    <w:tl2br w:val="nil"/>
                    <w:tr2bl w:val="nil"/>
                  </w:tcBorders>
                  <w:vAlign w:val="center"/>
                </w:tcPr>
                <w:p>
                  <w:pPr>
                    <w:spacing w:line="360" w:lineRule="exact"/>
                    <w:jc w:val="center"/>
                    <w:rPr>
                      <w:color w:val="auto"/>
                    </w:rPr>
                  </w:pPr>
                  <w:r>
                    <w:rPr>
                      <w:rFonts w:hint="eastAsia"/>
                      <w:color w:val="auto"/>
                    </w:rPr>
                    <w:t>80</w:t>
                  </w:r>
                  <w:r>
                    <w:rPr>
                      <w:color w:val="auto"/>
                    </w:rPr>
                    <w:t>m</w:t>
                  </w:r>
                </w:p>
              </w:tc>
              <w:tc>
                <w:tcPr>
                  <w:tcW w:w="1111" w:type="dxa"/>
                  <w:tcBorders>
                    <w:tl2br w:val="nil"/>
                    <w:tr2bl w:val="nil"/>
                  </w:tcBorders>
                  <w:vAlign w:val="center"/>
                </w:tcPr>
                <w:p>
                  <w:pPr>
                    <w:spacing w:line="360" w:lineRule="exact"/>
                    <w:jc w:val="center"/>
                    <w:rPr>
                      <w:color w:val="auto"/>
                    </w:rPr>
                  </w:pPr>
                  <w:r>
                    <w:rPr>
                      <w:color w:val="auto"/>
                    </w:rPr>
                    <w:t>10m</w:t>
                  </w:r>
                </w:p>
              </w:tc>
              <w:tc>
                <w:tcPr>
                  <w:tcW w:w="1108" w:type="dxa"/>
                  <w:tcBorders>
                    <w:tl2br w:val="nil"/>
                    <w:tr2bl w:val="nil"/>
                  </w:tcBorders>
                  <w:vAlign w:val="center"/>
                </w:tcPr>
                <w:p>
                  <w:pPr>
                    <w:spacing w:line="360" w:lineRule="exact"/>
                    <w:jc w:val="center"/>
                    <w:rPr>
                      <w:color w:val="auto"/>
                    </w:rPr>
                  </w:pPr>
                  <w:r>
                    <w:rPr>
                      <w:rFonts w:hint="eastAsia"/>
                      <w:color w:val="auto"/>
                    </w:rPr>
                    <w:t>10</w:t>
                  </w:r>
                  <w:r>
                    <w:rPr>
                      <w:color w:val="auto"/>
                    </w:rPr>
                    <w:t>m</w:t>
                  </w:r>
                </w:p>
              </w:tc>
            </w:tr>
          </w:tbl>
          <w:p>
            <w:pPr>
              <w:adjustRightInd w:val="0"/>
              <w:snapToGrid w:val="0"/>
              <w:spacing w:line="480" w:lineRule="exact"/>
              <w:ind w:firstLine="420" w:firstLineChars="200"/>
              <w:rPr>
                <w:color w:val="auto"/>
              </w:rPr>
            </w:pPr>
            <w:r>
              <w:rPr>
                <w:color w:val="auto"/>
              </w:rPr>
              <w:t>（</w:t>
            </w:r>
            <w:r>
              <w:rPr>
                <w:rFonts w:hint="eastAsia"/>
                <w:color w:val="auto"/>
              </w:rPr>
              <w:t>4</w:t>
            </w:r>
            <w:r>
              <w:rPr>
                <w:color w:val="auto"/>
              </w:rPr>
              <w:t>）预测结果及影响分析</w:t>
            </w:r>
          </w:p>
          <w:p>
            <w:pPr>
              <w:adjustRightInd w:val="0"/>
              <w:snapToGrid w:val="0"/>
              <w:spacing w:line="480" w:lineRule="exact"/>
              <w:ind w:firstLine="420" w:firstLineChars="200"/>
              <w:rPr>
                <w:color w:val="auto"/>
              </w:rPr>
            </w:pPr>
            <w:r>
              <w:rPr>
                <w:color w:val="auto"/>
              </w:rPr>
              <w:t>在通过厂房至各厂界的距离衰减，厂界噪声贡献值预测值见下表。</w:t>
            </w:r>
          </w:p>
          <w:p>
            <w:pPr>
              <w:spacing w:line="520" w:lineRule="exact"/>
              <w:jc w:val="center"/>
              <w:rPr>
                <w:b/>
                <w:bCs/>
                <w:color w:val="auto"/>
              </w:rPr>
            </w:pPr>
            <w:r>
              <w:rPr>
                <w:b/>
                <w:bCs/>
                <w:color w:val="auto"/>
              </w:rPr>
              <w:t>表</w:t>
            </w:r>
            <w:r>
              <w:rPr>
                <w:rFonts w:hint="eastAsia"/>
                <w:b/>
                <w:bCs/>
                <w:color w:val="auto"/>
              </w:rPr>
              <w:t xml:space="preserve">4-10 </w:t>
            </w:r>
            <w:r>
              <w:rPr>
                <w:b/>
                <w:bCs/>
                <w:color w:val="auto"/>
              </w:rPr>
              <w:t xml:space="preserve">   本项目噪声值汇总  </w:t>
            </w:r>
            <w:r>
              <w:rPr>
                <w:rFonts w:hint="eastAsia"/>
                <w:b/>
                <w:bCs/>
                <w:color w:val="auto"/>
              </w:rPr>
              <w:t xml:space="preserve">  </w:t>
            </w:r>
            <w:r>
              <w:rPr>
                <w:b/>
                <w:bCs/>
                <w:color w:val="auto"/>
              </w:rPr>
              <w:t>dB(A)</w:t>
            </w:r>
          </w:p>
          <w:tbl>
            <w:tblPr>
              <w:tblStyle w:val="22"/>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3440"/>
              <w:gridCol w:w="34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90" w:hRule="atLeast"/>
              </w:trPr>
              <w:tc>
                <w:tcPr>
                  <w:tcW w:w="1432" w:type="dxa"/>
                  <w:tcBorders>
                    <w:tl2br w:val="nil"/>
                    <w:tr2bl w:val="nil"/>
                  </w:tcBorders>
                  <w:vAlign w:val="center"/>
                </w:tcPr>
                <w:p>
                  <w:pPr>
                    <w:adjustRightInd w:val="0"/>
                    <w:snapToGrid w:val="0"/>
                    <w:spacing w:before="24" w:beforeLines="10" w:after="24" w:afterLines="10" w:line="259" w:lineRule="auto"/>
                    <w:jc w:val="center"/>
                    <w:rPr>
                      <w:b/>
                      <w:bCs/>
                      <w:color w:val="auto"/>
                    </w:rPr>
                  </w:pPr>
                  <w:r>
                    <w:rPr>
                      <w:b/>
                      <w:bCs/>
                      <w:color w:val="auto"/>
                    </w:rPr>
                    <w:t>预测厂界</w:t>
                  </w:r>
                </w:p>
              </w:tc>
              <w:tc>
                <w:tcPr>
                  <w:tcW w:w="3440" w:type="dxa"/>
                  <w:tcBorders>
                    <w:tl2br w:val="nil"/>
                    <w:tr2bl w:val="nil"/>
                  </w:tcBorders>
                  <w:vAlign w:val="center"/>
                </w:tcPr>
                <w:p>
                  <w:pPr>
                    <w:adjustRightInd w:val="0"/>
                    <w:snapToGrid w:val="0"/>
                    <w:spacing w:before="24" w:beforeLines="10" w:after="24" w:afterLines="10" w:line="259" w:lineRule="auto"/>
                    <w:jc w:val="center"/>
                    <w:rPr>
                      <w:b/>
                      <w:bCs/>
                      <w:color w:val="auto"/>
                    </w:rPr>
                  </w:pPr>
                  <w:r>
                    <w:rPr>
                      <w:b/>
                      <w:bCs/>
                      <w:color w:val="auto"/>
                    </w:rPr>
                    <w:t>昼间</w:t>
                  </w:r>
                </w:p>
              </w:tc>
              <w:tc>
                <w:tcPr>
                  <w:tcW w:w="3440" w:type="dxa"/>
                  <w:tcBorders>
                    <w:tl2br w:val="nil"/>
                    <w:tr2bl w:val="nil"/>
                  </w:tcBorders>
                  <w:vAlign w:val="center"/>
                </w:tcPr>
                <w:p>
                  <w:pPr>
                    <w:adjustRightInd w:val="0"/>
                    <w:snapToGrid w:val="0"/>
                    <w:spacing w:before="24" w:beforeLines="10" w:after="24" w:afterLines="10" w:line="259" w:lineRule="auto"/>
                    <w:jc w:val="center"/>
                    <w:rPr>
                      <w:b/>
                      <w:bCs/>
                      <w:color w:val="auto"/>
                    </w:rPr>
                  </w:pPr>
                  <w:r>
                    <w:rPr>
                      <w:b/>
                      <w:bCs/>
                      <w:color w:val="auto"/>
                    </w:rPr>
                    <w:t>夜间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432" w:type="dxa"/>
                  <w:tcBorders>
                    <w:tl2br w:val="nil"/>
                    <w:tr2bl w:val="nil"/>
                  </w:tcBorders>
                  <w:vAlign w:val="center"/>
                </w:tcPr>
                <w:p>
                  <w:pPr>
                    <w:adjustRightInd w:val="0"/>
                    <w:snapToGrid w:val="0"/>
                    <w:spacing w:before="24" w:beforeLines="10" w:after="24" w:afterLines="10" w:line="259" w:lineRule="auto"/>
                    <w:jc w:val="center"/>
                    <w:rPr>
                      <w:color w:val="auto"/>
                    </w:rPr>
                  </w:pPr>
                  <w:r>
                    <w:rPr>
                      <w:color w:val="auto"/>
                    </w:rPr>
                    <w:t>东厂界</w:t>
                  </w:r>
                </w:p>
              </w:tc>
              <w:tc>
                <w:tcPr>
                  <w:tcW w:w="3440" w:type="dxa"/>
                  <w:tcBorders>
                    <w:tl2br w:val="nil"/>
                    <w:tr2bl w:val="nil"/>
                  </w:tcBorders>
                  <w:vAlign w:val="center"/>
                </w:tcPr>
                <w:p>
                  <w:pPr>
                    <w:adjustRightInd w:val="0"/>
                    <w:snapToGrid w:val="0"/>
                    <w:spacing w:line="360" w:lineRule="exact"/>
                    <w:jc w:val="center"/>
                    <w:textAlignment w:val="baseline"/>
                    <w:rPr>
                      <w:color w:val="auto"/>
                    </w:rPr>
                  </w:pPr>
                  <w:r>
                    <w:rPr>
                      <w:rFonts w:hint="eastAsia"/>
                      <w:color w:val="auto"/>
                    </w:rPr>
                    <w:t>54.7</w:t>
                  </w:r>
                </w:p>
              </w:tc>
              <w:tc>
                <w:tcPr>
                  <w:tcW w:w="3440" w:type="dxa"/>
                  <w:tcBorders>
                    <w:tl2br w:val="nil"/>
                    <w:tr2bl w:val="nil"/>
                  </w:tcBorders>
                  <w:vAlign w:val="center"/>
                </w:tcPr>
                <w:p>
                  <w:pPr>
                    <w:adjustRightInd w:val="0"/>
                    <w:snapToGrid w:val="0"/>
                    <w:spacing w:line="360" w:lineRule="exact"/>
                    <w:jc w:val="center"/>
                    <w:textAlignment w:val="baseline"/>
                    <w:rPr>
                      <w:color w:val="auto"/>
                    </w:rPr>
                  </w:pPr>
                  <w:r>
                    <w:rPr>
                      <w:rFonts w:hint="eastAsia"/>
                      <w:color w:val="auto"/>
                    </w:rPr>
                    <w:t>34.2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30" w:hRule="atLeast"/>
              </w:trPr>
              <w:tc>
                <w:tcPr>
                  <w:tcW w:w="1432" w:type="dxa"/>
                  <w:tcBorders>
                    <w:tl2br w:val="nil"/>
                    <w:tr2bl w:val="nil"/>
                  </w:tcBorders>
                  <w:vAlign w:val="center"/>
                </w:tcPr>
                <w:p>
                  <w:pPr>
                    <w:adjustRightInd w:val="0"/>
                    <w:snapToGrid w:val="0"/>
                    <w:spacing w:before="24" w:beforeLines="10" w:after="24" w:afterLines="10" w:line="259" w:lineRule="auto"/>
                    <w:jc w:val="center"/>
                    <w:rPr>
                      <w:color w:val="auto"/>
                    </w:rPr>
                  </w:pPr>
                  <w:r>
                    <w:rPr>
                      <w:color w:val="auto"/>
                    </w:rPr>
                    <w:t>南厂界</w:t>
                  </w:r>
                </w:p>
              </w:tc>
              <w:tc>
                <w:tcPr>
                  <w:tcW w:w="3440" w:type="dxa"/>
                  <w:tcBorders>
                    <w:tl2br w:val="nil"/>
                    <w:tr2bl w:val="nil"/>
                  </w:tcBorders>
                  <w:vAlign w:val="center"/>
                </w:tcPr>
                <w:p>
                  <w:pPr>
                    <w:adjustRightInd w:val="0"/>
                    <w:snapToGrid w:val="0"/>
                    <w:spacing w:line="360" w:lineRule="exact"/>
                    <w:jc w:val="center"/>
                    <w:textAlignment w:val="baseline"/>
                    <w:rPr>
                      <w:color w:val="auto"/>
                    </w:rPr>
                  </w:pPr>
                  <w:r>
                    <w:rPr>
                      <w:rFonts w:hint="eastAsia"/>
                      <w:color w:val="auto"/>
                    </w:rPr>
                    <w:t>34.7</w:t>
                  </w:r>
                </w:p>
              </w:tc>
              <w:tc>
                <w:tcPr>
                  <w:tcW w:w="3440" w:type="dxa"/>
                  <w:tcBorders>
                    <w:tl2br w:val="nil"/>
                    <w:tr2bl w:val="nil"/>
                  </w:tcBorders>
                  <w:vAlign w:val="center"/>
                </w:tcPr>
                <w:p>
                  <w:pPr>
                    <w:adjustRightInd w:val="0"/>
                    <w:snapToGrid w:val="0"/>
                    <w:spacing w:line="360" w:lineRule="exact"/>
                    <w:jc w:val="center"/>
                    <w:textAlignment w:val="baseline"/>
                    <w:rPr>
                      <w:color w:val="auto"/>
                    </w:rPr>
                  </w:pPr>
                  <w:r>
                    <w:rPr>
                      <w:rFonts w:hint="eastAsia"/>
                      <w:color w:val="auto"/>
                    </w:rPr>
                    <w:t>35.6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10" w:hRule="atLeast"/>
              </w:trPr>
              <w:tc>
                <w:tcPr>
                  <w:tcW w:w="1432" w:type="dxa"/>
                  <w:tcBorders>
                    <w:tl2br w:val="nil"/>
                    <w:tr2bl w:val="nil"/>
                  </w:tcBorders>
                  <w:vAlign w:val="center"/>
                </w:tcPr>
                <w:p>
                  <w:pPr>
                    <w:adjustRightInd w:val="0"/>
                    <w:snapToGrid w:val="0"/>
                    <w:spacing w:before="24" w:beforeLines="10" w:after="24" w:afterLines="10" w:line="259" w:lineRule="auto"/>
                    <w:jc w:val="center"/>
                    <w:rPr>
                      <w:color w:val="auto"/>
                    </w:rPr>
                  </w:pPr>
                  <w:r>
                    <w:rPr>
                      <w:color w:val="auto"/>
                    </w:rPr>
                    <w:t>西厂界</w:t>
                  </w:r>
                </w:p>
              </w:tc>
              <w:tc>
                <w:tcPr>
                  <w:tcW w:w="3440" w:type="dxa"/>
                  <w:tcBorders>
                    <w:tl2br w:val="nil"/>
                    <w:tr2bl w:val="nil"/>
                  </w:tcBorders>
                  <w:vAlign w:val="center"/>
                </w:tcPr>
                <w:p>
                  <w:pPr>
                    <w:adjustRightInd w:val="0"/>
                    <w:snapToGrid w:val="0"/>
                    <w:spacing w:line="360" w:lineRule="exact"/>
                    <w:jc w:val="center"/>
                    <w:textAlignment w:val="baseline"/>
                    <w:rPr>
                      <w:color w:val="auto"/>
                    </w:rPr>
                  </w:pPr>
                  <w:r>
                    <w:rPr>
                      <w:rFonts w:hint="eastAsia"/>
                      <w:color w:val="auto"/>
                    </w:rPr>
                    <w:t>51.5</w:t>
                  </w:r>
                </w:p>
              </w:tc>
              <w:tc>
                <w:tcPr>
                  <w:tcW w:w="3440" w:type="dxa"/>
                  <w:tcBorders>
                    <w:tl2br w:val="nil"/>
                    <w:tr2bl w:val="nil"/>
                  </w:tcBorders>
                  <w:vAlign w:val="center"/>
                </w:tcPr>
                <w:p>
                  <w:pPr>
                    <w:adjustRightInd w:val="0"/>
                    <w:snapToGrid w:val="0"/>
                    <w:spacing w:line="360" w:lineRule="exact"/>
                    <w:jc w:val="center"/>
                    <w:textAlignment w:val="baseline"/>
                    <w:rPr>
                      <w:color w:val="auto"/>
                    </w:rPr>
                  </w:pPr>
                  <w:r>
                    <w:rPr>
                      <w:rFonts w:hint="eastAsia"/>
                      <w:color w:val="auto"/>
                    </w:rPr>
                    <w:t>34.7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7" w:hRule="atLeast"/>
              </w:trPr>
              <w:tc>
                <w:tcPr>
                  <w:tcW w:w="1432" w:type="dxa"/>
                  <w:tcBorders>
                    <w:tl2br w:val="nil"/>
                    <w:tr2bl w:val="nil"/>
                  </w:tcBorders>
                  <w:vAlign w:val="center"/>
                </w:tcPr>
                <w:p>
                  <w:pPr>
                    <w:adjustRightInd w:val="0"/>
                    <w:snapToGrid w:val="0"/>
                    <w:spacing w:before="24" w:beforeLines="10" w:after="24" w:afterLines="10" w:line="259" w:lineRule="auto"/>
                    <w:jc w:val="center"/>
                    <w:rPr>
                      <w:color w:val="auto"/>
                    </w:rPr>
                  </w:pPr>
                  <w:r>
                    <w:rPr>
                      <w:color w:val="auto"/>
                    </w:rPr>
                    <w:t>北厂界</w:t>
                  </w:r>
                </w:p>
              </w:tc>
              <w:tc>
                <w:tcPr>
                  <w:tcW w:w="3440" w:type="dxa"/>
                  <w:tcBorders>
                    <w:tl2br w:val="nil"/>
                    <w:tr2bl w:val="nil"/>
                  </w:tcBorders>
                  <w:vAlign w:val="center"/>
                </w:tcPr>
                <w:p>
                  <w:pPr>
                    <w:adjustRightInd w:val="0"/>
                    <w:snapToGrid w:val="0"/>
                    <w:spacing w:line="360" w:lineRule="exact"/>
                    <w:jc w:val="center"/>
                    <w:textAlignment w:val="baseline"/>
                    <w:rPr>
                      <w:color w:val="auto"/>
                    </w:rPr>
                  </w:pPr>
                  <w:r>
                    <w:rPr>
                      <w:rFonts w:hint="eastAsia"/>
                      <w:color w:val="auto"/>
                    </w:rPr>
                    <w:t>52.7</w:t>
                  </w:r>
                </w:p>
              </w:tc>
              <w:tc>
                <w:tcPr>
                  <w:tcW w:w="3440" w:type="dxa"/>
                  <w:tcBorders>
                    <w:tl2br w:val="nil"/>
                    <w:tr2bl w:val="nil"/>
                  </w:tcBorders>
                  <w:vAlign w:val="center"/>
                </w:tcPr>
                <w:p>
                  <w:pPr>
                    <w:adjustRightInd w:val="0"/>
                    <w:snapToGrid w:val="0"/>
                    <w:spacing w:line="360" w:lineRule="exact"/>
                    <w:jc w:val="center"/>
                    <w:textAlignment w:val="baseline"/>
                    <w:rPr>
                      <w:color w:val="auto"/>
                    </w:rPr>
                  </w:pPr>
                  <w:r>
                    <w:rPr>
                      <w:rFonts w:hint="eastAsia"/>
                      <w:color w:val="auto"/>
                    </w:rPr>
                    <w:t>35.1</w:t>
                  </w:r>
                </w:p>
              </w:tc>
            </w:tr>
          </w:tbl>
          <w:p>
            <w:pPr>
              <w:adjustRightInd w:val="0"/>
              <w:snapToGrid w:val="0"/>
              <w:spacing w:line="480" w:lineRule="exact"/>
              <w:ind w:firstLine="420" w:firstLineChars="200"/>
              <w:rPr>
                <w:color w:val="auto"/>
              </w:rPr>
            </w:pPr>
            <w:r>
              <w:rPr>
                <w:color w:val="auto"/>
              </w:rPr>
              <w:t>对于上述设备产生的噪声，采用厂房隔声、生产时关闭门窗、基础减振等措施，限制噪声向外传播。生产中产生的噪声通过厂房隔声、基础减振等措施后对外环境影响较小，厂界噪声满足《工业企业厂界环境噪声排放标准》(GB12348-2008)</w:t>
            </w:r>
            <w:r>
              <w:rPr>
                <w:rFonts w:hint="eastAsia"/>
                <w:color w:val="auto"/>
                <w:lang w:val="en-US" w:eastAsia="zh-CN"/>
              </w:rPr>
              <w:t>2</w:t>
            </w:r>
            <w:r>
              <w:rPr>
                <w:color w:val="auto"/>
              </w:rPr>
              <w:t>类标准的要求。</w:t>
            </w:r>
          </w:p>
          <w:p>
            <w:pPr>
              <w:adjustRightInd w:val="0"/>
              <w:snapToGrid w:val="0"/>
              <w:spacing w:line="480" w:lineRule="exact"/>
              <w:ind w:firstLine="420" w:firstLineChars="200"/>
              <w:rPr>
                <w:color w:val="auto"/>
              </w:rPr>
            </w:pPr>
            <w:r>
              <w:rPr>
                <w:color w:val="auto"/>
              </w:rPr>
              <w:t>本项目产生的噪声对区域环境不会造成明显影响</w:t>
            </w:r>
            <w:r>
              <w:rPr>
                <w:rFonts w:hint="eastAsia"/>
                <w:color w:val="auto"/>
              </w:rPr>
              <w:t>。</w:t>
            </w:r>
          </w:p>
          <w:p>
            <w:pPr>
              <w:numPr>
                <w:ilvl w:val="255"/>
                <w:numId w:val="0"/>
              </w:numPr>
              <w:adjustRightInd w:val="0"/>
              <w:snapToGrid w:val="0"/>
              <w:spacing w:line="480" w:lineRule="exact"/>
              <w:ind w:left="420" w:leftChars="200"/>
              <w:rPr>
                <w:color w:val="auto"/>
              </w:rPr>
            </w:pPr>
            <w:r>
              <w:rPr>
                <w:rFonts w:hint="eastAsia"/>
                <w:color w:val="auto"/>
              </w:rPr>
              <w:t>（5）</w:t>
            </w:r>
            <w:r>
              <w:rPr>
                <w:color w:val="auto"/>
              </w:rPr>
              <w:t>噪声污染防治措施可行性分析</w:t>
            </w:r>
          </w:p>
          <w:p>
            <w:pPr>
              <w:adjustRightInd w:val="0"/>
              <w:snapToGrid w:val="0"/>
              <w:spacing w:line="480" w:lineRule="exact"/>
              <w:ind w:firstLine="420" w:firstLineChars="200"/>
              <w:rPr>
                <w:color w:val="auto"/>
              </w:rPr>
            </w:pPr>
            <w:r>
              <w:rPr>
                <w:color w:val="auto"/>
              </w:rPr>
              <w:t>项目主要产噪设备为破碎机、</w:t>
            </w:r>
            <w:r>
              <w:rPr>
                <w:rFonts w:hint="eastAsia"/>
                <w:color w:val="auto"/>
              </w:rPr>
              <w:t>输送机、振动筛、搅拌机、风机</w:t>
            </w:r>
            <w:r>
              <w:rPr>
                <w:color w:val="auto"/>
              </w:rPr>
              <w:t xml:space="preserve">等机械设备，噪声值一般 </w:t>
            </w:r>
            <w:r>
              <w:rPr>
                <w:rFonts w:hint="eastAsia"/>
                <w:color w:val="auto"/>
              </w:rPr>
              <w:t>70~85</w:t>
            </w:r>
            <w:r>
              <w:rPr>
                <w:color w:val="auto"/>
              </w:rPr>
              <w:t>dB(A)。环评要求采取低噪声设备，隔声、减震等措施，以确保厂界噪声可以达到《工业企业厂界环境噪声排放标准》（GB12348-2008）中</w:t>
            </w:r>
            <w:r>
              <w:rPr>
                <w:rFonts w:hint="eastAsia"/>
                <w:color w:val="auto"/>
                <w:lang w:val="en-US" w:eastAsia="zh-CN"/>
              </w:rPr>
              <w:t>2</w:t>
            </w:r>
            <w:r>
              <w:rPr>
                <w:color w:val="auto"/>
              </w:rPr>
              <w:t>类功能区标准限值。</w:t>
            </w:r>
          </w:p>
          <w:p>
            <w:pPr>
              <w:adjustRightInd w:val="0"/>
              <w:snapToGrid w:val="0"/>
              <w:spacing w:line="480" w:lineRule="exact"/>
              <w:ind w:firstLine="420" w:firstLineChars="200"/>
              <w:rPr>
                <w:color w:val="auto"/>
              </w:rPr>
            </w:pPr>
            <w:r>
              <w:rPr>
                <w:color w:val="auto"/>
              </w:rPr>
              <w:t>具体噪声污染防治措施如下：</w:t>
            </w:r>
          </w:p>
          <w:p>
            <w:pPr>
              <w:adjustRightInd w:val="0"/>
              <w:snapToGrid w:val="0"/>
              <w:spacing w:line="480" w:lineRule="exact"/>
              <w:ind w:firstLine="420" w:firstLineChars="200"/>
              <w:rPr>
                <w:color w:val="auto"/>
              </w:rPr>
            </w:pPr>
            <w:r>
              <w:rPr>
                <w:color w:val="auto"/>
              </w:rPr>
              <w:t>①选用低噪声设备，从源头控制噪声。</w:t>
            </w:r>
          </w:p>
          <w:p>
            <w:pPr>
              <w:adjustRightInd w:val="0"/>
              <w:snapToGrid w:val="0"/>
              <w:spacing w:line="480" w:lineRule="exact"/>
              <w:ind w:firstLine="420" w:firstLineChars="200"/>
              <w:rPr>
                <w:color w:val="auto"/>
              </w:rPr>
            </w:pPr>
            <w:r>
              <w:rPr>
                <w:color w:val="auto"/>
              </w:rPr>
              <w:t>②噪声源布置在室内，同时加强门窗的隔声性能。</w:t>
            </w:r>
          </w:p>
          <w:p>
            <w:pPr>
              <w:adjustRightInd w:val="0"/>
              <w:snapToGrid w:val="0"/>
              <w:spacing w:line="480" w:lineRule="exact"/>
              <w:ind w:firstLine="420" w:firstLineChars="200"/>
              <w:rPr>
                <w:color w:val="auto"/>
              </w:rPr>
            </w:pPr>
            <w:r>
              <w:rPr>
                <w:color w:val="auto"/>
              </w:rPr>
              <w:t>③噪声源外安装隔声罩，下方加装减振垫。</w:t>
            </w:r>
          </w:p>
          <w:p>
            <w:pPr>
              <w:adjustRightInd w:val="0"/>
              <w:snapToGrid w:val="0"/>
              <w:spacing w:line="480" w:lineRule="exact"/>
              <w:ind w:firstLine="420" w:firstLineChars="200"/>
              <w:rPr>
                <w:color w:val="auto"/>
              </w:rPr>
            </w:pPr>
            <w:r>
              <w:rPr>
                <w:color w:val="auto"/>
              </w:rPr>
              <w:t>以上噪声治理措施容易实施，技术成熟可靠，投资费用较少，在经济上是可行的。</w:t>
            </w:r>
          </w:p>
          <w:p>
            <w:pPr>
              <w:spacing w:line="480" w:lineRule="exact"/>
              <w:ind w:firstLine="422" w:firstLineChars="200"/>
              <w:textAlignment w:val="baseline"/>
              <w:rPr>
                <w:b/>
                <w:bCs/>
                <w:color w:val="auto"/>
              </w:rPr>
            </w:pPr>
            <w:r>
              <w:rPr>
                <w:rFonts w:hint="eastAsia"/>
                <w:b/>
                <w:bCs/>
                <w:color w:val="auto"/>
              </w:rPr>
              <w:t>4.4.3监测要求</w:t>
            </w:r>
          </w:p>
          <w:p>
            <w:pPr>
              <w:adjustRightInd w:val="0"/>
              <w:snapToGrid w:val="0"/>
              <w:spacing w:line="480" w:lineRule="exact"/>
              <w:ind w:firstLine="420" w:firstLineChars="200"/>
              <w:rPr>
                <w:color w:val="auto"/>
              </w:rPr>
            </w:pPr>
            <w:r>
              <w:rPr>
                <w:color w:val="auto"/>
              </w:rPr>
              <w:t>根据本项目生产工艺特点，其噪声监测工作内容详见表4-</w:t>
            </w:r>
            <w:r>
              <w:rPr>
                <w:rFonts w:hint="eastAsia"/>
                <w:color w:val="auto"/>
              </w:rPr>
              <w:t>11</w:t>
            </w:r>
            <w:r>
              <w:rPr>
                <w:color w:val="auto"/>
              </w:rPr>
              <w:t>。</w:t>
            </w:r>
          </w:p>
          <w:p>
            <w:pPr>
              <w:spacing w:before="120" w:beforeLines="50"/>
              <w:jc w:val="center"/>
              <w:rPr>
                <w:b/>
                <w:bCs/>
                <w:color w:val="auto"/>
              </w:rPr>
            </w:pPr>
            <w:r>
              <w:rPr>
                <w:rFonts w:hint="eastAsia"/>
                <w:b/>
                <w:bCs/>
                <w:color w:val="auto"/>
              </w:rPr>
              <w:t>表4-11    噪声自行监测要求一览表</w:t>
            </w:r>
          </w:p>
          <w:tbl>
            <w:tblPr>
              <w:tblStyle w:val="23"/>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80"/>
              <w:gridCol w:w="1280"/>
              <w:gridCol w:w="2045"/>
              <w:gridCol w:w="37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280" w:type="dxa"/>
                  <w:tcBorders>
                    <w:tl2br w:val="nil"/>
                    <w:tr2bl w:val="nil"/>
                  </w:tcBorders>
                  <w:vAlign w:val="center"/>
                </w:tcPr>
                <w:p>
                  <w:pPr>
                    <w:adjustRightInd w:val="0"/>
                    <w:snapToGrid w:val="0"/>
                    <w:spacing w:line="360" w:lineRule="exact"/>
                    <w:jc w:val="center"/>
                    <w:rPr>
                      <w:b/>
                      <w:bCs/>
                      <w:color w:val="auto"/>
                    </w:rPr>
                  </w:pPr>
                  <w:r>
                    <w:rPr>
                      <w:b/>
                      <w:bCs/>
                      <w:color w:val="auto"/>
                    </w:rPr>
                    <w:t>监测对象</w:t>
                  </w:r>
                </w:p>
              </w:tc>
              <w:tc>
                <w:tcPr>
                  <w:tcW w:w="1280" w:type="dxa"/>
                  <w:tcBorders>
                    <w:tl2br w:val="nil"/>
                    <w:tr2bl w:val="nil"/>
                  </w:tcBorders>
                  <w:vAlign w:val="center"/>
                </w:tcPr>
                <w:p>
                  <w:pPr>
                    <w:adjustRightInd w:val="0"/>
                    <w:snapToGrid w:val="0"/>
                    <w:spacing w:line="360" w:lineRule="exact"/>
                    <w:jc w:val="center"/>
                    <w:rPr>
                      <w:b/>
                      <w:bCs/>
                      <w:color w:val="auto"/>
                    </w:rPr>
                  </w:pPr>
                  <w:r>
                    <w:rPr>
                      <w:b/>
                      <w:bCs/>
                      <w:color w:val="auto"/>
                    </w:rPr>
                    <w:t>监测点位</w:t>
                  </w:r>
                </w:p>
              </w:tc>
              <w:tc>
                <w:tcPr>
                  <w:tcW w:w="2045" w:type="dxa"/>
                  <w:tcBorders>
                    <w:tl2br w:val="nil"/>
                    <w:tr2bl w:val="nil"/>
                  </w:tcBorders>
                  <w:vAlign w:val="center"/>
                </w:tcPr>
                <w:p>
                  <w:pPr>
                    <w:adjustRightInd w:val="0"/>
                    <w:snapToGrid w:val="0"/>
                    <w:spacing w:line="360" w:lineRule="exact"/>
                    <w:jc w:val="center"/>
                    <w:rPr>
                      <w:b/>
                      <w:bCs/>
                      <w:color w:val="auto"/>
                    </w:rPr>
                  </w:pPr>
                  <w:r>
                    <w:rPr>
                      <w:b/>
                      <w:bCs/>
                      <w:color w:val="auto"/>
                    </w:rPr>
                    <w:t>监测因子</w:t>
                  </w:r>
                </w:p>
              </w:tc>
              <w:tc>
                <w:tcPr>
                  <w:tcW w:w="3704" w:type="dxa"/>
                  <w:tcBorders>
                    <w:tl2br w:val="nil"/>
                    <w:tr2bl w:val="nil"/>
                  </w:tcBorders>
                  <w:vAlign w:val="center"/>
                </w:tcPr>
                <w:p>
                  <w:pPr>
                    <w:adjustRightInd w:val="0"/>
                    <w:snapToGrid w:val="0"/>
                    <w:spacing w:line="360" w:lineRule="exact"/>
                    <w:jc w:val="center"/>
                    <w:rPr>
                      <w:b/>
                      <w:bCs/>
                      <w:color w:val="auto"/>
                    </w:rPr>
                  </w:pPr>
                  <w:r>
                    <w:rPr>
                      <w:b/>
                      <w:bCs/>
                      <w:color w:val="auto"/>
                    </w:rPr>
                    <w:t>监测频次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280" w:type="dxa"/>
                  <w:tcBorders>
                    <w:tl2br w:val="nil"/>
                    <w:tr2bl w:val="nil"/>
                  </w:tcBorders>
                  <w:vAlign w:val="center"/>
                </w:tcPr>
                <w:p>
                  <w:pPr>
                    <w:adjustRightInd w:val="0"/>
                    <w:snapToGrid w:val="0"/>
                    <w:spacing w:line="360" w:lineRule="exact"/>
                    <w:jc w:val="center"/>
                    <w:rPr>
                      <w:color w:val="auto"/>
                    </w:rPr>
                  </w:pPr>
                  <w:r>
                    <w:rPr>
                      <w:color w:val="auto"/>
                    </w:rPr>
                    <w:t>噪声</w:t>
                  </w:r>
                </w:p>
              </w:tc>
              <w:tc>
                <w:tcPr>
                  <w:tcW w:w="1280" w:type="dxa"/>
                  <w:tcBorders>
                    <w:tl2br w:val="nil"/>
                    <w:tr2bl w:val="nil"/>
                  </w:tcBorders>
                  <w:vAlign w:val="center"/>
                </w:tcPr>
                <w:p>
                  <w:pPr>
                    <w:adjustRightInd w:val="0"/>
                    <w:snapToGrid w:val="0"/>
                    <w:spacing w:line="360" w:lineRule="exact"/>
                    <w:jc w:val="center"/>
                    <w:rPr>
                      <w:color w:val="auto"/>
                    </w:rPr>
                  </w:pPr>
                  <w:r>
                    <w:rPr>
                      <w:color w:val="auto"/>
                    </w:rPr>
                    <w:t>厂界</w:t>
                  </w:r>
                </w:p>
              </w:tc>
              <w:tc>
                <w:tcPr>
                  <w:tcW w:w="2045" w:type="dxa"/>
                  <w:tcBorders>
                    <w:tl2br w:val="nil"/>
                    <w:tr2bl w:val="nil"/>
                  </w:tcBorders>
                  <w:vAlign w:val="center"/>
                </w:tcPr>
                <w:p>
                  <w:pPr>
                    <w:adjustRightInd w:val="0"/>
                    <w:snapToGrid w:val="0"/>
                    <w:spacing w:line="360" w:lineRule="exact"/>
                    <w:jc w:val="center"/>
                    <w:rPr>
                      <w:color w:val="auto"/>
                    </w:rPr>
                  </w:pPr>
                  <w:r>
                    <w:rPr>
                      <w:color w:val="auto"/>
                    </w:rPr>
                    <w:t>等效连续A声级</w:t>
                  </w:r>
                </w:p>
              </w:tc>
              <w:tc>
                <w:tcPr>
                  <w:tcW w:w="3704" w:type="dxa"/>
                  <w:tcBorders>
                    <w:tl2br w:val="nil"/>
                    <w:tr2bl w:val="nil"/>
                  </w:tcBorders>
                  <w:vAlign w:val="center"/>
                </w:tcPr>
                <w:p>
                  <w:pPr>
                    <w:adjustRightInd w:val="0"/>
                    <w:snapToGrid w:val="0"/>
                    <w:spacing w:line="360" w:lineRule="exact"/>
                    <w:jc w:val="center"/>
                    <w:rPr>
                      <w:color w:val="auto"/>
                    </w:rPr>
                  </w:pPr>
                  <w:r>
                    <w:rPr>
                      <w:color w:val="auto"/>
                    </w:rPr>
                    <w:t>1次/季度（每次昼夜各一次）</w:t>
                  </w:r>
                </w:p>
              </w:tc>
            </w:tr>
          </w:tbl>
          <w:p>
            <w:pPr>
              <w:spacing w:line="480" w:lineRule="exact"/>
              <w:ind w:firstLine="422" w:firstLineChars="200"/>
              <w:textAlignment w:val="baseline"/>
              <w:rPr>
                <w:b/>
                <w:bCs/>
                <w:color w:val="auto"/>
              </w:rPr>
            </w:pPr>
            <w:r>
              <w:rPr>
                <w:rFonts w:hint="eastAsia"/>
                <w:b/>
                <w:bCs/>
                <w:color w:val="auto"/>
              </w:rPr>
              <w:t>4.5</w:t>
            </w:r>
            <w:r>
              <w:rPr>
                <w:b/>
                <w:bCs/>
                <w:color w:val="auto"/>
              </w:rPr>
              <w:t>固体废物</w:t>
            </w:r>
            <w:r>
              <w:rPr>
                <w:rFonts w:hint="eastAsia"/>
                <w:b/>
                <w:bCs/>
                <w:color w:val="auto"/>
              </w:rPr>
              <w:t>环境影响分析及治理措施</w:t>
            </w:r>
          </w:p>
          <w:p>
            <w:pPr>
              <w:adjustRightInd w:val="0"/>
              <w:snapToGrid w:val="0"/>
              <w:spacing w:line="480" w:lineRule="exact"/>
              <w:ind w:firstLine="420" w:firstLineChars="200"/>
              <w:rPr>
                <w:color w:val="auto"/>
              </w:rPr>
            </w:pPr>
            <w:r>
              <w:rPr>
                <w:color w:val="auto"/>
              </w:rPr>
              <w:t>本项目运营期产生的固废主要为</w:t>
            </w:r>
            <w:r>
              <w:rPr>
                <w:rFonts w:hint="eastAsia"/>
                <w:color w:val="auto"/>
              </w:rPr>
              <w:t>分拣出的未燃尽垃圾、金属渣、跳汰废渣、除尘器收集灰尘、循环水池沉渣、生活垃圾及机器检修时产生的废机油。</w:t>
            </w:r>
          </w:p>
          <w:p>
            <w:pPr>
              <w:adjustRightInd w:val="0"/>
              <w:snapToGrid w:val="0"/>
              <w:spacing w:line="480" w:lineRule="exact"/>
              <w:ind w:firstLine="420" w:firstLineChars="200"/>
              <w:rPr>
                <w:color w:val="auto"/>
              </w:rPr>
            </w:pPr>
            <w:r>
              <w:rPr>
                <w:color w:val="auto"/>
              </w:rPr>
              <w:t>由于炉渣组成成分较复杂，为清理大块的未完全燃烧的垃圾，需要对炉渣进行一次筛选，</w:t>
            </w:r>
            <w:r>
              <w:rPr>
                <w:rFonts w:hint="eastAsia"/>
                <w:color w:val="auto"/>
              </w:rPr>
              <w:t>分拣</w:t>
            </w:r>
            <w:r>
              <w:rPr>
                <w:color w:val="auto"/>
              </w:rPr>
              <w:t>产生的</w:t>
            </w:r>
            <w:r>
              <w:rPr>
                <w:rFonts w:hint="eastAsia"/>
                <w:color w:val="auto"/>
                <w:lang w:val="en-US" w:eastAsia="zh-CN"/>
              </w:rPr>
              <w:t>1883.4</w:t>
            </w:r>
            <w:r>
              <w:rPr>
                <w:color w:val="auto"/>
              </w:rPr>
              <w:t>t/a</w:t>
            </w:r>
            <w:r>
              <w:rPr>
                <w:rFonts w:hint="eastAsia"/>
                <w:color w:val="auto"/>
                <w:lang w:eastAsia="zh-CN"/>
              </w:rPr>
              <w:t>（</w:t>
            </w:r>
            <w:r>
              <w:rPr>
                <w:rFonts w:hint="eastAsia"/>
                <w:color w:val="auto"/>
                <w:lang w:val="en-US" w:eastAsia="zh-CN"/>
              </w:rPr>
              <w:t>5.7t/d</w:t>
            </w:r>
            <w:r>
              <w:rPr>
                <w:rFonts w:hint="eastAsia"/>
                <w:color w:val="auto"/>
                <w:lang w:eastAsia="zh-CN"/>
              </w:rPr>
              <w:t>）</w:t>
            </w:r>
            <w:r>
              <w:rPr>
                <w:color w:val="auto"/>
              </w:rPr>
              <w:t>的</w:t>
            </w:r>
            <w:r>
              <w:rPr>
                <w:rFonts w:hint="eastAsia"/>
                <w:color w:val="auto"/>
              </w:rPr>
              <w:t>未燃尽垃圾</w:t>
            </w:r>
            <w:r>
              <w:rPr>
                <w:color w:val="auto"/>
              </w:rPr>
              <w:t>，收集后</w:t>
            </w:r>
            <w:r>
              <w:rPr>
                <w:rFonts w:hint="eastAsia"/>
                <w:color w:val="auto"/>
                <w:lang w:eastAsia="zh-CN"/>
              </w:rPr>
              <w:t>堆存与厂房未燃尽垃圾堆存区，根据国家统计数据，生活垃圾平均密度为</w:t>
            </w:r>
            <w:r>
              <w:rPr>
                <w:rFonts w:hint="eastAsia"/>
                <w:color w:val="auto"/>
                <w:lang w:val="en-US" w:eastAsia="zh-CN"/>
              </w:rPr>
              <w:t>0.488t/m</w:t>
            </w:r>
            <w:r>
              <w:rPr>
                <w:rFonts w:hint="eastAsia"/>
                <w:color w:val="auto"/>
                <w:vertAlign w:val="superscript"/>
                <w:lang w:val="en-US" w:eastAsia="zh-CN"/>
              </w:rPr>
              <w:t>3</w:t>
            </w:r>
            <w:r>
              <w:rPr>
                <w:rFonts w:hint="eastAsia"/>
                <w:color w:val="auto"/>
                <w:vertAlign w:val="baseline"/>
                <w:lang w:val="en-US" w:eastAsia="zh-CN"/>
              </w:rPr>
              <w:t>，则每天分拣出的未燃尽生活垃圾约为12m</w:t>
            </w:r>
            <w:r>
              <w:rPr>
                <w:rFonts w:hint="eastAsia"/>
                <w:color w:val="auto"/>
                <w:vertAlign w:val="superscript"/>
                <w:lang w:val="en-US" w:eastAsia="zh-CN"/>
              </w:rPr>
              <w:t>3</w:t>
            </w:r>
            <w:r>
              <w:rPr>
                <w:rFonts w:hint="eastAsia"/>
                <w:color w:val="auto"/>
                <w:vertAlign w:val="baseline"/>
                <w:lang w:val="en-US" w:eastAsia="zh-CN"/>
              </w:rPr>
              <w:t>，未燃尽生活垃圾暂存于厂房内30m</w:t>
            </w:r>
            <w:r>
              <w:rPr>
                <w:rFonts w:hint="eastAsia"/>
                <w:color w:val="auto"/>
                <w:vertAlign w:val="superscript"/>
                <w:lang w:val="en-US" w:eastAsia="zh-CN"/>
              </w:rPr>
              <w:t>3</w:t>
            </w:r>
            <w:r>
              <w:rPr>
                <w:rFonts w:hint="eastAsia"/>
                <w:color w:val="auto"/>
                <w:vertAlign w:val="baseline"/>
                <w:lang w:val="en-US" w:eastAsia="zh-CN"/>
              </w:rPr>
              <w:t>的垃圾箱内，2天清理一次，</w:t>
            </w:r>
            <w:r>
              <w:rPr>
                <w:color w:val="auto"/>
              </w:rPr>
              <w:t>送至</w:t>
            </w:r>
            <w:r>
              <w:rPr>
                <w:rFonts w:hint="eastAsia"/>
                <w:color w:val="auto"/>
              </w:rPr>
              <w:t>昌吉市城北</w:t>
            </w:r>
            <w:r>
              <w:rPr>
                <w:color w:val="auto"/>
              </w:rPr>
              <w:t>垃圾焚烧厂回炉焚烧。</w:t>
            </w:r>
          </w:p>
          <w:p>
            <w:pPr>
              <w:adjustRightInd w:val="0"/>
              <w:snapToGrid w:val="0"/>
              <w:spacing w:line="480" w:lineRule="exact"/>
              <w:ind w:firstLine="420" w:firstLineChars="200"/>
              <w:rPr>
                <w:color w:val="auto"/>
              </w:rPr>
            </w:pPr>
            <w:r>
              <w:rPr>
                <w:color w:val="auto"/>
              </w:rPr>
              <w:t>项目磁选产生的磁性金属及跳汰产生的弱磁金属废渣约</w:t>
            </w:r>
            <w:r>
              <w:rPr>
                <w:rFonts w:hint="eastAsia"/>
                <w:color w:val="auto"/>
                <w:lang w:val="en-US" w:eastAsia="zh-CN"/>
              </w:rPr>
              <w:t>1138.8</w:t>
            </w:r>
            <w:r>
              <w:rPr>
                <w:color w:val="auto"/>
              </w:rPr>
              <w:t>t/a</w:t>
            </w:r>
            <w:r>
              <w:rPr>
                <w:rFonts w:hint="eastAsia"/>
                <w:color w:val="auto"/>
                <w:lang w:eastAsia="zh-CN"/>
              </w:rPr>
              <w:t>（</w:t>
            </w:r>
            <w:r>
              <w:rPr>
                <w:rFonts w:hint="eastAsia"/>
                <w:color w:val="auto"/>
                <w:lang w:val="en-US" w:eastAsia="zh-CN"/>
              </w:rPr>
              <w:t>3.45t/d</w:t>
            </w:r>
            <w:r>
              <w:rPr>
                <w:rFonts w:hint="eastAsia"/>
                <w:color w:val="auto"/>
                <w:lang w:eastAsia="zh-CN"/>
              </w:rPr>
              <w:t>）</w:t>
            </w:r>
            <w:r>
              <w:rPr>
                <w:rFonts w:hint="eastAsia"/>
                <w:color w:val="auto"/>
              </w:rPr>
              <w:t>，</w:t>
            </w:r>
            <w:r>
              <w:rPr>
                <w:rFonts w:hint="eastAsia"/>
                <w:color w:val="auto"/>
                <w:lang w:eastAsia="zh-CN"/>
              </w:rPr>
              <w:t>金属废渣密度按照最小值</w:t>
            </w:r>
            <w:r>
              <w:rPr>
                <w:rFonts w:hint="eastAsia"/>
                <w:color w:val="auto"/>
                <w:lang w:val="en-US" w:eastAsia="zh-CN"/>
              </w:rPr>
              <w:t>2.0t/m</w:t>
            </w:r>
            <w:r>
              <w:rPr>
                <w:rFonts w:hint="eastAsia"/>
                <w:color w:val="auto"/>
                <w:vertAlign w:val="superscript"/>
                <w:lang w:val="en-US" w:eastAsia="zh-CN"/>
              </w:rPr>
              <w:t>3</w:t>
            </w:r>
            <w:r>
              <w:rPr>
                <w:rFonts w:hint="eastAsia"/>
                <w:color w:val="auto"/>
                <w:vertAlign w:val="baseline"/>
                <w:lang w:val="en-US" w:eastAsia="zh-CN"/>
              </w:rPr>
              <w:t>计算，每日产生金属废渣约1.73m</w:t>
            </w:r>
            <w:r>
              <w:rPr>
                <w:rFonts w:hint="eastAsia"/>
                <w:color w:val="auto"/>
                <w:vertAlign w:val="superscript"/>
                <w:lang w:val="en-US" w:eastAsia="zh-CN"/>
              </w:rPr>
              <w:t>3</w:t>
            </w:r>
            <w:r>
              <w:rPr>
                <w:rFonts w:hint="eastAsia"/>
                <w:color w:val="auto"/>
                <w:vertAlign w:val="baseline"/>
                <w:lang w:val="en-US" w:eastAsia="zh-CN"/>
              </w:rPr>
              <w:t>，暂存于厂房内20m</w:t>
            </w:r>
            <w:r>
              <w:rPr>
                <w:rFonts w:hint="eastAsia"/>
                <w:color w:val="auto"/>
                <w:vertAlign w:val="superscript"/>
                <w:lang w:val="en-US" w:eastAsia="zh-CN"/>
              </w:rPr>
              <w:t>3</w:t>
            </w:r>
            <w:r>
              <w:rPr>
                <w:rFonts w:hint="eastAsia"/>
                <w:color w:val="auto"/>
                <w:vertAlign w:val="baseline"/>
                <w:lang w:val="en-US" w:eastAsia="zh-CN"/>
              </w:rPr>
              <w:t>金属废渣箱内，10d清理一次，</w:t>
            </w:r>
            <w:r>
              <w:rPr>
                <w:rFonts w:hint="eastAsia"/>
                <w:color w:val="auto"/>
              </w:rPr>
              <w:t>直接外售。</w:t>
            </w:r>
          </w:p>
          <w:p>
            <w:pPr>
              <w:adjustRightInd w:val="0"/>
              <w:snapToGrid w:val="0"/>
              <w:spacing w:line="480" w:lineRule="exact"/>
              <w:ind w:firstLine="420" w:firstLineChars="200"/>
              <w:rPr>
                <w:color w:val="auto"/>
              </w:rPr>
            </w:pPr>
            <w:r>
              <w:rPr>
                <w:rFonts w:hint="eastAsia"/>
                <w:color w:val="auto"/>
              </w:rPr>
              <w:t>类比同类项目，</w:t>
            </w:r>
            <w:r>
              <w:rPr>
                <w:color w:val="auto"/>
              </w:rPr>
              <w:t>生产废水沉淀循环水池产生沉渣约</w:t>
            </w:r>
            <w:r>
              <w:rPr>
                <w:rFonts w:hint="eastAsia"/>
                <w:color w:val="auto"/>
                <w:lang w:val="en-US" w:eastAsia="zh-CN"/>
              </w:rPr>
              <w:t>1890.2</w:t>
            </w:r>
            <w:r>
              <w:rPr>
                <w:color w:val="auto"/>
              </w:rPr>
              <w:t>t/a</w:t>
            </w:r>
            <w:r>
              <w:rPr>
                <w:rFonts w:hint="eastAsia"/>
                <w:color w:val="auto"/>
              </w:rPr>
              <w:t>，经压滤后作为环保砖生产原料。</w:t>
            </w:r>
          </w:p>
          <w:p>
            <w:pPr>
              <w:adjustRightInd w:val="0"/>
              <w:snapToGrid w:val="0"/>
              <w:spacing w:line="480" w:lineRule="exact"/>
              <w:ind w:firstLine="420" w:firstLineChars="200"/>
              <w:rPr>
                <w:color w:val="auto"/>
              </w:rPr>
            </w:pPr>
            <w:r>
              <w:rPr>
                <w:rFonts w:hint="eastAsia"/>
                <w:color w:val="auto"/>
              </w:rPr>
              <w:t>除尘灰收集量约</w:t>
            </w:r>
            <w:r>
              <w:rPr>
                <w:rFonts w:hint="eastAsia"/>
                <w:color w:val="auto"/>
                <w:lang w:val="en-US" w:eastAsia="zh-CN"/>
              </w:rPr>
              <w:t>28.62</w:t>
            </w:r>
            <w:r>
              <w:rPr>
                <w:rFonts w:hint="eastAsia"/>
                <w:color w:val="auto"/>
              </w:rPr>
              <w:t>t/a，主要成分为炉渣灰，直接用于制砖</w:t>
            </w:r>
            <w:r>
              <w:rPr>
                <w:color w:val="auto"/>
              </w:rPr>
              <w:t>。</w:t>
            </w:r>
          </w:p>
          <w:p>
            <w:pPr>
              <w:adjustRightInd w:val="0"/>
              <w:snapToGrid w:val="0"/>
              <w:spacing w:line="480" w:lineRule="exact"/>
              <w:ind w:firstLine="420" w:firstLineChars="200"/>
              <w:rPr>
                <w:color w:val="auto"/>
              </w:rPr>
            </w:pPr>
            <w:r>
              <w:rPr>
                <w:rFonts w:hint="eastAsia"/>
                <w:color w:val="auto"/>
              </w:rPr>
              <w:t>本</w:t>
            </w:r>
            <w:r>
              <w:rPr>
                <w:color w:val="auto"/>
              </w:rPr>
              <w:t>项目</w:t>
            </w:r>
            <w:r>
              <w:rPr>
                <w:rFonts w:hint="eastAsia"/>
                <w:color w:val="auto"/>
              </w:rPr>
              <w:t>职工人数60人，生活垃圾产生量按照0.5kg/人天计算，则</w:t>
            </w:r>
            <w:r>
              <w:rPr>
                <w:color w:val="auto"/>
              </w:rPr>
              <w:t>产生生活垃圾</w:t>
            </w:r>
            <w:r>
              <w:rPr>
                <w:rFonts w:hint="eastAsia"/>
                <w:color w:val="auto"/>
              </w:rPr>
              <w:t>30</w:t>
            </w:r>
            <w:r>
              <w:rPr>
                <w:color w:val="auto"/>
              </w:rPr>
              <w:t>kg/d</w:t>
            </w:r>
            <w:r>
              <w:rPr>
                <w:rFonts w:hint="eastAsia"/>
                <w:color w:val="auto"/>
              </w:rPr>
              <w:t>，统一收集后送至昌吉市城北垃圾焚烧厂</w:t>
            </w:r>
            <w:r>
              <w:rPr>
                <w:color w:val="auto"/>
              </w:rPr>
              <w:t>。</w:t>
            </w:r>
          </w:p>
          <w:p>
            <w:pPr>
              <w:pStyle w:val="14"/>
              <w:spacing w:after="0" w:line="480" w:lineRule="exact"/>
              <w:ind w:firstLine="420" w:firstLineChars="200"/>
              <w:rPr>
                <w:rFonts w:hint="eastAsia"/>
                <w:color w:val="auto"/>
              </w:rPr>
            </w:pPr>
            <w:r>
              <w:rPr>
                <w:rFonts w:hint="eastAsia"/>
                <w:color w:val="auto"/>
              </w:rPr>
              <w:t>本项目机器检修由</w:t>
            </w:r>
            <w:r>
              <w:rPr>
                <w:rFonts w:hint="eastAsia"/>
                <w:color w:val="auto"/>
                <w:lang w:eastAsia="zh-CN"/>
              </w:rPr>
              <w:t>设备厂家进行检修，大致半年检修一次，危废产生量约为</w:t>
            </w:r>
            <w:r>
              <w:rPr>
                <w:rFonts w:hint="eastAsia"/>
                <w:color w:val="auto"/>
                <w:lang w:val="en-US" w:eastAsia="zh-CN"/>
              </w:rPr>
              <w:t>15kg/次，</w:t>
            </w:r>
            <w:r>
              <w:rPr>
                <w:rFonts w:hint="eastAsia"/>
                <w:color w:val="auto"/>
                <w:lang w:eastAsia="zh-CN"/>
              </w:rPr>
              <w:t>设备厂家具有</w:t>
            </w:r>
            <w:r>
              <w:rPr>
                <w:rFonts w:hint="eastAsia"/>
                <w:color w:val="auto"/>
              </w:rPr>
              <w:t>危废处置资质，检修后立即带走处置，不在厂区存储。</w:t>
            </w:r>
          </w:p>
          <w:p>
            <w:pPr>
              <w:adjustRightInd w:val="0"/>
              <w:snapToGrid w:val="0"/>
              <w:spacing w:line="480" w:lineRule="exact"/>
              <w:ind w:firstLine="420" w:firstLineChars="200"/>
              <w:rPr>
                <w:color w:val="auto"/>
              </w:rPr>
            </w:pPr>
            <w:r>
              <w:rPr>
                <w:rFonts w:hint="eastAsia"/>
                <w:color w:val="auto"/>
                <w:lang w:eastAsia="zh-CN"/>
              </w:rPr>
              <w:t>本项目产生的固废在厂区厂房内分类、分区</w:t>
            </w:r>
            <w:r>
              <w:rPr>
                <w:rFonts w:hint="eastAsia"/>
                <w:color w:val="auto"/>
                <w:lang w:eastAsia="zh-CN"/>
              </w:rPr>
              <w:t>贮存处置，各储存区均设标识牌，厂房地面全部</w:t>
            </w:r>
            <w:r>
              <w:rPr>
                <w:rFonts w:hint="eastAsia"/>
                <w:color w:val="auto"/>
                <w:lang w:eastAsia="zh-CN"/>
              </w:rPr>
              <w:t>按照GB18597-2020中一般防渗区要求进行防渗。按照上述处理后，</w:t>
            </w:r>
            <w:r>
              <w:rPr>
                <w:rFonts w:hint="eastAsia"/>
                <w:color w:val="auto"/>
              </w:rPr>
              <w:t>本项目产生固废对环境无明显影响。</w:t>
            </w:r>
          </w:p>
          <w:p>
            <w:pPr>
              <w:spacing w:line="480" w:lineRule="exact"/>
              <w:ind w:firstLine="422" w:firstLineChars="200"/>
              <w:textAlignment w:val="baseline"/>
              <w:rPr>
                <w:b/>
                <w:bCs/>
                <w:color w:val="auto"/>
              </w:rPr>
            </w:pPr>
            <w:r>
              <w:rPr>
                <w:rFonts w:hint="eastAsia"/>
                <w:b/>
                <w:bCs/>
                <w:color w:val="auto"/>
              </w:rPr>
              <w:t>4.6</w:t>
            </w:r>
            <w:r>
              <w:rPr>
                <w:b/>
                <w:bCs/>
                <w:color w:val="auto"/>
              </w:rPr>
              <w:t>生态</w:t>
            </w:r>
          </w:p>
          <w:p>
            <w:pPr>
              <w:adjustRightInd w:val="0"/>
              <w:snapToGrid w:val="0"/>
              <w:spacing w:line="480" w:lineRule="exact"/>
              <w:ind w:firstLine="420" w:firstLineChars="200"/>
              <w:rPr>
                <w:color w:val="auto"/>
              </w:rPr>
            </w:pPr>
            <w:r>
              <w:rPr>
                <w:rFonts w:hint="eastAsia"/>
                <w:color w:val="auto"/>
              </w:rPr>
              <w:t>本</w:t>
            </w:r>
            <w:r>
              <w:rPr>
                <w:color w:val="auto"/>
              </w:rPr>
              <w:t>项目占地使现有土地的使用功能发生变化，使原有的地表植被受到了破坏，植被局部生长能力和稳定状况受到影响。</w:t>
            </w:r>
            <w:r>
              <w:rPr>
                <w:rFonts w:hint="eastAsia"/>
                <w:color w:val="auto"/>
              </w:rPr>
              <w:t>营运期</w:t>
            </w:r>
            <w:r>
              <w:rPr>
                <w:color w:val="auto"/>
              </w:rPr>
              <w:t>的废气、噪声等污染物对周围生态环境产生</w:t>
            </w:r>
            <w:r>
              <w:rPr>
                <w:rFonts w:hint="eastAsia"/>
                <w:color w:val="auto"/>
              </w:rPr>
              <w:t>一定的</w:t>
            </w:r>
            <w:r>
              <w:rPr>
                <w:color w:val="auto"/>
              </w:rPr>
              <w:t>不利影响，</w:t>
            </w:r>
            <w:r>
              <w:rPr>
                <w:rFonts w:hint="eastAsia"/>
                <w:color w:val="auto"/>
              </w:rPr>
              <w:t>在采取相应的处理措施后，本项目对生态环境的影响较小。</w:t>
            </w:r>
          </w:p>
          <w:p>
            <w:pPr>
              <w:spacing w:line="480" w:lineRule="exact"/>
              <w:ind w:firstLine="422" w:firstLineChars="200"/>
              <w:textAlignment w:val="baseline"/>
              <w:rPr>
                <w:b/>
                <w:bCs/>
                <w:color w:val="auto"/>
              </w:rPr>
            </w:pPr>
            <w:r>
              <w:rPr>
                <w:rFonts w:hint="eastAsia"/>
                <w:b/>
                <w:bCs/>
                <w:color w:val="auto"/>
              </w:rPr>
              <w:t>4.7环境风险分析</w:t>
            </w:r>
          </w:p>
          <w:p>
            <w:pPr>
              <w:spacing w:line="480" w:lineRule="exact"/>
              <w:ind w:firstLine="422" w:firstLineChars="200"/>
              <w:textAlignment w:val="baseline"/>
              <w:rPr>
                <w:b/>
                <w:bCs/>
                <w:color w:val="auto"/>
              </w:rPr>
            </w:pPr>
            <w:r>
              <w:rPr>
                <w:rFonts w:hint="eastAsia"/>
                <w:b/>
                <w:bCs/>
                <w:color w:val="auto"/>
              </w:rPr>
              <w:t>4.7.1环境风险评价的一般性原则</w:t>
            </w:r>
          </w:p>
          <w:p>
            <w:pPr>
              <w:adjustRightInd w:val="0"/>
              <w:snapToGrid w:val="0"/>
              <w:spacing w:line="480" w:lineRule="exact"/>
              <w:ind w:firstLine="420" w:firstLineChars="200"/>
              <w:rPr>
                <w:color w:val="auto"/>
              </w:rPr>
            </w:pPr>
            <w:r>
              <w:rPr>
                <w:rFonts w:hint="eastAsia"/>
                <w:color w:val="auto"/>
              </w:rPr>
              <w:t>环境风险评价应以突发性事故导致的危险物质环境急性损害防控为目标，对建设项目的环境风险进行分析、预测和评估，提出环境风险预防、控制、减缓措施，明确环境风险监控及应急建议要求，为建设项目环境风险防控提供科学依据。</w:t>
            </w:r>
          </w:p>
          <w:p>
            <w:pPr>
              <w:spacing w:line="480" w:lineRule="exact"/>
              <w:ind w:firstLine="422" w:firstLineChars="200"/>
              <w:textAlignment w:val="baseline"/>
              <w:rPr>
                <w:b/>
                <w:bCs/>
                <w:color w:val="auto"/>
              </w:rPr>
            </w:pPr>
            <w:r>
              <w:rPr>
                <w:rFonts w:hint="eastAsia"/>
                <w:b/>
                <w:bCs/>
                <w:color w:val="auto"/>
              </w:rPr>
              <w:t>4.7.2风险调查</w:t>
            </w:r>
          </w:p>
          <w:p>
            <w:pPr>
              <w:tabs>
                <w:tab w:val="left" w:pos="1245"/>
              </w:tabs>
              <w:spacing w:line="480" w:lineRule="exact"/>
              <w:ind w:firstLine="420" w:firstLineChars="200"/>
              <w:rPr>
                <w:color w:val="auto"/>
              </w:rPr>
            </w:pPr>
            <w:r>
              <w:rPr>
                <w:rFonts w:hint="eastAsia"/>
                <w:color w:val="auto"/>
              </w:rPr>
              <w:t>风险防范是企业安全生产的前提和保障，本评价将对项目危险化学品使用及储运等过程中可能发生的潜在危险进行分析，以找出主要危险环节，识别危险程度，进而针对性地采取预防和应急措施，尽可能将风险可能性和危险性降到最低程度。</w:t>
            </w:r>
          </w:p>
          <w:p>
            <w:pPr>
              <w:tabs>
                <w:tab w:val="left" w:pos="1245"/>
              </w:tabs>
              <w:spacing w:line="480" w:lineRule="exact"/>
              <w:ind w:firstLine="420" w:firstLineChars="200"/>
              <w:rPr>
                <w:color w:val="auto"/>
              </w:rPr>
            </w:pPr>
            <w:r>
              <w:rPr>
                <w:rFonts w:hint="eastAsia"/>
                <w:color w:val="auto"/>
              </w:rPr>
              <w:t>按照《建设项目环境风险评价技术导则》（HJ169-2018）规定，在进行风险评价时，首先要调查建设项目危险物质数量和分布情况、生产工艺特点，确定项目中哪些物质应该进行危险性评价。</w:t>
            </w:r>
          </w:p>
          <w:p>
            <w:pPr>
              <w:spacing w:line="480" w:lineRule="exact"/>
              <w:ind w:firstLine="422" w:firstLineChars="200"/>
              <w:textAlignment w:val="baseline"/>
              <w:rPr>
                <w:b/>
                <w:bCs/>
                <w:color w:val="auto"/>
              </w:rPr>
            </w:pPr>
            <w:r>
              <w:rPr>
                <w:rFonts w:hint="eastAsia"/>
                <w:b/>
                <w:bCs/>
                <w:color w:val="auto"/>
              </w:rPr>
              <w:t>4.7.3环境风险识别</w:t>
            </w:r>
          </w:p>
          <w:p>
            <w:pPr>
              <w:adjustRightInd w:val="0"/>
              <w:snapToGrid w:val="0"/>
              <w:spacing w:line="480" w:lineRule="exact"/>
              <w:ind w:firstLine="420" w:firstLineChars="200"/>
              <w:rPr>
                <w:color w:val="auto"/>
              </w:rPr>
            </w:pPr>
            <w:r>
              <w:rPr>
                <w:rFonts w:hint="eastAsia"/>
                <w:color w:val="auto"/>
              </w:rPr>
              <w:t>本项目不涉及危险化学品的储存和使用，厂区不构成重大危险源。但</w:t>
            </w:r>
            <w:r>
              <w:rPr>
                <w:color w:val="auto"/>
              </w:rPr>
              <w:t>在</w:t>
            </w:r>
            <w:r>
              <w:rPr>
                <w:rFonts w:hint="eastAsia"/>
                <w:color w:val="auto"/>
              </w:rPr>
              <w:t>布袋除尘器</w:t>
            </w:r>
            <w:r>
              <w:rPr>
                <w:color w:val="auto"/>
              </w:rPr>
              <w:t>实际运行过程中，可能会出现</w:t>
            </w:r>
            <w:r>
              <w:rPr>
                <w:rFonts w:hint="eastAsia"/>
                <w:color w:val="auto"/>
              </w:rPr>
              <w:t>布袋</w:t>
            </w:r>
            <w:r>
              <w:rPr>
                <w:color w:val="auto"/>
              </w:rPr>
              <w:t>破损故障从而使得部分颗粒物气体从破损处或脱离口处进入到大气环境中，并且也促使大量的粉尘不经过</w:t>
            </w:r>
            <w:r>
              <w:rPr>
                <w:rFonts w:hint="eastAsia"/>
                <w:color w:val="auto"/>
              </w:rPr>
              <w:t>布袋</w:t>
            </w:r>
            <w:r>
              <w:rPr>
                <w:color w:val="auto"/>
              </w:rPr>
              <w:t>的过滤就直接排放至大气中，进而对大气环境产生影响。</w:t>
            </w:r>
            <w:r>
              <w:rPr>
                <w:rFonts w:hint="eastAsia"/>
                <w:color w:val="auto"/>
              </w:rPr>
              <w:t>此外，在生产过程中，地埋式一体化污水处理设施若发生故障，将会导致处理未达标生活污水直接回用于绿化、车辆冲洗、道路降尘，造成环境污染。</w:t>
            </w:r>
          </w:p>
          <w:p>
            <w:pPr>
              <w:spacing w:line="480" w:lineRule="exact"/>
              <w:ind w:firstLine="422" w:firstLineChars="200"/>
              <w:textAlignment w:val="baseline"/>
              <w:rPr>
                <w:b/>
                <w:bCs/>
                <w:color w:val="auto"/>
              </w:rPr>
            </w:pPr>
            <w:bookmarkStart w:id="2" w:name="_Toc372122651"/>
            <w:bookmarkStart w:id="3" w:name="_Toc441744942"/>
            <w:bookmarkStart w:id="4" w:name="_Toc19612"/>
            <w:bookmarkStart w:id="5" w:name="_Toc17746"/>
            <w:r>
              <w:rPr>
                <w:rFonts w:hint="eastAsia"/>
                <w:b/>
                <w:bCs/>
                <w:color w:val="auto"/>
              </w:rPr>
              <w:t>4.7.4</w:t>
            </w:r>
            <w:r>
              <w:rPr>
                <w:b/>
                <w:bCs/>
                <w:color w:val="auto"/>
              </w:rPr>
              <w:t>风险</w:t>
            </w:r>
            <w:bookmarkEnd w:id="2"/>
            <w:r>
              <w:rPr>
                <w:b/>
                <w:bCs/>
                <w:color w:val="auto"/>
              </w:rPr>
              <w:t>事故</w:t>
            </w:r>
            <w:bookmarkEnd w:id="3"/>
            <w:bookmarkEnd w:id="4"/>
            <w:r>
              <w:rPr>
                <w:b/>
                <w:bCs/>
                <w:color w:val="auto"/>
              </w:rPr>
              <w:t>防范措施</w:t>
            </w:r>
            <w:bookmarkEnd w:id="5"/>
          </w:p>
          <w:p>
            <w:pPr>
              <w:adjustRightInd w:val="0"/>
              <w:snapToGrid w:val="0"/>
              <w:spacing w:line="480" w:lineRule="exact"/>
              <w:ind w:firstLine="420" w:firstLineChars="200"/>
              <w:rPr>
                <w:color w:val="auto"/>
              </w:rPr>
            </w:pPr>
            <w:r>
              <w:rPr>
                <w:color w:val="auto"/>
              </w:rPr>
              <w:t>（1）加强除尘器的检修工作，每季度及时对除尘器的各风道、各单体室的隔板等关键部位进行一次全面的检查维修，尤其需要注意加强除尘器所存在的泄漏点，一旦发现问题，则要做好相应的标记，通知相关维修人员进行维修。</w:t>
            </w:r>
          </w:p>
          <w:p>
            <w:pPr>
              <w:adjustRightInd w:val="0"/>
              <w:snapToGrid w:val="0"/>
              <w:spacing w:line="480" w:lineRule="exact"/>
              <w:ind w:firstLine="420" w:firstLineChars="200"/>
              <w:rPr>
                <w:color w:val="auto"/>
              </w:rPr>
            </w:pPr>
            <w:r>
              <w:rPr>
                <w:color w:val="auto"/>
              </w:rPr>
              <w:t>（2）如除尘器风机发生突发故障，应立即停机，按报告程序进行报告，同时尽快安排人员进行修复，同时采取洒水降尘等措施，控制工业粉尘对周边大气环境的污染。</w:t>
            </w:r>
          </w:p>
          <w:p>
            <w:pPr>
              <w:adjustRightInd w:val="0"/>
              <w:snapToGrid w:val="0"/>
              <w:spacing w:line="480" w:lineRule="exact"/>
              <w:ind w:firstLine="420" w:firstLineChars="200"/>
              <w:rPr>
                <w:color w:val="auto"/>
              </w:rPr>
            </w:pPr>
            <w:r>
              <w:rPr>
                <w:color w:val="auto"/>
              </w:rPr>
              <w:t>（3）加强</w:t>
            </w:r>
            <w:r>
              <w:rPr>
                <w:rFonts w:hint="eastAsia"/>
                <w:color w:val="auto"/>
              </w:rPr>
              <w:t>地埋式</w:t>
            </w:r>
            <w:r>
              <w:rPr>
                <w:color w:val="auto"/>
              </w:rPr>
              <w:t>一体化</w:t>
            </w:r>
            <w:r>
              <w:rPr>
                <w:rFonts w:hint="eastAsia"/>
                <w:color w:val="auto"/>
              </w:rPr>
              <w:t>污水</w:t>
            </w:r>
            <w:r>
              <w:rPr>
                <w:color w:val="auto"/>
              </w:rPr>
              <w:t>处理设施出水口的水质监测，若发生出水口污水不达标等情况，应及时维修处理。同时对生产废水三级沉淀池加强监管，防止发生</w:t>
            </w:r>
            <w:r>
              <w:rPr>
                <w:rFonts w:hint="eastAsia"/>
                <w:color w:val="auto"/>
              </w:rPr>
              <w:t>长时间</w:t>
            </w:r>
            <w:r>
              <w:rPr>
                <w:color w:val="auto"/>
              </w:rPr>
              <w:t>泄露。一旦发现问题，应及时停产，排空循环水池，进行堵漏处理。本环评要求设置事故水池，体积为</w:t>
            </w:r>
            <w:r>
              <w:rPr>
                <w:rFonts w:hint="eastAsia"/>
                <w:color w:val="auto"/>
              </w:rPr>
              <w:t>35</w:t>
            </w:r>
            <w:r>
              <w:rPr>
                <w:color w:val="auto"/>
              </w:rPr>
              <w:t>m</w:t>
            </w:r>
            <w:r>
              <w:rPr>
                <w:color w:val="auto"/>
                <w:vertAlign w:val="superscript"/>
              </w:rPr>
              <w:t>3</w:t>
            </w:r>
            <w:r>
              <w:rPr>
                <w:rFonts w:hint="eastAsia"/>
                <w:color w:val="auto"/>
              </w:rPr>
              <w:t>，</w:t>
            </w:r>
            <w:r>
              <w:rPr>
                <w:color w:val="auto"/>
              </w:rPr>
              <w:t>以便存放事故</w:t>
            </w:r>
            <w:r>
              <w:rPr>
                <w:rFonts w:hint="eastAsia"/>
                <w:color w:val="auto"/>
              </w:rPr>
              <w:t>废水</w:t>
            </w:r>
            <w:r>
              <w:rPr>
                <w:color w:val="auto"/>
              </w:rPr>
              <w:t>。</w:t>
            </w:r>
          </w:p>
          <w:p>
            <w:pPr>
              <w:adjustRightInd w:val="0"/>
              <w:snapToGrid w:val="0"/>
              <w:spacing w:line="480" w:lineRule="exact"/>
              <w:ind w:firstLine="420" w:firstLineChars="200"/>
              <w:rPr>
                <w:color w:val="auto"/>
              </w:rPr>
            </w:pPr>
            <w:r>
              <w:rPr>
                <w:color w:val="auto"/>
              </w:rPr>
              <w:t>通过以上分析可以看出，本项目在确保环境风险防范措施落实</w:t>
            </w:r>
            <w:r>
              <w:rPr>
                <w:rFonts w:hint="eastAsia"/>
                <w:color w:val="auto"/>
              </w:rPr>
              <w:t>到位</w:t>
            </w:r>
            <w:r>
              <w:rPr>
                <w:color w:val="auto"/>
              </w:rPr>
              <w:t>并且加强风险管理的基础上，项目建设从环境风险的角度考虑是可行的。</w:t>
            </w:r>
          </w:p>
          <w:p>
            <w:pPr>
              <w:tabs>
                <w:tab w:val="left" w:pos="1245"/>
              </w:tabs>
              <w:spacing w:line="480" w:lineRule="exact"/>
              <w:ind w:firstLine="420" w:firstLineChars="200"/>
              <w:rPr>
                <w:color w:val="auto"/>
              </w:rPr>
            </w:pPr>
            <w:r>
              <w:rPr>
                <w:rFonts w:hint="eastAsia"/>
                <w:color w:val="auto"/>
              </w:rPr>
              <w:t>（3）事故应急预案</w:t>
            </w:r>
          </w:p>
          <w:p>
            <w:pPr>
              <w:adjustRightInd w:val="0"/>
              <w:snapToGrid w:val="0"/>
              <w:spacing w:line="480" w:lineRule="exact"/>
              <w:ind w:firstLine="420" w:firstLineChars="200"/>
              <w:rPr>
                <w:color w:val="auto"/>
              </w:rPr>
            </w:pPr>
            <w:r>
              <w:rPr>
                <w:color w:val="auto"/>
              </w:rPr>
              <w:t>针对以上分析，建设单位</w:t>
            </w:r>
            <w:r>
              <w:rPr>
                <w:rFonts w:hint="eastAsia"/>
                <w:color w:val="auto"/>
              </w:rPr>
              <w:t>应</w:t>
            </w:r>
            <w:r>
              <w:rPr>
                <w:color w:val="auto"/>
              </w:rPr>
              <w:t>建立相应的环境风险事故应急预案。应急预案所要求的基本内容可参照表4-</w:t>
            </w:r>
            <w:r>
              <w:rPr>
                <w:rFonts w:hint="eastAsia"/>
                <w:color w:val="auto"/>
              </w:rPr>
              <w:t>11</w:t>
            </w:r>
            <w:r>
              <w:rPr>
                <w:color w:val="auto"/>
              </w:rPr>
              <w:t>中的相关内容。</w:t>
            </w:r>
          </w:p>
          <w:p>
            <w:pPr>
              <w:spacing w:line="520" w:lineRule="exact"/>
              <w:jc w:val="center"/>
              <w:rPr>
                <w:b/>
                <w:bCs/>
                <w:color w:val="auto"/>
              </w:rPr>
            </w:pPr>
            <w:r>
              <w:rPr>
                <w:b/>
                <w:bCs/>
                <w:color w:val="auto"/>
              </w:rPr>
              <w:t>表4-</w:t>
            </w:r>
            <w:r>
              <w:rPr>
                <w:rFonts w:hint="eastAsia"/>
                <w:b/>
                <w:bCs/>
                <w:color w:val="auto"/>
              </w:rPr>
              <w:t>11</w:t>
            </w:r>
            <w:r>
              <w:rPr>
                <w:b/>
                <w:bCs/>
                <w:color w:val="auto"/>
              </w:rPr>
              <w:t xml:space="preserve">  </w:t>
            </w:r>
            <w:r>
              <w:rPr>
                <w:rFonts w:hint="eastAsia"/>
                <w:b/>
                <w:bCs/>
                <w:color w:val="auto"/>
                <w:lang w:val="en-US" w:eastAsia="zh-CN"/>
              </w:rPr>
              <w:t xml:space="preserve"> </w:t>
            </w:r>
            <w:r>
              <w:rPr>
                <w:b/>
                <w:bCs/>
                <w:color w:val="auto"/>
              </w:rPr>
              <w:t xml:space="preserve"> 应急预案内容</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9"/>
              <w:gridCol w:w="2918"/>
              <w:gridCol w:w="47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79" w:type="dxa"/>
                  <w:tcBorders>
                    <w:tl2br w:val="nil"/>
                    <w:tr2bl w:val="nil"/>
                  </w:tcBorders>
                  <w:vAlign w:val="center"/>
                </w:tcPr>
                <w:p>
                  <w:pPr>
                    <w:spacing w:line="360" w:lineRule="exact"/>
                    <w:jc w:val="center"/>
                    <w:rPr>
                      <w:b/>
                      <w:bCs/>
                      <w:color w:val="auto"/>
                    </w:rPr>
                  </w:pPr>
                  <w:r>
                    <w:rPr>
                      <w:b/>
                      <w:bCs/>
                      <w:color w:val="auto"/>
                    </w:rPr>
                    <w:t>序号</w:t>
                  </w:r>
                </w:p>
              </w:tc>
              <w:tc>
                <w:tcPr>
                  <w:tcW w:w="2918" w:type="dxa"/>
                  <w:tcBorders>
                    <w:tl2br w:val="nil"/>
                    <w:tr2bl w:val="nil"/>
                  </w:tcBorders>
                  <w:vAlign w:val="center"/>
                </w:tcPr>
                <w:p>
                  <w:pPr>
                    <w:spacing w:line="360" w:lineRule="exact"/>
                    <w:jc w:val="center"/>
                    <w:rPr>
                      <w:b/>
                      <w:bCs/>
                      <w:color w:val="auto"/>
                    </w:rPr>
                  </w:pPr>
                  <w:r>
                    <w:rPr>
                      <w:b/>
                      <w:bCs/>
                      <w:color w:val="auto"/>
                    </w:rPr>
                    <w:t>项目</w:t>
                  </w:r>
                </w:p>
              </w:tc>
              <w:tc>
                <w:tcPr>
                  <w:tcW w:w="4715" w:type="dxa"/>
                  <w:tcBorders>
                    <w:tl2br w:val="nil"/>
                    <w:tr2bl w:val="nil"/>
                  </w:tcBorders>
                  <w:vAlign w:val="center"/>
                </w:tcPr>
                <w:p>
                  <w:pPr>
                    <w:spacing w:line="360" w:lineRule="exact"/>
                    <w:jc w:val="center"/>
                    <w:rPr>
                      <w:b/>
                      <w:bCs/>
                      <w:color w:val="auto"/>
                    </w:rPr>
                  </w:pPr>
                  <w:r>
                    <w:rPr>
                      <w:b/>
                      <w:bCs/>
                      <w:color w:val="auto"/>
                    </w:rPr>
                    <w:t>内容及要求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79" w:type="dxa"/>
                  <w:tcBorders>
                    <w:tl2br w:val="nil"/>
                    <w:tr2bl w:val="nil"/>
                  </w:tcBorders>
                  <w:vAlign w:val="center"/>
                </w:tcPr>
                <w:p>
                  <w:pPr>
                    <w:spacing w:line="360" w:lineRule="exact"/>
                    <w:jc w:val="center"/>
                    <w:rPr>
                      <w:color w:val="auto"/>
                    </w:rPr>
                  </w:pPr>
                  <w:r>
                    <w:rPr>
                      <w:color w:val="auto"/>
                    </w:rPr>
                    <w:t>1</w:t>
                  </w:r>
                </w:p>
              </w:tc>
              <w:tc>
                <w:tcPr>
                  <w:tcW w:w="2918" w:type="dxa"/>
                  <w:tcBorders>
                    <w:tl2br w:val="nil"/>
                    <w:tr2bl w:val="nil"/>
                  </w:tcBorders>
                  <w:vAlign w:val="center"/>
                </w:tcPr>
                <w:p>
                  <w:pPr>
                    <w:spacing w:line="360" w:lineRule="exact"/>
                    <w:jc w:val="center"/>
                    <w:rPr>
                      <w:color w:val="auto"/>
                    </w:rPr>
                  </w:pPr>
                  <w:r>
                    <w:rPr>
                      <w:color w:val="auto"/>
                    </w:rPr>
                    <w:t>应急计划区</w:t>
                  </w:r>
                </w:p>
              </w:tc>
              <w:tc>
                <w:tcPr>
                  <w:tcW w:w="4715" w:type="dxa"/>
                  <w:tcBorders>
                    <w:tl2br w:val="nil"/>
                    <w:tr2bl w:val="nil"/>
                  </w:tcBorders>
                  <w:vAlign w:val="center"/>
                </w:tcPr>
                <w:p>
                  <w:pPr>
                    <w:spacing w:line="360" w:lineRule="exact"/>
                    <w:jc w:val="center"/>
                    <w:rPr>
                      <w:color w:val="auto"/>
                    </w:rPr>
                  </w:pPr>
                  <w:r>
                    <w:rPr>
                      <w:color w:val="auto"/>
                    </w:rPr>
                    <w:t>危险目标，环境保护目标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79" w:type="dxa"/>
                  <w:tcBorders>
                    <w:tl2br w:val="nil"/>
                    <w:tr2bl w:val="nil"/>
                  </w:tcBorders>
                  <w:vAlign w:val="center"/>
                </w:tcPr>
                <w:p>
                  <w:pPr>
                    <w:spacing w:line="360" w:lineRule="exact"/>
                    <w:jc w:val="center"/>
                    <w:rPr>
                      <w:color w:val="auto"/>
                    </w:rPr>
                  </w:pPr>
                  <w:r>
                    <w:rPr>
                      <w:color w:val="auto"/>
                    </w:rPr>
                    <w:t>2</w:t>
                  </w:r>
                </w:p>
              </w:tc>
              <w:tc>
                <w:tcPr>
                  <w:tcW w:w="2918" w:type="dxa"/>
                  <w:tcBorders>
                    <w:tl2br w:val="nil"/>
                    <w:tr2bl w:val="nil"/>
                  </w:tcBorders>
                  <w:vAlign w:val="center"/>
                </w:tcPr>
                <w:p>
                  <w:pPr>
                    <w:spacing w:line="360" w:lineRule="exact"/>
                    <w:jc w:val="center"/>
                    <w:rPr>
                      <w:color w:val="auto"/>
                    </w:rPr>
                  </w:pPr>
                  <w:r>
                    <w:rPr>
                      <w:color w:val="auto"/>
                    </w:rPr>
                    <w:t>应急组织机构、人员</w:t>
                  </w:r>
                </w:p>
              </w:tc>
              <w:tc>
                <w:tcPr>
                  <w:tcW w:w="4715" w:type="dxa"/>
                  <w:tcBorders>
                    <w:tl2br w:val="nil"/>
                    <w:tr2bl w:val="nil"/>
                  </w:tcBorders>
                  <w:vAlign w:val="center"/>
                </w:tcPr>
                <w:p>
                  <w:pPr>
                    <w:spacing w:line="360" w:lineRule="exact"/>
                    <w:jc w:val="center"/>
                    <w:rPr>
                      <w:color w:val="auto"/>
                    </w:rPr>
                  </w:pPr>
                  <w:r>
                    <w:rPr>
                      <w:color w:val="auto"/>
                    </w:rPr>
                    <w:t>项目区、地区应急组织机构、人员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79" w:type="dxa"/>
                  <w:tcBorders>
                    <w:tl2br w:val="nil"/>
                    <w:tr2bl w:val="nil"/>
                  </w:tcBorders>
                  <w:vAlign w:val="center"/>
                </w:tcPr>
                <w:p>
                  <w:pPr>
                    <w:spacing w:line="360" w:lineRule="exact"/>
                    <w:jc w:val="center"/>
                    <w:rPr>
                      <w:color w:val="auto"/>
                    </w:rPr>
                  </w:pPr>
                  <w:r>
                    <w:rPr>
                      <w:color w:val="auto"/>
                    </w:rPr>
                    <w:t>3</w:t>
                  </w:r>
                </w:p>
              </w:tc>
              <w:tc>
                <w:tcPr>
                  <w:tcW w:w="2918" w:type="dxa"/>
                  <w:tcBorders>
                    <w:tl2br w:val="nil"/>
                    <w:tr2bl w:val="nil"/>
                  </w:tcBorders>
                  <w:vAlign w:val="center"/>
                </w:tcPr>
                <w:p>
                  <w:pPr>
                    <w:spacing w:line="360" w:lineRule="exact"/>
                    <w:jc w:val="center"/>
                    <w:rPr>
                      <w:color w:val="auto"/>
                    </w:rPr>
                  </w:pPr>
                  <w:r>
                    <w:rPr>
                      <w:color w:val="auto"/>
                    </w:rPr>
                    <w:t>预案分级响应条件</w:t>
                  </w:r>
                </w:p>
              </w:tc>
              <w:tc>
                <w:tcPr>
                  <w:tcW w:w="4715" w:type="dxa"/>
                  <w:tcBorders>
                    <w:tl2br w:val="nil"/>
                    <w:tr2bl w:val="nil"/>
                  </w:tcBorders>
                  <w:vAlign w:val="center"/>
                </w:tcPr>
                <w:p>
                  <w:pPr>
                    <w:spacing w:line="360" w:lineRule="exact"/>
                    <w:jc w:val="center"/>
                    <w:rPr>
                      <w:color w:val="auto"/>
                    </w:rPr>
                  </w:pPr>
                  <w:r>
                    <w:rPr>
                      <w:color w:val="auto"/>
                    </w:rPr>
                    <w:t>规定预案的级别及分级响应程序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79" w:type="dxa"/>
                  <w:tcBorders>
                    <w:tl2br w:val="nil"/>
                    <w:tr2bl w:val="nil"/>
                  </w:tcBorders>
                  <w:vAlign w:val="center"/>
                </w:tcPr>
                <w:p>
                  <w:pPr>
                    <w:spacing w:line="360" w:lineRule="exact"/>
                    <w:jc w:val="center"/>
                    <w:rPr>
                      <w:color w:val="auto"/>
                    </w:rPr>
                  </w:pPr>
                  <w:r>
                    <w:rPr>
                      <w:color w:val="auto"/>
                    </w:rPr>
                    <w:t>4</w:t>
                  </w:r>
                </w:p>
              </w:tc>
              <w:tc>
                <w:tcPr>
                  <w:tcW w:w="2918" w:type="dxa"/>
                  <w:tcBorders>
                    <w:tl2br w:val="nil"/>
                    <w:tr2bl w:val="nil"/>
                  </w:tcBorders>
                  <w:vAlign w:val="center"/>
                </w:tcPr>
                <w:p>
                  <w:pPr>
                    <w:spacing w:line="360" w:lineRule="exact"/>
                    <w:jc w:val="center"/>
                    <w:rPr>
                      <w:color w:val="auto"/>
                    </w:rPr>
                  </w:pPr>
                  <w:r>
                    <w:rPr>
                      <w:color w:val="auto"/>
                    </w:rPr>
                    <w:t>应急救援保障</w:t>
                  </w:r>
                </w:p>
              </w:tc>
              <w:tc>
                <w:tcPr>
                  <w:tcW w:w="4715" w:type="dxa"/>
                  <w:tcBorders>
                    <w:tl2br w:val="nil"/>
                    <w:tr2bl w:val="nil"/>
                  </w:tcBorders>
                  <w:vAlign w:val="center"/>
                </w:tcPr>
                <w:p>
                  <w:pPr>
                    <w:spacing w:line="360" w:lineRule="exact"/>
                    <w:jc w:val="center"/>
                    <w:rPr>
                      <w:color w:val="auto"/>
                    </w:rPr>
                  </w:pPr>
                  <w:r>
                    <w:rPr>
                      <w:color w:val="auto"/>
                    </w:rPr>
                    <w:t>应急设施，设备与器材等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679" w:type="dxa"/>
                  <w:tcBorders>
                    <w:tl2br w:val="nil"/>
                    <w:tr2bl w:val="nil"/>
                  </w:tcBorders>
                  <w:vAlign w:val="center"/>
                </w:tcPr>
                <w:p>
                  <w:pPr>
                    <w:spacing w:line="360" w:lineRule="exact"/>
                    <w:jc w:val="center"/>
                    <w:rPr>
                      <w:color w:val="auto"/>
                    </w:rPr>
                  </w:pPr>
                  <w:r>
                    <w:rPr>
                      <w:color w:val="auto"/>
                    </w:rPr>
                    <w:t>5</w:t>
                  </w:r>
                </w:p>
              </w:tc>
              <w:tc>
                <w:tcPr>
                  <w:tcW w:w="2918" w:type="dxa"/>
                  <w:tcBorders>
                    <w:tl2br w:val="nil"/>
                    <w:tr2bl w:val="nil"/>
                  </w:tcBorders>
                  <w:vAlign w:val="center"/>
                </w:tcPr>
                <w:p>
                  <w:pPr>
                    <w:spacing w:line="360" w:lineRule="exact"/>
                    <w:jc w:val="center"/>
                    <w:rPr>
                      <w:color w:val="auto"/>
                    </w:rPr>
                  </w:pPr>
                  <w:r>
                    <w:rPr>
                      <w:color w:val="auto"/>
                    </w:rPr>
                    <w:t>报警、通讯联络方式</w:t>
                  </w:r>
                </w:p>
              </w:tc>
              <w:tc>
                <w:tcPr>
                  <w:tcW w:w="4715" w:type="dxa"/>
                  <w:tcBorders>
                    <w:tl2br w:val="nil"/>
                    <w:tr2bl w:val="nil"/>
                  </w:tcBorders>
                  <w:vAlign w:val="center"/>
                </w:tcPr>
                <w:p>
                  <w:pPr>
                    <w:spacing w:line="360" w:lineRule="exact"/>
                    <w:jc w:val="center"/>
                    <w:rPr>
                      <w:color w:val="auto"/>
                    </w:rPr>
                  </w:pPr>
                  <w:r>
                    <w:rPr>
                      <w:color w:val="auto"/>
                    </w:rPr>
                    <w:t>规定应急状态下的报警通讯方式、通知方式和交通保障、管制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679" w:type="dxa"/>
                  <w:tcBorders>
                    <w:tl2br w:val="nil"/>
                    <w:tr2bl w:val="nil"/>
                  </w:tcBorders>
                  <w:vAlign w:val="center"/>
                </w:tcPr>
                <w:p>
                  <w:pPr>
                    <w:spacing w:line="360" w:lineRule="exact"/>
                    <w:jc w:val="center"/>
                    <w:rPr>
                      <w:color w:val="auto"/>
                    </w:rPr>
                  </w:pPr>
                  <w:r>
                    <w:rPr>
                      <w:color w:val="auto"/>
                    </w:rPr>
                    <w:t>6</w:t>
                  </w:r>
                </w:p>
              </w:tc>
              <w:tc>
                <w:tcPr>
                  <w:tcW w:w="2918" w:type="dxa"/>
                  <w:tcBorders>
                    <w:tl2br w:val="nil"/>
                    <w:tr2bl w:val="nil"/>
                  </w:tcBorders>
                  <w:vAlign w:val="center"/>
                </w:tcPr>
                <w:p>
                  <w:pPr>
                    <w:spacing w:line="360" w:lineRule="exact"/>
                    <w:jc w:val="center"/>
                    <w:rPr>
                      <w:color w:val="auto"/>
                    </w:rPr>
                  </w:pPr>
                  <w:r>
                    <w:rPr>
                      <w:color w:val="auto"/>
                    </w:rPr>
                    <w:t>应急环境监测、抢险、救援及控制措施</w:t>
                  </w:r>
                </w:p>
              </w:tc>
              <w:tc>
                <w:tcPr>
                  <w:tcW w:w="4715" w:type="dxa"/>
                  <w:tcBorders>
                    <w:tl2br w:val="nil"/>
                    <w:tr2bl w:val="nil"/>
                  </w:tcBorders>
                  <w:vAlign w:val="center"/>
                </w:tcPr>
                <w:p>
                  <w:pPr>
                    <w:spacing w:line="360" w:lineRule="exact"/>
                    <w:jc w:val="center"/>
                    <w:rPr>
                      <w:color w:val="auto"/>
                    </w:rPr>
                  </w:pPr>
                  <w:r>
                    <w:rPr>
                      <w:color w:val="auto"/>
                    </w:rPr>
                    <w:t>由专业队伍负责对事故现场进行侦查监测，对事故性质、参数与后果进行评估，为指挥部门提供决策依据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679" w:type="dxa"/>
                  <w:tcBorders>
                    <w:tl2br w:val="nil"/>
                    <w:tr2bl w:val="nil"/>
                  </w:tcBorders>
                  <w:vAlign w:val="center"/>
                </w:tcPr>
                <w:p>
                  <w:pPr>
                    <w:spacing w:line="360" w:lineRule="exact"/>
                    <w:jc w:val="center"/>
                    <w:rPr>
                      <w:color w:val="auto"/>
                    </w:rPr>
                  </w:pPr>
                  <w:r>
                    <w:rPr>
                      <w:color w:val="auto"/>
                    </w:rPr>
                    <w:t>7</w:t>
                  </w:r>
                </w:p>
              </w:tc>
              <w:tc>
                <w:tcPr>
                  <w:tcW w:w="2918" w:type="dxa"/>
                  <w:tcBorders>
                    <w:tl2br w:val="nil"/>
                    <w:tr2bl w:val="nil"/>
                  </w:tcBorders>
                  <w:vAlign w:val="center"/>
                </w:tcPr>
                <w:p>
                  <w:pPr>
                    <w:spacing w:line="360" w:lineRule="exact"/>
                    <w:jc w:val="center"/>
                    <w:rPr>
                      <w:color w:val="auto"/>
                    </w:rPr>
                  </w:pPr>
                  <w:r>
                    <w:rPr>
                      <w:color w:val="auto"/>
                    </w:rPr>
                    <w:t>应急检测、防护措施、清除泄漏措施和器材</w:t>
                  </w:r>
                </w:p>
              </w:tc>
              <w:tc>
                <w:tcPr>
                  <w:tcW w:w="4715" w:type="dxa"/>
                  <w:tcBorders>
                    <w:tl2br w:val="nil"/>
                    <w:tr2bl w:val="nil"/>
                  </w:tcBorders>
                  <w:vAlign w:val="center"/>
                </w:tcPr>
                <w:p>
                  <w:pPr>
                    <w:spacing w:line="360" w:lineRule="exact"/>
                    <w:jc w:val="center"/>
                    <w:rPr>
                      <w:color w:val="auto"/>
                    </w:rPr>
                  </w:pPr>
                  <w:r>
                    <w:rPr>
                      <w:color w:val="auto"/>
                    </w:rPr>
                    <w:t>事故现场、临近区域、控制防火区域，控制和清除污染措施及相应设备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679" w:type="dxa"/>
                  <w:tcBorders>
                    <w:tl2br w:val="nil"/>
                    <w:tr2bl w:val="nil"/>
                  </w:tcBorders>
                  <w:vAlign w:val="center"/>
                </w:tcPr>
                <w:p>
                  <w:pPr>
                    <w:spacing w:line="360" w:lineRule="exact"/>
                    <w:jc w:val="center"/>
                    <w:rPr>
                      <w:color w:val="auto"/>
                    </w:rPr>
                  </w:pPr>
                  <w:r>
                    <w:rPr>
                      <w:color w:val="auto"/>
                    </w:rPr>
                    <w:t>8</w:t>
                  </w:r>
                </w:p>
              </w:tc>
              <w:tc>
                <w:tcPr>
                  <w:tcW w:w="2918" w:type="dxa"/>
                  <w:tcBorders>
                    <w:tl2br w:val="nil"/>
                    <w:tr2bl w:val="nil"/>
                  </w:tcBorders>
                  <w:vAlign w:val="center"/>
                </w:tcPr>
                <w:p>
                  <w:pPr>
                    <w:spacing w:line="360" w:lineRule="exact"/>
                    <w:jc w:val="center"/>
                    <w:rPr>
                      <w:color w:val="auto"/>
                    </w:rPr>
                  </w:pPr>
                  <w:r>
                    <w:rPr>
                      <w:color w:val="auto"/>
                    </w:rPr>
                    <w:t>人员紧急撤离、疏散，应急剂量控制、撤离组织计划</w:t>
                  </w:r>
                </w:p>
              </w:tc>
              <w:tc>
                <w:tcPr>
                  <w:tcW w:w="4715" w:type="dxa"/>
                  <w:tcBorders>
                    <w:tl2br w:val="nil"/>
                    <w:tr2bl w:val="nil"/>
                  </w:tcBorders>
                  <w:vAlign w:val="center"/>
                </w:tcPr>
                <w:p>
                  <w:pPr>
                    <w:spacing w:line="360" w:lineRule="exact"/>
                    <w:jc w:val="center"/>
                    <w:rPr>
                      <w:color w:val="auto"/>
                    </w:rPr>
                  </w:pPr>
                  <w:r>
                    <w:rPr>
                      <w:color w:val="auto"/>
                    </w:rPr>
                    <w:t>事故现场、受事故影响的区域人员及公众对毒物应急剂量控制规定，撤离组织计划及救护，医疗救护与公众健康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679" w:type="dxa"/>
                  <w:tcBorders>
                    <w:tl2br w:val="nil"/>
                    <w:tr2bl w:val="nil"/>
                  </w:tcBorders>
                  <w:vAlign w:val="center"/>
                </w:tcPr>
                <w:p>
                  <w:pPr>
                    <w:spacing w:line="360" w:lineRule="exact"/>
                    <w:jc w:val="center"/>
                    <w:rPr>
                      <w:color w:val="auto"/>
                    </w:rPr>
                  </w:pPr>
                  <w:r>
                    <w:rPr>
                      <w:color w:val="auto"/>
                    </w:rPr>
                    <w:t>9</w:t>
                  </w:r>
                </w:p>
              </w:tc>
              <w:tc>
                <w:tcPr>
                  <w:tcW w:w="2918" w:type="dxa"/>
                  <w:tcBorders>
                    <w:tl2br w:val="nil"/>
                    <w:tr2bl w:val="nil"/>
                  </w:tcBorders>
                  <w:vAlign w:val="center"/>
                </w:tcPr>
                <w:p>
                  <w:pPr>
                    <w:spacing w:line="360" w:lineRule="exact"/>
                    <w:jc w:val="center"/>
                    <w:rPr>
                      <w:color w:val="auto"/>
                    </w:rPr>
                  </w:pPr>
                  <w:r>
                    <w:rPr>
                      <w:color w:val="auto"/>
                    </w:rPr>
                    <w:t>事故应急救援关闭程序与恢复措施</w:t>
                  </w:r>
                </w:p>
              </w:tc>
              <w:tc>
                <w:tcPr>
                  <w:tcW w:w="4715" w:type="dxa"/>
                  <w:tcBorders>
                    <w:tl2br w:val="nil"/>
                    <w:tr2bl w:val="nil"/>
                  </w:tcBorders>
                  <w:vAlign w:val="center"/>
                </w:tcPr>
                <w:p>
                  <w:pPr>
                    <w:spacing w:line="360" w:lineRule="exact"/>
                    <w:jc w:val="center"/>
                    <w:rPr>
                      <w:color w:val="auto"/>
                    </w:rPr>
                  </w:pPr>
                  <w:r>
                    <w:rPr>
                      <w:color w:val="auto"/>
                    </w:rPr>
                    <w:t>规定应急状态终止程序</w:t>
                  </w:r>
                </w:p>
                <w:p>
                  <w:pPr>
                    <w:spacing w:line="360" w:lineRule="exact"/>
                    <w:jc w:val="center"/>
                    <w:rPr>
                      <w:color w:val="auto"/>
                    </w:rPr>
                  </w:pPr>
                  <w:r>
                    <w:rPr>
                      <w:color w:val="auto"/>
                    </w:rPr>
                    <w:t>事故现场上后处理，恢复措施</w:t>
                  </w:r>
                </w:p>
                <w:p>
                  <w:pPr>
                    <w:spacing w:line="360" w:lineRule="exact"/>
                    <w:jc w:val="center"/>
                    <w:rPr>
                      <w:color w:val="auto"/>
                    </w:rPr>
                  </w:pPr>
                  <w:r>
                    <w:rPr>
                      <w:color w:val="auto"/>
                    </w:rPr>
                    <w:t>临近区域解除事故警戒及善后恢复措施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79" w:type="dxa"/>
                  <w:tcBorders>
                    <w:tl2br w:val="nil"/>
                    <w:tr2bl w:val="nil"/>
                  </w:tcBorders>
                  <w:vAlign w:val="center"/>
                </w:tcPr>
                <w:p>
                  <w:pPr>
                    <w:spacing w:line="360" w:lineRule="exact"/>
                    <w:jc w:val="center"/>
                    <w:rPr>
                      <w:color w:val="auto"/>
                    </w:rPr>
                  </w:pPr>
                  <w:r>
                    <w:rPr>
                      <w:color w:val="auto"/>
                    </w:rPr>
                    <w:t>10</w:t>
                  </w:r>
                </w:p>
              </w:tc>
              <w:tc>
                <w:tcPr>
                  <w:tcW w:w="2918" w:type="dxa"/>
                  <w:tcBorders>
                    <w:tl2br w:val="nil"/>
                    <w:tr2bl w:val="nil"/>
                  </w:tcBorders>
                  <w:vAlign w:val="center"/>
                </w:tcPr>
                <w:p>
                  <w:pPr>
                    <w:spacing w:line="360" w:lineRule="exact"/>
                    <w:jc w:val="center"/>
                    <w:rPr>
                      <w:color w:val="auto"/>
                    </w:rPr>
                  </w:pPr>
                  <w:r>
                    <w:rPr>
                      <w:color w:val="auto"/>
                    </w:rPr>
                    <w:t>应急培训计划</w:t>
                  </w:r>
                </w:p>
              </w:tc>
              <w:tc>
                <w:tcPr>
                  <w:tcW w:w="4715" w:type="dxa"/>
                  <w:tcBorders>
                    <w:tl2br w:val="nil"/>
                    <w:tr2bl w:val="nil"/>
                  </w:tcBorders>
                  <w:vAlign w:val="center"/>
                </w:tcPr>
                <w:p>
                  <w:pPr>
                    <w:spacing w:line="360" w:lineRule="exact"/>
                    <w:jc w:val="center"/>
                    <w:rPr>
                      <w:color w:val="auto"/>
                    </w:rPr>
                  </w:pPr>
                  <w:r>
                    <w:rPr>
                      <w:color w:val="auto"/>
                    </w:rPr>
                    <w:t>应急计划制定后，平时安排人员培训与演练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679" w:type="dxa"/>
                  <w:tcBorders>
                    <w:tl2br w:val="nil"/>
                    <w:tr2bl w:val="nil"/>
                  </w:tcBorders>
                  <w:vAlign w:val="center"/>
                </w:tcPr>
                <w:p>
                  <w:pPr>
                    <w:spacing w:line="360" w:lineRule="exact"/>
                    <w:jc w:val="center"/>
                    <w:rPr>
                      <w:color w:val="auto"/>
                    </w:rPr>
                  </w:pPr>
                  <w:r>
                    <w:rPr>
                      <w:color w:val="auto"/>
                    </w:rPr>
                    <w:t>11</w:t>
                  </w:r>
                </w:p>
              </w:tc>
              <w:tc>
                <w:tcPr>
                  <w:tcW w:w="2918" w:type="dxa"/>
                  <w:tcBorders>
                    <w:tl2br w:val="nil"/>
                    <w:tr2bl w:val="nil"/>
                  </w:tcBorders>
                  <w:vAlign w:val="center"/>
                </w:tcPr>
                <w:p>
                  <w:pPr>
                    <w:spacing w:line="360" w:lineRule="exact"/>
                    <w:jc w:val="center"/>
                    <w:rPr>
                      <w:color w:val="auto"/>
                    </w:rPr>
                  </w:pPr>
                  <w:r>
                    <w:rPr>
                      <w:color w:val="auto"/>
                    </w:rPr>
                    <w:t>公众教育和信息</w:t>
                  </w:r>
                </w:p>
              </w:tc>
              <w:tc>
                <w:tcPr>
                  <w:tcW w:w="4715" w:type="dxa"/>
                  <w:tcBorders>
                    <w:tl2br w:val="nil"/>
                    <w:tr2bl w:val="nil"/>
                  </w:tcBorders>
                  <w:vAlign w:val="center"/>
                </w:tcPr>
                <w:p>
                  <w:pPr>
                    <w:spacing w:line="360" w:lineRule="exact"/>
                    <w:jc w:val="center"/>
                    <w:rPr>
                      <w:color w:val="auto"/>
                    </w:rPr>
                  </w:pPr>
                  <w:r>
                    <w:rPr>
                      <w:color w:val="auto"/>
                    </w:rPr>
                    <w:t>对项目区临近地区开展公众教育、培训和发布有关信息</w:t>
                  </w:r>
                </w:p>
              </w:tc>
            </w:tr>
          </w:tbl>
          <w:p>
            <w:pPr>
              <w:spacing w:line="480" w:lineRule="exact"/>
              <w:ind w:firstLine="422" w:firstLineChars="200"/>
              <w:textAlignment w:val="baseline"/>
              <w:rPr>
                <w:b/>
                <w:bCs/>
                <w:color w:val="auto"/>
              </w:rPr>
            </w:pPr>
            <w:r>
              <w:rPr>
                <w:rFonts w:hint="eastAsia"/>
                <w:b/>
                <w:bCs/>
                <w:color w:val="auto"/>
              </w:rPr>
              <w:t>4.8</w:t>
            </w:r>
            <w:r>
              <w:rPr>
                <w:b/>
                <w:bCs/>
                <w:color w:val="auto"/>
              </w:rPr>
              <w:t>环保投资</w:t>
            </w:r>
          </w:p>
          <w:p>
            <w:pPr>
              <w:snapToGrid w:val="0"/>
              <w:spacing w:line="480" w:lineRule="exact"/>
              <w:ind w:firstLine="420" w:firstLineChars="200"/>
              <w:rPr>
                <w:color w:val="auto"/>
              </w:rPr>
            </w:pPr>
            <w:r>
              <w:rPr>
                <w:color w:val="auto"/>
              </w:rPr>
              <w:t>本项目总投资为</w:t>
            </w:r>
            <w:r>
              <w:rPr>
                <w:rFonts w:hint="eastAsia"/>
                <w:color w:val="auto"/>
              </w:rPr>
              <w:t>5009.87</w:t>
            </w:r>
            <w:r>
              <w:rPr>
                <w:color w:val="auto"/>
              </w:rPr>
              <w:t>万元，环保投资</w:t>
            </w:r>
            <w:r>
              <w:rPr>
                <w:rFonts w:hint="eastAsia"/>
                <w:color w:val="auto"/>
                <w:lang w:val="en-US" w:eastAsia="zh-CN"/>
              </w:rPr>
              <w:t>560</w:t>
            </w:r>
            <w:r>
              <w:rPr>
                <w:color w:val="auto"/>
              </w:rPr>
              <w:t>万元，环保投资占总投资的</w:t>
            </w:r>
            <w:r>
              <w:rPr>
                <w:rFonts w:hint="eastAsia"/>
                <w:color w:val="auto"/>
                <w:lang w:val="en-US" w:eastAsia="zh-CN"/>
              </w:rPr>
              <w:t>11.18</w:t>
            </w:r>
            <w:r>
              <w:rPr>
                <w:color w:val="auto"/>
              </w:rPr>
              <w:t>%。环保投资见表</w:t>
            </w:r>
            <w:r>
              <w:rPr>
                <w:rFonts w:hint="eastAsia"/>
                <w:color w:val="auto"/>
              </w:rPr>
              <w:t>4-12</w:t>
            </w:r>
            <w:r>
              <w:rPr>
                <w:color w:val="auto"/>
              </w:rPr>
              <w:t>。</w:t>
            </w:r>
          </w:p>
          <w:p>
            <w:pPr>
              <w:spacing w:before="120" w:beforeLines="50"/>
              <w:jc w:val="center"/>
              <w:rPr>
                <w:b/>
                <w:bCs/>
                <w:color w:val="auto"/>
              </w:rPr>
            </w:pPr>
            <w:r>
              <w:rPr>
                <w:b/>
                <w:bCs/>
                <w:color w:val="auto"/>
              </w:rPr>
              <w:t>表</w:t>
            </w:r>
            <w:r>
              <w:rPr>
                <w:rFonts w:hint="eastAsia"/>
                <w:b/>
                <w:bCs/>
                <w:color w:val="auto"/>
              </w:rPr>
              <w:t>4-12</w:t>
            </w:r>
            <w:r>
              <w:rPr>
                <w:b/>
                <w:bCs/>
                <w:color w:val="auto"/>
              </w:rPr>
              <w:t xml:space="preserve">    环保投资一览表</w:t>
            </w:r>
          </w:p>
          <w:tbl>
            <w:tblPr>
              <w:tblStyle w:val="22"/>
              <w:tblW w:w="828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7"/>
              <w:gridCol w:w="1392"/>
              <w:gridCol w:w="117"/>
              <w:gridCol w:w="3897"/>
              <w:gridCol w:w="20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837" w:type="dxa"/>
                  <w:tcBorders>
                    <w:tl2br w:val="nil"/>
                    <w:tr2bl w:val="nil"/>
                  </w:tcBorders>
                  <w:tcMar>
                    <w:top w:w="0" w:type="dxa"/>
                    <w:left w:w="0" w:type="dxa"/>
                    <w:bottom w:w="0" w:type="dxa"/>
                    <w:right w:w="0" w:type="dxa"/>
                  </w:tcMar>
                  <w:vAlign w:val="center"/>
                </w:tcPr>
                <w:p>
                  <w:pPr>
                    <w:spacing w:before="24" w:beforeLines="10" w:after="24" w:afterLines="10" w:line="360" w:lineRule="exact"/>
                    <w:jc w:val="center"/>
                    <w:rPr>
                      <w:b/>
                      <w:bCs/>
                      <w:color w:val="auto"/>
                    </w:rPr>
                  </w:pPr>
                  <w:r>
                    <w:rPr>
                      <w:b/>
                      <w:bCs/>
                      <w:color w:val="auto"/>
                    </w:rPr>
                    <w:t>污染源</w:t>
                  </w:r>
                </w:p>
              </w:tc>
              <w:tc>
                <w:tcPr>
                  <w:tcW w:w="5406" w:type="dxa"/>
                  <w:gridSpan w:val="3"/>
                  <w:tcBorders>
                    <w:tl2br w:val="nil"/>
                    <w:tr2bl w:val="nil"/>
                  </w:tcBorders>
                  <w:vAlign w:val="center"/>
                </w:tcPr>
                <w:p>
                  <w:pPr>
                    <w:spacing w:before="24" w:beforeLines="10" w:after="24" w:afterLines="10" w:line="360" w:lineRule="exact"/>
                    <w:jc w:val="center"/>
                    <w:rPr>
                      <w:b/>
                      <w:bCs/>
                      <w:color w:val="auto"/>
                    </w:rPr>
                  </w:pPr>
                  <w:r>
                    <w:rPr>
                      <w:b/>
                      <w:bCs/>
                      <w:color w:val="auto"/>
                    </w:rPr>
                    <w:t>环保设施名称</w:t>
                  </w:r>
                </w:p>
              </w:tc>
              <w:tc>
                <w:tcPr>
                  <w:tcW w:w="2039" w:type="dxa"/>
                  <w:tcBorders>
                    <w:tl2br w:val="nil"/>
                    <w:tr2bl w:val="nil"/>
                  </w:tcBorders>
                  <w:vAlign w:val="center"/>
                </w:tcPr>
                <w:p>
                  <w:pPr>
                    <w:spacing w:before="24" w:beforeLines="10" w:after="24" w:afterLines="10" w:line="360" w:lineRule="exact"/>
                    <w:jc w:val="center"/>
                    <w:rPr>
                      <w:b/>
                      <w:bCs/>
                      <w:color w:val="auto"/>
                    </w:rPr>
                  </w:pPr>
                  <w:r>
                    <w:rPr>
                      <w:b/>
                      <w:bCs/>
                      <w:color w:val="auto"/>
                    </w:rPr>
                    <w:t>环保投资（万元）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blHeader/>
                <w:jc w:val="center"/>
              </w:trPr>
              <w:tc>
                <w:tcPr>
                  <w:tcW w:w="837" w:type="dxa"/>
                  <w:vMerge w:val="restart"/>
                  <w:tcBorders>
                    <w:tl2br w:val="nil"/>
                    <w:tr2bl w:val="nil"/>
                  </w:tcBorders>
                  <w:tcMar>
                    <w:top w:w="0" w:type="dxa"/>
                    <w:left w:w="0" w:type="dxa"/>
                    <w:bottom w:w="0" w:type="dxa"/>
                    <w:right w:w="0" w:type="dxa"/>
                  </w:tcMar>
                  <w:vAlign w:val="center"/>
                </w:tcPr>
                <w:p>
                  <w:pPr>
                    <w:spacing w:before="24" w:beforeLines="10" w:after="24" w:afterLines="10" w:line="360" w:lineRule="exact"/>
                    <w:jc w:val="center"/>
                    <w:rPr>
                      <w:color w:val="auto"/>
                    </w:rPr>
                  </w:pPr>
                  <w:r>
                    <w:rPr>
                      <w:color w:val="auto"/>
                    </w:rPr>
                    <w:t>废气</w:t>
                  </w:r>
                </w:p>
              </w:tc>
              <w:tc>
                <w:tcPr>
                  <w:tcW w:w="1392" w:type="dxa"/>
                  <w:tcBorders>
                    <w:tl2br w:val="nil"/>
                    <w:tr2bl w:val="nil"/>
                  </w:tcBorders>
                  <w:vAlign w:val="center"/>
                </w:tcPr>
                <w:p>
                  <w:pPr>
                    <w:spacing w:before="24" w:beforeLines="10" w:after="24" w:afterLines="10" w:line="360" w:lineRule="exact"/>
                    <w:jc w:val="center"/>
                    <w:rPr>
                      <w:color w:val="auto"/>
                    </w:rPr>
                  </w:pPr>
                  <w:r>
                    <w:rPr>
                      <w:rFonts w:hint="eastAsia"/>
                      <w:color w:val="auto"/>
                    </w:rPr>
                    <w:t>炉渣破碎筛分</w:t>
                  </w:r>
                  <w:r>
                    <w:rPr>
                      <w:color w:val="auto"/>
                    </w:rPr>
                    <w:t>粉尘</w:t>
                  </w:r>
                </w:p>
              </w:tc>
              <w:tc>
                <w:tcPr>
                  <w:tcW w:w="4014" w:type="dxa"/>
                  <w:gridSpan w:val="2"/>
                  <w:tcBorders>
                    <w:tl2br w:val="nil"/>
                    <w:tr2bl w:val="nil"/>
                  </w:tcBorders>
                  <w:vAlign w:val="center"/>
                </w:tcPr>
                <w:p>
                  <w:pPr>
                    <w:spacing w:before="24" w:beforeLines="10" w:after="24" w:afterLines="10" w:line="360" w:lineRule="exact"/>
                    <w:jc w:val="center"/>
                    <w:rPr>
                      <w:color w:val="auto"/>
                    </w:rPr>
                  </w:pPr>
                  <w:r>
                    <w:rPr>
                      <w:color w:val="auto"/>
                    </w:rPr>
                    <w:t>集气罩+布袋除尘器+15m高排气筒</w:t>
                  </w:r>
                </w:p>
              </w:tc>
              <w:tc>
                <w:tcPr>
                  <w:tcW w:w="2039" w:type="dxa"/>
                  <w:tcBorders>
                    <w:tl2br w:val="nil"/>
                    <w:tr2bl w:val="nil"/>
                  </w:tcBorders>
                  <w:vAlign w:val="center"/>
                </w:tcPr>
                <w:p>
                  <w:pPr>
                    <w:spacing w:before="24" w:beforeLines="10" w:after="24" w:afterLines="10" w:line="360" w:lineRule="exact"/>
                    <w:jc w:val="center"/>
                    <w:rPr>
                      <w:color w:val="auto"/>
                    </w:rPr>
                  </w:pPr>
                  <w:r>
                    <w:rPr>
                      <w:color w:val="auto"/>
                    </w:rPr>
                    <w:t>1</w:t>
                  </w:r>
                  <w:r>
                    <w:rPr>
                      <w:rFonts w:hint="eastAsia"/>
                      <w:color w:val="auto"/>
                    </w:rPr>
                    <w:t>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blHeader/>
                <w:jc w:val="center"/>
              </w:trPr>
              <w:tc>
                <w:tcPr>
                  <w:tcW w:w="837" w:type="dxa"/>
                  <w:vMerge w:val="continue"/>
                  <w:tcBorders>
                    <w:tl2br w:val="nil"/>
                    <w:tr2bl w:val="nil"/>
                  </w:tcBorders>
                  <w:tcMar>
                    <w:top w:w="0" w:type="dxa"/>
                    <w:left w:w="0" w:type="dxa"/>
                    <w:bottom w:w="0" w:type="dxa"/>
                    <w:right w:w="0" w:type="dxa"/>
                  </w:tcMar>
                  <w:vAlign w:val="center"/>
                </w:tcPr>
                <w:p>
                  <w:pPr>
                    <w:spacing w:before="24" w:beforeLines="10" w:after="24" w:afterLines="10" w:line="360" w:lineRule="exact"/>
                    <w:jc w:val="center"/>
                    <w:rPr>
                      <w:color w:val="auto"/>
                    </w:rPr>
                  </w:pPr>
                </w:p>
              </w:tc>
              <w:tc>
                <w:tcPr>
                  <w:tcW w:w="1392" w:type="dxa"/>
                  <w:tcBorders>
                    <w:tl2br w:val="nil"/>
                    <w:tr2bl w:val="nil"/>
                  </w:tcBorders>
                  <w:vAlign w:val="center"/>
                </w:tcPr>
                <w:p>
                  <w:pPr>
                    <w:spacing w:before="24" w:beforeLines="10" w:after="24" w:afterLines="10" w:line="360" w:lineRule="exact"/>
                    <w:jc w:val="center"/>
                    <w:rPr>
                      <w:rFonts w:hint="eastAsia"/>
                      <w:color w:val="auto"/>
                      <w:lang w:eastAsia="zh-CN"/>
                    </w:rPr>
                  </w:pPr>
                  <w:r>
                    <w:rPr>
                      <w:rFonts w:hint="eastAsia"/>
                      <w:color w:val="auto"/>
                      <w:lang w:eastAsia="zh-CN"/>
                    </w:rPr>
                    <w:t>水泥筒仓</w:t>
                  </w:r>
                </w:p>
              </w:tc>
              <w:tc>
                <w:tcPr>
                  <w:tcW w:w="4014" w:type="dxa"/>
                  <w:gridSpan w:val="2"/>
                  <w:tcBorders>
                    <w:tl2br w:val="nil"/>
                    <w:tr2bl w:val="nil"/>
                  </w:tcBorders>
                  <w:vAlign w:val="center"/>
                </w:tcPr>
                <w:p>
                  <w:pPr>
                    <w:spacing w:before="24" w:beforeLines="10" w:after="24" w:afterLines="10" w:line="360" w:lineRule="exact"/>
                    <w:jc w:val="center"/>
                    <w:rPr>
                      <w:rFonts w:hint="eastAsia"/>
                      <w:color w:val="auto"/>
                      <w:lang w:eastAsia="zh-CN"/>
                    </w:rPr>
                  </w:pPr>
                  <w:r>
                    <w:rPr>
                      <w:color w:val="auto"/>
                      <w:lang w:val="en-US"/>
                    </w:rPr>
                    <w:t>仓顶滤筒式除尘设施，除尘效率约为99.7%</w:t>
                  </w:r>
                </w:p>
              </w:tc>
              <w:tc>
                <w:tcPr>
                  <w:tcW w:w="2039" w:type="dxa"/>
                  <w:tcBorders>
                    <w:tl2br w:val="nil"/>
                    <w:tr2bl w:val="nil"/>
                  </w:tcBorders>
                  <w:vAlign w:val="center"/>
                </w:tcPr>
                <w:p>
                  <w:pPr>
                    <w:spacing w:before="24" w:beforeLines="10" w:after="24" w:afterLines="10" w:line="360" w:lineRule="exact"/>
                    <w:jc w:val="center"/>
                    <w:rPr>
                      <w:rFonts w:hint="default"/>
                      <w:color w:val="auto"/>
                      <w:lang w:val="en-US" w:eastAsia="zh-CN"/>
                    </w:rPr>
                  </w:pPr>
                  <w:r>
                    <w:rPr>
                      <w:rFonts w:hint="eastAsia"/>
                      <w:color w:val="auto"/>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837" w:type="dxa"/>
                  <w:vMerge w:val="continue"/>
                  <w:tcBorders>
                    <w:tl2br w:val="nil"/>
                    <w:tr2bl w:val="nil"/>
                  </w:tcBorders>
                  <w:tcMar>
                    <w:top w:w="0" w:type="dxa"/>
                    <w:left w:w="0" w:type="dxa"/>
                    <w:bottom w:w="0" w:type="dxa"/>
                    <w:right w:w="0" w:type="dxa"/>
                  </w:tcMar>
                  <w:vAlign w:val="center"/>
                </w:tcPr>
                <w:p>
                  <w:pPr>
                    <w:spacing w:before="24" w:beforeLines="10" w:after="24" w:afterLines="10" w:line="360" w:lineRule="exact"/>
                    <w:jc w:val="center"/>
                    <w:rPr>
                      <w:color w:val="auto"/>
                    </w:rPr>
                  </w:pPr>
                </w:p>
              </w:tc>
              <w:tc>
                <w:tcPr>
                  <w:tcW w:w="5406" w:type="dxa"/>
                  <w:gridSpan w:val="3"/>
                  <w:tcBorders>
                    <w:tl2br w:val="nil"/>
                    <w:tr2bl w:val="nil"/>
                  </w:tcBorders>
                  <w:vAlign w:val="center"/>
                </w:tcPr>
                <w:p>
                  <w:pPr>
                    <w:spacing w:before="24" w:beforeLines="10" w:after="24" w:afterLines="10" w:line="360" w:lineRule="exact"/>
                    <w:jc w:val="center"/>
                    <w:rPr>
                      <w:color w:val="auto"/>
                    </w:rPr>
                  </w:pPr>
                  <w:r>
                    <w:rPr>
                      <w:color w:val="auto"/>
                    </w:rPr>
                    <w:t>洒水降尘、车辆冲洗</w:t>
                  </w:r>
                </w:p>
              </w:tc>
              <w:tc>
                <w:tcPr>
                  <w:tcW w:w="2039" w:type="dxa"/>
                  <w:tcBorders>
                    <w:tl2br w:val="nil"/>
                    <w:tr2bl w:val="nil"/>
                  </w:tcBorders>
                  <w:vAlign w:val="center"/>
                </w:tcPr>
                <w:p>
                  <w:pPr>
                    <w:spacing w:before="24" w:beforeLines="10" w:after="24" w:afterLines="10" w:line="360" w:lineRule="exact"/>
                    <w:jc w:val="center"/>
                    <w:rPr>
                      <w:color w:val="auto"/>
                    </w:rPr>
                  </w:pPr>
                  <w:r>
                    <w:rPr>
                      <w:rFonts w:hint="eastAsia"/>
                      <w:color w:val="auto"/>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837" w:type="dxa"/>
                  <w:tcBorders>
                    <w:tl2br w:val="nil"/>
                    <w:tr2bl w:val="nil"/>
                  </w:tcBorders>
                  <w:tcMar>
                    <w:top w:w="0" w:type="dxa"/>
                    <w:left w:w="0" w:type="dxa"/>
                    <w:bottom w:w="0" w:type="dxa"/>
                    <w:right w:w="0" w:type="dxa"/>
                  </w:tcMar>
                  <w:vAlign w:val="center"/>
                </w:tcPr>
                <w:p>
                  <w:pPr>
                    <w:spacing w:before="24" w:beforeLines="10" w:after="24" w:afterLines="10" w:line="360" w:lineRule="exact"/>
                    <w:jc w:val="center"/>
                    <w:rPr>
                      <w:color w:val="auto"/>
                    </w:rPr>
                  </w:pPr>
                  <w:r>
                    <w:rPr>
                      <w:color w:val="auto"/>
                    </w:rPr>
                    <w:t>噪声</w:t>
                  </w:r>
                </w:p>
              </w:tc>
              <w:tc>
                <w:tcPr>
                  <w:tcW w:w="1509" w:type="dxa"/>
                  <w:gridSpan w:val="2"/>
                  <w:tcBorders>
                    <w:tl2br w:val="nil"/>
                    <w:tr2bl w:val="nil"/>
                  </w:tcBorders>
                  <w:vAlign w:val="center"/>
                </w:tcPr>
                <w:p>
                  <w:pPr>
                    <w:spacing w:before="24" w:beforeLines="10" w:after="24" w:afterLines="10" w:line="360" w:lineRule="exact"/>
                    <w:jc w:val="center"/>
                    <w:rPr>
                      <w:color w:val="auto"/>
                    </w:rPr>
                  </w:pPr>
                  <w:r>
                    <w:rPr>
                      <w:color w:val="auto"/>
                    </w:rPr>
                    <w:t>隔声、减震</w:t>
                  </w:r>
                </w:p>
              </w:tc>
              <w:tc>
                <w:tcPr>
                  <w:tcW w:w="3897" w:type="dxa"/>
                  <w:tcBorders>
                    <w:tl2br w:val="nil"/>
                    <w:tr2bl w:val="nil"/>
                  </w:tcBorders>
                  <w:vAlign w:val="center"/>
                </w:tcPr>
                <w:p>
                  <w:pPr>
                    <w:spacing w:before="24" w:beforeLines="10" w:after="24" w:afterLines="10" w:line="360" w:lineRule="exact"/>
                    <w:jc w:val="center"/>
                    <w:rPr>
                      <w:color w:val="auto"/>
                    </w:rPr>
                  </w:pPr>
                  <w:r>
                    <w:rPr>
                      <w:color w:val="auto"/>
                    </w:rPr>
                    <w:t>隔声设备，减振装置，设置减速慢行标志标牌，隔声屏障</w:t>
                  </w:r>
                </w:p>
              </w:tc>
              <w:tc>
                <w:tcPr>
                  <w:tcW w:w="2039" w:type="dxa"/>
                  <w:tcBorders>
                    <w:tl2br w:val="nil"/>
                    <w:tr2bl w:val="nil"/>
                  </w:tcBorders>
                  <w:vAlign w:val="center"/>
                </w:tcPr>
                <w:p>
                  <w:pPr>
                    <w:spacing w:before="24" w:beforeLines="10" w:after="24" w:afterLines="10" w:line="360" w:lineRule="exact"/>
                    <w:jc w:val="center"/>
                    <w:rPr>
                      <w:color w:val="auto"/>
                    </w:rPr>
                  </w:pPr>
                  <w:r>
                    <w:rPr>
                      <w:color w:val="auto"/>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837" w:type="dxa"/>
                  <w:vMerge w:val="restart"/>
                  <w:tcBorders>
                    <w:tl2br w:val="nil"/>
                    <w:tr2bl w:val="nil"/>
                  </w:tcBorders>
                  <w:tcMar>
                    <w:top w:w="0" w:type="dxa"/>
                    <w:left w:w="0" w:type="dxa"/>
                    <w:bottom w:w="0" w:type="dxa"/>
                    <w:right w:w="0" w:type="dxa"/>
                  </w:tcMar>
                  <w:vAlign w:val="center"/>
                </w:tcPr>
                <w:p>
                  <w:pPr>
                    <w:spacing w:before="24" w:beforeLines="10" w:after="24" w:afterLines="10" w:line="360" w:lineRule="exact"/>
                    <w:jc w:val="center"/>
                    <w:rPr>
                      <w:color w:val="auto"/>
                    </w:rPr>
                  </w:pPr>
                  <w:r>
                    <w:rPr>
                      <w:color w:val="auto"/>
                    </w:rPr>
                    <w:t>废水</w:t>
                  </w:r>
                </w:p>
              </w:tc>
              <w:tc>
                <w:tcPr>
                  <w:tcW w:w="1509" w:type="dxa"/>
                  <w:gridSpan w:val="2"/>
                  <w:tcBorders>
                    <w:tl2br w:val="nil"/>
                    <w:tr2bl w:val="nil"/>
                  </w:tcBorders>
                  <w:vAlign w:val="center"/>
                </w:tcPr>
                <w:p>
                  <w:pPr>
                    <w:spacing w:before="24" w:beforeLines="10" w:after="24" w:afterLines="10" w:line="360" w:lineRule="exact"/>
                    <w:jc w:val="center"/>
                    <w:rPr>
                      <w:color w:val="auto"/>
                    </w:rPr>
                  </w:pPr>
                  <w:r>
                    <w:rPr>
                      <w:color w:val="auto"/>
                    </w:rPr>
                    <w:t>生产废水</w:t>
                  </w:r>
                </w:p>
              </w:tc>
              <w:tc>
                <w:tcPr>
                  <w:tcW w:w="3897" w:type="dxa"/>
                  <w:tcBorders>
                    <w:tl2br w:val="nil"/>
                    <w:tr2bl w:val="nil"/>
                  </w:tcBorders>
                  <w:vAlign w:val="center"/>
                </w:tcPr>
                <w:p>
                  <w:pPr>
                    <w:spacing w:before="24" w:beforeLines="10" w:after="24" w:afterLines="10" w:line="360" w:lineRule="exact"/>
                    <w:jc w:val="center"/>
                    <w:rPr>
                      <w:color w:val="auto"/>
                    </w:rPr>
                  </w:pPr>
                  <w:r>
                    <w:rPr>
                      <w:rFonts w:hint="eastAsia"/>
                      <w:color w:val="FF0000"/>
                      <w:lang w:val="en-US" w:eastAsia="zh-CN"/>
                    </w:rPr>
                    <w:t>300m</w:t>
                  </w:r>
                  <w:r>
                    <w:rPr>
                      <w:rFonts w:hint="eastAsia"/>
                      <w:color w:val="FF0000"/>
                      <w:vertAlign w:val="superscript"/>
                      <w:lang w:val="en-US" w:eastAsia="zh-CN"/>
                    </w:rPr>
                    <w:t>3</w:t>
                  </w:r>
                  <w:r>
                    <w:rPr>
                      <w:color w:val="auto"/>
                    </w:rPr>
                    <w:t>三级沉淀池</w:t>
                  </w:r>
                </w:p>
              </w:tc>
              <w:tc>
                <w:tcPr>
                  <w:tcW w:w="2039" w:type="dxa"/>
                  <w:tcBorders>
                    <w:tl2br w:val="nil"/>
                    <w:tr2bl w:val="nil"/>
                  </w:tcBorders>
                  <w:vAlign w:val="center"/>
                </w:tcPr>
                <w:p>
                  <w:pPr>
                    <w:spacing w:before="24" w:beforeLines="10" w:after="24" w:afterLines="10" w:line="360" w:lineRule="exact"/>
                    <w:jc w:val="center"/>
                    <w:rPr>
                      <w:rFonts w:hint="default"/>
                      <w:color w:val="auto"/>
                      <w:lang w:val="en-US" w:eastAsia="zh-CN"/>
                    </w:rPr>
                  </w:pPr>
                  <w:r>
                    <w:rPr>
                      <w:rFonts w:hint="eastAsia"/>
                      <w:color w:val="auto"/>
                      <w:lang w:val="en-US" w:eastAsia="zh-CN"/>
                    </w:rPr>
                    <w:t>260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837" w:type="dxa"/>
                  <w:vMerge w:val="continue"/>
                  <w:tcBorders>
                    <w:tl2br w:val="nil"/>
                    <w:tr2bl w:val="nil"/>
                  </w:tcBorders>
                  <w:tcMar>
                    <w:top w:w="0" w:type="dxa"/>
                    <w:left w:w="0" w:type="dxa"/>
                    <w:bottom w:w="0" w:type="dxa"/>
                    <w:right w:w="0" w:type="dxa"/>
                  </w:tcMar>
                  <w:vAlign w:val="center"/>
                </w:tcPr>
                <w:p>
                  <w:pPr>
                    <w:spacing w:before="24" w:beforeLines="10" w:after="24" w:afterLines="10" w:line="360" w:lineRule="exact"/>
                    <w:jc w:val="center"/>
                    <w:rPr>
                      <w:color w:val="auto"/>
                    </w:rPr>
                  </w:pPr>
                </w:p>
              </w:tc>
              <w:tc>
                <w:tcPr>
                  <w:tcW w:w="1509" w:type="dxa"/>
                  <w:gridSpan w:val="2"/>
                  <w:tcBorders>
                    <w:tl2br w:val="nil"/>
                    <w:tr2bl w:val="nil"/>
                  </w:tcBorders>
                  <w:vAlign w:val="center"/>
                </w:tcPr>
                <w:p>
                  <w:pPr>
                    <w:spacing w:before="24" w:beforeLines="10" w:after="24" w:afterLines="10" w:line="360" w:lineRule="exact"/>
                    <w:jc w:val="center"/>
                    <w:rPr>
                      <w:color w:val="auto"/>
                    </w:rPr>
                  </w:pPr>
                  <w:r>
                    <w:rPr>
                      <w:color w:val="auto"/>
                    </w:rPr>
                    <w:t>生活污水</w:t>
                  </w:r>
                </w:p>
              </w:tc>
              <w:tc>
                <w:tcPr>
                  <w:tcW w:w="3897" w:type="dxa"/>
                  <w:tcBorders>
                    <w:tl2br w:val="nil"/>
                    <w:tr2bl w:val="nil"/>
                  </w:tcBorders>
                  <w:vAlign w:val="center"/>
                </w:tcPr>
                <w:p>
                  <w:pPr>
                    <w:spacing w:before="24" w:beforeLines="10" w:after="24" w:afterLines="10" w:line="360" w:lineRule="exact"/>
                    <w:jc w:val="center"/>
                    <w:rPr>
                      <w:color w:val="auto"/>
                    </w:rPr>
                  </w:pPr>
                  <w:r>
                    <w:rPr>
                      <w:rFonts w:hint="eastAsia"/>
                      <w:color w:val="auto"/>
                    </w:rPr>
                    <w:t>地埋式一体化污水处理设施</w:t>
                  </w:r>
                </w:p>
              </w:tc>
              <w:tc>
                <w:tcPr>
                  <w:tcW w:w="2039" w:type="dxa"/>
                  <w:tcBorders>
                    <w:tl2br w:val="nil"/>
                    <w:tr2bl w:val="nil"/>
                  </w:tcBorders>
                  <w:vAlign w:val="center"/>
                </w:tcPr>
                <w:p>
                  <w:pPr>
                    <w:spacing w:before="24" w:beforeLines="10" w:after="24" w:afterLines="10" w:line="360" w:lineRule="exact"/>
                    <w:jc w:val="center"/>
                    <w:rPr>
                      <w:color w:val="auto"/>
                    </w:rPr>
                  </w:pPr>
                  <w:r>
                    <w:rPr>
                      <w:rFonts w:hint="eastAsia"/>
                      <w:color w:val="auto"/>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837" w:type="dxa"/>
                  <w:vMerge w:val="continue"/>
                  <w:tcBorders>
                    <w:tl2br w:val="nil"/>
                    <w:tr2bl w:val="nil"/>
                  </w:tcBorders>
                  <w:tcMar>
                    <w:top w:w="0" w:type="dxa"/>
                    <w:left w:w="0" w:type="dxa"/>
                    <w:bottom w:w="0" w:type="dxa"/>
                    <w:right w:w="0" w:type="dxa"/>
                  </w:tcMar>
                  <w:vAlign w:val="center"/>
                </w:tcPr>
                <w:p>
                  <w:pPr>
                    <w:spacing w:before="24" w:beforeLines="10" w:after="24" w:afterLines="10" w:line="360" w:lineRule="exact"/>
                    <w:jc w:val="center"/>
                    <w:rPr>
                      <w:color w:val="auto"/>
                    </w:rPr>
                  </w:pPr>
                </w:p>
              </w:tc>
              <w:tc>
                <w:tcPr>
                  <w:tcW w:w="1509" w:type="dxa"/>
                  <w:gridSpan w:val="2"/>
                  <w:tcBorders>
                    <w:tl2br w:val="nil"/>
                    <w:tr2bl w:val="nil"/>
                  </w:tcBorders>
                  <w:vAlign w:val="center"/>
                </w:tcPr>
                <w:p>
                  <w:pPr>
                    <w:spacing w:before="24" w:beforeLines="10" w:after="24" w:afterLines="10" w:line="360" w:lineRule="exact"/>
                    <w:jc w:val="center"/>
                    <w:rPr>
                      <w:rFonts w:hint="eastAsia"/>
                      <w:color w:val="auto"/>
                      <w:lang w:eastAsia="zh-CN"/>
                    </w:rPr>
                  </w:pPr>
                  <w:r>
                    <w:rPr>
                      <w:rFonts w:hint="eastAsia"/>
                      <w:color w:val="auto"/>
                      <w:lang w:eastAsia="zh-CN"/>
                    </w:rPr>
                    <w:t>洗车水</w:t>
                  </w:r>
                </w:p>
              </w:tc>
              <w:tc>
                <w:tcPr>
                  <w:tcW w:w="3897" w:type="dxa"/>
                  <w:tcBorders>
                    <w:tl2br w:val="nil"/>
                    <w:tr2bl w:val="nil"/>
                  </w:tcBorders>
                  <w:vAlign w:val="center"/>
                </w:tcPr>
                <w:p>
                  <w:pPr>
                    <w:spacing w:before="24" w:beforeLines="10" w:after="24" w:afterLines="10" w:line="360" w:lineRule="exact"/>
                    <w:jc w:val="center"/>
                    <w:rPr>
                      <w:rFonts w:hint="eastAsia"/>
                      <w:color w:val="auto"/>
                      <w:lang w:eastAsia="zh-CN"/>
                    </w:rPr>
                  </w:pPr>
                  <w:r>
                    <w:rPr>
                      <w:rFonts w:hint="eastAsia"/>
                      <w:color w:val="auto"/>
                      <w:lang w:eastAsia="zh-CN"/>
                    </w:rPr>
                    <w:t>循环沉淀池</w:t>
                  </w:r>
                </w:p>
              </w:tc>
              <w:tc>
                <w:tcPr>
                  <w:tcW w:w="2039" w:type="dxa"/>
                  <w:tcBorders>
                    <w:tl2br w:val="nil"/>
                    <w:tr2bl w:val="nil"/>
                  </w:tcBorders>
                  <w:vAlign w:val="center"/>
                </w:tcPr>
                <w:p>
                  <w:pPr>
                    <w:spacing w:before="24" w:beforeLines="10" w:after="24" w:afterLines="10" w:line="360" w:lineRule="exact"/>
                    <w:jc w:val="center"/>
                    <w:rPr>
                      <w:rFonts w:hint="default"/>
                      <w:color w:val="auto"/>
                      <w:lang w:val="en-US" w:eastAsia="zh-CN"/>
                    </w:rPr>
                  </w:pPr>
                  <w:r>
                    <w:rPr>
                      <w:rFonts w:hint="eastAsia"/>
                      <w:color w:val="auto"/>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837" w:type="dxa"/>
                  <w:vMerge w:val="continue"/>
                  <w:tcBorders>
                    <w:tl2br w:val="nil"/>
                    <w:tr2bl w:val="nil"/>
                  </w:tcBorders>
                  <w:tcMar>
                    <w:top w:w="0" w:type="dxa"/>
                    <w:left w:w="0" w:type="dxa"/>
                    <w:bottom w:w="0" w:type="dxa"/>
                    <w:right w:w="0" w:type="dxa"/>
                  </w:tcMar>
                  <w:vAlign w:val="center"/>
                </w:tcPr>
                <w:p>
                  <w:pPr>
                    <w:spacing w:before="24" w:beforeLines="10" w:after="24" w:afterLines="10" w:line="360" w:lineRule="exact"/>
                    <w:jc w:val="center"/>
                    <w:rPr>
                      <w:color w:val="auto"/>
                    </w:rPr>
                  </w:pPr>
                </w:p>
              </w:tc>
              <w:tc>
                <w:tcPr>
                  <w:tcW w:w="1509" w:type="dxa"/>
                  <w:gridSpan w:val="2"/>
                  <w:tcBorders>
                    <w:tl2br w:val="nil"/>
                    <w:tr2bl w:val="nil"/>
                  </w:tcBorders>
                  <w:vAlign w:val="center"/>
                </w:tcPr>
                <w:p>
                  <w:pPr>
                    <w:spacing w:before="24" w:beforeLines="10" w:after="24" w:afterLines="10" w:line="360" w:lineRule="exact"/>
                    <w:jc w:val="center"/>
                    <w:rPr>
                      <w:rFonts w:hint="default"/>
                      <w:color w:val="auto"/>
                      <w:lang w:val="en-US" w:eastAsia="zh-CN"/>
                    </w:rPr>
                  </w:pPr>
                  <w:r>
                    <w:rPr>
                      <w:rFonts w:hint="eastAsia"/>
                      <w:color w:val="auto"/>
                      <w:lang w:val="en-US" w:eastAsia="zh-CN"/>
                    </w:rPr>
                    <w:t>/</w:t>
                  </w:r>
                </w:p>
              </w:tc>
              <w:tc>
                <w:tcPr>
                  <w:tcW w:w="3897" w:type="dxa"/>
                  <w:tcBorders>
                    <w:tl2br w:val="nil"/>
                    <w:tr2bl w:val="nil"/>
                  </w:tcBorders>
                  <w:vAlign w:val="center"/>
                </w:tcPr>
                <w:p>
                  <w:pPr>
                    <w:spacing w:before="24" w:beforeLines="10" w:after="24" w:afterLines="10" w:line="360" w:lineRule="exact"/>
                    <w:jc w:val="center"/>
                    <w:rPr>
                      <w:rFonts w:hint="eastAsia"/>
                      <w:color w:val="auto"/>
                      <w:lang w:eastAsia="zh-CN"/>
                    </w:rPr>
                  </w:pPr>
                  <w:r>
                    <w:rPr>
                      <w:rFonts w:hint="eastAsia"/>
                      <w:color w:val="auto"/>
                      <w:lang w:eastAsia="zh-CN"/>
                    </w:rPr>
                    <w:t>生活污水冬季储存池</w:t>
                  </w:r>
                </w:p>
              </w:tc>
              <w:tc>
                <w:tcPr>
                  <w:tcW w:w="2039" w:type="dxa"/>
                  <w:tcBorders>
                    <w:tl2br w:val="nil"/>
                    <w:tr2bl w:val="nil"/>
                  </w:tcBorders>
                  <w:vAlign w:val="center"/>
                </w:tcPr>
                <w:p>
                  <w:pPr>
                    <w:spacing w:before="24" w:beforeLines="10" w:after="24" w:afterLines="10" w:line="360" w:lineRule="exact"/>
                    <w:jc w:val="center"/>
                    <w:rPr>
                      <w:rFonts w:hint="default"/>
                      <w:color w:val="auto"/>
                      <w:lang w:val="en-US" w:eastAsia="zh-CN"/>
                    </w:rPr>
                  </w:pPr>
                  <w:r>
                    <w:rPr>
                      <w:rFonts w:hint="eastAsia"/>
                      <w:color w:val="auto"/>
                      <w:lang w:val="en-US" w:eastAsia="zh-CN"/>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837" w:type="dxa"/>
                  <w:vMerge w:val="continue"/>
                  <w:tcBorders>
                    <w:tl2br w:val="nil"/>
                    <w:tr2bl w:val="nil"/>
                  </w:tcBorders>
                  <w:tcMar>
                    <w:top w:w="0" w:type="dxa"/>
                    <w:left w:w="0" w:type="dxa"/>
                    <w:bottom w:w="0" w:type="dxa"/>
                    <w:right w:w="0" w:type="dxa"/>
                  </w:tcMar>
                  <w:vAlign w:val="center"/>
                </w:tcPr>
                <w:p>
                  <w:pPr>
                    <w:spacing w:before="24" w:beforeLines="10" w:after="24" w:afterLines="10" w:line="360" w:lineRule="exact"/>
                    <w:jc w:val="center"/>
                    <w:rPr>
                      <w:color w:val="auto"/>
                    </w:rPr>
                  </w:pPr>
                </w:p>
              </w:tc>
              <w:tc>
                <w:tcPr>
                  <w:tcW w:w="1509" w:type="dxa"/>
                  <w:gridSpan w:val="2"/>
                  <w:tcBorders>
                    <w:tl2br w:val="nil"/>
                    <w:tr2bl w:val="nil"/>
                  </w:tcBorders>
                  <w:tcMar>
                    <w:top w:w="0" w:type="dxa"/>
                    <w:left w:w="0" w:type="dxa"/>
                    <w:bottom w:w="0" w:type="dxa"/>
                    <w:right w:w="0" w:type="dxa"/>
                  </w:tcMar>
                  <w:vAlign w:val="center"/>
                </w:tcPr>
                <w:p>
                  <w:pPr>
                    <w:spacing w:before="24" w:beforeLines="10" w:after="24" w:afterLines="10" w:line="360" w:lineRule="exact"/>
                    <w:jc w:val="center"/>
                    <w:rPr>
                      <w:color w:val="auto"/>
                    </w:rPr>
                  </w:pPr>
                  <w:r>
                    <w:rPr>
                      <w:rFonts w:hint="eastAsia"/>
                      <w:color w:val="auto"/>
                    </w:rPr>
                    <w:t>/</w:t>
                  </w:r>
                </w:p>
              </w:tc>
              <w:tc>
                <w:tcPr>
                  <w:tcW w:w="3897" w:type="dxa"/>
                  <w:tcBorders>
                    <w:tl2br w:val="nil"/>
                    <w:tr2bl w:val="nil"/>
                  </w:tcBorders>
                  <w:tcMar>
                    <w:top w:w="0" w:type="dxa"/>
                    <w:left w:w="0" w:type="dxa"/>
                    <w:bottom w:w="0" w:type="dxa"/>
                    <w:right w:w="0" w:type="dxa"/>
                  </w:tcMar>
                  <w:vAlign w:val="center"/>
                </w:tcPr>
                <w:p>
                  <w:pPr>
                    <w:spacing w:before="24" w:beforeLines="10" w:after="24" w:afterLines="10" w:line="360" w:lineRule="exact"/>
                    <w:jc w:val="center"/>
                    <w:rPr>
                      <w:color w:val="auto"/>
                    </w:rPr>
                  </w:pPr>
                  <w:r>
                    <w:rPr>
                      <w:rFonts w:hint="eastAsia"/>
                      <w:color w:val="auto"/>
                    </w:rPr>
                    <w:t>事故水池</w:t>
                  </w:r>
                </w:p>
              </w:tc>
              <w:tc>
                <w:tcPr>
                  <w:tcW w:w="2039" w:type="dxa"/>
                  <w:tcBorders>
                    <w:tl2br w:val="nil"/>
                    <w:tr2bl w:val="nil"/>
                  </w:tcBorders>
                  <w:vAlign w:val="center"/>
                </w:tcPr>
                <w:p>
                  <w:pPr>
                    <w:spacing w:before="24" w:beforeLines="10" w:after="24" w:afterLines="10" w:line="360" w:lineRule="exact"/>
                    <w:jc w:val="center"/>
                    <w:rPr>
                      <w:color w:val="auto"/>
                    </w:rPr>
                  </w:pPr>
                  <w:r>
                    <w:rPr>
                      <w:rFonts w:hint="eastAsia"/>
                      <w:color w:val="auto"/>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346" w:type="dxa"/>
                  <w:gridSpan w:val="3"/>
                  <w:tcBorders>
                    <w:tl2br w:val="nil"/>
                    <w:tr2bl w:val="nil"/>
                  </w:tcBorders>
                  <w:tcMar>
                    <w:top w:w="0" w:type="dxa"/>
                    <w:left w:w="0" w:type="dxa"/>
                    <w:bottom w:w="0" w:type="dxa"/>
                    <w:right w:w="0" w:type="dxa"/>
                  </w:tcMar>
                  <w:vAlign w:val="center"/>
                </w:tcPr>
                <w:p>
                  <w:pPr>
                    <w:spacing w:before="24" w:beforeLines="10" w:after="24" w:afterLines="10" w:line="360" w:lineRule="exact"/>
                    <w:jc w:val="center"/>
                    <w:rPr>
                      <w:color w:val="auto"/>
                    </w:rPr>
                  </w:pPr>
                  <w:r>
                    <w:rPr>
                      <w:color w:val="auto"/>
                    </w:rPr>
                    <w:t>固废</w:t>
                  </w:r>
                </w:p>
              </w:tc>
              <w:tc>
                <w:tcPr>
                  <w:tcW w:w="3897" w:type="dxa"/>
                  <w:tcBorders>
                    <w:tl2br w:val="nil"/>
                    <w:tr2bl w:val="nil"/>
                  </w:tcBorders>
                  <w:tcMar>
                    <w:top w:w="0" w:type="dxa"/>
                    <w:left w:w="0" w:type="dxa"/>
                    <w:bottom w:w="0" w:type="dxa"/>
                    <w:right w:w="0" w:type="dxa"/>
                  </w:tcMar>
                  <w:vAlign w:val="center"/>
                </w:tcPr>
                <w:p>
                  <w:pPr>
                    <w:spacing w:before="24" w:beforeLines="10" w:after="24" w:afterLines="10" w:line="360" w:lineRule="exact"/>
                    <w:jc w:val="center"/>
                    <w:rPr>
                      <w:color w:val="auto"/>
                    </w:rPr>
                  </w:pPr>
                  <w:r>
                    <w:rPr>
                      <w:color w:val="auto"/>
                    </w:rPr>
                    <w:t>金属废渣及</w:t>
                  </w:r>
                  <w:r>
                    <w:rPr>
                      <w:rFonts w:hint="eastAsia"/>
                      <w:color w:val="auto"/>
                    </w:rPr>
                    <w:t>分拣出的未燃尽垃圾</w:t>
                  </w:r>
                  <w:r>
                    <w:rPr>
                      <w:color w:val="auto"/>
                    </w:rPr>
                    <w:t>暂存设备、垃圾桶等</w:t>
                  </w:r>
                </w:p>
              </w:tc>
              <w:tc>
                <w:tcPr>
                  <w:tcW w:w="2039" w:type="dxa"/>
                  <w:tcBorders>
                    <w:tl2br w:val="nil"/>
                    <w:tr2bl w:val="nil"/>
                  </w:tcBorders>
                  <w:vAlign w:val="center"/>
                </w:tcPr>
                <w:p>
                  <w:pPr>
                    <w:spacing w:before="24" w:beforeLines="10" w:after="24" w:afterLines="10" w:line="360" w:lineRule="exact"/>
                    <w:jc w:val="center"/>
                    <w:rPr>
                      <w:color w:val="auto"/>
                    </w:rPr>
                  </w:pPr>
                  <w:r>
                    <w:rPr>
                      <w:color w:val="auto"/>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tblHeader/>
                <w:jc w:val="center"/>
              </w:trPr>
              <w:tc>
                <w:tcPr>
                  <w:tcW w:w="2346" w:type="dxa"/>
                  <w:gridSpan w:val="3"/>
                  <w:tcBorders>
                    <w:tl2br w:val="nil"/>
                    <w:tr2bl w:val="nil"/>
                  </w:tcBorders>
                  <w:tcMar>
                    <w:top w:w="0" w:type="dxa"/>
                    <w:left w:w="0" w:type="dxa"/>
                    <w:bottom w:w="0" w:type="dxa"/>
                    <w:right w:w="0" w:type="dxa"/>
                  </w:tcMar>
                  <w:vAlign w:val="center"/>
                </w:tcPr>
                <w:p>
                  <w:pPr>
                    <w:spacing w:before="24" w:beforeLines="10" w:after="24" w:afterLines="10" w:line="360" w:lineRule="exact"/>
                    <w:jc w:val="center"/>
                    <w:rPr>
                      <w:rFonts w:hint="eastAsia"/>
                      <w:color w:val="auto"/>
                      <w:lang w:eastAsia="zh-CN"/>
                    </w:rPr>
                  </w:pPr>
                  <w:r>
                    <w:rPr>
                      <w:rFonts w:hint="eastAsia"/>
                      <w:color w:val="auto"/>
                      <w:lang w:eastAsia="zh-CN"/>
                    </w:rPr>
                    <w:t>厂区防渗</w:t>
                  </w:r>
                </w:p>
              </w:tc>
              <w:tc>
                <w:tcPr>
                  <w:tcW w:w="3897" w:type="dxa"/>
                  <w:tcBorders>
                    <w:tl2br w:val="nil"/>
                    <w:tr2bl w:val="nil"/>
                  </w:tcBorders>
                  <w:tcMar>
                    <w:top w:w="0" w:type="dxa"/>
                    <w:left w:w="0" w:type="dxa"/>
                    <w:bottom w:w="0" w:type="dxa"/>
                    <w:right w:w="0" w:type="dxa"/>
                  </w:tcMar>
                  <w:vAlign w:val="center"/>
                </w:tcPr>
                <w:p>
                  <w:pPr>
                    <w:spacing w:before="24" w:beforeLines="10" w:after="24" w:afterLines="10" w:line="360" w:lineRule="exact"/>
                    <w:jc w:val="center"/>
                    <w:rPr>
                      <w:rFonts w:hint="eastAsia"/>
                      <w:color w:val="auto"/>
                      <w:lang w:eastAsia="zh-CN"/>
                    </w:rPr>
                  </w:pPr>
                  <w:r>
                    <w:rPr>
                      <w:rFonts w:hint="eastAsia"/>
                      <w:color w:val="auto"/>
                      <w:lang w:eastAsia="zh-CN"/>
                    </w:rPr>
                    <w:t>防渗膜等</w:t>
                  </w:r>
                </w:p>
              </w:tc>
              <w:tc>
                <w:tcPr>
                  <w:tcW w:w="2039" w:type="dxa"/>
                  <w:tcBorders>
                    <w:tl2br w:val="nil"/>
                    <w:tr2bl w:val="nil"/>
                  </w:tcBorders>
                  <w:vAlign w:val="center"/>
                </w:tcPr>
                <w:p>
                  <w:pPr>
                    <w:spacing w:before="24" w:beforeLines="10" w:after="24" w:afterLines="10" w:line="360" w:lineRule="exact"/>
                    <w:jc w:val="center"/>
                    <w:rPr>
                      <w:rFonts w:hint="default"/>
                      <w:color w:val="auto"/>
                      <w:lang w:val="en-US" w:eastAsia="zh-CN"/>
                    </w:rPr>
                  </w:pPr>
                  <w:r>
                    <w:rPr>
                      <w:rFonts w:hint="eastAsia"/>
                      <w:color w:val="auto"/>
                      <w:lang w:val="en-US" w:eastAsia="zh-CN"/>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tblHeader/>
                <w:jc w:val="center"/>
              </w:trPr>
              <w:tc>
                <w:tcPr>
                  <w:tcW w:w="2346" w:type="dxa"/>
                  <w:gridSpan w:val="3"/>
                  <w:tcBorders>
                    <w:tl2br w:val="nil"/>
                    <w:tr2bl w:val="nil"/>
                  </w:tcBorders>
                  <w:tcMar>
                    <w:top w:w="0" w:type="dxa"/>
                    <w:left w:w="0" w:type="dxa"/>
                    <w:bottom w:w="0" w:type="dxa"/>
                    <w:right w:w="0" w:type="dxa"/>
                  </w:tcMar>
                  <w:vAlign w:val="center"/>
                </w:tcPr>
                <w:p>
                  <w:pPr>
                    <w:spacing w:before="24" w:beforeLines="10" w:after="24" w:afterLines="10" w:line="360" w:lineRule="exact"/>
                    <w:jc w:val="center"/>
                    <w:rPr>
                      <w:color w:val="auto"/>
                      <w:lang w:val="en-US" w:eastAsia="zh-CN"/>
                    </w:rPr>
                  </w:pPr>
                  <w:r>
                    <w:rPr>
                      <w:color w:val="auto"/>
                    </w:rPr>
                    <w:t>环境绿化</w:t>
                  </w:r>
                </w:p>
              </w:tc>
              <w:tc>
                <w:tcPr>
                  <w:tcW w:w="3897" w:type="dxa"/>
                  <w:tcBorders>
                    <w:tl2br w:val="nil"/>
                    <w:tr2bl w:val="nil"/>
                  </w:tcBorders>
                  <w:tcMar>
                    <w:top w:w="0" w:type="dxa"/>
                    <w:left w:w="0" w:type="dxa"/>
                    <w:bottom w:w="0" w:type="dxa"/>
                    <w:right w:w="0" w:type="dxa"/>
                  </w:tcMar>
                  <w:vAlign w:val="center"/>
                </w:tcPr>
                <w:p>
                  <w:pPr>
                    <w:spacing w:before="24" w:beforeLines="10" w:after="24" w:afterLines="10" w:line="360" w:lineRule="exact"/>
                    <w:jc w:val="center"/>
                    <w:rPr>
                      <w:color w:val="auto"/>
                      <w:lang w:val="en-US" w:eastAsia="zh-CN"/>
                    </w:rPr>
                  </w:pPr>
                  <w:r>
                    <w:rPr>
                      <w:color w:val="auto"/>
                    </w:rPr>
                    <w:t>生活区植树种草、绿化等</w:t>
                  </w:r>
                </w:p>
              </w:tc>
              <w:tc>
                <w:tcPr>
                  <w:tcW w:w="2039" w:type="dxa"/>
                  <w:tcBorders>
                    <w:tl2br w:val="nil"/>
                    <w:tr2bl w:val="nil"/>
                  </w:tcBorders>
                  <w:vAlign w:val="center"/>
                </w:tcPr>
                <w:p>
                  <w:pPr>
                    <w:spacing w:before="24" w:beforeLines="10" w:after="24" w:afterLines="10" w:line="360" w:lineRule="exact"/>
                    <w:jc w:val="center"/>
                    <w:rPr>
                      <w:color w:val="auto"/>
                      <w:lang w:val="en-US" w:eastAsia="zh-CN"/>
                    </w:rPr>
                  </w:pPr>
                  <w:r>
                    <w:rPr>
                      <w:color w:val="auto"/>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243" w:type="dxa"/>
                  <w:gridSpan w:val="4"/>
                  <w:tcBorders>
                    <w:tl2br w:val="nil"/>
                    <w:tr2bl w:val="nil"/>
                  </w:tcBorders>
                  <w:tcMar>
                    <w:top w:w="0" w:type="dxa"/>
                    <w:left w:w="0" w:type="dxa"/>
                    <w:bottom w:w="0" w:type="dxa"/>
                    <w:right w:w="0" w:type="dxa"/>
                  </w:tcMar>
                  <w:vAlign w:val="center"/>
                </w:tcPr>
                <w:p>
                  <w:pPr>
                    <w:spacing w:before="24" w:beforeLines="10" w:after="24" w:afterLines="10" w:line="360" w:lineRule="exact"/>
                    <w:jc w:val="center"/>
                    <w:rPr>
                      <w:color w:val="auto"/>
                    </w:rPr>
                  </w:pPr>
                  <w:r>
                    <w:rPr>
                      <w:color w:val="auto"/>
                    </w:rPr>
                    <w:t>环保投资小计</w:t>
                  </w:r>
                </w:p>
              </w:tc>
              <w:tc>
                <w:tcPr>
                  <w:tcW w:w="2039" w:type="dxa"/>
                  <w:tcBorders>
                    <w:tl2br w:val="nil"/>
                    <w:tr2bl w:val="nil"/>
                  </w:tcBorders>
                  <w:vAlign w:val="center"/>
                </w:tcPr>
                <w:p>
                  <w:pPr>
                    <w:spacing w:before="24" w:beforeLines="10" w:after="24" w:afterLines="10" w:line="360" w:lineRule="exact"/>
                    <w:jc w:val="center"/>
                    <w:rPr>
                      <w:rFonts w:hint="default"/>
                      <w:color w:val="auto"/>
                      <w:lang w:val="en-US" w:eastAsia="zh-CN"/>
                    </w:rPr>
                  </w:pPr>
                  <w:r>
                    <w:rPr>
                      <w:rFonts w:hint="eastAsia"/>
                      <w:color w:val="auto"/>
                      <w:lang w:val="en-US" w:eastAsia="zh-CN"/>
                    </w:rPr>
                    <w:t>560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243" w:type="dxa"/>
                  <w:gridSpan w:val="4"/>
                  <w:tcBorders>
                    <w:tl2br w:val="nil"/>
                    <w:tr2bl w:val="nil"/>
                  </w:tcBorders>
                  <w:tcMar>
                    <w:top w:w="0" w:type="dxa"/>
                    <w:left w:w="0" w:type="dxa"/>
                    <w:bottom w:w="0" w:type="dxa"/>
                    <w:right w:w="0" w:type="dxa"/>
                  </w:tcMar>
                  <w:vAlign w:val="center"/>
                </w:tcPr>
                <w:p>
                  <w:pPr>
                    <w:spacing w:before="24" w:beforeLines="10" w:after="24" w:afterLines="10" w:line="360" w:lineRule="exact"/>
                    <w:jc w:val="center"/>
                    <w:rPr>
                      <w:color w:val="auto"/>
                    </w:rPr>
                  </w:pPr>
                  <w:r>
                    <w:rPr>
                      <w:color w:val="auto"/>
                    </w:rPr>
                    <w:t>项目总投资</w:t>
                  </w:r>
                </w:p>
              </w:tc>
              <w:tc>
                <w:tcPr>
                  <w:tcW w:w="2039" w:type="dxa"/>
                  <w:tcBorders>
                    <w:tl2br w:val="nil"/>
                    <w:tr2bl w:val="nil"/>
                  </w:tcBorders>
                  <w:vAlign w:val="center"/>
                </w:tcPr>
                <w:p>
                  <w:pPr>
                    <w:spacing w:before="24" w:beforeLines="10" w:after="24" w:afterLines="10" w:line="360" w:lineRule="exact"/>
                    <w:jc w:val="center"/>
                    <w:rPr>
                      <w:color w:val="auto"/>
                    </w:rPr>
                  </w:pPr>
                  <w:r>
                    <w:rPr>
                      <w:color w:val="auto"/>
                    </w:rPr>
                    <w:t>5009.87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243" w:type="dxa"/>
                  <w:gridSpan w:val="4"/>
                  <w:tcBorders>
                    <w:tl2br w:val="nil"/>
                    <w:tr2bl w:val="nil"/>
                  </w:tcBorders>
                  <w:tcMar>
                    <w:top w:w="0" w:type="dxa"/>
                    <w:left w:w="0" w:type="dxa"/>
                    <w:bottom w:w="0" w:type="dxa"/>
                    <w:right w:w="0" w:type="dxa"/>
                  </w:tcMar>
                  <w:vAlign w:val="center"/>
                </w:tcPr>
                <w:p>
                  <w:pPr>
                    <w:spacing w:before="24" w:beforeLines="10" w:after="24" w:afterLines="10" w:line="360" w:lineRule="exact"/>
                    <w:jc w:val="center"/>
                    <w:rPr>
                      <w:color w:val="auto"/>
                    </w:rPr>
                  </w:pPr>
                  <w:r>
                    <w:rPr>
                      <w:color w:val="auto"/>
                    </w:rPr>
                    <w:t>占总投资比例%</w:t>
                  </w:r>
                </w:p>
              </w:tc>
              <w:tc>
                <w:tcPr>
                  <w:tcW w:w="2039" w:type="dxa"/>
                  <w:tcBorders>
                    <w:tl2br w:val="nil"/>
                    <w:tr2bl w:val="nil"/>
                  </w:tcBorders>
                  <w:vAlign w:val="center"/>
                </w:tcPr>
                <w:p>
                  <w:pPr>
                    <w:spacing w:before="24" w:beforeLines="10" w:after="24" w:afterLines="10" w:line="360" w:lineRule="exact"/>
                    <w:jc w:val="center"/>
                    <w:rPr>
                      <w:rFonts w:hint="default"/>
                      <w:color w:val="auto"/>
                      <w:lang w:val="en-US" w:eastAsia="zh-CN"/>
                    </w:rPr>
                  </w:pPr>
                  <w:r>
                    <w:rPr>
                      <w:rFonts w:hint="eastAsia"/>
                      <w:color w:val="auto"/>
                      <w:lang w:val="en-US" w:eastAsia="zh-CN"/>
                    </w:rPr>
                    <w:t>11.18</w:t>
                  </w:r>
                </w:p>
              </w:tc>
            </w:tr>
          </w:tbl>
          <w:p>
            <w:pPr>
              <w:spacing w:line="480" w:lineRule="exact"/>
              <w:ind w:firstLine="422" w:firstLineChars="200"/>
              <w:textAlignment w:val="baseline"/>
              <w:rPr>
                <w:rFonts w:hint="eastAsia"/>
                <w:b/>
                <w:bCs/>
                <w:color w:val="auto"/>
                <w:lang w:val="en-US" w:eastAsia="zh-CN"/>
              </w:rPr>
            </w:pPr>
            <w:r>
              <w:rPr>
                <w:rFonts w:hint="eastAsia"/>
                <w:b/>
                <w:bCs/>
                <w:color w:val="auto"/>
                <w:lang w:eastAsia="zh-CN"/>
              </w:rPr>
              <w:t>4</w:t>
            </w:r>
            <w:r>
              <w:rPr>
                <w:rFonts w:hint="eastAsia"/>
                <w:b/>
                <w:bCs/>
                <w:color w:val="auto"/>
                <w:lang w:val="en-US" w:eastAsia="zh-CN"/>
              </w:rPr>
              <w:t>.9“三同时”验收一览表</w:t>
            </w:r>
          </w:p>
          <w:p>
            <w:pPr>
              <w:pStyle w:val="8"/>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本项目</w:t>
            </w:r>
            <w:r>
              <w:rPr>
                <w:rFonts w:hint="eastAsia"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三同时</w:t>
            </w:r>
            <w:r>
              <w:rPr>
                <w:rFonts w:hint="eastAsia"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验收内容详见表4-13。</w:t>
            </w:r>
          </w:p>
          <w:p>
            <w:pPr>
              <w:spacing w:line="520" w:lineRule="exact"/>
              <w:jc w:val="center"/>
              <w:rPr>
                <w:rFonts w:hint="eastAsia"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表4-13    “三同时”验收一览表</w:t>
            </w:r>
          </w:p>
          <w:tbl>
            <w:tblPr>
              <w:tblStyle w:val="22"/>
              <w:tblW w:w="85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71"/>
              <w:gridCol w:w="1974"/>
              <w:gridCol w:w="3608"/>
              <w:gridCol w:w="24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4" w:hRule="atLeast"/>
                <w:tblHeader/>
                <w:jc w:val="center"/>
              </w:trPr>
              <w:tc>
                <w:tcPr>
                  <w:tcW w:w="471" w:type="dxa"/>
                  <w:vAlign w:val="center"/>
                </w:tcPr>
                <w:p>
                  <w:pPr>
                    <w:spacing w:line="360" w:lineRule="exact"/>
                    <w:jc w:val="center"/>
                    <w:rPr>
                      <w:rFonts w:ascii="Times New Roman" w:hAnsi="Times New Roman"/>
                      <w:b/>
                      <w:bCs/>
                      <w:color w:val="auto"/>
                      <w:szCs w:val="21"/>
                    </w:rPr>
                  </w:pPr>
                  <w:r>
                    <w:rPr>
                      <w:rFonts w:ascii="Times New Roman" w:hAnsi="Times New Roman"/>
                      <w:b/>
                      <w:bCs/>
                      <w:color w:val="auto"/>
                      <w:szCs w:val="21"/>
                    </w:rPr>
                    <w:t>序号</w:t>
                  </w:r>
                </w:p>
              </w:tc>
              <w:tc>
                <w:tcPr>
                  <w:tcW w:w="1974" w:type="dxa"/>
                  <w:vAlign w:val="center"/>
                </w:tcPr>
                <w:p>
                  <w:pPr>
                    <w:spacing w:line="360" w:lineRule="exact"/>
                    <w:jc w:val="center"/>
                    <w:rPr>
                      <w:rFonts w:hint="eastAsia" w:ascii="Times New Roman" w:hAnsi="Times New Roman" w:eastAsia="宋体"/>
                      <w:b/>
                      <w:bCs/>
                      <w:color w:val="auto"/>
                      <w:szCs w:val="21"/>
                      <w:lang w:eastAsia="zh-CN"/>
                    </w:rPr>
                  </w:pPr>
                  <w:r>
                    <w:rPr>
                      <w:rFonts w:hint="eastAsia" w:ascii="Times New Roman" w:hAnsi="Times New Roman"/>
                      <w:b/>
                      <w:bCs/>
                      <w:color w:val="auto"/>
                      <w:szCs w:val="21"/>
                      <w:lang w:eastAsia="zh-CN"/>
                    </w:rPr>
                    <w:t>产污环节</w:t>
                  </w:r>
                </w:p>
              </w:tc>
              <w:tc>
                <w:tcPr>
                  <w:tcW w:w="3608" w:type="dxa"/>
                  <w:vAlign w:val="center"/>
                </w:tcPr>
                <w:p>
                  <w:pPr>
                    <w:spacing w:line="360" w:lineRule="exact"/>
                    <w:jc w:val="center"/>
                    <w:rPr>
                      <w:rFonts w:ascii="Times New Roman" w:hAnsi="Times New Roman"/>
                      <w:b/>
                      <w:bCs/>
                      <w:color w:val="auto"/>
                      <w:szCs w:val="21"/>
                    </w:rPr>
                  </w:pPr>
                  <w:r>
                    <w:rPr>
                      <w:rFonts w:hint="eastAsia" w:ascii="Times New Roman" w:hAnsi="Times New Roman"/>
                      <w:b/>
                      <w:bCs/>
                      <w:color w:val="auto"/>
                      <w:szCs w:val="21"/>
                      <w:lang w:eastAsia="zh-CN"/>
                    </w:rPr>
                    <w:t>环保</w:t>
                  </w:r>
                  <w:r>
                    <w:rPr>
                      <w:rFonts w:ascii="Times New Roman" w:hAnsi="Times New Roman"/>
                      <w:b/>
                      <w:bCs/>
                      <w:color w:val="auto"/>
                      <w:szCs w:val="21"/>
                    </w:rPr>
                    <w:t>工程内容</w:t>
                  </w:r>
                </w:p>
              </w:tc>
              <w:tc>
                <w:tcPr>
                  <w:tcW w:w="2475" w:type="dxa"/>
                  <w:tcBorders>
                    <w:right w:val="single" w:color="auto" w:sz="12" w:space="0"/>
                  </w:tcBorders>
                  <w:vAlign w:val="center"/>
                </w:tcPr>
                <w:p>
                  <w:pPr>
                    <w:spacing w:line="360" w:lineRule="exact"/>
                    <w:jc w:val="center"/>
                    <w:rPr>
                      <w:rFonts w:ascii="Times New Roman" w:hAnsi="Times New Roman"/>
                      <w:b/>
                      <w:bCs/>
                      <w:color w:val="auto"/>
                      <w:szCs w:val="21"/>
                    </w:rPr>
                  </w:pPr>
                  <w:r>
                    <w:rPr>
                      <w:rFonts w:ascii="Times New Roman" w:hAnsi="Times New Roman"/>
                      <w:b/>
                      <w:bCs/>
                      <w:color w:val="auto"/>
                      <w:szCs w:val="21"/>
                    </w:rPr>
                    <w:t>验收标准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528" w:type="dxa"/>
                  <w:gridSpan w:val="4"/>
                  <w:tcBorders>
                    <w:right w:val="single" w:color="auto" w:sz="12" w:space="0"/>
                  </w:tcBorders>
                  <w:vAlign w:val="center"/>
                </w:tcPr>
                <w:p>
                  <w:pPr>
                    <w:spacing w:line="360" w:lineRule="exact"/>
                    <w:jc w:val="center"/>
                    <w:rPr>
                      <w:rFonts w:ascii="Times New Roman" w:hAnsi="Times New Roman"/>
                      <w:color w:val="auto"/>
                      <w:szCs w:val="21"/>
                    </w:rPr>
                  </w:pPr>
                  <w:r>
                    <w:rPr>
                      <w:rFonts w:ascii="Times New Roman" w:hAnsi="Times New Roman"/>
                      <w:color w:val="auto"/>
                      <w:szCs w:val="21"/>
                    </w:rPr>
                    <w:t>一、空气污染防治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9" w:hRule="atLeast"/>
                <w:jc w:val="center"/>
              </w:trPr>
              <w:tc>
                <w:tcPr>
                  <w:tcW w:w="471" w:type="dxa"/>
                  <w:vAlign w:val="center"/>
                </w:tcPr>
                <w:p>
                  <w:pPr>
                    <w:spacing w:line="360" w:lineRule="exact"/>
                    <w:jc w:val="center"/>
                    <w:rPr>
                      <w:rFonts w:ascii="Times New Roman" w:hAnsi="Times New Roman"/>
                      <w:color w:val="auto"/>
                      <w:szCs w:val="21"/>
                    </w:rPr>
                  </w:pPr>
                  <w:r>
                    <w:rPr>
                      <w:rFonts w:ascii="Times New Roman" w:hAnsi="Times New Roman"/>
                      <w:color w:val="auto"/>
                      <w:szCs w:val="21"/>
                    </w:rPr>
                    <w:t>1</w:t>
                  </w:r>
                </w:p>
              </w:tc>
              <w:tc>
                <w:tcPr>
                  <w:tcW w:w="1974" w:type="dxa"/>
                  <w:vAlign w:val="center"/>
                </w:tcPr>
                <w:p>
                  <w:pPr>
                    <w:spacing w:line="360" w:lineRule="exact"/>
                    <w:jc w:val="center"/>
                    <w:rPr>
                      <w:rFonts w:hint="eastAsia" w:ascii="Times New Roman" w:hAnsi="Times New Roman" w:eastAsia="宋体"/>
                      <w:color w:val="auto"/>
                      <w:szCs w:val="21"/>
                      <w:lang w:eastAsia="zh-CN"/>
                    </w:rPr>
                  </w:pPr>
                  <w:r>
                    <w:rPr>
                      <w:rFonts w:hint="eastAsia" w:ascii="Times New Roman" w:hAnsi="Times New Roman"/>
                      <w:color w:val="auto"/>
                      <w:szCs w:val="21"/>
                      <w:lang w:eastAsia="zh-CN"/>
                    </w:rPr>
                    <w:t>一级破碎筛分</w:t>
                  </w:r>
                </w:p>
              </w:tc>
              <w:tc>
                <w:tcPr>
                  <w:tcW w:w="3608" w:type="dxa"/>
                  <w:vAlign w:val="center"/>
                </w:tcPr>
                <w:p>
                  <w:pPr>
                    <w:spacing w:line="360" w:lineRule="exact"/>
                    <w:jc w:val="center"/>
                    <w:rPr>
                      <w:rFonts w:ascii="Times New Roman" w:hAnsi="Times New Roman"/>
                      <w:color w:val="auto"/>
                      <w:szCs w:val="21"/>
                    </w:rPr>
                  </w:pPr>
                  <w:r>
                    <w:rPr>
                      <w:rFonts w:hint="eastAsia"/>
                      <w:color w:val="auto"/>
                      <w:szCs w:val="21"/>
                    </w:rPr>
                    <w:t>集气罩+风机+</w:t>
                  </w:r>
                  <w:r>
                    <w:rPr>
                      <w:color w:val="auto"/>
                      <w:szCs w:val="21"/>
                    </w:rPr>
                    <w:t>布袋除尘器</w:t>
                  </w:r>
                  <w:r>
                    <w:rPr>
                      <w:rFonts w:hint="eastAsia"/>
                      <w:color w:val="auto"/>
                    </w:rPr>
                    <w:t>+15m高烟囱排放</w:t>
                  </w:r>
                </w:p>
              </w:tc>
              <w:tc>
                <w:tcPr>
                  <w:tcW w:w="2475" w:type="dxa"/>
                  <w:tcBorders>
                    <w:right w:val="single" w:color="auto" w:sz="12" w:space="0"/>
                  </w:tcBorders>
                  <w:vAlign w:val="center"/>
                </w:tcPr>
                <w:p>
                  <w:pPr>
                    <w:spacing w:line="360" w:lineRule="exact"/>
                    <w:jc w:val="center"/>
                    <w:rPr>
                      <w:rFonts w:ascii="Times New Roman" w:hAnsi="Times New Roman"/>
                      <w:color w:val="auto"/>
                      <w:szCs w:val="21"/>
                    </w:rPr>
                  </w:pPr>
                  <w:r>
                    <w:rPr>
                      <w:rFonts w:hint="eastAsia"/>
                      <w:color w:val="auto"/>
                      <w:szCs w:val="21"/>
                      <w:lang w:eastAsia="zh-CN"/>
                    </w:rPr>
                    <w:t>颗粒物执行</w:t>
                  </w:r>
                  <w:r>
                    <w:rPr>
                      <w:color w:val="auto"/>
                      <w:szCs w:val="21"/>
                    </w:rPr>
                    <w:t>《砖瓦工业大气污染物排放标准》GB29620-2013表2中标准限值要求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9" w:hRule="atLeast"/>
                <w:jc w:val="center"/>
              </w:trPr>
              <w:tc>
                <w:tcPr>
                  <w:tcW w:w="471" w:type="dxa"/>
                  <w:vAlign w:val="center"/>
                </w:tcPr>
                <w:p>
                  <w:pPr>
                    <w:spacing w:line="360" w:lineRule="exact"/>
                    <w:jc w:val="center"/>
                    <w:rPr>
                      <w:rFonts w:ascii="Times New Roman" w:hAnsi="Times New Roman"/>
                      <w:color w:val="auto"/>
                      <w:szCs w:val="21"/>
                    </w:rPr>
                  </w:pPr>
                  <w:r>
                    <w:rPr>
                      <w:rFonts w:ascii="Times New Roman" w:hAnsi="Times New Roman"/>
                      <w:color w:val="auto"/>
                      <w:szCs w:val="21"/>
                    </w:rPr>
                    <w:t>2</w:t>
                  </w:r>
                </w:p>
              </w:tc>
              <w:tc>
                <w:tcPr>
                  <w:tcW w:w="1974" w:type="dxa"/>
                  <w:vAlign w:val="center"/>
                </w:tcPr>
                <w:p>
                  <w:pPr>
                    <w:spacing w:line="360" w:lineRule="exact"/>
                    <w:jc w:val="center"/>
                    <w:rPr>
                      <w:rFonts w:hint="eastAsia" w:ascii="Times New Roman" w:hAnsi="Times New Roman" w:eastAsia="宋体"/>
                      <w:color w:val="auto"/>
                      <w:szCs w:val="21"/>
                      <w:lang w:eastAsia="zh-CN"/>
                    </w:rPr>
                  </w:pPr>
                  <w:r>
                    <w:rPr>
                      <w:rFonts w:hint="eastAsia" w:ascii="Times New Roman" w:hAnsi="Times New Roman"/>
                      <w:color w:val="auto"/>
                      <w:szCs w:val="21"/>
                      <w:lang w:eastAsia="zh-CN"/>
                    </w:rPr>
                    <w:t>物料堆场</w:t>
                  </w:r>
                </w:p>
              </w:tc>
              <w:tc>
                <w:tcPr>
                  <w:tcW w:w="3608" w:type="dxa"/>
                  <w:vAlign w:val="center"/>
                </w:tcPr>
                <w:p>
                  <w:pPr>
                    <w:spacing w:line="360" w:lineRule="exact"/>
                    <w:jc w:val="center"/>
                    <w:rPr>
                      <w:rFonts w:hint="eastAsia" w:ascii="Times New Roman" w:hAnsi="Times New Roman" w:eastAsia="宋体"/>
                      <w:color w:val="auto"/>
                      <w:szCs w:val="21"/>
                      <w:lang w:eastAsia="zh-CN"/>
                    </w:rPr>
                  </w:pPr>
                  <w:r>
                    <w:rPr>
                      <w:rFonts w:hint="eastAsia" w:ascii="Times New Roman" w:hAnsi="Times New Roman"/>
                      <w:color w:val="auto"/>
                      <w:szCs w:val="21"/>
                      <w:lang w:eastAsia="zh-CN"/>
                    </w:rPr>
                    <w:t>洒水降尘，全封闭厂房</w:t>
                  </w:r>
                </w:p>
              </w:tc>
              <w:tc>
                <w:tcPr>
                  <w:tcW w:w="2475" w:type="dxa"/>
                  <w:vMerge w:val="restart"/>
                  <w:tcBorders>
                    <w:right w:val="single" w:color="auto" w:sz="12" w:space="0"/>
                  </w:tcBorders>
                  <w:vAlign w:val="center"/>
                </w:tcPr>
                <w:p>
                  <w:pPr>
                    <w:spacing w:line="360" w:lineRule="exact"/>
                    <w:jc w:val="center"/>
                    <w:rPr>
                      <w:rFonts w:ascii="Times New Roman" w:hAnsi="Times New Roman"/>
                      <w:color w:val="auto"/>
                      <w:szCs w:val="21"/>
                    </w:rPr>
                  </w:pPr>
                  <w:r>
                    <w:rPr>
                      <w:rFonts w:hint="eastAsia"/>
                      <w:color w:val="auto"/>
                      <w:szCs w:val="21"/>
                      <w:lang w:eastAsia="zh-CN"/>
                    </w:rPr>
                    <w:t>颗粒物执行</w:t>
                  </w:r>
                  <w:r>
                    <w:rPr>
                      <w:color w:val="auto"/>
                      <w:szCs w:val="21"/>
                    </w:rPr>
                    <w:t>《砖瓦工业大气污染物排放标准》GB29620-2013表</w:t>
                  </w:r>
                  <w:r>
                    <w:rPr>
                      <w:rFonts w:hint="eastAsia"/>
                      <w:color w:val="auto"/>
                      <w:szCs w:val="21"/>
                      <w:lang w:val="en-US" w:eastAsia="zh-CN"/>
                    </w:rPr>
                    <w:t>3</w:t>
                  </w:r>
                  <w:r>
                    <w:rPr>
                      <w:color w:val="auto"/>
                      <w:szCs w:val="21"/>
                    </w:rPr>
                    <w:t>中标准限值要求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9" w:hRule="atLeast"/>
                <w:jc w:val="center"/>
              </w:trPr>
              <w:tc>
                <w:tcPr>
                  <w:tcW w:w="471" w:type="dxa"/>
                  <w:tcBorders>
                    <w:top w:val="single" w:color="auto" w:sz="4" w:space="0"/>
                  </w:tcBorders>
                  <w:vAlign w:val="center"/>
                </w:tcPr>
                <w:p>
                  <w:pPr>
                    <w:spacing w:line="360" w:lineRule="exact"/>
                    <w:jc w:val="center"/>
                    <w:rPr>
                      <w:rFonts w:hint="eastAsia" w:ascii="Times New Roman" w:hAnsi="Times New Roman" w:eastAsia="宋体"/>
                      <w:color w:val="auto"/>
                      <w:szCs w:val="21"/>
                      <w:lang w:eastAsia="zh-CN"/>
                    </w:rPr>
                  </w:pPr>
                  <w:r>
                    <w:rPr>
                      <w:rFonts w:hint="eastAsia" w:ascii="Times New Roman" w:hAnsi="Times New Roman"/>
                      <w:color w:val="auto"/>
                      <w:szCs w:val="21"/>
                      <w:lang w:val="en-US" w:eastAsia="zh-CN"/>
                    </w:rPr>
                    <w:t>3</w:t>
                  </w:r>
                </w:p>
              </w:tc>
              <w:tc>
                <w:tcPr>
                  <w:tcW w:w="1974" w:type="dxa"/>
                  <w:tcBorders>
                    <w:top w:val="single" w:color="auto" w:sz="4" w:space="0"/>
                  </w:tcBorders>
                  <w:vAlign w:val="center"/>
                </w:tcPr>
                <w:p>
                  <w:pPr>
                    <w:spacing w:line="360" w:lineRule="exact"/>
                    <w:jc w:val="center"/>
                    <w:rPr>
                      <w:rFonts w:ascii="Times New Roman" w:hAnsi="Times New Roman"/>
                      <w:color w:val="auto"/>
                      <w:szCs w:val="21"/>
                    </w:rPr>
                  </w:pPr>
                  <w:r>
                    <w:rPr>
                      <w:rFonts w:hint="eastAsia"/>
                      <w:color w:val="auto"/>
                      <w:szCs w:val="21"/>
                    </w:rPr>
                    <w:t>物料装卸</w:t>
                  </w:r>
                  <w:r>
                    <w:rPr>
                      <w:rFonts w:hint="eastAsia"/>
                      <w:color w:val="auto"/>
                      <w:szCs w:val="21"/>
                      <w:lang w:val="en-US" w:eastAsia="zh-CN"/>
                    </w:rPr>
                    <w:t>/</w:t>
                  </w:r>
                  <w:r>
                    <w:rPr>
                      <w:rFonts w:hint="eastAsia"/>
                      <w:color w:val="auto"/>
                      <w:szCs w:val="21"/>
                    </w:rPr>
                    <w:t>上料</w:t>
                  </w:r>
                  <w:r>
                    <w:rPr>
                      <w:rFonts w:hint="eastAsia"/>
                      <w:color w:val="auto"/>
                      <w:szCs w:val="21"/>
                      <w:lang w:eastAsia="zh-CN"/>
                    </w:rPr>
                    <w:t>、搅拌、</w:t>
                  </w:r>
                  <w:r>
                    <w:rPr>
                      <w:rFonts w:hint="eastAsia"/>
                      <w:color w:val="auto"/>
                      <w:szCs w:val="21"/>
                    </w:rPr>
                    <w:t>运输车辆道路扬尘</w:t>
                  </w:r>
                </w:p>
              </w:tc>
              <w:tc>
                <w:tcPr>
                  <w:tcW w:w="3608" w:type="dxa"/>
                  <w:vAlign w:val="center"/>
                </w:tcPr>
                <w:p>
                  <w:pPr>
                    <w:spacing w:line="360" w:lineRule="exact"/>
                    <w:jc w:val="center"/>
                    <w:rPr>
                      <w:rFonts w:ascii="Times New Roman" w:hAnsi="Times New Roman"/>
                      <w:color w:val="auto"/>
                      <w:szCs w:val="21"/>
                    </w:rPr>
                  </w:pPr>
                  <w:r>
                    <w:rPr>
                      <w:rFonts w:ascii="Times New Roman" w:hAnsi="Times New Roman" w:cs="Times New Roman"/>
                      <w:color w:val="auto"/>
                      <w:sz w:val="21"/>
                      <w:szCs w:val="21"/>
                      <w:lang w:val="en-US"/>
                    </w:rPr>
                    <w:t>仓顶滤筒式除尘设施</w:t>
                  </w:r>
                  <w:r>
                    <w:rPr>
                      <w:rFonts w:hint="eastAsia" w:ascii="Times New Roman" w:hAnsi="Times New Roman" w:cs="Times New Roman"/>
                      <w:color w:val="auto"/>
                      <w:sz w:val="21"/>
                      <w:szCs w:val="21"/>
                      <w:lang w:val="en-US" w:eastAsia="zh-CN"/>
                    </w:rPr>
                    <w:t>、</w:t>
                  </w:r>
                  <w:r>
                    <w:rPr>
                      <w:color w:val="auto"/>
                      <w:szCs w:val="21"/>
                    </w:rPr>
                    <w:t>洒水降尘、车辆清洗</w:t>
                  </w:r>
                  <w:r>
                    <w:rPr>
                      <w:rFonts w:hint="eastAsia"/>
                      <w:color w:val="auto"/>
                      <w:szCs w:val="21"/>
                    </w:rPr>
                    <w:t>、密闭厂房</w:t>
                  </w:r>
                </w:p>
              </w:tc>
              <w:tc>
                <w:tcPr>
                  <w:tcW w:w="2475" w:type="dxa"/>
                  <w:vMerge w:val="continue"/>
                  <w:tcBorders>
                    <w:right w:val="single" w:color="auto" w:sz="12" w:space="0"/>
                  </w:tcBorders>
                  <w:vAlign w:val="center"/>
                </w:tcPr>
                <w:p>
                  <w:pPr>
                    <w:spacing w:line="360" w:lineRule="exact"/>
                    <w:jc w:val="center"/>
                    <w:rPr>
                      <w:rFonts w:ascii="Times New Roman" w:hAnsi="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 w:hRule="atLeast"/>
                <w:jc w:val="center"/>
              </w:trPr>
              <w:tc>
                <w:tcPr>
                  <w:tcW w:w="8528" w:type="dxa"/>
                  <w:gridSpan w:val="4"/>
                  <w:tcBorders>
                    <w:right w:val="single" w:color="auto" w:sz="12" w:space="0"/>
                  </w:tcBorders>
                  <w:vAlign w:val="center"/>
                </w:tcPr>
                <w:p>
                  <w:pPr>
                    <w:spacing w:line="360" w:lineRule="exact"/>
                    <w:jc w:val="center"/>
                    <w:rPr>
                      <w:rFonts w:ascii="Times New Roman" w:hAnsi="Times New Roman"/>
                      <w:color w:val="auto"/>
                      <w:szCs w:val="21"/>
                    </w:rPr>
                  </w:pPr>
                  <w:r>
                    <w:rPr>
                      <w:rFonts w:hint="eastAsia" w:ascii="Times New Roman" w:hAnsi="Times New Roman"/>
                      <w:color w:val="auto"/>
                      <w:szCs w:val="21"/>
                    </w:rPr>
                    <w:t>二、污水处理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 w:hRule="atLeast"/>
                <w:jc w:val="center"/>
              </w:trPr>
              <w:tc>
                <w:tcPr>
                  <w:tcW w:w="471" w:type="dxa"/>
                  <w:vAlign w:val="center"/>
                </w:tcPr>
                <w:p>
                  <w:pPr>
                    <w:spacing w:line="360" w:lineRule="exact"/>
                    <w:jc w:val="center"/>
                    <w:rPr>
                      <w:rFonts w:ascii="Times New Roman" w:hAnsi="Times New Roman"/>
                      <w:color w:val="auto"/>
                      <w:szCs w:val="21"/>
                    </w:rPr>
                  </w:pPr>
                  <w:r>
                    <w:rPr>
                      <w:rFonts w:hint="eastAsia" w:ascii="Times New Roman" w:hAnsi="Times New Roman"/>
                      <w:color w:val="auto"/>
                      <w:szCs w:val="21"/>
                    </w:rPr>
                    <w:t>1</w:t>
                  </w:r>
                </w:p>
              </w:tc>
              <w:tc>
                <w:tcPr>
                  <w:tcW w:w="1974" w:type="dxa"/>
                  <w:vAlign w:val="center"/>
                </w:tcPr>
                <w:p>
                  <w:pPr>
                    <w:spacing w:line="360" w:lineRule="exact"/>
                    <w:jc w:val="center"/>
                    <w:rPr>
                      <w:rFonts w:ascii="Times New Roman" w:hAnsi="Times New Roman"/>
                      <w:color w:val="auto"/>
                      <w:szCs w:val="21"/>
                    </w:rPr>
                  </w:pPr>
                  <w:r>
                    <w:rPr>
                      <w:rFonts w:ascii="Times New Roman" w:hAnsi="Times New Roman"/>
                      <w:color w:val="auto"/>
                      <w:szCs w:val="21"/>
                    </w:rPr>
                    <w:t>生活污水</w:t>
                  </w:r>
                </w:p>
              </w:tc>
              <w:tc>
                <w:tcPr>
                  <w:tcW w:w="3608" w:type="dxa"/>
                  <w:vAlign w:val="center"/>
                </w:tcPr>
                <w:p>
                  <w:pPr>
                    <w:spacing w:line="360" w:lineRule="exact"/>
                    <w:jc w:val="center"/>
                    <w:rPr>
                      <w:rFonts w:hint="eastAsia" w:ascii="Times New Roman" w:hAnsi="Times New Roman" w:eastAsia="宋体"/>
                      <w:color w:val="auto"/>
                      <w:szCs w:val="21"/>
                      <w:lang w:eastAsia="zh-CN"/>
                    </w:rPr>
                  </w:pPr>
                  <w:r>
                    <w:rPr>
                      <w:rFonts w:ascii="Times New Roman" w:hAnsi="Times New Roman"/>
                      <w:color w:val="auto"/>
                      <w:szCs w:val="21"/>
                    </w:rPr>
                    <w:t>生活污水</w:t>
                  </w:r>
                  <w:r>
                    <w:rPr>
                      <w:rFonts w:hint="eastAsia" w:ascii="Times New Roman" w:hAnsi="Times New Roman"/>
                      <w:color w:val="auto"/>
                      <w:szCs w:val="21"/>
                      <w:lang w:eastAsia="zh-CN"/>
                    </w:rPr>
                    <w:t>经地埋式一体化污水</w:t>
                  </w:r>
                  <w:r>
                    <w:rPr>
                      <w:rFonts w:ascii="Times New Roman" w:hAnsi="Times New Roman"/>
                      <w:color w:val="auto"/>
                      <w:szCs w:val="21"/>
                    </w:rPr>
                    <w:t>处理</w:t>
                  </w:r>
                  <w:r>
                    <w:rPr>
                      <w:rFonts w:hint="eastAsia" w:ascii="Times New Roman" w:hAnsi="Times New Roman"/>
                      <w:color w:val="auto"/>
                      <w:szCs w:val="21"/>
                      <w:lang w:eastAsia="zh-CN"/>
                    </w:rPr>
                    <w:t>设施</w:t>
                  </w:r>
                  <w:r>
                    <w:rPr>
                      <w:rFonts w:ascii="Times New Roman" w:hAnsi="Times New Roman"/>
                      <w:color w:val="auto"/>
                      <w:szCs w:val="21"/>
                    </w:rPr>
                    <w:t>处理后全部回用</w:t>
                  </w:r>
                  <w:r>
                    <w:rPr>
                      <w:rFonts w:hint="eastAsia" w:ascii="Times New Roman" w:hAnsi="Times New Roman"/>
                      <w:color w:val="auto"/>
                      <w:szCs w:val="21"/>
                      <w:lang w:eastAsia="zh-CN"/>
                    </w:rPr>
                    <w:t>于车辆冲洗，厂区绿化等（冬储夏灌）</w:t>
                  </w:r>
                </w:p>
              </w:tc>
              <w:tc>
                <w:tcPr>
                  <w:tcW w:w="2475" w:type="dxa"/>
                  <w:tcBorders>
                    <w:right w:val="single" w:color="auto" w:sz="12" w:space="0"/>
                  </w:tcBorders>
                  <w:vAlign w:val="center"/>
                </w:tcPr>
                <w:p>
                  <w:pPr>
                    <w:spacing w:line="360" w:lineRule="exact"/>
                    <w:jc w:val="center"/>
                    <w:rPr>
                      <w:rFonts w:ascii="Times New Roman" w:hAnsi="Times New Roman"/>
                      <w:color w:val="auto"/>
                      <w:szCs w:val="21"/>
                    </w:rPr>
                  </w:pPr>
                  <w:r>
                    <w:rPr>
                      <w:rFonts w:hint="eastAsia" w:ascii="Times New Roman" w:hAnsi="Times New Roman"/>
                      <w:color w:val="auto"/>
                      <w:szCs w:val="21"/>
                    </w:rPr>
                    <w:t>出水水质达到</w:t>
                  </w:r>
                  <w:r>
                    <w:rPr>
                      <w:rFonts w:ascii="Times New Roman" w:hAnsi="Times New Roman"/>
                      <w:color w:val="auto"/>
                      <w:szCs w:val="21"/>
                    </w:rPr>
                    <w:t xml:space="preserve">《城市污水再生利用 </w:t>
                  </w:r>
                  <w:r>
                    <w:rPr>
                      <w:rFonts w:hint="eastAsia" w:ascii="Times New Roman" w:hAnsi="Times New Roman"/>
                      <w:color w:val="auto"/>
                      <w:szCs w:val="21"/>
                      <w:lang w:eastAsia="zh-CN"/>
                    </w:rPr>
                    <w:t>杂用水</w:t>
                  </w:r>
                  <w:r>
                    <w:rPr>
                      <w:rFonts w:ascii="Times New Roman" w:hAnsi="Times New Roman"/>
                      <w:color w:val="auto"/>
                      <w:szCs w:val="21"/>
                    </w:rPr>
                    <w:t>水质》</w:t>
                  </w:r>
                  <w:r>
                    <w:rPr>
                      <w:rFonts w:hint="eastAsia" w:ascii="Times New Roman" w:hAnsi="Times New Roman"/>
                      <w:color w:val="auto"/>
                      <w:szCs w:val="21"/>
                    </w:rPr>
                    <w:t>（</w:t>
                  </w:r>
                  <w:r>
                    <w:rPr>
                      <w:rFonts w:ascii="Times New Roman" w:hAnsi="Times New Roman"/>
                      <w:color w:val="auto"/>
                      <w:szCs w:val="21"/>
                    </w:rPr>
                    <w:t>GB/T</w:t>
                  </w:r>
                  <w:r>
                    <w:rPr>
                      <w:rFonts w:hint="eastAsia" w:ascii="Times New Roman" w:hAnsi="Times New Roman"/>
                      <w:color w:val="auto"/>
                      <w:szCs w:val="21"/>
                      <w:lang w:val="en-US" w:eastAsia="zh-CN"/>
                    </w:rPr>
                    <w:t>18920</w:t>
                  </w:r>
                  <w:r>
                    <w:rPr>
                      <w:rFonts w:ascii="Times New Roman" w:hAnsi="Times New Roman"/>
                      <w:color w:val="auto"/>
                      <w:szCs w:val="21"/>
                    </w:rPr>
                    <w:t>-2010</w:t>
                  </w:r>
                  <w:r>
                    <w:rPr>
                      <w:rFonts w:hint="eastAsia" w:ascii="Times New Roman" w:hAnsi="Times New Roman"/>
                      <w:color w:val="auto"/>
                      <w:szCs w:val="21"/>
                    </w:rPr>
                    <w:t>）</w:t>
                  </w:r>
                  <w:r>
                    <w:rPr>
                      <w:rFonts w:ascii="Times New Roman" w:hAnsi="Times New Roman"/>
                      <w:color w:val="auto"/>
                      <w:szCs w:val="21"/>
                    </w:rPr>
                    <w:t>标准</w:t>
                  </w:r>
                  <w:r>
                    <w:rPr>
                      <w:rFonts w:hint="eastAsia" w:ascii="Times New Roman" w:hAnsi="Times New Roman"/>
                      <w:color w:val="auto"/>
                      <w:szCs w:val="21"/>
                    </w:rPr>
                    <w:t>，全部回用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8528" w:type="dxa"/>
                  <w:gridSpan w:val="4"/>
                  <w:tcBorders>
                    <w:right w:val="single" w:color="auto" w:sz="12" w:space="0"/>
                  </w:tcBorders>
                  <w:vAlign w:val="center"/>
                </w:tcPr>
                <w:p>
                  <w:pPr>
                    <w:spacing w:line="360" w:lineRule="exact"/>
                    <w:jc w:val="center"/>
                    <w:rPr>
                      <w:rFonts w:ascii="Times New Roman" w:hAnsi="Times New Roman"/>
                      <w:color w:val="auto"/>
                      <w:szCs w:val="21"/>
                    </w:rPr>
                  </w:pPr>
                  <w:r>
                    <w:rPr>
                      <w:rFonts w:hint="eastAsia" w:ascii="Times New Roman" w:hAnsi="Times New Roman"/>
                      <w:color w:val="auto"/>
                      <w:szCs w:val="21"/>
                    </w:rPr>
                    <w:t>三</w:t>
                  </w:r>
                  <w:r>
                    <w:rPr>
                      <w:rFonts w:hint="eastAsia" w:ascii="Times New Roman" w:hAnsi="Times New Roman"/>
                      <w:color w:val="auto"/>
                      <w:szCs w:val="21"/>
                      <w:lang w:eastAsia="zh-CN"/>
                    </w:rPr>
                    <w:t>、</w:t>
                  </w:r>
                  <w:r>
                    <w:rPr>
                      <w:rFonts w:ascii="Times New Roman" w:hAnsi="Times New Roman"/>
                      <w:color w:val="auto"/>
                      <w:szCs w:val="21"/>
                    </w:rPr>
                    <w:t>噪声污染治理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471" w:type="dxa"/>
                  <w:vAlign w:val="center"/>
                </w:tcPr>
                <w:p>
                  <w:pPr>
                    <w:spacing w:line="360" w:lineRule="exact"/>
                    <w:jc w:val="center"/>
                    <w:rPr>
                      <w:rFonts w:hint="eastAsia" w:ascii="Times New Roman" w:hAnsi="Times New Roman" w:eastAsia="宋体"/>
                      <w:color w:val="auto"/>
                      <w:szCs w:val="21"/>
                      <w:lang w:val="en-US" w:eastAsia="zh-CN"/>
                    </w:rPr>
                  </w:pPr>
                  <w:r>
                    <w:rPr>
                      <w:rFonts w:hint="eastAsia" w:ascii="Times New Roman" w:hAnsi="Times New Roman"/>
                      <w:color w:val="auto"/>
                      <w:szCs w:val="21"/>
                      <w:lang w:val="en-US" w:eastAsia="zh-CN"/>
                    </w:rPr>
                    <w:t>1</w:t>
                  </w:r>
                </w:p>
              </w:tc>
              <w:tc>
                <w:tcPr>
                  <w:tcW w:w="1974" w:type="dxa"/>
                  <w:vAlign w:val="center"/>
                </w:tcPr>
                <w:p>
                  <w:pPr>
                    <w:spacing w:line="360" w:lineRule="exact"/>
                    <w:jc w:val="center"/>
                    <w:rPr>
                      <w:rFonts w:hint="eastAsia" w:ascii="Times New Roman" w:hAnsi="Times New Roman" w:eastAsia="宋体"/>
                      <w:color w:val="auto"/>
                      <w:szCs w:val="21"/>
                      <w:lang w:eastAsia="zh-CN"/>
                    </w:rPr>
                  </w:pPr>
                  <w:r>
                    <w:rPr>
                      <w:rFonts w:hint="eastAsia" w:ascii="Times New Roman" w:hAnsi="Times New Roman"/>
                      <w:color w:val="auto"/>
                      <w:szCs w:val="21"/>
                      <w:lang w:eastAsia="zh-CN"/>
                    </w:rPr>
                    <w:t>噪声</w:t>
                  </w:r>
                </w:p>
              </w:tc>
              <w:tc>
                <w:tcPr>
                  <w:tcW w:w="3608" w:type="dxa"/>
                  <w:vAlign w:val="center"/>
                </w:tcPr>
                <w:p>
                  <w:pPr>
                    <w:adjustRightInd w:val="0"/>
                    <w:snapToGrid w:val="0"/>
                    <w:jc w:val="center"/>
                    <w:rPr>
                      <w:rFonts w:ascii="Times New Roman" w:hAnsi="Times New Roman" w:eastAsia="宋体" w:cs="Times New Roman"/>
                      <w:color w:val="auto"/>
                      <w:kern w:val="2"/>
                      <w:sz w:val="21"/>
                      <w:szCs w:val="21"/>
                      <w:lang w:val="en-US" w:eastAsia="zh-CN" w:bidi="ar-SA"/>
                    </w:rPr>
                  </w:pPr>
                  <w:r>
                    <w:rPr>
                      <w:color w:val="auto"/>
                      <w:szCs w:val="21"/>
                    </w:rPr>
                    <w:t>安装减震垫、密闭操作室、厂房隔声、安装消声器等降噪措施</w:t>
                  </w:r>
                </w:p>
              </w:tc>
              <w:tc>
                <w:tcPr>
                  <w:tcW w:w="2475" w:type="dxa"/>
                  <w:tcBorders>
                    <w:right w:val="single" w:color="auto" w:sz="12" w:space="0"/>
                  </w:tcBorders>
                  <w:vAlign w:val="center"/>
                </w:tcPr>
                <w:p>
                  <w:pPr>
                    <w:spacing w:line="360" w:lineRule="exact"/>
                    <w:jc w:val="center"/>
                    <w:rPr>
                      <w:rFonts w:ascii="Times New Roman" w:hAnsi="Times New Roman"/>
                      <w:color w:val="auto"/>
                      <w:szCs w:val="21"/>
                    </w:rPr>
                  </w:pPr>
                  <w:r>
                    <w:rPr>
                      <w:rFonts w:ascii="Times New Roman" w:hAnsi="Times New Roman"/>
                      <w:color w:val="auto"/>
                      <w:szCs w:val="21"/>
                    </w:rPr>
                    <w:t>厂界噪声满足《工业企业厂界环境噪声排放标准》（GB12348-2008）中的</w:t>
                  </w:r>
                  <w:r>
                    <w:rPr>
                      <w:rFonts w:hint="eastAsia" w:ascii="Times New Roman" w:hAnsi="Times New Roman"/>
                      <w:color w:val="auto"/>
                      <w:szCs w:val="21"/>
                      <w:lang w:val="en-US" w:eastAsia="zh-CN"/>
                    </w:rPr>
                    <w:t>2</w:t>
                  </w:r>
                  <w:r>
                    <w:rPr>
                      <w:rFonts w:ascii="Times New Roman" w:hAnsi="Times New Roman"/>
                      <w:color w:val="auto"/>
                      <w:szCs w:val="21"/>
                    </w:rPr>
                    <w:t>类标准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1" w:hRule="atLeast"/>
                <w:jc w:val="center"/>
              </w:trPr>
              <w:tc>
                <w:tcPr>
                  <w:tcW w:w="8528" w:type="dxa"/>
                  <w:gridSpan w:val="4"/>
                  <w:tcBorders>
                    <w:right w:val="single" w:color="auto" w:sz="12" w:space="0"/>
                  </w:tcBorders>
                  <w:vAlign w:val="center"/>
                </w:tcPr>
                <w:p>
                  <w:pPr>
                    <w:spacing w:line="360" w:lineRule="exact"/>
                    <w:jc w:val="center"/>
                    <w:rPr>
                      <w:rFonts w:ascii="Times New Roman" w:hAnsi="Times New Roman"/>
                      <w:color w:val="auto"/>
                      <w:szCs w:val="21"/>
                    </w:rPr>
                  </w:pPr>
                  <w:r>
                    <w:rPr>
                      <w:rFonts w:hint="eastAsia" w:ascii="Times New Roman" w:hAnsi="Times New Roman"/>
                      <w:color w:val="auto"/>
                      <w:szCs w:val="21"/>
                      <w:lang w:eastAsia="zh-CN"/>
                    </w:rPr>
                    <w:t>四</w:t>
                  </w:r>
                  <w:r>
                    <w:rPr>
                      <w:rFonts w:ascii="Times New Roman" w:hAnsi="Times New Roman"/>
                      <w:color w:val="auto"/>
                      <w:szCs w:val="21"/>
                    </w:rPr>
                    <w:t>、固体废物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1" w:hRule="atLeast"/>
                <w:jc w:val="center"/>
              </w:trPr>
              <w:tc>
                <w:tcPr>
                  <w:tcW w:w="471" w:type="dxa"/>
                  <w:vAlign w:val="center"/>
                </w:tcPr>
                <w:p>
                  <w:pPr>
                    <w:spacing w:line="360" w:lineRule="exact"/>
                    <w:jc w:val="center"/>
                    <w:rPr>
                      <w:rFonts w:ascii="Times New Roman" w:hAnsi="Times New Roman"/>
                      <w:color w:val="auto"/>
                      <w:szCs w:val="21"/>
                    </w:rPr>
                  </w:pPr>
                  <w:r>
                    <w:rPr>
                      <w:rFonts w:ascii="Times New Roman" w:hAnsi="Times New Roman"/>
                      <w:color w:val="auto"/>
                      <w:szCs w:val="21"/>
                    </w:rPr>
                    <w:t>1</w:t>
                  </w:r>
                </w:p>
              </w:tc>
              <w:tc>
                <w:tcPr>
                  <w:tcW w:w="1974" w:type="dxa"/>
                  <w:vAlign w:val="center"/>
                </w:tcPr>
                <w:p>
                  <w:pPr>
                    <w:spacing w:line="360" w:lineRule="exact"/>
                    <w:jc w:val="center"/>
                    <w:rPr>
                      <w:rFonts w:hint="eastAsia" w:ascii="Times New Roman" w:hAnsi="Times New Roman" w:eastAsia="宋体"/>
                      <w:color w:val="auto"/>
                      <w:szCs w:val="21"/>
                      <w:lang w:eastAsia="zh-CN"/>
                    </w:rPr>
                  </w:pPr>
                  <w:r>
                    <w:rPr>
                      <w:rFonts w:hint="eastAsia" w:ascii="Times New Roman" w:hAnsi="Times New Roman"/>
                      <w:color w:val="auto"/>
                      <w:szCs w:val="21"/>
                      <w:lang w:eastAsia="zh-CN"/>
                    </w:rPr>
                    <w:t>生活垃圾及分拣出的未燃尽垃圾</w:t>
                  </w:r>
                </w:p>
              </w:tc>
              <w:tc>
                <w:tcPr>
                  <w:tcW w:w="3608" w:type="dxa"/>
                  <w:vAlign w:val="center"/>
                </w:tcPr>
                <w:p>
                  <w:pPr>
                    <w:spacing w:line="360" w:lineRule="exact"/>
                    <w:jc w:val="center"/>
                    <w:rPr>
                      <w:rFonts w:ascii="Times New Roman" w:hAnsi="Times New Roman"/>
                      <w:color w:val="auto"/>
                      <w:szCs w:val="21"/>
                    </w:rPr>
                  </w:pPr>
                  <w:r>
                    <w:rPr>
                      <w:rFonts w:hint="eastAsia" w:ascii="Times New Roman" w:hAnsi="Times New Roman"/>
                      <w:color w:val="auto"/>
                      <w:szCs w:val="21"/>
                    </w:rPr>
                    <w:t>交由昌吉市城北垃圾焚烧厂处理</w:t>
                  </w:r>
                </w:p>
              </w:tc>
              <w:tc>
                <w:tcPr>
                  <w:tcW w:w="2475" w:type="dxa"/>
                  <w:tcBorders>
                    <w:right w:val="single" w:color="auto" w:sz="12" w:space="0"/>
                  </w:tcBorders>
                  <w:vAlign w:val="center"/>
                </w:tcPr>
                <w:p>
                  <w:pPr>
                    <w:spacing w:line="360" w:lineRule="exact"/>
                    <w:jc w:val="center"/>
                    <w:rPr>
                      <w:rFonts w:ascii="Times New Roman" w:hAnsi="Times New Roman"/>
                      <w:color w:val="auto"/>
                      <w:szCs w:val="21"/>
                    </w:rPr>
                  </w:pPr>
                  <w:r>
                    <w:rPr>
                      <w:rFonts w:ascii="Times New Roman" w:hAnsi="Times New Roman"/>
                      <w:color w:val="auto"/>
                      <w:szCs w:val="21"/>
                    </w:rPr>
                    <w:t>《一般工业固体废物贮存和填埋场污染控制标准》（GB18599-2020）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1" w:hRule="atLeast"/>
                <w:jc w:val="center"/>
              </w:trPr>
              <w:tc>
                <w:tcPr>
                  <w:tcW w:w="471" w:type="dxa"/>
                  <w:vAlign w:val="center"/>
                </w:tcPr>
                <w:p>
                  <w:pPr>
                    <w:spacing w:line="360" w:lineRule="exact"/>
                    <w:jc w:val="center"/>
                    <w:rPr>
                      <w:rFonts w:ascii="Times New Roman" w:hAnsi="Times New Roman" w:eastAsia="宋体" w:cs="Times New Roman"/>
                      <w:color w:val="auto"/>
                      <w:kern w:val="2"/>
                      <w:sz w:val="21"/>
                      <w:szCs w:val="21"/>
                      <w:lang w:val="en-US" w:eastAsia="zh-CN" w:bidi="ar-SA"/>
                    </w:rPr>
                  </w:pPr>
                  <w:r>
                    <w:rPr>
                      <w:rFonts w:ascii="Times New Roman" w:hAnsi="Times New Roman"/>
                      <w:color w:val="auto"/>
                      <w:szCs w:val="21"/>
                    </w:rPr>
                    <w:t>2</w:t>
                  </w:r>
                </w:p>
              </w:tc>
              <w:tc>
                <w:tcPr>
                  <w:tcW w:w="1974" w:type="dxa"/>
                  <w:vAlign w:val="center"/>
                </w:tcPr>
                <w:p>
                  <w:pPr>
                    <w:spacing w:line="360" w:lineRule="exact"/>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Cs w:val="21"/>
                    </w:rPr>
                    <w:t>金属废渣</w:t>
                  </w:r>
                </w:p>
              </w:tc>
              <w:tc>
                <w:tcPr>
                  <w:tcW w:w="3608" w:type="dxa"/>
                  <w:vAlign w:val="center"/>
                </w:tcPr>
                <w:p>
                  <w:pPr>
                    <w:spacing w:line="360" w:lineRule="exact"/>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Cs w:val="21"/>
                      <w:lang w:eastAsia="zh-CN"/>
                    </w:rPr>
                    <w:t>外售</w:t>
                  </w:r>
                </w:p>
              </w:tc>
              <w:tc>
                <w:tcPr>
                  <w:tcW w:w="2475" w:type="dxa"/>
                  <w:tcBorders>
                    <w:right w:val="single" w:color="auto" w:sz="12" w:space="0"/>
                  </w:tcBorders>
                  <w:vAlign w:val="center"/>
                </w:tcPr>
                <w:p>
                  <w:pPr>
                    <w:spacing w:line="360" w:lineRule="exact"/>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Cs w:val="21"/>
                      <w:lang w:val="en-US" w:eastAsia="zh-CN"/>
                    </w:rPr>
                    <w:t>合理处置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471" w:type="dxa"/>
                  <w:vAlign w:val="center"/>
                </w:tcPr>
                <w:p>
                  <w:pPr>
                    <w:spacing w:line="360" w:lineRule="exact"/>
                    <w:jc w:val="center"/>
                    <w:rPr>
                      <w:rFonts w:hint="eastAsia" w:ascii="Times New Roman" w:hAnsi="Times New Roman" w:eastAsia="宋体"/>
                      <w:color w:val="auto"/>
                      <w:szCs w:val="21"/>
                      <w:lang w:val="en-US" w:eastAsia="zh-CN"/>
                    </w:rPr>
                  </w:pPr>
                  <w:r>
                    <w:rPr>
                      <w:rFonts w:hint="eastAsia" w:ascii="Times New Roman" w:hAnsi="Times New Roman"/>
                      <w:color w:val="auto"/>
                      <w:szCs w:val="21"/>
                      <w:lang w:val="en-US" w:eastAsia="zh-CN"/>
                    </w:rPr>
                    <w:t>3</w:t>
                  </w:r>
                </w:p>
              </w:tc>
              <w:tc>
                <w:tcPr>
                  <w:tcW w:w="1974" w:type="dxa"/>
                  <w:vAlign w:val="center"/>
                </w:tcPr>
                <w:p>
                  <w:pPr>
                    <w:spacing w:line="360" w:lineRule="exact"/>
                    <w:jc w:val="center"/>
                    <w:rPr>
                      <w:rFonts w:hint="eastAsia" w:ascii="Times New Roman" w:hAnsi="Times New Roman" w:eastAsia="宋体"/>
                      <w:color w:val="auto"/>
                      <w:szCs w:val="21"/>
                      <w:lang w:eastAsia="zh-CN"/>
                    </w:rPr>
                  </w:pPr>
                  <w:r>
                    <w:rPr>
                      <w:rFonts w:hint="eastAsia" w:ascii="Times New Roman" w:hAnsi="Times New Roman"/>
                      <w:color w:val="auto"/>
                      <w:szCs w:val="21"/>
                      <w:lang w:eastAsia="zh-CN"/>
                    </w:rPr>
                    <w:t>循环水池沉渣</w:t>
                  </w:r>
                </w:p>
              </w:tc>
              <w:tc>
                <w:tcPr>
                  <w:tcW w:w="3608" w:type="dxa"/>
                  <w:vMerge w:val="restart"/>
                  <w:vAlign w:val="center"/>
                </w:tcPr>
                <w:p>
                  <w:pPr>
                    <w:spacing w:line="360" w:lineRule="exact"/>
                    <w:jc w:val="center"/>
                    <w:rPr>
                      <w:rFonts w:hint="eastAsia" w:ascii="Times New Roman" w:hAnsi="Times New Roman"/>
                      <w:color w:val="auto"/>
                      <w:szCs w:val="21"/>
                      <w:lang w:eastAsia="zh-CN"/>
                    </w:rPr>
                  </w:pPr>
                  <w:r>
                    <w:rPr>
                      <w:rFonts w:hint="eastAsia" w:ascii="Times New Roman" w:hAnsi="Times New Roman"/>
                      <w:color w:val="auto"/>
                      <w:szCs w:val="21"/>
                      <w:lang w:eastAsia="zh-CN"/>
                    </w:rPr>
                    <w:t>回用制砖</w:t>
                  </w:r>
                </w:p>
              </w:tc>
              <w:tc>
                <w:tcPr>
                  <w:tcW w:w="2475" w:type="dxa"/>
                  <w:vMerge w:val="restart"/>
                  <w:tcBorders>
                    <w:right w:val="single" w:color="auto" w:sz="12" w:space="0"/>
                  </w:tcBorders>
                  <w:vAlign w:val="center"/>
                </w:tcPr>
                <w:p>
                  <w:pPr>
                    <w:spacing w:line="360" w:lineRule="exact"/>
                    <w:jc w:val="center"/>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合理处置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1" w:hRule="atLeast"/>
                <w:jc w:val="center"/>
              </w:trPr>
              <w:tc>
                <w:tcPr>
                  <w:tcW w:w="471" w:type="dxa"/>
                  <w:vAlign w:val="center"/>
                </w:tcPr>
                <w:p>
                  <w:pPr>
                    <w:spacing w:line="360" w:lineRule="exact"/>
                    <w:jc w:val="center"/>
                    <w:rPr>
                      <w:rFonts w:hint="eastAsia" w:ascii="Times New Roman" w:hAnsi="Times New Roman" w:eastAsia="宋体"/>
                      <w:color w:val="auto"/>
                      <w:szCs w:val="21"/>
                      <w:lang w:val="en-US" w:eastAsia="zh-CN"/>
                    </w:rPr>
                  </w:pPr>
                  <w:r>
                    <w:rPr>
                      <w:rFonts w:hint="eastAsia" w:ascii="Times New Roman" w:hAnsi="Times New Roman"/>
                      <w:color w:val="auto"/>
                      <w:szCs w:val="21"/>
                      <w:lang w:val="en-US" w:eastAsia="zh-CN"/>
                    </w:rPr>
                    <w:t>4</w:t>
                  </w:r>
                </w:p>
              </w:tc>
              <w:tc>
                <w:tcPr>
                  <w:tcW w:w="1974" w:type="dxa"/>
                  <w:vAlign w:val="center"/>
                </w:tcPr>
                <w:p>
                  <w:pPr>
                    <w:spacing w:line="360" w:lineRule="exact"/>
                    <w:jc w:val="center"/>
                    <w:rPr>
                      <w:rFonts w:hint="eastAsia" w:ascii="Times New Roman" w:hAnsi="Times New Roman" w:eastAsia="宋体"/>
                      <w:color w:val="auto"/>
                      <w:szCs w:val="21"/>
                      <w:lang w:eastAsia="zh-CN"/>
                    </w:rPr>
                  </w:pPr>
                  <w:r>
                    <w:rPr>
                      <w:rFonts w:hint="eastAsia" w:ascii="Times New Roman" w:hAnsi="Times New Roman"/>
                      <w:color w:val="auto"/>
                      <w:szCs w:val="21"/>
                      <w:lang w:eastAsia="zh-CN"/>
                    </w:rPr>
                    <w:t>除尘灰</w:t>
                  </w:r>
                </w:p>
              </w:tc>
              <w:tc>
                <w:tcPr>
                  <w:tcW w:w="3608" w:type="dxa"/>
                  <w:vMerge w:val="continue"/>
                  <w:vAlign w:val="center"/>
                </w:tcPr>
                <w:p>
                  <w:pPr>
                    <w:spacing w:line="360" w:lineRule="exact"/>
                    <w:jc w:val="center"/>
                    <w:rPr>
                      <w:rFonts w:hint="eastAsia" w:ascii="Times New Roman" w:hAnsi="Times New Roman" w:eastAsia="宋体"/>
                      <w:color w:val="auto"/>
                      <w:szCs w:val="21"/>
                      <w:lang w:eastAsia="zh-CN"/>
                    </w:rPr>
                  </w:pPr>
                </w:p>
              </w:tc>
              <w:tc>
                <w:tcPr>
                  <w:tcW w:w="2475" w:type="dxa"/>
                  <w:vMerge w:val="continue"/>
                  <w:tcBorders>
                    <w:right w:val="single" w:color="auto" w:sz="12" w:space="0"/>
                  </w:tcBorders>
                  <w:vAlign w:val="center"/>
                </w:tcPr>
                <w:p>
                  <w:pPr>
                    <w:spacing w:line="360" w:lineRule="exact"/>
                    <w:jc w:val="center"/>
                    <w:rPr>
                      <w:rFonts w:hint="eastAsia" w:ascii="Times New Roman" w:hAnsi="Times New Roman" w:eastAsia="宋体"/>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1" w:hRule="atLeast"/>
                <w:jc w:val="center"/>
              </w:trPr>
              <w:tc>
                <w:tcPr>
                  <w:tcW w:w="471" w:type="dxa"/>
                  <w:vAlign w:val="center"/>
                </w:tcPr>
                <w:p>
                  <w:pPr>
                    <w:spacing w:line="360" w:lineRule="exact"/>
                    <w:jc w:val="center"/>
                    <w:rPr>
                      <w:rFonts w:hint="eastAsia" w:ascii="Times New Roman" w:hAnsi="Times New Roman" w:eastAsia="宋体"/>
                      <w:color w:val="auto"/>
                      <w:szCs w:val="21"/>
                      <w:lang w:eastAsia="zh-CN"/>
                    </w:rPr>
                  </w:pPr>
                  <w:r>
                    <w:rPr>
                      <w:rFonts w:hint="eastAsia" w:ascii="Times New Roman" w:hAnsi="Times New Roman"/>
                      <w:color w:val="auto"/>
                      <w:szCs w:val="21"/>
                      <w:lang w:val="en-US" w:eastAsia="zh-CN"/>
                    </w:rPr>
                    <w:t>5</w:t>
                  </w:r>
                </w:p>
              </w:tc>
              <w:tc>
                <w:tcPr>
                  <w:tcW w:w="1974" w:type="dxa"/>
                  <w:vAlign w:val="center"/>
                </w:tcPr>
                <w:p>
                  <w:pPr>
                    <w:snapToGrid w:val="0"/>
                    <w:spacing w:line="360" w:lineRule="exact"/>
                    <w:jc w:val="center"/>
                    <w:rPr>
                      <w:rFonts w:ascii="Times New Roman" w:hAnsi="Times New Roman"/>
                      <w:color w:val="auto"/>
                      <w:szCs w:val="21"/>
                    </w:rPr>
                  </w:pPr>
                  <w:r>
                    <w:rPr>
                      <w:rFonts w:ascii="Times New Roman" w:hAnsi="Times New Roman"/>
                      <w:color w:val="auto"/>
                    </w:rPr>
                    <w:t>废机油</w:t>
                  </w:r>
                </w:p>
              </w:tc>
              <w:tc>
                <w:tcPr>
                  <w:tcW w:w="3608" w:type="dxa"/>
                  <w:vAlign w:val="center"/>
                </w:tcPr>
                <w:p>
                  <w:pPr>
                    <w:spacing w:line="360" w:lineRule="exact"/>
                    <w:jc w:val="center"/>
                    <w:rPr>
                      <w:rFonts w:ascii="Times New Roman" w:hAnsi="Times New Roman"/>
                      <w:color w:val="auto"/>
                      <w:szCs w:val="21"/>
                    </w:rPr>
                  </w:pPr>
                  <w:r>
                    <w:rPr>
                      <w:rFonts w:hint="eastAsia" w:ascii="Times New Roman" w:hAnsi="Times New Roman"/>
                      <w:color w:val="auto"/>
                      <w:szCs w:val="21"/>
                    </w:rPr>
                    <w:t>由设备厂家（具有危废处置资质）带走，不在厂区贮存。</w:t>
                  </w:r>
                </w:p>
              </w:tc>
              <w:tc>
                <w:tcPr>
                  <w:tcW w:w="2475" w:type="dxa"/>
                  <w:tcBorders>
                    <w:right w:val="single" w:color="auto" w:sz="12" w:space="0"/>
                  </w:tcBorders>
                  <w:vAlign w:val="center"/>
                </w:tcPr>
                <w:p>
                  <w:pPr>
                    <w:spacing w:line="360" w:lineRule="exact"/>
                    <w:jc w:val="center"/>
                    <w:rPr>
                      <w:rFonts w:hint="eastAsia" w:ascii="Times New Roman" w:hAnsi="Times New Roman" w:eastAsia="宋体"/>
                      <w:color w:val="auto"/>
                      <w:szCs w:val="21"/>
                      <w:lang w:eastAsia="zh-CN"/>
                    </w:rPr>
                  </w:pPr>
                  <w:r>
                    <w:rPr>
                      <w:rFonts w:hint="eastAsia" w:ascii="Times New Roman" w:hAnsi="Times New Roman"/>
                      <w:color w:val="auto"/>
                      <w:szCs w:val="21"/>
                    </w:rPr>
                    <w:t>合理处置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1" w:hRule="atLeast"/>
                <w:jc w:val="center"/>
              </w:trPr>
              <w:tc>
                <w:tcPr>
                  <w:tcW w:w="8528" w:type="dxa"/>
                  <w:gridSpan w:val="4"/>
                  <w:tcBorders>
                    <w:right w:val="single" w:color="auto" w:sz="12" w:space="0"/>
                  </w:tcBorders>
                  <w:vAlign w:val="center"/>
                </w:tcPr>
                <w:p>
                  <w:pPr>
                    <w:spacing w:line="360" w:lineRule="exact"/>
                    <w:jc w:val="center"/>
                    <w:rPr>
                      <w:rFonts w:ascii="Times New Roman" w:hAnsi="Times New Roman"/>
                      <w:color w:val="auto"/>
                      <w:szCs w:val="21"/>
                    </w:rPr>
                  </w:pPr>
                  <w:r>
                    <w:rPr>
                      <w:rFonts w:hint="eastAsia" w:ascii="Times New Roman" w:hAnsi="Times New Roman"/>
                      <w:color w:val="auto"/>
                      <w:szCs w:val="21"/>
                      <w:lang w:eastAsia="zh-CN"/>
                    </w:rPr>
                    <w:t>五</w:t>
                  </w:r>
                  <w:r>
                    <w:rPr>
                      <w:rFonts w:hint="eastAsia" w:ascii="Times New Roman" w:hAnsi="Times New Roman"/>
                      <w:color w:val="auto"/>
                      <w:szCs w:val="21"/>
                    </w:rPr>
                    <w:t>、生态环境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1" w:hRule="atLeast"/>
                <w:jc w:val="center"/>
              </w:trPr>
              <w:tc>
                <w:tcPr>
                  <w:tcW w:w="471" w:type="dxa"/>
                  <w:vAlign w:val="center"/>
                </w:tcPr>
                <w:p>
                  <w:pPr>
                    <w:spacing w:line="360" w:lineRule="exact"/>
                    <w:jc w:val="center"/>
                    <w:rPr>
                      <w:rFonts w:ascii="Times New Roman" w:hAnsi="Times New Roman"/>
                      <w:color w:val="auto"/>
                      <w:szCs w:val="21"/>
                    </w:rPr>
                  </w:pPr>
                  <w:r>
                    <w:rPr>
                      <w:rFonts w:hint="eastAsia" w:ascii="Times New Roman" w:hAnsi="Times New Roman"/>
                      <w:color w:val="auto"/>
                      <w:szCs w:val="21"/>
                    </w:rPr>
                    <w:t>1</w:t>
                  </w:r>
                </w:p>
              </w:tc>
              <w:tc>
                <w:tcPr>
                  <w:tcW w:w="1974" w:type="dxa"/>
                  <w:vAlign w:val="center"/>
                </w:tcPr>
                <w:p>
                  <w:pPr>
                    <w:spacing w:line="360" w:lineRule="exact"/>
                    <w:jc w:val="center"/>
                    <w:rPr>
                      <w:rFonts w:hint="eastAsia" w:ascii="Times New Roman" w:hAnsi="Times New Roman" w:eastAsia="宋体"/>
                      <w:color w:val="auto"/>
                      <w:szCs w:val="21"/>
                      <w:lang w:val="zh-CN" w:eastAsia="zh-CN"/>
                    </w:rPr>
                  </w:pPr>
                  <w:r>
                    <w:rPr>
                      <w:rFonts w:hint="eastAsia" w:ascii="Times New Roman" w:hAnsi="Times New Roman"/>
                      <w:color w:val="auto"/>
                      <w:szCs w:val="21"/>
                      <w:lang w:eastAsia="zh-CN"/>
                    </w:rPr>
                    <w:t>厂区绿化</w:t>
                  </w:r>
                </w:p>
              </w:tc>
              <w:tc>
                <w:tcPr>
                  <w:tcW w:w="3608" w:type="dxa"/>
                  <w:vAlign w:val="center"/>
                </w:tcPr>
                <w:p>
                  <w:pPr>
                    <w:spacing w:line="360" w:lineRule="exact"/>
                    <w:jc w:val="center"/>
                    <w:rPr>
                      <w:rFonts w:hint="eastAsia" w:ascii="Times New Roman" w:hAnsi="Times New Roman" w:eastAsia="宋体"/>
                      <w:color w:val="auto"/>
                      <w:szCs w:val="21"/>
                      <w:lang w:val="zh-CN" w:eastAsia="zh-CN"/>
                    </w:rPr>
                  </w:pPr>
                  <w:r>
                    <w:rPr>
                      <w:rFonts w:hint="eastAsia" w:ascii="Times New Roman" w:hAnsi="Times New Roman"/>
                      <w:color w:val="auto"/>
                      <w:szCs w:val="21"/>
                      <w:lang w:eastAsia="zh-CN"/>
                    </w:rPr>
                    <w:t>厂区绿化，</w:t>
                  </w:r>
                  <w:r>
                    <w:rPr>
                      <w:snapToGrid w:val="0"/>
                      <w:color w:val="auto"/>
                      <w:szCs w:val="21"/>
                    </w:rPr>
                    <w:t>建设期防止水土流失。</w:t>
                  </w:r>
                </w:p>
              </w:tc>
              <w:tc>
                <w:tcPr>
                  <w:tcW w:w="2475" w:type="dxa"/>
                  <w:tcBorders>
                    <w:right w:val="single" w:color="auto" w:sz="12" w:space="0"/>
                  </w:tcBorders>
                  <w:vAlign w:val="center"/>
                </w:tcPr>
                <w:p>
                  <w:pPr>
                    <w:spacing w:line="360" w:lineRule="exact"/>
                    <w:jc w:val="center"/>
                    <w:rPr>
                      <w:rFonts w:hint="eastAsia" w:ascii="Times New Roman" w:hAnsi="Times New Roman" w:eastAsia="宋体"/>
                      <w:color w:val="auto"/>
                      <w:szCs w:val="21"/>
                      <w:lang w:eastAsia="zh-CN"/>
                    </w:rPr>
                  </w:pPr>
                  <w:r>
                    <w:rPr>
                      <w:rFonts w:hint="eastAsia" w:ascii="Times New Roman" w:hAnsi="Times New Roman"/>
                      <w:color w:val="auto"/>
                      <w:szCs w:val="21"/>
                      <w:lang w:val="en-US" w:eastAsia="zh-CN"/>
                    </w:rPr>
                    <w:t>/</w:t>
                  </w:r>
                </w:p>
              </w:tc>
            </w:tr>
          </w:tbl>
          <w:p>
            <w:pPr>
              <w:pStyle w:val="8"/>
              <w:rPr>
                <w:rFonts w:hint="default"/>
                <w:color w:val="auto"/>
                <w:lang w:val="en-US" w:eastAsia="zh-CN"/>
              </w:rPr>
            </w:pPr>
          </w:p>
        </w:tc>
      </w:tr>
    </w:tbl>
    <w:p>
      <w:pPr>
        <w:adjustRightInd w:val="0"/>
        <w:snapToGrid w:val="0"/>
        <w:spacing w:line="360" w:lineRule="auto"/>
        <w:rPr>
          <w:b/>
          <w:color w:val="auto"/>
          <w:kern w:val="0"/>
          <w:sz w:val="28"/>
          <w:szCs w:val="28"/>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p>
      <w:pPr>
        <w:widowControl/>
        <w:spacing w:before="100" w:beforeAutospacing="1" w:after="100" w:afterAutospacing="1"/>
        <w:jc w:val="center"/>
        <w:outlineLvl w:val="0"/>
        <w:rPr>
          <w:rFonts w:eastAsia="黑体"/>
          <w:snapToGrid w:val="0"/>
          <w:color w:val="auto"/>
          <w:kern w:val="0"/>
          <w:sz w:val="30"/>
          <w:szCs w:val="30"/>
        </w:rPr>
      </w:pPr>
      <w:r>
        <w:rPr>
          <w:rFonts w:eastAsia="黑体"/>
          <w:snapToGrid w:val="0"/>
          <w:color w:val="auto"/>
          <w:kern w:val="0"/>
          <w:sz w:val="30"/>
          <w:szCs w:val="30"/>
        </w:rPr>
        <w:t>五、</w:t>
      </w:r>
      <w:bookmarkStart w:id="6" w:name="_Hlk54167917"/>
      <w:r>
        <w:rPr>
          <w:rFonts w:eastAsia="黑体"/>
          <w:snapToGrid w:val="0"/>
          <w:color w:val="auto"/>
          <w:kern w:val="0"/>
          <w:sz w:val="30"/>
          <w:szCs w:val="30"/>
        </w:rPr>
        <w:t>环境保护措施监督检查清单</w:t>
      </w:r>
      <w:bookmarkEnd w:id="6"/>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28"/>
        <w:gridCol w:w="1502"/>
        <w:gridCol w:w="1380"/>
        <w:gridCol w:w="1805"/>
        <w:gridCol w:w="30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328" w:type="dxa"/>
            <w:tcBorders>
              <w:tl2br w:val="nil"/>
              <w:tr2bl w:val="nil"/>
            </w:tcBorders>
            <w:vAlign w:val="center"/>
          </w:tcPr>
          <w:p>
            <w:pPr>
              <w:adjustRightInd w:val="0"/>
              <w:snapToGrid w:val="0"/>
              <w:jc w:val="center"/>
              <w:rPr>
                <w:b/>
                <w:bCs/>
                <w:color w:val="auto"/>
                <w:szCs w:val="21"/>
              </w:rPr>
            </w:pPr>
            <w:r>
              <w:rPr>
                <w:b/>
                <w:bCs/>
                <w:color w:val="auto"/>
                <w:szCs w:val="21"/>
              </w:rPr>
              <w:t>要素</w:t>
            </w:r>
          </w:p>
          <w:p>
            <w:pPr>
              <w:adjustRightInd w:val="0"/>
              <w:snapToGrid w:val="0"/>
              <w:jc w:val="center"/>
              <w:rPr>
                <w:b/>
                <w:bCs/>
                <w:color w:val="auto"/>
                <w:szCs w:val="21"/>
              </w:rPr>
            </w:pPr>
            <w:r>
              <w:rPr>
                <w:b/>
                <w:bCs/>
                <w:color w:val="auto"/>
                <w:szCs w:val="21"/>
              </w:rPr>
              <w:t>内容</w:t>
            </w:r>
          </w:p>
        </w:tc>
        <w:tc>
          <w:tcPr>
            <w:tcW w:w="1502" w:type="dxa"/>
            <w:tcBorders>
              <w:tl2br w:val="nil"/>
              <w:tr2bl w:val="nil"/>
            </w:tcBorders>
            <w:vAlign w:val="center"/>
          </w:tcPr>
          <w:p>
            <w:pPr>
              <w:adjustRightInd w:val="0"/>
              <w:snapToGrid w:val="0"/>
              <w:jc w:val="center"/>
              <w:rPr>
                <w:b/>
                <w:bCs/>
                <w:color w:val="auto"/>
                <w:szCs w:val="21"/>
              </w:rPr>
            </w:pPr>
            <w:r>
              <w:rPr>
                <w:b/>
                <w:bCs/>
                <w:color w:val="auto"/>
                <w:szCs w:val="21"/>
              </w:rPr>
              <w:t>排放口(编号、</w:t>
            </w:r>
          </w:p>
          <w:p>
            <w:pPr>
              <w:adjustRightInd w:val="0"/>
              <w:snapToGrid w:val="0"/>
              <w:jc w:val="center"/>
              <w:rPr>
                <w:b/>
                <w:bCs/>
                <w:color w:val="auto"/>
                <w:szCs w:val="21"/>
              </w:rPr>
            </w:pPr>
            <w:r>
              <w:rPr>
                <w:b/>
                <w:bCs/>
                <w:color w:val="auto"/>
                <w:szCs w:val="21"/>
              </w:rPr>
              <w:t>名称)/污染源</w:t>
            </w:r>
          </w:p>
        </w:tc>
        <w:tc>
          <w:tcPr>
            <w:tcW w:w="1380" w:type="dxa"/>
            <w:tcBorders>
              <w:tl2br w:val="nil"/>
              <w:tr2bl w:val="nil"/>
            </w:tcBorders>
            <w:vAlign w:val="center"/>
          </w:tcPr>
          <w:p>
            <w:pPr>
              <w:adjustRightInd w:val="0"/>
              <w:snapToGrid w:val="0"/>
              <w:jc w:val="center"/>
              <w:rPr>
                <w:b/>
                <w:bCs/>
                <w:color w:val="auto"/>
                <w:szCs w:val="21"/>
              </w:rPr>
            </w:pPr>
            <w:r>
              <w:rPr>
                <w:b/>
                <w:bCs/>
                <w:color w:val="auto"/>
                <w:szCs w:val="21"/>
              </w:rPr>
              <w:t>污染物项目</w:t>
            </w:r>
          </w:p>
        </w:tc>
        <w:tc>
          <w:tcPr>
            <w:tcW w:w="1805" w:type="dxa"/>
            <w:tcBorders>
              <w:tl2br w:val="nil"/>
              <w:tr2bl w:val="nil"/>
            </w:tcBorders>
            <w:vAlign w:val="center"/>
          </w:tcPr>
          <w:p>
            <w:pPr>
              <w:adjustRightInd w:val="0"/>
              <w:snapToGrid w:val="0"/>
              <w:jc w:val="center"/>
              <w:rPr>
                <w:b/>
                <w:bCs/>
                <w:color w:val="auto"/>
                <w:szCs w:val="21"/>
              </w:rPr>
            </w:pPr>
            <w:r>
              <w:rPr>
                <w:b/>
                <w:bCs/>
                <w:color w:val="auto"/>
                <w:szCs w:val="21"/>
              </w:rPr>
              <w:t>环境保护措施</w:t>
            </w:r>
          </w:p>
        </w:tc>
        <w:tc>
          <w:tcPr>
            <w:tcW w:w="3045" w:type="dxa"/>
            <w:tcBorders>
              <w:tl2br w:val="nil"/>
              <w:tr2bl w:val="nil"/>
            </w:tcBorders>
            <w:vAlign w:val="center"/>
          </w:tcPr>
          <w:p>
            <w:pPr>
              <w:adjustRightInd w:val="0"/>
              <w:snapToGrid w:val="0"/>
              <w:jc w:val="center"/>
              <w:rPr>
                <w:b/>
                <w:bCs/>
                <w:color w:val="auto"/>
                <w:szCs w:val="21"/>
              </w:rPr>
            </w:pPr>
            <w:r>
              <w:rPr>
                <w:b/>
                <w:bCs/>
                <w:color w:val="auto"/>
                <w:szCs w:val="21"/>
              </w:rPr>
              <w:t>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1328" w:type="dxa"/>
            <w:vMerge w:val="restart"/>
            <w:tcBorders>
              <w:tl2br w:val="nil"/>
              <w:tr2bl w:val="nil"/>
            </w:tcBorders>
            <w:vAlign w:val="center"/>
          </w:tcPr>
          <w:p>
            <w:pPr>
              <w:adjustRightInd w:val="0"/>
              <w:snapToGrid w:val="0"/>
              <w:jc w:val="center"/>
              <w:rPr>
                <w:color w:val="auto"/>
                <w:szCs w:val="21"/>
              </w:rPr>
            </w:pPr>
            <w:r>
              <w:rPr>
                <w:color w:val="auto"/>
                <w:szCs w:val="21"/>
              </w:rPr>
              <w:t>大气环境</w:t>
            </w:r>
          </w:p>
        </w:tc>
        <w:tc>
          <w:tcPr>
            <w:tcW w:w="1502" w:type="dxa"/>
            <w:tcBorders>
              <w:tl2br w:val="nil"/>
              <w:tr2bl w:val="nil"/>
            </w:tcBorders>
            <w:vAlign w:val="center"/>
          </w:tcPr>
          <w:p>
            <w:pPr>
              <w:jc w:val="center"/>
              <w:rPr>
                <w:color w:val="auto"/>
                <w:szCs w:val="21"/>
              </w:rPr>
            </w:pPr>
            <w:r>
              <w:rPr>
                <w:rFonts w:hint="eastAsia"/>
                <w:color w:val="auto"/>
                <w:szCs w:val="21"/>
              </w:rPr>
              <w:t>一级破碎筛分工序</w:t>
            </w:r>
          </w:p>
        </w:tc>
        <w:tc>
          <w:tcPr>
            <w:tcW w:w="1380" w:type="dxa"/>
            <w:tcBorders>
              <w:tl2br w:val="nil"/>
              <w:tr2bl w:val="nil"/>
            </w:tcBorders>
            <w:vAlign w:val="center"/>
          </w:tcPr>
          <w:p>
            <w:pPr>
              <w:adjustRightInd w:val="0"/>
              <w:snapToGrid w:val="0"/>
              <w:jc w:val="center"/>
              <w:rPr>
                <w:color w:val="auto"/>
                <w:szCs w:val="21"/>
              </w:rPr>
            </w:pPr>
            <w:r>
              <w:rPr>
                <w:color w:val="auto"/>
                <w:szCs w:val="21"/>
              </w:rPr>
              <w:t>颗粒物</w:t>
            </w:r>
          </w:p>
        </w:tc>
        <w:tc>
          <w:tcPr>
            <w:tcW w:w="1805" w:type="dxa"/>
            <w:tcBorders>
              <w:tl2br w:val="nil"/>
              <w:tr2bl w:val="nil"/>
            </w:tcBorders>
            <w:vAlign w:val="center"/>
          </w:tcPr>
          <w:p>
            <w:pPr>
              <w:adjustRightInd w:val="0"/>
              <w:snapToGrid w:val="0"/>
              <w:jc w:val="center"/>
              <w:rPr>
                <w:color w:val="auto"/>
                <w:szCs w:val="21"/>
              </w:rPr>
            </w:pPr>
            <w:r>
              <w:rPr>
                <w:rFonts w:hint="eastAsia"/>
                <w:color w:val="auto"/>
                <w:szCs w:val="21"/>
              </w:rPr>
              <w:t>集气罩+风机+</w:t>
            </w:r>
            <w:r>
              <w:rPr>
                <w:color w:val="auto"/>
                <w:szCs w:val="21"/>
              </w:rPr>
              <w:t>布袋除尘器</w:t>
            </w:r>
            <w:r>
              <w:rPr>
                <w:rFonts w:hint="eastAsia"/>
                <w:color w:val="auto"/>
              </w:rPr>
              <w:t>+15m高烟囱排放</w:t>
            </w:r>
          </w:p>
        </w:tc>
        <w:tc>
          <w:tcPr>
            <w:tcW w:w="3045" w:type="dxa"/>
            <w:tcBorders>
              <w:tl2br w:val="nil"/>
              <w:tr2bl w:val="nil"/>
            </w:tcBorders>
            <w:vAlign w:val="center"/>
          </w:tcPr>
          <w:p>
            <w:pPr>
              <w:adjustRightInd w:val="0"/>
              <w:snapToGrid w:val="0"/>
              <w:jc w:val="center"/>
              <w:rPr>
                <w:color w:val="auto"/>
                <w:szCs w:val="21"/>
              </w:rPr>
            </w:pPr>
            <w:r>
              <w:rPr>
                <w:color w:val="auto"/>
                <w:szCs w:val="21"/>
              </w:rPr>
              <w:t>《砖瓦工业大气污染物排放标准》GB29620-2013表2中标准限值要求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1328" w:type="dxa"/>
            <w:vMerge w:val="continue"/>
            <w:tcBorders>
              <w:tl2br w:val="nil"/>
              <w:tr2bl w:val="nil"/>
            </w:tcBorders>
            <w:vAlign w:val="center"/>
          </w:tcPr>
          <w:p>
            <w:pPr>
              <w:adjustRightInd w:val="0"/>
              <w:snapToGrid w:val="0"/>
              <w:jc w:val="center"/>
              <w:rPr>
                <w:color w:val="auto"/>
                <w:szCs w:val="21"/>
              </w:rPr>
            </w:pPr>
          </w:p>
        </w:tc>
        <w:tc>
          <w:tcPr>
            <w:tcW w:w="1502" w:type="dxa"/>
            <w:tcBorders>
              <w:tl2br w:val="nil"/>
              <w:tr2bl w:val="nil"/>
            </w:tcBorders>
            <w:vAlign w:val="center"/>
          </w:tcPr>
          <w:p>
            <w:pPr>
              <w:adjustRightInd w:val="0"/>
              <w:snapToGrid w:val="0"/>
              <w:jc w:val="center"/>
              <w:rPr>
                <w:rFonts w:hint="eastAsia" w:eastAsia="宋体"/>
                <w:color w:val="auto"/>
                <w:szCs w:val="21"/>
                <w:lang w:eastAsia="zh-CN"/>
              </w:rPr>
            </w:pPr>
            <w:r>
              <w:rPr>
                <w:rFonts w:hint="eastAsia"/>
                <w:color w:val="auto"/>
                <w:szCs w:val="21"/>
                <w:lang w:eastAsia="zh-CN"/>
              </w:rPr>
              <w:t>物料堆场</w:t>
            </w:r>
          </w:p>
        </w:tc>
        <w:tc>
          <w:tcPr>
            <w:tcW w:w="1380" w:type="dxa"/>
            <w:tcBorders>
              <w:tl2br w:val="nil"/>
              <w:tr2bl w:val="nil"/>
            </w:tcBorders>
            <w:vAlign w:val="center"/>
          </w:tcPr>
          <w:p>
            <w:pPr>
              <w:adjustRightInd w:val="0"/>
              <w:snapToGrid w:val="0"/>
              <w:jc w:val="center"/>
              <w:rPr>
                <w:rFonts w:hint="eastAsia" w:eastAsia="宋体"/>
                <w:color w:val="auto"/>
                <w:szCs w:val="21"/>
                <w:lang w:eastAsia="zh-CN"/>
              </w:rPr>
            </w:pPr>
            <w:r>
              <w:rPr>
                <w:rFonts w:hint="eastAsia"/>
                <w:color w:val="auto"/>
                <w:szCs w:val="21"/>
                <w:lang w:eastAsia="zh-CN"/>
              </w:rPr>
              <w:t>颗粒物</w:t>
            </w:r>
          </w:p>
        </w:tc>
        <w:tc>
          <w:tcPr>
            <w:tcW w:w="1805" w:type="dxa"/>
            <w:tcBorders>
              <w:tl2br w:val="nil"/>
              <w:tr2bl w:val="nil"/>
            </w:tcBorders>
            <w:vAlign w:val="center"/>
          </w:tcPr>
          <w:p>
            <w:pPr>
              <w:adjustRightInd w:val="0"/>
              <w:snapToGrid w:val="0"/>
              <w:jc w:val="center"/>
              <w:rPr>
                <w:rFonts w:hint="eastAsia" w:eastAsia="宋体"/>
                <w:color w:val="auto"/>
                <w:szCs w:val="21"/>
                <w:lang w:eastAsia="zh-CN"/>
              </w:rPr>
            </w:pPr>
            <w:r>
              <w:rPr>
                <w:rFonts w:hint="eastAsia"/>
                <w:color w:val="auto"/>
                <w:szCs w:val="21"/>
                <w:lang w:eastAsia="zh-CN"/>
              </w:rPr>
              <w:t>洒水降尘、全封闭厂房</w:t>
            </w:r>
          </w:p>
        </w:tc>
        <w:tc>
          <w:tcPr>
            <w:tcW w:w="3045" w:type="dxa"/>
            <w:vMerge w:val="restart"/>
            <w:tcBorders>
              <w:tl2br w:val="nil"/>
              <w:tr2bl w:val="nil"/>
            </w:tcBorders>
            <w:vAlign w:val="center"/>
          </w:tcPr>
          <w:p>
            <w:pPr>
              <w:adjustRightInd w:val="0"/>
              <w:snapToGrid w:val="0"/>
              <w:jc w:val="center"/>
              <w:rPr>
                <w:color w:val="auto"/>
                <w:szCs w:val="21"/>
              </w:rPr>
            </w:pPr>
            <w:r>
              <w:rPr>
                <w:color w:val="auto"/>
                <w:szCs w:val="21"/>
              </w:rPr>
              <w:t>《砖瓦工业大气污染物排放标准》GB29620-2013表</w:t>
            </w:r>
            <w:r>
              <w:rPr>
                <w:rFonts w:hint="eastAsia"/>
                <w:color w:val="auto"/>
                <w:szCs w:val="21"/>
                <w:lang w:val="en-US" w:eastAsia="zh-CN"/>
              </w:rPr>
              <w:t>3</w:t>
            </w:r>
            <w:r>
              <w:rPr>
                <w:color w:val="auto"/>
                <w:szCs w:val="21"/>
              </w:rPr>
              <w:t>中标准限值要求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1328" w:type="dxa"/>
            <w:vMerge w:val="continue"/>
            <w:tcBorders>
              <w:tl2br w:val="nil"/>
              <w:tr2bl w:val="nil"/>
            </w:tcBorders>
            <w:vAlign w:val="center"/>
          </w:tcPr>
          <w:p>
            <w:pPr>
              <w:adjustRightInd w:val="0"/>
              <w:snapToGrid w:val="0"/>
              <w:jc w:val="center"/>
              <w:rPr>
                <w:color w:val="auto"/>
                <w:szCs w:val="21"/>
              </w:rPr>
            </w:pPr>
          </w:p>
        </w:tc>
        <w:tc>
          <w:tcPr>
            <w:tcW w:w="1502" w:type="dxa"/>
            <w:tcBorders>
              <w:tl2br w:val="nil"/>
              <w:tr2bl w:val="nil"/>
            </w:tcBorders>
            <w:vAlign w:val="center"/>
          </w:tcPr>
          <w:p>
            <w:pPr>
              <w:adjustRightInd w:val="0"/>
              <w:snapToGrid w:val="0"/>
              <w:jc w:val="center"/>
              <w:rPr>
                <w:rFonts w:hint="eastAsia"/>
                <w:color w:val="auto"/>
                <w:szCs w:val="21"/>
              </w:rPr>
            </w:pPr>
            <w:r>
              <w:rPr>
                <w:rFonts w:hint="eastAsia"/>
                <w:color w:val="auto"/>
                <w:szCs w:val="21"/>
              </w:rPr>
              <w:t>物料装卸</w:t>
            </w:r>
            <w:r>
              <w:rPr>
                <w:rFonts w:hint="eastAsia"/>
                <w:color w:val="auto"/>
                <w:szCs w:val="21"/>
                <w:lang w:val="en-US" w:eastAsia="zh-CN"/>
              </w:rPr>
              <w:t>/</w:t>
            </w:r>
            <w:r>
              <w:rPr>
                <w:rFonts w:hint="eastAsia"/>
                <w:color w:val="auto"/>
                <w:szCs w:val="21"/>
              </w:rPr>
              <w:t>上料</w:t>
            </w:r>
            <w:r>
              <w:rPr>
                <w:rFonts w:hint="eastAsia"/>
                <w:color w:val="auto"/>
                <w:szCs w:val="21"/>
                <w:lang w:eastAsia="zh-CN"/>
              </w:rPr>
              <w:t>、搅拌、</w:t>
            </w:r>
            <w:r>
              <w:rPr>
                <w:rFonts w:hint="eastAsia"/>
                <w:color w:val="auto"/>
                <w:szCs w:val="21"/>
              </w:rPr>
              <w:t>运输车辆道路扬尘</w:t>
            </w:r>
          </w:p>
        </w:tc>
        <w:tc>
          <w:tcPr>
            <w:tcW w:w="1380" w:type="dxa"/>
            <w:tcBorders>
              <w:tl2br w:val="nil"/>
              <w:tr2bl w:val="nil"/>
            </w:tcBorders>
            <w:vAlign w:val="center"/>
          </w:tcPr>
          <w:p>
            <w:pPr>
              <w:adjustRightInd w:val="0"/>
              <w:snapToGrid w:val="0"/>
              <w:jc w:val="center"/>
              <w:rPr>
                <w:color w:val="auto"/>
                <w:szCs w:val="21"/>
              </w:rPr>
            </w:pPr>
            <w:r>
              <w:rPr>
                <w:color w:val="auto"/>
                <w:szCs w:val="21"/>
              </w:rPr>
              <w:t>颗粒物</w:t>
            </w:r>
          </w:p>
        </w:tc>
        <w:tc>
          <w:tcPr>
            <w:tcW w:w="1805" w:type="dxa"/>
            <w:tcBorders>
              <w:tl2br w:val="nil"/>
              <w:tr2bl w:val="nil"/>
            </w:tcBorders>
            <w:vAlign w:val="center"/>
          </w:tcPr>
          <w:p>
            <w:pPr>
              <w:adjustRightInd w:val="0"/>
              <w:snapToGrid w:val="0"/>
              <w:jc w:val="center"/>
              <w:rPr>
                <w:rFonts w:ascii="Times New Roman" w:hAnsi="Times New Roman" w:cs="Times New Roman"/>
                <w:color w:val="auto"/>
                <w:sz w:val="21"/>
                <w:szCs w:val="21"/>
                <w:lang w:val="en-US"/>
              </w:rPr>
            </w:pPr>
            <w:r>
              <w:rPr>
                <w:rFonts w:ascii="Times New Roman" w:hAnsi="Times New Roman" w:cs="Times New Roman"/>
                <w:color w:val="auto"/>
                <w:sz w:val="21"/>
                <w:szCs w:val="21"/>
                <w:lang w:val="en-US"/>
              </w:rPr>
              <w:t>仓顶滤筒式除尘设施</w:t>
            </w:r>
            <w:r>
              <w:rPr>
                <w:rFonts w:hint="eastAsia" w:ascii="Times New Roman" w:hAnsi="Times New Roman" w:cs="Times New Roman"/>
                <w:color w:val="auto"/>
                <w:sz w:val="21"/>
                <w:szCs w:val="21"/>
                <w:lang w:val="en-US" w:eastAsia="zh-CN"/>
              </w:rPr>
              <w:t>、</w:t>
            </w:r>
            <w:r>
              <w:rPr>
                <w:color w:val="auto"/>
                <w:szCs w:val="21"/>
              </w:rPr>
              <w:t>洒水降尘、车辆清洗</w:t>
            </w:r>
            <w:r>
              <w:rPr>
                <w:rFonts w:hint="eastAsia"/>
                <w:color w:val="auto"/>
                <w:szCs w:val="21"/>
              </w:rPr>
              <w:t>、密闭厂房</w:t>
            </w:r>
          </w:p>
        </w:tc>
        <w:tc>
          <w:tcPr>
            <w:tcW w:w="3045" w:type="dxa"/>
            <w:vMerge w:val="continue"/>
            <w:tcBorders>
              <w:tl2br w:val="nil"/>
              <w:tr2bl w:val="nil"/>
            </w:tcBorders>
            <w:vAlign w:val="center"/>
          </w:tcPr>
          <w:p>
            <w:pPr>
              <w:adjustRightInd w:val="0"/>
              <w:snapToGrid w:val="0"/>
              <w:jc w:val="center"/>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328" w:type="dxa"/>
            <w:tcBorders>
              <w:tl2br w:val="nil"/>
              <w:tr2bl w:val="nil"/>
            </w:tcBorders>
            <w:vAlign w:val="center"/>
          </w:tcPr>
          <w:p>
            <w:pPr>
              <w:adjustRightInd w:val="0"/>
              <w:snapToGrid w:val="0"/>
              <w:jc w:val="center"/>
              <w:rPr>
                <w:color w:val="auto"/>
                <w:szCs w:val="21"/>
              </w:rPr>
            </w:pPr>
            <w:r>
              <w:rPr>
                <w:color w:val="auto"/>
                <w:szCs w:val="21"/>
              </w:rPr>
              <w:t>地表水环境</w:t>
            </w:r>
          </w:p>
        </w:tc>
        <w:tc>
          <w:tcPr>
            <w:tcW w:w="1502" w:type="dxa"/>
            <w:tcBorders>
              <w:tl2br w:val="nil"/>
              <w:tr2bl w:val="nil"/>
            </w:tcBorders>
            <w:vAlign w:val="center"/>
          </w:tcPr>
          <w:p>
            <w:pPr>
              <w:adjustRightInd w:val="0"/>
              <w:snapToGrid w:val="0"/>
              <w:jc w:val="center"/>
              <w:rPr>
                <w:color w:val="auto"/>
                <w:szCs w:val="21"/>
              </w:rPr>
            </w:pPr>
            <w:r>
              <w:rPr>
                <w:color w:val="auto"/>
                <w:szCs w:val="21"/>
              </w:rPr>
              <w:t>/</w:t>
            </w:r>
          </w:p>
        </w:tc>
        <w:tc>
          <w:tcPr>
            <w:tcW w:w="1380" w:type="dxa"/>
            <w:tcBorders>
              <w:tl2br w:val="nil"/>
              <w:tr2bl w:val="nil"/>
            </w:tcBorders>
            <w:vAlign w:val="center"/>
          </w:tcPr>
          <w:p>
            <w:pPr>
              <w:adjustRightInd w:val="0"/>
              <w:snapToGrid w:val="0"/>
              <w:jc w:val="center"/>
              <w:rPr>
                <w:color w:val="auto"/>
                <w:szCs w:val="21"/>
              </w:rPr>
            </w:pPr>
            <w:r>
              <w:rPr>
                <w:color w:val="auto"/>
                <w:szCs w:val="21"/>
              </w:rPr>
              <w:t>/</w:t>
            </w:r>
          </w:p>
        </w:tc>
        <w:tc>
          <w:tcPr>
            <w:tcW w:w="1805" w:type="dxa"/>
            <w:tcBorders>
              <w:tl2br w:val="nil"/>
              <w:tr2bl w:val="nil"/>
            </w:tcBorders>
            <w:vAlign w:val="center"/>
          </w:tcPr>
          <w:p>
            <w:pPr>
              <w:adjustRightInd w:val="0"/>
              <w:snapToGrid w:val="0"/>
              <w:jc w:val="center"/>
              <w:rPr>
                <w:color w:val="auto"/>
                <w:szCs w:val="21"/>
              </w:rPr>
            </w:pPr>
            <w:r>
              <w:rPr>
                <w:color w:val="auto"/>
                <w:szCs w:val="21"/>
              </w:rPr>
              <w:t>/</w:t>
            </w:r>
          </w:p>
        </w:tc>
        <w:tc>
          <w:tcPr>
            <w:tcW w:w="3045" w:type="dxa"/>
            <w:tcBorders>
              <w:tl2br w:val="nil"/>
              <w:tr2bl w:val="nil"/>
            </w:tcBorders>
            <w:vAlign w:val="center"/>
          </w:tcPr>
          <w:p>
            <w:pPr>
              <w:adjustRightInd w:val="0"/>
              <w:snapToGrid w:val="0"/>
              <w:jc w:val="center"/>
              <w:rPr>
                <w:color w:val="auto"/>
                <w:szCs w:val="21"/>
              </w:rPr>
            </w:pPr>
            <w:r>
              <w:rPr>
                <w:color w:val="auto"/>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28" w:type="dxa"/>
            <w:tcBorders>
              <w:tl2br w:val="nil"/>
              <w:tr2bl w:val="nil"/>
            </w:tcBorders>
            <w:vAlign w:val="center"/>
          </w:tcPr>
          <w:p>
            <w:pPr>
              <w:adjustRightInd w:val="0"/>
              <w:snapToGrid w:val="0"/>
              <w:jc w:val="center"/>
              <w:rPr>
                <w:color w:val="auto"/>
                <w:szCs w:val="21"/>
              </w:rPr>
            </w:pPr>
            <w:r>
              <w:rPr>
                <w:color w:val="auto"/>
                <w:szCs w:val="21"/>
              </w:rPr>
              <w:t>声环境</w:t>
            </w:r>
          </w:p>
        </w:tc>
        <w:tc>
          <w:tcPr>
            <w:tcW w:w="1502" w:type="dxa"/>
            <w:tcBorders>
              <w:tl2br w:val="nil"/>
              <w:tr2bl w:val="nil"/>
            </w:tcBorders>
            <w:vAlign w:val="center"/>
          </w:tcPr>
          <w:p>
            <w:pPr>
              <w:adjustRightInd w:val="0"/>
              <w:snapToGrid w:val="0"/>
              <w:jc w:val="center"/>
              <w:rPr>
                <w:color w:val="auto"/>
                <w:szCs w:val="21"/>
              </w:rPr>
            </w:pPr>
            <w:r>
              <w:rPr>
                <w:color w:val="auto"/>
                <w:szCs w:val="21"/>
              </w:rPr>
              <w:t>生产设备</w:t>
            </w:r>
          </w:p>
        </w:tc>
        <w:tc>
          <w:tcPr>
            <w:tcW w:w="1380" w:type="dxa"/>
            <w:tcBorders>
              <w:tl2br w:val="nil"/>
              <w:tr2bl w:val="nil"/>
            </w:tcBorders>
            <w:vAlign w:val="center"/>
          </w:tcPr>
          <w:p>
            <w:pPr>
              <w:adjustRightInd w:val="0"/>
              <w:snapToGrid w:val="0"/>
              <w:jc w:val="center"/>
              <w:rPr>
                <w:color w:val="auto"/>
                <w:szCs w:val="21"/>
              </w:rPr>
            </w:pPr>
            <w:r>
              <w:rPr>
                <w:color w:val="auto"/>
                <w:szCs w:val="21"/>
              </w:rPr>
              <w:t>噪声</w:t>
            </w:r>
          </w:p>
        </w:tc>
        <w:tc>
          <w:tcPr>
            <w:tcW w:w="1805" w:type="dxa"/>
            <w:tcBorders>
              <w:tl2br w:val="nil"/>
              <w:tr2bl w:val="nil"/>
            </w:tcBorders>
            <w:vAlign w:val="center"/>
          </w:tcPr>
          <w:p>
            <w:pPr>
              <w:adjustRightInd w:val="0"/>
              <w:snapToGrid w:val="0"/>
              <w:jc w:val="center"/>
              <w:rPr>
                <w:color w:val="auto"/>
                <w:szCs w:val="21"/>
              </w:rPr>
            </w:pPr>
            <w:r>
              <w:rPr>
                <w:color w:val="auto"/>
                <w:szCs w:val="21"/>
              </w:rPr>
              <w:t>安装减震垫、密闭操作室、厂房隔声、安装消声器等降噪措施</w:t>
            </w:r>
          </w:p>
        </w:tc>
        <w:tc>
          <w:tcPr>
            <w:tcW w:w="3045" w:type="dxa"/>
            <w:tcBorders>
              <w:tl2br w:val="nil"/>
              <w:tr2bl w:val="nil"/>
            </w:tcBorders>
            <w:vAlign w:val="center"/>
          </w:tcPr>
          <w:p>
            <w:pPr>
              <w:adjustRightInd w:val="0"/>
              <w:snapToGrid w:val="0"/>
              <w:jc w:val="center"/>
              <w:rPr>
                <w:color w:val="auto"/>
                <w:szCs w:val="21"/>
              </w:rPr>
            </w:pPr>
            <w:r>
              <w:rPr>
                <w:color w:val="auto"/>
                <w:szCs w:val="21"/>
              </w:rPr>
              <w:t>满足《工业企业厂界环境噪声排放标准》（GB12348-2008）中</w:t>
            </w:r>
            <w:r>
              <w:rPr>
                <w:rFonts w:hint="eastAsia"/>
                <w:color w:val="auto"/>
                <w:szCs w:val="21"/>
                <w:lang w:val="en-US" w:eastAsia="zh-CN"/>
              </w:rPr>
              <w:t>2</w:t>
            </w:r>
            <w:r>
              <w:rPr>
                <w:color w:val="auto"/>
                <w:szCs w:val="21"/>
              </w:rPr>
              <w:t>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328" w:type="dxa"/>
            <w:tcBorders>
              <w:tl2br w:val="nil"/>
              <w:tr2bl w:val="nil"/>
            </w:tcBorders>
            <w:vAlign w:val="center"/>
          </w:tcPr>
          <w:p>
            <w:pPr>
              <w:adjustRightInd w:val="0"/>
              <w:snapToGrid w:val="0"/>
              <w:jc w:val="center"/>
              <w:rPr>
                <w:color w:val="auto"/>
                <w:szCs w:val="21"/>
              </w:rPr>
            </w:pPr>
            <w:r>
              <w:rPr>
                <w:color w:val="auto"/>
                <w:szCs w:val="21"/>
              </w:rPr>
              <w:t>电磁辐射</w:t>
            </w:r>
          </w:p>
        </w:tc>
        <w:tc>
          <w:tcPr>
            <w:tcW w:w="1502" w:type="dxa"/>
            <w:tcBorders>
              <w:tl2br w:val="nil"/>
              <w:tr2bl w:val="nil"/>
            </w:tcBorders>
            <w:vAlign w:val="center"/>
          </w:tcPr>
          <w:p>
            <w:pPr>
              <w:adjustRightInd w:val="0"/>
              <w:snapToGrid w:val="0"/>
              <w:jc w:val="center"/>
              <w:rPr>
                <w:color w:val="auto"/>
                <w:szCs w:val="21"/>
              </w:rPr>
            </w:pPr>
            <w:r>
              <w:rPr>
                <w:color w:val="auto"/>
                <w:szCs w:val="21"/>
              </w:rPr>
              <w:t>/</w:t>
            </w:r>
          </w:p>
        </w:tc>
        <w:tc>
          <w:tcPr>
            <w:tcW w:w="1380" w:type="dxa"/>
            <w:tcBorders>
              <w:tl2br w:val="nil"/>
              <w:tr2bl w:val="nil"/>
            </w:tcBorders>
            <w:vAlign w:val="center"/>
          </w:tcPr>
          <w:p>
            <w:pPr>
              <w:adjustRightInd w:val="0"/>
              <w:snapToGrid w:val="0"/>
              <w:jc w:val="center"/>
              <w:rPr>
                <w:color w:val="auto"/>
                <w:szCs w:val="21"/>
              </w:rPr>
            </w:pPr>
            <w:r>
              <w:rPr>
                <w:color w:val="auto"/>
                <w:szCs w:val="21"/>
              </w:rPr>
              <w:t>/</w:t>
            </w:r>
          </w:p>
        </w:tc>
        <w:tc>
          <w:tcPr>
            <w:tcW w:w="1805" w:type="dxa"/>
            <w:tcBorders>
              <w:tl2br w:val="nil"/>
              <w:tr2bl w:val="nil"/>
            </w:tcBorders>
            <w:vAlign w:val="center"/>
          </w:tcPr>
          <w:p>
            <w:pPr>
              <w:adjustRightInd w:val="0"/>
              <w:snapToGrid w:val="0"/>
              <w:jc w:val="center"/>
              <w:rPr>
                <w:color w:val="auto"/>
                <w:szCs w:val="21"/>
              </w:rPr>
            </w:pPr>
            <w:r>
              <w:rPr>
                <w:color w:val="auto"/>
                <w:szCs w:val="21"/>
              </w:rPr>
              <w:t>/</w:t>
            </w:r>
          </w:p>
        </w:tc>
        <w:tc>
          <w:tcPr>
            <w:tcW w:w="3045" w:type="dxa"/>
            <w:tcBorders>
              <w:tl2br w:val="nil"/>
              <w:tr2bl w:val="nil"/>
            </w:tcBorders>
            <w:vAlign w:val="center"/>
          </w:tcPr>
          <w:p>
            <w:pPr>
              <w:adjustRightInd w:val="0"/>
              <w:snapToGrid w:val="0"/>
              <w:jc w:val="center"/>
              <w:rPr>
                <w:color w:val="auto"/>
                <w:szCs w:val="21"/>
              </w:rPr>
            </w:pPr>
            <w:r>
              <w:rPr>
                <w:color w:val="auto"/>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328" w:type="dxa"/>
            <w:tcBorders>
              <w:tl2br w:val="nil"/>
              <w:tr2bl w:val="nil"/>
            </w:tcBorders>
            <w:vAlign w:val="center"/>
          </w:tcPr>
          <w:p>
            <w:pPr>
              <w:adjustRightInd w:val="0"/>
              <w:snapToGrid w:val="0"/>
              <w:jc w:val="center"/>
              <w:rPr>
                <w:color w:val="auto"/>
                <w:szCs w:val="21"/>
              </w:rPr>
            </w:pPr>
            <w:r>
              <w:rPr>
                <w:color w:val="auto"/>
                <w:szCs w:val="21"/>
              </w:rPr>
              <w:t>固体废物</w:t>
            </w:r>
          </w:p>
        </w:tc>
        <w:tc>
          <w:tcPr>
            <w:tcW w:w="7732" w:type="dxa"/>
            <w:gridSpan w:val="4"/>
            <w:tcBorders>
              <w:tl2br w:val="nil"/>
              <w:tr2bl w:val="nil"/>
            </w:tcBorders>
            <w:vAlign w:val="center"/>
          </w:tcPr>
          <w:p>
            <w:pPr>
              <w:adjustRightInd w:val="0"/>
              <w:jc w:val="center"/>
              <w:rPr>
                <w:rFonts w:hint="eastAsia" w:eastAsia="宋体"/>
                <w:color w:val="auto"/>
                <w:szCs w:val="21"/>
                <w:lang w:eastAsia="zh-CN"/>
              </w:rPr>
            </w:pPr>
            <w:r>
              <w:rPr>
                <w:color w:val="auto"/>
                <w:szCs w:val="21"/>
              </w:rPr>
              <w:t>生活垃圾及</w:t>
            </w:r>
            <w:r>
              <w:rPr>
                <w:rFonts w:hint="eastAsia"/>
                <w:color w:val="auto"/>
                <w:szCs w:val="21"/>
              </w:rPr>
              <w:t>分拣出的未燃尽垃圾</w:t>
            </w:r>
            <w:r>
              <w:rPr>
                <w:color w:val="auto"/>
                <w:szCs w:val="21"/>
              </w:rPr>
              <w:t>交由昌吉市城北垃圾焚烧厂处理，金属废渣外售。</w:t>
            </w:r>
            <w:r>
              <w:rPr>
                <w:rFonts w:hint="eastAsia"/>
                <w:color w:val="auto"/>
                <w:szCs w:val="21"/>
                <w:lang w:eastAsia="zh-CN"/>
              </w:rPr>
              <w:t>机器检修产生的危废由设备厂家（具有危废处置资质）带走，不在厂区贮存。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328" w:type="dxa"/>
            <w:tcBorders>
              <w:tl2br w:val="nil"/>
              <w:tr2bl w:val="nil"/>
            </w:tcBorders>
            <w:vAlign w:val="center"/>
          </w:tcPr>
          <w:p>
            <w:pPr>
              <w:adjustRightInd w:val="0"/>
              <w:snapToGrid w:val="0"/>
              <w:jc w:val="center"/>
              <w:rPr>
                <w:color w:val="auto"/>
                <w:szCs w:val="21"/>
              </w:rPr>
            </w:pPr>
            <w:r>
              <w:rPr>
                <w:color w:val="auto"/>
                <w:szCs w:val="21"/>
              </w:rPr>
              <w:t>土壤及地下水污染防治措施</w:t>
            </w:r>
          </w:p>
        </w:tc>
        <w:tc>
          <w:tcPr>
            <w:tcW w:w="7732" w:type="dxa"/>
            <w:gridSpan w:val="4"/>
            <w:tcBorders>
              <w:tl2br w:val="nil"/>
              <w:tr2bl w:val="nil"/>
            </w:tcBorders>
            <w:vAlign w:val="center"/>
          </w:tcPr>
          <w:p>
            <w:pPr>
              <w:adjustRightInd w:val="0"/>
              <w:jc w:val="center"/>
              <w:rPr>
                <w:color w:val="auto"/>
                <w:szCs w:val="21"/>
              </w:rPr>
            </w:pPr>
            <w:r>
              <w:rPr>
                <w:color w:val="auto"/>
                <w:szCs w:val="21"/>
              </w:rPr>
              <w:t>本项目属于炉渣加工制砖，正常情况下，</w:t>
            </w:r>
            <w:r>
              <w:rPr>
                <w:rFonts w:hint="eastAsia"/>
                <w:color w:val="auto"/>
                <w:szCs w:val="21"/>
                <w:lang w:val="en-US" w:eastAsia="zh-CN"/>
              </w:rPr>
              <w:t>厂区</w:t>
            </w:r>
            <w:r>
              <w:rPr>
                <w:rFonts w:hint="eastAsia"/>
                <w:color w:val="auto"/>
                <w:szCs w:val="21"/>
                <w:lang w:eastAsia="zh-CN"/>
              </w:rPr>
              <w:t>防渗后，</w:t>
            </w:r>
            <w:r>
              <w:rPr>
                <w:color w:val="auto"/>
                <w:szCs w:val="21"/>
              </w:rPr>
              <w:t>本项目的生产不会对土壤和地下水环境产生影响。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328" w:type="dxa"/>
            <w:tcBorders>
              <w:tl2br w:val="nil"/>
              <w:tr2bl w:val="nil"/>
            </w:tcBorders>
            <w:vAlign w:val="center"/>
          </w:tcPr>
          <w:p>
            <w:pPr>
              <w:adjustRightInd w:val="0"/>
              <w:snapToGrid w:val="0"/>
              <w:jc w:val="center"/>
              <w:rPr>
                <w:color w:val="auto"/>
                <w:szCs w:val="21"/>
              </w:rPr>
            </w:pPr>
            <w:r>
              <w:rPr>
                <w:color w:val="auto"/>
                <w:szCs w:val="21"/>
              </w:rPr>
              <w:t>生态保护措施</w:t>
            </w:r>
          </w:p>
        </w:tc>
        <w:tc>
          <w:tcPr>
            <w:tcW w:w="7732" w:type="dxa"/>
            <w:gridSpan w:val="4"/>
            <w:tcBorders>
              <w:tl2br w:val="nil"/>
              <w:tr2bl w:val="nil"/>
            </w:tcBorders>
            <w:vAlign w:val="center"/>
          </w:tcPr>
          <w:p>
            <w:pPr>
              <w:keepNext/>
              <w:keepLines/>
              <w:jc w:val="center"/>
              <w:outlineLvl w:val="2"/>
              <w:rPr>
                <w:color w:val="auto"/>
                <w:szCs w:val="21"/>
              </w:rPr>
            </w:pPr>
            <w:r>
              <w:rPr>
                <w:snapToGrid w:val="0"/>
                <w:color w:val="auto"/>
                <w:szCs w:val="21"/>
              </w:rPr>
              <w:t>厂区绿化，建设期防止水土流失。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25" w:hRule="atLeast"/>
          <w:jc w:val="center"/>
        </w:trPr>
        <w:tc>
          <w:tcPr>
            <w:tcW w:w="1328" w:type="dxa"/>
            <w:tcBorders>
              <w:tl2br w:val="nil"/>
              <w:tr2bl w:val="nil"/>
            </w:tcBorders>
            <w:vAlign w:val="center"/>
          </w:tcPr>
          <w:p>
            <w:pPr>
              <w:adjustRightInd w:val="0"/>
              <w:snapToGrid w:val="0"/>
              <w:jc w:val="center"/>
              <w:rPr>
                <w:color w:val="auto"/>
                <w:szCs w:val="21"/>
              </w:rPr>
            </w:pPr>
            <w:r>
              <w:rPr>
                <w:color w:val="auto"/>
                <w:szCs w:val="21"/>
              </w:rPr>
              <w:t>环境风险防范措施</w:t>
            </w:r>
          </w:p>
        </w:tc>
        <w:tc>
          <w:tcPr>
            <w:tcW w:w="7732" w:type="dxa"/>
            <w:gridSpan w:val="4"/>
            <w:tcBorders>
              <w:tl2br w:val="nil"/>
              <w:tr2bl w:val="nil"/>
            </w:tcBorders>
            <w:vAlign w:val="center"/>
          </w:tcPr>
          <w:p>
            <w:pPr>
              <w:adjustRightInd w:val="0"/>
              <w:jc w:val="center"/>
              <w:rPr>
                <w:color w:val="auto"/>
                <w:szCs w:val="21"/>
              </w:rPr>
            </w:pPr>
            <w:r>
              <w:rPr>
                <w:color w:val="auto"/>
                <w:szCs w:val="21"/>
              </w:rPr>
              <w:t>提高员工素质，增强安全意识。建立严格的安全管理制度，杜绝违章动火、吸烟等现象，按规定配备劳动防护用品，经常性地向职工进行安全和健康防护方面的教育。企业有专人负责环保设施监督管理工作。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150" w:hRule="atLeast"/>
          <w:jc w:val="center"/>
        </w:trPr>
        <w:tc>
          <w:tcPr>
            <w:tcW w:w="1328" w:type="dxa"/>
            <w:tcBorders>
              <w:tl2br w:val="nil"/>
              <w:tr2bl w:val="nil"/>
            </w:tcBorders>
            <w:vAlign w:val="center"/>
          </w:tcPr>
          <w:p>
            <w:pPr>
              <w:adjustRightInd w:val="0"/>
              <w:snapToGrid w:val="0"/>
              <w:jc w:val="center"/>
              <w:rPr>
                <w:color w:val="auto"/>
                <w:szCs w:val="21"/>
              </w:rPr>
            </w:pPr>
            <w:r>
              <w:rPr>
                <w:color w:val="auto"/>
                <w:szCs w:val="21"/>
              </w:rPr>
              <w:t>其他环境</w:t>
            </w:r>
          </w:p>
          <w:p>
            <w:pPr>
              <w:adjustRightInd w:val="0"/>
              <w:snapToGrid w:val="0"/>
              <w:jc w:val="center"/>
              <w:rPr>
                <w:color w:val="auto"/>
                <w:szCs w:val="21"/>
              </w:rPr>
            </w:pPr>
            <w:r>
              <w:rPr>
                <w:color w:val="auto"/>
                <w:szCs w:val="21"/>
              </w:rPr>
              <w:t>管理要求</w:t>
            </w:r>
          </w:p>
        </w:tc>
        <w:tc>
          <w:tcPr>
            <w:tcW w:w="7732" w:type="dxa"/>
            <w:gridSpan w:val="4"/>
            <w:tcBorders>
              <w:tl2br w:val="nil"/>
              <w:tr2bl w:val="nil"/>
            </w:tcBorders>
            <w:vAlign w:val="center"/>
          </w:tcPr>
          <w:p>
            <w:pPr>
              <w:spacing w:line="480" w:lineRule="exact"/>
              <w:jc w:val="both"/>
              <w:rPr>
                <w:b/>
                <w:bCs/>
                <w:color w:val="auto"/>
                <w:szCs w:val="21"/>
              </w:rPr>
            </w:pPr>
            <w:r>
              <w:rPr>
                <w:b/>
                <w:bCs/>
                <w:color w:val="auto"/>
                <w:szCs w:val="21"/>
              </w:rPr>
              <w:t>5.1环境管理与监测计划</w:t>
            </w:r>
          </w:p>
          <w:p>
            <w:pPr>
              <w:spacing w:line="480" w:lineRule="exact"/>
              <w:ind w:firstLine="422" w:firstLineChars="200"/>
              <w:jc w:val="both"/>
              <w:rPr>
                <w:b/>
                <w:bCs/>
                <w:color w:val="auto"/>
                <w:szCs w:val="21"/>
              </w:rPr>
            </w:pPr>
            <w:r>
              <w:rPr>
                <w:b/>
                <w:bCs/>
                <w:color w:val="auto"/>
                <w:szCs w:val="21"/>
              </w:rPr>
              <w:t>5.1.1环境管理制度</w:t>
            </w:r>
          </w:p>
          <w:p>
            <w:pPr>
              <w:adjustRightInd w:val="0"/>
              <w:snapToGrid w:val="0"/>
              <w:spacing w:line="480" w:lineRule="exact"/>
              <w:ind w:firstLine="420" w:firstLineChars="200"/>
              <w:jc w:val="both"/>
              <w:rPr>
                <w:color w:val="auto"/>
                <w:szCs w:val="21"/>
              </w:rPr>
            </w:pPr>
            <w:r>
              <w:rPr>
                <w:color w:val="auto"/>
                <w:szCs w:val="21"/>
              </w:rPr>
              <w:t>环境管理与环保治理措施一样重要，是保证建设项目排污达到相应标准、控制建设地周围区域环境质量不下降的一个重要技术手段。项目营运期，建设单位应重视环境保护工作和安全防范管理，并设立隶属于公司安全环保处的专职环保机构，即环境保护管理科（室），负责整个公司的环保工作，环境保护管理科（室）配置兼职管理人员l～2人，负责环境监督管理工作，以及对外的环保协调工作，履行环境管理和环境监控职责，现分述如下：</w:t>
            </w:r>
          </w:p>
          <w:p>
            <w:pPr>
              <w:tabs>
                <w:tab w:val="left" w:pos="1245"/>
              </w:tabs>
              <w:spacing w:line="480" w:lineRule="exact"/>
              <w:ind w:firstLine="420" w:firstLineChars="200"/>
              <w:jc w:val="both"/>
              <w:rPr>
                <w:bCs/>
                <w:color w:val="auto"/>
                <w:szCs w:val="21"/>
              </w:rPr>
            </w:pPr>
            <w:r>
              <w:rPr>
                <w:bCs/>
                <w:color w:val="auto"/>
                <w:szCs w:val="21"/>
              </w:rPr>
              <w:t>（1）贯彻执行环境保护法规和标准；</w:t>
            </w:r>
          </w:p>
          <w:p>
            <w:pPr>
              <w:tabs>
                <w:tab w:val="left" w:pos="1245"/>
              </w:tabs>
              <w:spacing w:line="480" w:lineRule="exact"/>
              <w:ind w:firstLine="420" w:firstLineChars="200"/>
              <w:jc w:val="both"/>
              <w:rPr>
                <w:bCs/>
                <w:color w:val="auto"/>
                <w:szCs w:val="21"/>
              </w:rPr>
            </w:pPr>
            <w:r>
              <w:rPr>
                <w:bCs/>
                <w:color w:val="auto"/>
                <w:szCs w:val="21"/>
              </w:rPr>
              <w:t>（2）建立各种环境管理制度，并经常检查监督；</w:t>
            </w:r>
          </w:p>
          <w:p>
            <w:pPr>
              <w:tabs>
                <w:tab w:val="left" w:pos="1245"/>
              </w:tabs>
              <w:spacing w:line="480" w:lineRule="exact"/>
              <w:ind w:firstLine="420" w:firstLineChars="200"/>
              <w:jc w:val="both"/>
              <w:rPr>
                <w:bCs/>
                <w:color w:val="auto"/>
                <w:szCs w:val="21"/>
              </w:rPr>
            </w:pPr>
            <w:r>
              <w:rPr>
                <w:bCs/>
                <w:color w:val="auto"/>
                <w:szCs w:val="21"/>
              </w:rPr>
              <w:t>（3）领导并组织实施项目的环境监测工作，建立监控挡案；</w:t>
            </w:r>
          </w:p>
          <w:p>
            <w:pPr>
              <w:tabs>
                <w:tab w:val="left" w:pos="1245"/>
              </w:tabs>
              <w:spacing w:line="480" w:lineRule="exact"/>
              <w:ind w:firstLine="420" w:firstLineChars="200"/>
              <w:jc w:val="both"/>
              <w:rPr>
                <w:bCs/>
                <w:color w:val="auto"/>
                <w:szCs w:val="21"/>
              </w:rPr>
            </w:pPr>
            <w:r>
              <w:rPr>
                <w:bCs/>
                <w:color w:val="auto"/>
                <w:szCs w:val="21"/>
              </w:rPr>
              <w:t>（4）抓好环境教育和技术培训工作，提高员工素质；</w:t>
            </w:r>
          </w:p>
          <w:p>
            <w:pPr>
              <w:tabs>
                <w:tab w:val="left" w:pos="1245"/>
              </w:tabs>
              <w:spacing w:line="480" w:lineRule="exact"/>
              <w:ind w:firstLine="420" w:firstLineChars="200"/>
              <w:jc w:val="both"/>
              <w:rPr>
                <w:bCs/>
                <w:color w:val="auto"/>
                <w:szCs w:val="21"/>
              </w:rPr>
            </w:pPr>
            <w:r>
              <w:rPr>
                <w:bCs/>
                <w:color w:val="auto"/>
                <w:szCs w:val="21"/>
              </w:rPr>
              <w:t>（5）负责管理环保设施日常运行及维护，保持设备良好运行的条件，建立设备运及维护记录台帐，并记录主要操作参数；根据实际生产工况和治理设施的设计标准，建立相关的各项规章制度以及运行、维护和操作规程，明确耗材的更换周期和设施的检查周期，保证设施正常运行；</w:t>
            </w:r>
          </w:p>
          <w:p>
            <w:pPr>
              <w:tabs>
                <w:tab w:val="left" w:pos="1245"/>
              </w:tabs>
              <w:spacing w:line="480" w:lineRule="exact"/>
              <w:ind w:firstLine="420" w:firstLineChars="200"/>
              <w:jc w:val="both"/>
              <w:rPr>
                <w:bCs/>
                <w:color w:val="auto"/>
                <w:szCs w:val="21"/>
              </w:rPr>
            </w:pPr>
            <w:r>
              <w:rPr>
                <w:bCs/>
                <w:color w:val="auto"/>
                <w:szCs w:val="21"/>
              </w:rPr>
              <w:t>（6）负责日常环境管理工作，并配合环保管理部门做好与其它社会各界有关环保问题的协调工作；监督检查工厂各环保治理设备的日常运行和维护保养情况，保证其正常运行，确保废气稳定达标排放，</w:t>
            </w:r>
            <w:r>
              <w:rPr>
                <w:rFonts w:hint="eastAsia"/>
                <w:bCs/>
                <w:color w:val="auto"/>
                <w:szCs w:val="21"/>
              </w:rPr>
              <w:t>废水达标回用</w:t>
            </w:r>
            <w:r>
              <w:rPr>
                <w:rFonts w:hint="eastAsia"/>
                <w:bCs/>
                <w:color w:val="auto"/>
                <w:szCs w:val="21"/>
                <w:lang w:eastAsia="zh-CN"/>
              </w:rPr>
              <w:t>；建立一般固废利用台账，保证</w:t>
            </w:r>
            <w:r>
              <w:rPr>
                <w:bCs/>
                <w:color w:val="auto"/>
                <w:szCs w:val="21"/>
              </w:rPr>
              <w:t>固体废物合理处置，避免产生二次污染；</w:t>
            </w:r>
          </w:p>
          <w:p>
            <w:pPr>
              <w:tabs>
                <w:tab w:val="left" w:pos="1245"/>
              </w:tabs>
              <w:spacing w:line="480" w:lineRule="exact"/>
              <w:ind w:firstLine="420" w:firstLineChars="200"/>
              <w:jc w:val="both"/>
              <w:rPr>
                <w:bCs/>
                <w:color w:val="auto"/>
                <w:szCs w:val="21"/>
              </w:rPr>
            </w:pPr>
            <w:r>
              <w:rPr>
                <w:bCs/>
                <w:color w:val="auto"/>
                <w:szCs w:val="21"/>
              </w:rPr>
              <w:t>（7）制定突发性事故的应急处理方案并参与突发性事故的应急处理工作；</w:t>
            </w:r>
          </w:p>
          <w:p>
            <w:pPr>
              <w:tabs>
                <w:tab w:val="left" w:pos="1245"/>
              </w:tabs>
              <w:spacing w:line="480" w:lineRule="exact"/>
              <w:ind w:firstLine="420" w:firstLineChars="200"/>
              <w:jc w:val="both"/>
              <w:rPr>
                <w:bCs/>
                <w:color w:val="auto"/>
                <w:szCs w:val="21"/>
              </w:rPr>
            </w:pPr>
            <w:r>
              <w:rPr>
                <w:bCs/>
                <w:color w:val="auto"/>
                <w:szCs w:val="21"/>
              </w:rPr>
              <w:t>（8）定期检查监督环保法规执行情况，及时和有关部门联系落实各方面的环保措施，使之正常运行；</w:t>
            </w:r>
          </w:p>
          <w:p>
            <w:pPr>
              <w:tabs>
                <w:tab w:val="left" w:pos="1245"/>
              </w:tabs>
              <w:spacing w:line="480" w:lineRule="exact"/>
              <w:ind w:firstLine="420" w:firstLineChars="200"/>
              <w:jc w:val="both"/>
              <w:rPr>
                <w:bCs/>
                <w:color w:val="auto"/>
                <w:szCs w:val="21"/>
              </w:rPr>
            </w:pPr>
            <w:r>
              <w:rPr>
                <w:bCs/>
                <w:color w:val="auto"/>
                <w:szCs w:val="21"/>
              </w:rPr>
              <w:t>（9）废气治理设施管理维护要求：①加强设备的日常维护。日常维护的主要任务是消除设备、管道等处的漏风、调节好系统的供风量和风压，排除一切可能产生故障的隐患。②加强设备检修：专业检修人员应每月全面检查一次所有净化设施，根据实际情况决定检修的内容、时间、要求及方法等。</w:t>
            </w:r>
          </w:p>
          <w:p>
            <w:pPr>
              <w:spacing w:line="480" w:lineRule="exact"/>
              <w:ind w:firstLine="422" w:firstLineChars="200"/>
              <w:jc w:val="both"/>
              <w:rPr>
                <w:b/>
                <w:bCs/>
                <w:color w:val="auto"/>
                <w:szCs w:val="21"/>
              </w:rPr>
            </w:pPr>
            <w:r>
              <w:rPr>
                <w:b/>
                <w:bCs/>
                <w:color w:val="auto"/>
                <w:szCs w:val="21"/>
              </w:rPr>
              <w:t>5.1.2严格落实排污许可证制度</w:t>
            </w:r>
          </w:p>
          <w:p>
            <w:pPr>
              <w:tabs>
                <w:tab w:val="left" w:pos="1245"/>
              </w:tabs>
              <w:spacing w:line="480" w:lineRule="exact"/>
              <w:ind w:firstLine="420" w:firstLineChars="200"/>
              <w:jc w:val="both"/>
              <w:rPr>
                <w:color w:val="auto"/>
                <w:szCs w:val="21"/>
              </w:rPr>
            </w:pPr>
            <w:r>
              <w:rPr>
                <w:color w:val="auto"/>
                <w:szCs w:val="21"/>
              </w:rPr>
              <w:t>（1）落实按证排污责任</w:t>
            </w:r>
          </w:p>
          <w:p>
            <w:pPr>
              <w:tabs>
                <w:tab w:val="left" w:pos="1245"/>
              </w:tabs>
              <w:spacing w:line="480" w:lineRule="exact"/>
              <w:ind w:firstLine="420" w:firstLineChars="200"/>
              <w:jc w:val="both"/>
              <w:rPr>
                <w:color w:val="auto"/>
                <w:szCs w:val="21"/>
              </w:rPr>
            </w:pPr>
            <w:r>
              <w:rPr>
                <w:color w:val="auto"/>
                <w:szCs w:val="21"/>
              </w:rPr>
              <w:t>建设单位必须按期持证排污、按证排污，不得无证排污，及时申领排污许可证，对申请材料的真实性、准确性和完整性承担法律责任，承诺按照排污许可证的规定排污并严格执行；落实污染物排放控制措施和其他各项环境管理要求，确保污染物排放种类、浓度和排放量等达到许可要求；明确单位负责人和相关人员环境保护责任，不断提高污染治理和环境管理水平，自觉接受监督检查。</w:t>
            </w:r>
          </w:p>
          <w:p>
            <w:pPr>
              <w:numPr>
                <w:ilvl w:val="255"/>
                <w:numId w:val="0"/>
              </w:numPr>
              <w:tabs>
                <w:tab w:val="left" w:pos="1245"/>
              </w:tabs>
              <w:spacing w:line="480" w:lineRule="exact"/>
              <w:ind w:left="420" w:leftChars="200"/>
              <w:jc w:val="both"/>
              <w:rPr>
                <w:color w:val="auto"/>
                <w:szCs w:val="21"/>
              </w:rPr>
            </w:pPr>
            <w:r>
              <w:rPr>
                <w:rFonts w:hint="eastAsia"/>
                <w:color w:val="auto"/>
                <w:szCs w:val="21"/>
              </w:rPr>
              <w:t>（2）</w:t>
            </w:r>
            <w:r>
              <w:rPr>
                <w:color w:val="auto"/>
                <w:szCs w:val="21"/>
              </w:rPr>
              <w:t>实行自行监测和定期报告制度</w:t>
            </w:r>
          </w:p>
          <w:p>
            <w:pPr>
              <w:tabs>
                <w:tab w:val="left" w:pos="1245"/>
              </w:tabs>
              <w:spacing w:line="480" w:lineRule="exact"/>
              <w:ind w:firstLine="420" w:firstLineChars="200"/>
              <w:jc w:val="both"/>
              <w:rPr>
                <w:color w:val="auto"/>
                <w:szCs w:val="21"/>
              </w:rPr>
            </w:pPr>
            <w:r>
              <w:rPr>
                <w:color w:val="auto"/>
                <w:szCs w:val="21"/>
              </w:rPr>
              <w:t>依法开展自行监测，安装或使用监测设备应符合国家有关环境监测、计量认证规定和技术规范，保障数据合法有效，保证设备正常运行，妥善保存原始记录，建立准确完整的环境管理台账。如实向环境保护部门报告排污许可证执行情况，依法向社会公开污染物排放数据并对数据真实性负责。排放情况与排污许可证要求不符的，应及时向环境保护部门报告。</w:t>
            </w:r>
          </w:p>
          <w:p>
            <w:pPr>
              <w:numPr>
                <w:ilvl w:val="255"/>
                <w:numId w:val="0"/>
              </w:numPr>
              <w:tabs>
                <w:tab w:val="left" w:pos="1245"/>
              </w:tabs>
              <w:spacing w:line="480" w:lineRule="exact"/>
              <w:ind w:left="420" w:leftChars="200"/>
              <w:jc w:val="both"/>
              <w:rPr>
                <w:color w:val="auto"/>
                <w:szCs w:val="21"/>
              </w:rPr>
            </w:pPr>
            <w:r>
              <w:rPr>
                <w:rFonts w:hint="eastAsia"/>
                <w:color w:val="auto"/>
                <w:szCs w:val="21"/>
              </w:rPr>
              <w:t>（3）</w:t>
            </w:r>
            <w:r>
              <w:rPr>
                <w:color w:val="auto"/>
                <w:szCs w:val="21"/>
              </w:rPr>
              <w:t>排污许可证管理</w:t>
            </w:r>
          </w:p>
          <w:p>
            <w:pPr>
              <w:tabs>
                <w:tab w:val="left" w:pos="1245"/>
              </w:tabs>
              <w:spacing w:line="480" w:lineRule="exact"/>
              <w:ind w:firstLine="420" w:firstLineChars="200"/>
              <w:jc w:val="both"/>
              <w:rPr>
                <w:color w:val="auto"/>
                <w:szCs w:val="21"/>
              </w:rPr>
            </w:pPr>
            <w:r>
              <w:rPr>
                <w:color w:val="auto"/>
                <w:szCs w:val="21"/>
              </w:rPr>
              <w:t>依据关于印发《关于发布排污许可证承诺书样本、排污许可证申请表和排污许可证格式的通知》的通知（环规财[2018]80号），排污许可证管理要求如下：</w:t>
            </w:r>
          </w:p>
          <w:p>
            <w:pPr>
              <w:numPr>
                <w:ilvl w:val="0"/>
                <w:numId w:val="9"/>
              </w:numPr>
              <w:tabs>
                <w:tab w:val="left" w:pos="1245"/>
              </w:tabs>
              <w:spacing w:line="480" w:lineRule="exact"/>
              <w:ind w:firstLine="420" w:firstLineChars="200"/>
              <w:jc w:val="both"/>
              <w:rPr>
                <w:color w:val="auto"/>
                <w:szCs w:val="21"/>
              </w:rPr>
            </w:pPr>
            <w:r>
              <w:rPr>
                <w:color w:val="auto"/>
                <w:szCs w:val="21"/>
              </w:rPr>
              <w:t>排污许可证的变更</w:t>
            </w:r>
          </w:p>
          <w:p>
            <w:pPr>
              <w:numPr>
                <w:ilvl w:val="0"/>
                <w:numId w:val="10"/>
              </w:numPr>
              <w:tabs>
                <w:tab w:val="left" w:pos="1245"/>
              </w:tabs>
              <w:spacing w:line="480" w:lineRule="exact"/>
              <w:ind w:firstLine="420" w:firstLineChars="200"/>
              <w:jc w:val="both"/>
              <w:rPr>
                <w:color w:val="auto"/>
                <w:szCs w:val="21"/>
              </w:rPr>
            </w:pPr>
            <w:r>
              <w:rPr>
                <w:color w:val="auto"/>
                <w:szCs w:val="21"/>
              </w:rPr>
              <w:t>在排污许可证有效期内，建设单位发生以下事项变化的，应当在规定时间内向原核发机关提出变更排污许可证的申请：排污单位名称、注册地址、法定代表人或者实际负责人等正本中载明的基本信息发生变更之日起二十日内。</w:t>
            </w:r>
          </w:p>
          <w:p>
            <w:pPr>
              <w:numPr>
                <w:ilvl w:val="0"/>
                <w:numId w:val="10"/>
              </w:numPr>
              <w:tabs>
                <w:tab w:val="left" w:pos="1245"/>
              </w:tabs>
              <w:spacing w:line="480" w:lineRule="exact"/>
              <w:ind w:firstLine="420" w:firstLineChars="200"/>
              <w:jc w:val="both"/>
              <w:rPr>
                <w:color w:val="auto"/>
                <w:szCs w:val="21"/>
              </w:rPr>
            </w:pPr>
            <w:r>
              <w:rPr>
                <w:color w:val="auto"/>
                <w:szCs w:val="21"/>
              </w:rPr>
              <w:t>排污单位在原场址内实施新改扩建项目应当开展环境影响评价的，在通过环境影响评价审批或者备案后，产生实际排污行为之前二十日内。</w:t>
            </w:r>
          </w:p>
          <w:p>
            <w:pPr>
              <w:numPr>
                <w:ilvl w:val="0"/>
                <w:numId w:val="10"/>
              </w:numPr>
              <w:tabs>
                <w:tab w:val="left" w:pos="1245"/>
              </w:tabs>
              <w:spacing w:line="480" w:lineRule="exact"/>
              <w:ind w:firstLine="420" w:firstLineChars="200"/>
              <w:jc w:val="both"/>
              <w:rPr>
                <w:color w:val="auto"/>
                <w:szCs w:val="21"/>
              </w:rPr>
            </w:pPr>
            <w:r>
              <w:rPr>
                <w:color w:val="auto"/>
                <w:szCs w:val="21"/>
              </w:rPr>
              <w:t>国家或地方实施新污染物排放标准的，核发机关应主动通知排污单位进行变更，排污单位在接到通知后二十日内申请变更。</w:t>
            </w:r>
          </w:p>
          <w:p>
            <w:pPr>
              <w:numPr>
                <w:ilvl w:val="0"/>
                <w:numId w:val="10"/>
              </w:numPr>
              <w:tabs>
                <w:tab w:val="left" w:pos="1245"/>
              </w:tabs>
              <w:spacing w:line="480" w:lineRule="exact"/>
              <w:ind w:firstLine="420" w:firstLineChars="200"/>
              <w:jc w:val="both"/>
              <w:rPr>
                <w:color w:val="auto"/>
                <w:szCs w:val="21"/>
              </w:rPr>
            </w:pPr>
            <w:r>
              <w:rPr>
                <w:color w:val="auto"/>
                <w:szCs w:val="21"/>
              </w:rPr>
              <w:t>政府相关文件或与其他企业达成协议，进行区域替代实现减量排放的，应在文件或协议规定时限内提出变更申请。</w:t>
            </w:r>
          </w:p>
          <w:p>
            <w:pPr>
              <w:numPr>
                <w:ilvl w:val="0"/>
                <w:numId w:val="10"/>
              </w:numPr>
              <w:tabs>
                <w:tab w:val="left" w:pos="1245"/>
              </w:tabs>
              <w:spacing w:line="480" w:lineRule="exact"/>
              <w:ind w:firstLine="420" w:firstLineChars="200"/>
              <w:jc w:val="both"/>
              <w:rPr>
                <w:color w:val="auto"/>
                <w:szCs w:val="21"/>
              </w:rPr>
            </w:pPr>
            <w:r>
              <w:rPr>
                <w:color w:val="auto"/>
                <w:szCs w:val="21"/>
              </w:rPr>
              <w:t>需要进行变更的其他情形。</w:t>
            </w:r>
          </w:p>
          <w:p>
            <w:pPr>
              <w:numPr>
                <w:ilvl w:val="0"/>
                <w:numId w:val="9"/>
              </w:numPr>
              <w:tabs>
                <w:tab w:val="left" w:pos="1245"/>
              </w:tabs>
              <w:spacing w:line="480" w:lineRule="exact"/>
              <w:ind w:firstLine="420" w:firstLineChars="200"/>
              <w:jc w:val="both"/>
              <w:rPr>
                <w:color w:val="auto"/>
                <w:szCs w:val="21"/>
              </w:rPr>
            </w:pPr>
            <w:r>
              <w:rPr>
                <w:color w:val="auto"/>
                <w:szCs w:val="21"/>
              </w:rPr>
              <w:t>排污许可证的补办</w:t>
            </w:r>
          </w:p>
          <w:p>
            <w:pPr>
              <w:tabs>
                <w:tab w:val="left" w:pos="1245"/>
              </w:tabs>
              <w:spacing w:line="480" w:lineRule="exact"/>
              <w:ind w:firstLine="420" w:firstLineChars="200"/>
              <w:jc w:val="both"/>
              <w:rPr>
                <w:color w:val="auto"/>
                <w:szCs w:val="21"/>
              </w:rPr>
            </w:pPr>
            <w:r>
              <w:rPr>
                <w:color w:val="auto"/>
                <w:szCs w:val="21"/>
              </w:rPr>
              <w:t>排污许可证发生遗失、损毁的，建设单位应当在三十日内向原核发机关申请补领排污许可证，遗失排污许可证的还应同时提交遗失声明，损毁排污许可证的还应同时交回被损毁的许可证。核发机关应当在收到补领申请后十日内补发排污许可证，并及时在国家排污许可证管理信息平台上进行公告。</w:t>
            </w:r>
          </w:p>
          <w:p>
            <w:pPr>
              <w:numPr>
                <w:ilvl w:val="0"/>
                <w:numId w:val="9"/>
              </w:numPr>
              <w:tabs>
                <w:tab w:val="left" w:pos="1245"/>
              </w:tabs>
              <w:spacing w:line="480" w:lineRule="exact"/>
              <w:ind w:firstLine="420" w:firstLineChars="200"/>
              <w:jc w:val="both"/>
              <w:rPr>
                <w:color w:val="auto"/>
                <w:szCs w:val="21"/>
              </w:rPr>
            </w:pPr>
            <w:r>
              <w:rPr>
                <w:color w:val="auto"/>
                <w:szCs w:val="21"/>
              </w:rPr>
              <w:t>其他相关要求</w:t>
            </w:r>
          </w:p>
          <w:p>
            <w:pPr>
              <w:numPr>
                <w:ilvl w:val="0"/>
                <w:numId w:val="11"/>
              </w:numPr>
              <w:tabs>
                <w:tab w:val="left" w:pos="1245"/>
              </w:tabs>
              <w:spacing w:line="480" w:lineRule="exact"/>
              <w:ind w:firstLine="420" w:firstLineChars="200"/>
              <w:jc w:val="both"/>
              <w:rPr>
                <w:color w:val="auto"/>
                <w:szCs w:val="21"/>
              </w:rPr>
            </w:pPr>
            <w:r>
              <w:rPr>
                <w:color w:val="auto"/>
                <w:szCs w:val="21"/>
              </w:rPr>
              <w:t>排污口位置和数量、排放方式、排放去向、排放污染物种类、排放浓度和排放量、执行的排放标准等符合排污许可证的规定，不得私设暗管或以其他方式逃避监管。</w:t>
            </w:r>
          </w:p>
          <w:p>
            <w:pPr>
              <w:numPr>
                <w:ilvl w:val="0"/>
                <w:numId w:val="11"/>
              </w:numPr>
              <w:tabs>
                <w:tab w:val="left" w:pos="1245"/>
              </w:tabs>
              <w:spacing w:line="480" w:lineRule="exact"/>
              <w:ind w:firstLine="420" w:firstLineChars="200"/>
              <w:jc w:val="both"/>
              <w:rPr>
                <w:color w:val="auto"/>
                <w:szCs w:val="21"/>
              </w:rPr>
            </w:pPr>
            <w:r>
              <w:rPr>
                <w:color w:val="auto"/>
                <w:szCs w:val="21"/>
              </w:rPr>
              <w:t>落实重污染天气应急管控措施、遵守法律规定的最新环境保护要求等。按排污许可证规定的监测点位、监测因子、监测频次和相关监测技术规范开展自行监测并公开。</w:t>
            </w:r>
          </w:p>
          <w:p>
            <w:pPr>
              <w:numPr>
                <w:ilvl w:val="0"/>
                <w:numId w:val="11"/>
              </w:numPr>
              <w:tabs>
                <w:tab w:val="left" w:pos="1245"/>
              </w:tabs>
              <w:spacing w:line="480" w:lineRule="exact"/>
              <w:ind w:firstLine="420" w:firstLineChars="200"/>
              <w:jc w:val="both"/>
              <w:rPr>
                <w:color w:val="auto"/>
                <w:szCs w:val="21"/>
              </w:rPr>
            </w:pPr>
            <w:r>
              <w:rPr>
                <w:color w:val="auto"/>
                <w:szCs w:val="21"/>
              </w:rPr>
              <w:t>按规范进行台账记录，主要内容包括生产信息、燃料、原辅材料使用情况、污染防治设施运行记录、监测数据等。</w:t>
            </w:r>
          </w:p>
          <w:p>
            <w:pPr>
              <w:numPr>
                <w:ilvl w:val="0"/>
                <w:numId w:val="11"/>
              </w:numPr>
              <w:tabs>
                <w:tab w:val="left" w:pos="1245"/>
              </w:tabs>
              <w:spacing w:line="480" w:lineRule="exact"/>
              <w:ind w:firstLine="420" w:firstLineChars="200"/>
              <w:jc w:val="both"/>
              <w:rPr>
                <w:color w:val="auto"/>
                <w:szCs w:val="21"/>
              </w:rPr>
            </w:pPr>
            <w:r>
              <w:rPr>
                <w:color w:val="auto"/>
                <w:szCs w:val="21"/>
              </w:rPr>
              <w:t>按排污许可证规定，定期在国家排污许可证管理信息平台填报信息，编制排污许可证执行报告，及时报送有核发权的环境保护主管部门并公开，执行报告主要内容包括生产信息、污染防治设施运行情况、污染物按证排放情况等。</w:t>
            </w:r>
          </w:p>
          <w:p>
            <w:pPr>
              <w:numPr>
                <w:ilvl w:val="0"/>
                <w:numId w:val="11"/>
              </w:numPr>
              <w:tabs>
                <w:tab w:val="left" w:pos="1245"/>
              </w:tabs>
              <w:spacing w:line="480" w:lineRule="exact"/>
              <w:ind w:firstLine="420" w:firstLineChars="200"/>
              <w:jc w:val="both"/>
              <w:rPr>
                <w:color w:val="auto"/>
                <w:szCs w:val="21"/>
              </w:rPr>
            </w:pPr>
            <w:r>
              <w:rPr>
                <w:color w:val="auto"/>
                <w:szCs w:val="21"/>
              </w:rPr>
              <w:t>法律法规规定的其他义务。</w:t>
            </w:r>
          </w:p>
          <w:p>
            <w:pPr>
              <w:spacing w:line="480" w:lineRule="exact"/>
              <w:ind w:firstLine="422" w:firstLineChars="200"/>
              <w:jc w:val="both"/>
              <w:rPr>
                <w:b/>
                <w:bCs/>
                <w:color w:val="auto"/>
                <w:szCs w:val="21"/>
              </w:rPr>
            </w:pPr>
            <w:r>
              <w:rPr>
                <w:b/>
                <w:bCs/>
                <w:color w:val="auto"/>
                <w:szCs w:val="21"/>
              </w:rPr>
              <w:t>5.1.3环境监测计划</w:t>
            </w:r>
          </w:p>
          <w:p>
            <w:pPr>
              <w:tabs>
                <w:tab w:val="left" w:pos="1245"/>
              </w:tabs>
              <w:spacing w:line="480" w:lineRule="exact"/>
              <w:ind w:firstLine="420" w:firstLineChars="200"/>
              <w:jc w:val="both"/>
              <w:rPr>
                <w:bCs/>
                <w:color w:val="auto"/>
                <w:szCs w:val="21"/>
              </w:rPr>
            </w:pPr>
            <w:r>
              <w:rPr>
                <w:bCs/>
                <w:color w:val="auto"/>
                <w:szCs w:val="21"/>
              </w:rPr>
              <w:t>本项目环境监测计划以污染源监控性监测为主，污染源可委托有资质的环境监测站进行。</w:t>
            </w:r>
            <w:r>
              <w:rPr>
                <w:rFonts w:hint="eastAsia"/>
                <w:bCs/>
                <w:color w:val="auto"/>
                <w:szCs w:val="21"/>
              </w:rPr>
              <w:t>按照《排污许可证申请与核发技术规范 陶瓷砖瓦</w:t>
            </w:r>
            <w:r>
              <w:rPr>
                <w:rFonts w:hint="default" w:ascii="Times New Roman" w:hAnsi="Times New Roman" w:cs="Times New Roman"/>
                <w:bCs/>
                <w:color w:val="auto"/>
                <w:szCs w:val="21"/>
              </w:rPr>
              <w:t>工业》（HJ954）</w:t>
            </w:r>
            <w:r>
              <w:rPr>
                <w:rFonts w:hint="eastAsia" w:ascii="Times New Roman" w:hAnsi="Times New Roman" w:cs="Times New Roman"/>
                <w:bCs/>
                <w:color w:val="auto"/>
                <w:szCs w:val="21"/>
                <w:lang w:eastAsia="zh-CN"/>
              </w:rPr>
              <w:t>和</w:t>
            </w:r>
            <w:r>
              <w:rPr>
                <w:rFonts w:hint="eastAsia"/>
                <w:bCs/>
                <w:color w:val="auto"/>
                <w:szCs w:val="21"/>
                <w:lang w:eastAsia="zh-CN"/>
              </w:rPr>
              <w:t>《排污单位自行监测指南</w:t>
            </w:r>
            <w:r>
              <w:rPr>
                <w:rFonts w:hint="eastAsia"/>
                <w:bCs/>
                <w:color w:val="auto"/>
                <w:szCs w:val="21"/>
                <w:lang w:val="en-US" w:eastAsia="zh-CN"/>
              </w:rPr>
              <w:t xml:space="preserve"> 砖瓦行业</w:t>
            </w:r>
            <w:r>
              <w:rPr>
                <w:rFonts w:hint="eastAsia"/>
                <w:bCs/>
                <w:color w:val="auto"/>
                <w:szCs w:val="21"/>
                <w:lang w:eastAsia="zh-CN"/>
              </w:rPr>
              <w:t>》（征求意见版），</w:t>
            </w:r>
            <w:r>
              <w:rPr>
                <w:bCs/>
                <w:color w:val="auto"/>
                <w:szCs w:val="21"/>
              </w:rPr>
              <w:t>本项目运营期环境监测计划一览表详见下表。</w:t>
            </w:r>
          </w:p>
          <w:p>
            <w:pPr>
              <w:spacing w:line="480" w:lineRule="exact"/>
              <w:jc w:val="center"/>
              <w:rPr>
                <w:color w:val="auto"/>
                <w:szCs w:val="21"/>
              </w:rPr>
            </w:pPr>
            <w:r>
              <w:rPr>
                <w:b/>
                <w:bCs/>
                <w:color w:val="auto"/>
                <w:szCs w:val="21"/>
              </w:rPr>
              <w:t>表5-1    本项目运营期环境监测计划一览表</w:t>
            </w:r>
          </w:p>
          <w:tbl>
            <w:tblPr>
              <w:tblStyle w:val="22"/>
              <w:tblW w:w="758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21"/>
              <w:gridCol w:w="1599"/>
              <w:gridCol w:w="1977"/>
              <w:gridCol w:w="30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1" w:type="dxa"/>
                  <w:tcBorders>
                    <w:tl2br w:val="nil"/>
                    <w:tr2bl w:val="nil"/>
                  </w:tcBorders>
                  <w:tcMar>
                    <w:left w:w="28" w:type="dxa"/>
                    <w:right w:w="28" w:type="dxa"/>
                  </w:tcMar>
                  <w:vAlign w:val="center"/>
                </w:tcPr>
                <w:p>
                  <w:pPr>
                    <w:snapToGrid w:val="0"/>
                    <w:spacing w:line="480" w:lineRule="exact"/>
                    <w:jc w:val="center"/>
                    <w:rPr>
                      <w:b/>
                      <w:bCs/>
                      <w:color w:val="auto"/>
                      <w:szCs w:val="21"/>
                    </w:rPr>
                  </w:pPr>
                  <w:r>
                    <w:rPr>
                      <w:b/>
                      <w:bCs/>
                      <w:color w:val="auto"/>
                      <w:szCs w:val="21"/>
                    </w:rPr>
                    <w:t>环境要素</w:t>
                  </w:r>
                </w:p>
              </w:tc>
              <w:tc>
                <w:tcPr>
                  <w:tcW w:w="1599" w:type="dxa"/>
                  <w:tcBorders>
                    <w:tl2br w:val="nil"/>
                    <w:tr2bl w:val="nil"/>
                  </w:tcBorders>
                  <w:tcMar>
                    <w:left w:w="28" w:type="dxa"/>
                    <w:right w:w="28" w:type="dxa"/>
                  </w:tcMar>
                  <w:vAlign w:val="center"/>
                </w:tcPr>
                <w:p>
                  <w:pPr>
                    <w:snapToGrid w:val="0"/>
                    <w:spacing w:line="480" w:lineRule="exact"/>
                    <w:jc w:val="center"/>
                    <w:rPr>
                      <w:b/>
                      <w:bCs/>
                      <w:color w:val="auto"/>
                      <w:szCs w:val="21"/>
                    </w:rPr>
                  </w:pPr>
                  <w:r>
                    <w:rPr>
                      <w:b/>
                      <w:bCs/>
                      <w:color w:val="auto"/>
                      <w:szCs w:val="21"/>
                    </w:rPr>
                    <w:t>监测点位</w:t>
                  </w:r>
                </w:p>
              </w:tc>
              <w:tc>
                <w:tcPr>
                  <w:tcW w:w="1977" w:type="dxa"/>
                  <w:tcBorders>
                    <w:tl2br w:val="nil"/>
                    <w:tr2bl w:val="nil"/>
                  </w:tcBorders>
                  <w:tcMar>
                    <w:left w:w="28" w:type="dxa"/>
                    <w:right w:w="28" w:type="dxa"/>
                  </w:tcMar>
                  <w:vAlign w:val="center"/>
                </w:tcPr>
                <w:p>
                  <w:pPr>
                    <w:snapToGrid w:val="0"/>
                    <w:spacing w:line="480" w:lineRule="exact"/>
                    <w:jc w:val="center"/>
                    <w:rPr>
                      <w:b/>
                      <w:bCs/>
                      <w:color w:val="auto"/>
                      <w:szCs w:val="21"/>
                    </w:rPr>
                  </w:pPr>
                  <w:r>
                    <w:rPr>
                      <w:b/>
                      <w:bCs/>
                      <w:color w:val="auto"/>
                      <w:szCs w:val="21"/>
                    </w:rPr>
                    <w:t>监测项目</w:t>
                  </w:r>
                </w:p>
              </w:tc>
              <w:tc>
                <w:tcPr>
                  <w:tcW w:w="3087" w:type="dxa"/>
                  <w:tcBorders>
                    <w:tl2br w:val="nil"/>
                    <w:tr2bl w:val="nil"/>
                  </w:tcBorders>
                  <w:tcMar>
                    <w:left w:w="28" w:type="dxa"/>
                    <w:right w:w="28" w:type="dxa"/>
                  </w:tcMar>
                  <w:vAlign w:val="center"/>
                </w:tcPr>
                <w:p>
                  <w:pPr>
                    <w:snapToGrid w:val="0"/>
                    <w:spacing w:line="480" w:lineRule="exact"/>
                    <w:jc w:val="center"/>
                    <w:rPr>
                      <w:b/>
                      <w:bCs/>
                      <w:color w:val="auto"/>
                      <w:szCs w:val="21"/>
                    </w:rPr>
                  </w:pPr>
                  <w:r>
                    <w:rPr>
                      <w:b/>
                      <w:bCs/>
                      <w:color w:val="auto"/>
                      <w:szCs w:val="21"/>
                    </w:rPr>
                    <w:t>监测频率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1" w:type="dxa"/>
                  <w:vMerge w:val="restart"/>
                  <w:tcBorders>
                    <w:tl2br w:val="nil"/>
                    <w:tr2bl w:val="nil"/>
                  </w:tcBorders>
                  <w:tcMar>
                    <w:left w:w="28" w:type="dxa"/>
                    <w:right w:w="28" w:type="dxa"/>
                  </w:tcMar>
                  <w:vAlign w:val="center"/>
                </w:tcPr>
                <w:p>
                  <w:pPr>
                    <w:snapToGrid w:val="0"/>
                    <w:spacing w:line="480" w:lineRule="exact"/>
                    <w:jc w:val="center"/>
                    <w:rPr>
                      <w:color w:val="auto"/>
                      <w:szCs w:val="21"/>
                    </w:rPr>
                  </w:pPr>
                  <w:r>
                    <w:rPr>
                      <w:color w:val="auto"/>
                      <w:szCs w:val="21"/>
                    </w:rPr>
                    <w:t>废气</w:t>
                  </w:r>
                </w:p>
              </w:tc>
              <w:tc>
                <w:tcPr>
                  <w:tcW w:w="1599" w:type="dxa"/>
                  <w:tcBorders>
                    <w:tl2br w:val="nil"/>
                    <w:tr2bl w:val="nil"/>
                  </w:tcBorders>
                  <w:tcMar>
                    <w:left w:w="28" w:type="dxa"/>
                    <w:right w:w="28" w:type="dxa"/>
                  </w:tcMar>
                  <w:vAlign w:val="center"/>
                </w:tcPr>
                <w:p>
                  <w:pPr>
                    <w:snapToGrid w:val="0"/>
                    <w:spacing w:line="480" w:lineRule="exact"/>
                    <w:jc w:val="center"/>
                    <w:rPr>
                      <w:color w:val="auto"/>
                      <w:szCs w:val="21"/>
                    </w:rPr>
                  </w:pPr>
                  <w:r>
                    <w:rPr>
                      <w:color w:val="auto"/>
                      <w:szCs w:val="21"/>
                    </w:rPr>
                    <w:t>排气筒</w:t>
                  </w:r>
                </w:p>
              </w:tc>
              <w:tc>
                <w:tcPr>
                  <w:tcW w:w="1977" w:type="dxa"/>
                  <w:tcBorders>
                    <w:tl2br w:val="nil"/>
                    <w:tr2bl w:val="nil"/>
                  </w:tcBorders>
                  <w:tcMar>
                    <w:left w:w="28" w:type="dxa"/>
                    <w:right w:w="28" w:type="dxa"/>
                  </w:tcMar>
                  <w:vAlign w:val="center"/>
                </w:tcPr>
                <w:p>
                  <w:pPr>
                    <w:snapToGrid w:val="0"/>
                    <w:spacing w:line="480" w:lineRule="exact"/>
                    <w:jc w:val="center"/>
                    <w:rPr>
                      <w:color w:val="auto"/>
                      <w:szCs w:val="21"/>
                    </w:rPr>
                  </w:pPr>
                  <w:r>
                    <w:rPr>
                      <w:color w:val="auto"/>
                      <w:szCs w:val="21"/>
                    </w:rPr>
                    <w:t>颗粒物</w:t>
                  </w:r>
                </w:p>
              </w:tc>
              <w:tc>
                <w:tcPr>
                  <w:tcW w:w="3087" w:type="dxa"/>
                  <w:vMerge w:val="restart"/>
                  <w:tcBorders>
                    <w:tl2br w:val="nil"/>
                    <w:tr2bl w:val="nil"/>
                  </w:tcBorders>
                  <w:tcMar>
                    <w:left w:w="28" w:type="dxa"/>
                    <w:right w:w="28" w:type="dxa"/>
                  </w:tcMar>
                  <w:vAlign w:val="center"/>
                </w:tcPr>
                <w:p>
                  <w:pPr>
                    <w:snapToGrid w:val="0"/>
                    <w:spacing w:line="480" w:lineRule="exact"/>
                    <w:jc w:val="center"/>
                    <w:rPr>
                      <w:rFonts w:hint="eastAsia" w:eastAsia="宋体"/>
                      <w:color w:val="auto"/>
                      <w:szCs w:val="21"/>
                      <w:lang w:eastAsia="zh-CN"/>
                    </w:rPr>
                  </w:pPr>
                  <w:r>
                    <w:rPr>
                      <w:color w:val="auto"/>
                      <w:szCs w:val="21"/>
                    </w:rPr>
                    <w:t>有资质单位：1次/</w:t>
                  </w:r>
                  <w:r>
                    <w:rPr>
                      <w:rFonts w:hint="eastAsia"/>
                      <w:color w:val="auto"/>
                      <w:szCs w:val="21"/>
                      <w:lang w:eastAsia="zh-CN"/>
                    </w:rPr>
                    <w:t>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1" w:type="dxa"/>
                  <w:vMerge w:val="continue"/>
                  <w:tcBorders>
                    <w:tl2br w:val="nil"/>
                    <w:tr2bl w:val="nil"/>
                  </w:tcBorders>
                  <w:tcMar>
                    <w:left w:w="28" w:type="dxa"/>
                    <w:right w:w="28" w:type="dxa"/>
                  </w:tcMar>
                  <w:vAlign w:val="center"/>
                </w:tcPr>
                <w:p>
                  <w:pPr>
                    <w:snapToGrid w:val="0"/>
                    <w:spacing w:line="480" w:lineRule="exact"/>
                    <w:jc w:val="center"/>
                    <w:rPr>
                      <w:color w:val="auto"/>
                      <w:szCs w:val="21"/>
                    </w:rPr>
                  </w:pPr>
                </w:p>
              </w:tc>
              <w:tc>
                <w:tcPr>
                  <w:tcW w:w="1599" w:type="dxa"/>
                  <w:tcBorders>
                    <w:tl2br w:val="nil"/>
                    <w:tr2bl w:val="nil"/>
                  </w:tcBorders>
                  <w:tcMar>
                    <w:left w:w="28" w:type="dxa"/>
                    <w:right w:w="28" w:type="dxa"/>
                  </w:tcMar>
                  <w:vAlign w:val="center"/>
                </w:tcPr>
                <w:p>
                  <w:pPr>
                    <w:snapToGrid w:val="0"/>
                    <w:spacing w:line="480" w:lineRule="exact"/>
                    <w:jc w:val="center"/>
                    <w:rPr>
                      <w:color w:val="auto"/>
                      <w:szCs w:val="21"/>
                    </w:rPr>
                  </w:pPr>
                  <w:r>
                    <w:rPr>
                      <w:color w:val="auto"/>
                      <w:szCs w:val="21"/>
                    </w:rPr>
                    <w:t>厂界四周</w:t>
                  </w:r>
                </w:p>
              </w:tc>
              <w:tc>
                <w:tcPr>
                  <w:tcW w:w="1977" w:type="dxa"/>
                  <w:tcBorders>
                    <w:tl2br w:val="nil"/>
                    <w:tr2bl w:val="nil"/>
                  </w:tcBorders>
                  <w:tcMar>
                    <w:left w:w="28" w:type="dxa"/>
                    <w:right w:w="28" w:type="dxa"/>
                  </w:tcMar>
                  <w:vAlign w:val="center"/>
                </w:tcPr>
                <w:p>
                  <w:pPr>
                    <w:snapToGrid w:val="0"/>
                    <w:spacing w:line="480" w:lineRule="exact"/>
                    <w:jc w:val="center"/>
                    <w:rPr>
                      <w:color w:val="auto"/>
                      <w:szCs w:val="21"/>
                    </w:rPr>
                  </w:pPr>
                  <w:r>
                    <w:rPr>
                      <w:color w:val="auto"/>
                      <w:szCs w:val="21"/>
                    </w:rPr>
                    <w:t>颗粒物</w:t>
                  </w:r>
                </w:p>
              </w:tc>
              <w:tc>
                <w:tcPr>
                  <w:tcW w:w="3087" w:type="dxa"/>
                  <w:vMerge w:val="continue"/>
                  <w:tcBorders>
                    <w:tl2br w:val="nil"/>
                    <w:tr2bl w:val="nil"/>
                  </w:tcBorders>
                  <w:tcMar>
                    <w:left w:w="28" w:type="dxa"/>
                    <w:right w:w="28" w:type="dxa"/>
                  </w:tcMar>
                  <w:vAlign w:val="center"/>
                </w:tcPr>
                <w:p>
                  <w:pPr>
                    <w:snapToGrid w:val="0"/>
                    <w:spacing w:line="480" w:lineRule="exact"/>
                    <w:jc w:val="center"/>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1" w:type="dxa"/>
                  <w:tcBorders>
                    <w:tl2br w:val="nil"/>
                    <w:tr2bl w:val="nil"/>
                  </w:tcBorders>
                  <w:tcMar>
                    <w:left w:w="28" w:type="dxa"/>
                    <w:right w:w="28" w:type="dxa"/>
                  </w:tcMar>
                  <w:vAlign w:val="center"/>
                </w:tcPr>
                <w:p>
                  <w:pPr>
                    <w:snapToGrid w:val="0"/>
                    <w:spacing w:line="480" w:lineRule="exact"/>
                    <w:jc w:val="center"/>
                    <w:rPr>
                      <w:color w:val="auto"/>
                      <w:szCs w:val="21"/>
                    </w:rPr>
                  </w:pPr>
                  <w:r>
                    <w:rPr>
                      <w:rFonts w:hint="eastAsia"/>
                      <w:color w:val="auto"/>
                      <w:szCs w:val="21"/>
                    </w:rPr>
                    <w:t>废水</w:t>
                  </w:r>
                </w:p>
              </w:tc>
              <w:tc>
                <w:tcPr>
                  <w:tcW w:w="1599" w:type="dxa"/>
                  <w:tcBorders>
                    <w:tl2br w:val="nil"/>
                    <w:tr2bl w:val="nil"/>
                  </w:tcBorders>
                  <w:tcMar>
                    <w:left w:w="28" w:type="dxa"/>
                    <w:right w:w="28" w:type="dxa"/>
                  </w:tcMar>
                  <w:vAlign w:val="center"/>
                </w:tcPr>
                <w:p>
                  <w:pPr>
                    <w:snapToGrid w:val="0"/>
                    <w:spacing w:line="480" w:lineRule="exact"/>
                    <w:jc w:val="center"/>
                    <w:rPr>
                      <w:rFonts w:hint="eastAsia" w:eastAsia="宋体"/>
                      <w:color w:val="auto"/>
                      <w:szCs w:val="21"/>
                      <w:lang w:eastAsia="zh-CN"/>
                    </w:rPr>
                  </w:pPr>
                  <w:r>
                    <w:rPr>
                      <w:rFonts w:hint="eastAsia"/>
                      <w:color w:val="auto"/>
                      <w:szCs w:val="21"/>
                    </w:rPr>
                    <w:t>生活污水</w:t>
                  </w:r>
                  <w:r>
                    <w:rPr>
                      <w:rFonts w:hint="eastAsia"/>
                      <w:color w:val="auto"/>
                      <w:szCs w:val="21"/>
                      <w:lang w:eastAsia="zh-CN"/>
                    </w:rPr>
                    <w:t>排放口</w:t>
                  </w:r>
                </w:p>
              </w:tc>
              <w:tc>
                <w:tcPr>
                  <w:tcW w:w="1977" w:type="dxa"/>
                  <w:tcBorders>
                    <w:tl2br w:val="nil"/>
                    <w:tr2bl w:val="nil"/>
                  </w:tcBorders>
                  <w:tcMar>
                    <w:left w:w="28" w:type="dxa"/>
                    <w:right w:w="28" w:type="dxa"/>
                  </w:tcMar>
                  <w:vAlign w:val="center"/>
                </w:tcPr>
                <w:p>
                  <w:pPr>
                    <w:snapToGrid w:val="0"/>
                    <w:spacing w:line="480" w:lineRule="exact"/>
                    <w:jc w:val="center"/>
                    <w:rPr>
                      <w:color w:val="auto"/>
                      <w:szCs w:val="21"/>
                    </w:rPr>
                  </w:pPr>
                  <w:r>
                    <w:rPr>
                      <w:rFonts w:hint="eastAsia"/>
                      <w:color w:val="auto"/>
                      <w:szCs w:val="21"/>
                      <w:lang w:val="en-US" w:eastAsia="zh-CN"/>
                    </w:rPr>
                    <w:t>pH、</w:t>
                  </w:r>
                  <w:r>
                    <w:rPr>
                      <w:rFonts w:hint="eastAsia"/>
                      <w:color w:val="auto"/>
                      <w:szCs w:val="21"/>
                    </w:rPr>
                    <w:t>COD、NH</w:t>
                  </w:r>
                  <w:r>
                    <w:rPr>
                      <w:rFonts w:hint="eastAsia"/>
                      <w:color w:val="auto"/>
                      <w:szCs w:val="21"/>
                      <w:vertAlign w:val="subscript"/>
                    </w:rPr>
                    <w:t>3</w:t>
                  </w:r>
                  <w:r>
                    <w:rPr>
                      <w:rFonts w:hint="eastAsia"/>
                      <w:color w:val="auto"/>
                      <w:szCs w:val="21"/>
                    </w:rPr>
                    <w:t>-N</w:t>
                  </w:r>
                  <w:r>
                    <w:rPr>
                      <w:rFonts w:hint="eastAsia"/>
                      <w:color w:val="auto"/>
                      <w:szCs w:val="21"/>
                      <w:lang w:eastAsia="zh-CN"/>
                    </w:rPr>
                    <w:t>、</w:t>
                  </w:r>
                  <w:r>
                    <w:rPr>
                      <w:rFonts w:hint="eastAsia"/>
                      <w:color w:val="auto"/>
                      <w:szCs w:val="21"/>
                      <w:lang w:val="en-US" w:eastAsia="zh-CN"/>
                    </w:rPr>
                    <w:t>BOD</w:t>
                  </w:r>
                  <w:r>
                    <w:rPr>
                      <w:rFonts w:hint="eastAsia"/>
                      <w:color w:val="auto"/>
                      <w:szCs w:val="21"/>
                      <w:vertAlign w:val="subscript"/>
                      <w:lang w:val="en-US" w:eastAsia="zh-CN"/>
                    </w:rPr>
                    <w:t>5</w:t>
                  </w:r>
                  <w:r>
                    <w:rPr>
                      <w:rFonts w:hint="eastAsia"/>
                      <w:color w:val="auto"/>
                      <w:szCs w:val="21"/>
                      <w:vertAlign w:val="baseline"/>
                      <w:lang w:val="en-US" w:eastAsia="zh-CN"/>
                    </w:rPr>
                    <w:t>、SS、总磷</w:t>
                  </w:r>
                  <w:r>
                    <w:rPr>
                      <w:rFonts w:hint="eastAsia"/>
                      <w:color w:val="auto"/>
                      <w:szCs w:val="21"/>
                    </w:rPr>
                    <w:t>等</w:t>
                  </w:r>
                </w:p>
              </w:tc>
              <w:tc>
                <w:tcPr>
                  <w:tcW w:w="3087" w:type="dxa"/>
                  <w:tcBorders>
                    <w:tl2br w:val="nil"/>
                    <w:tr2bl w:val="nil"/>
                  </w:tcBorders>
                  <w:tcMar>
                    <w:left w:w="28" w:type="dxa"/>
                    <w:right w:w="28" w:type="dxa"/>
                  </w:tcMar>
                  <w:vAlign w:val="center"/>
                </w:tcPr>
                <w:p>
                  <w:pPr>
                    <w:snapToGrid w:val="0"/>
                    <w:spacing w:line="480" w:lineRule="exact"/>
                    <w:jc w:val="center"/>
                    <w:rPr>
                      <w:color w:val="auto"/>
                      <w:szCs w:val="21"/>
                    </w:rPr>
                  </w:pPr>
                  <w:r>
                    <w:rPr>
                      <w:rFonts w:hint="eastAsia"/>
                      <w:color w:val="auto"/>
                      <w:szCs w:val="21"/>
                    </w:rPr>
                    <w:t>1次/季度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1" w:type="dxa"/>
                  <w:tcBorders>
                    <w:tl2br w:val="nil"/>
                    <w:tr2bl w:val="nil"/>
                  </w:tcBorders>
                  <w:tcMar>
                    <w:left w:w="28" w:type="dxa"/>
                    <w:right w:w="28" w:type="dxa"/>
                  </w:tcMar>
                  <w:vAlign w:val="center"/>
                </w:tcPr>
                <w:p>
                  <w:pPr>
                    <w:snapToGrid w:val="0"/>
                    <w:spacing w:line="480" w:lineRule="exact"/>
                    <w:jc w:val="center"/>
                    <w:rPr>
                      <w:color w:val="auto"/>
                      <w:szCs w:val="21"/>
                    </w:rPr>
                  </w:pPr>
                  <w:r>
                    <w:rPr>
                      <w:color w:val="auto"/>
                      <w:szCs w:val="21"/>
                    </w:rPr>
                    <w:t>噪声</w:t>
                  </w:r>
                </w:p>
              </w:tc>
              <w:tc>
                <w:tcPr>
                  <w:tcW w:w="1599" w:type="dxa"/>
                  <w:tcBorders>
                    <w:tl2br w:val="nil"/>
                    <w:tr2bl w:val="nil"/>
                  </w:tcBorders>
                  <w:tcMar>
                    <w:left w:w="28" w:type="dxa"/>
                    <w:right w:w="28" w:type="dxa"/>
                  </w:tcMar>
                  <w:vAlign w:val="center"/>
                </w:tcPr>
                <w:p>
                  <w:pPr>
                    <w:snapToGrid w:val="0"/>
                    <w:spacing w:line="480" w:lineRule="exact"/>
                    <w:jc w:val="center"/>
                    <w:rPr>
                      <w:color w:val="auto"/>
                      <w:szCs w:val="21"/>
                    </w:rPr>
                  </w:pPr>
                  <w:r>
                    <w:rPr>
                      <w:color w:val="auto"/>
                      <w:szCs w:val="21"/>
                    </w:rPr>
                    <w:t>厂界四周</w:t>
                  </w:r>
                </w:p>
              </w:tc>
              <w:tc>
                <w:tcPr>
                  <w:tcW w:w="1977" w:type="dxa"/>
                  <w:tcBorders>
                    <w:tl2br w:val="nil"/>
                    <w:tr2bl w:val="nil"/>
                  </w:tcBorders>
                  <w:tcMar>
                    <w:left w:w="28" w:type="dxa"/>
                    <w:right w:w="28" w:type="dxa"/>
                  </w:tcMar>
                  <w:vAlign w:val="center"/>
                </w:tcPr>
                <w:p>
                  <w:pPr>
                    <w:snapToGrid w:val="0"/>
                    <w:spacing w:line="480" w:lineRule="exact"/>
                    <w:jc w:val="center"/>
                    <w:rPr>
                      <w:color w:val="auto"/>
                      <w:szCs w:val="21"/>
                    </w:rPr>
                  </w:pPr>
                  <w:r>
                    <w:rPr>
                      <w:color w:val="auto"/>
                      <w:szCs w:val="21"/>
                    </w:rPr>
                    <w:t>等效A声级</w:t>
                  </w:r>
                </w:p>
              </w:tc>
              <w:tc>
                <w:tcPr>
                  <w:tcW w:w="3087" w:type="dxa"/>
                  <w:tcBorders>
                    <w:tl2br w:val="nil"/>
                    <w:tr2bl w:val="nil"/>
                  </w:tcBorders>
                  <w:tcMar>
                    <w:left w:w="28" w:type="dxa"/>
                    <w:right w:w="28" w:type="dxa"/>
                  </w:tcMar>
                  <w:vAlign w:val="center"/>
                </w:tcPr>
                <w:p>
                  <w:pPr>
                    <w:snapToGrid w:val="0"/>
                    <w:spacing w:line="480" w:lineRule="exact"/>
                    <w:jc w:val="center"/>
                    <w:rPr>
                      <w:color w:val="auto"/>
                      <w:szCs w:val="21"/>
                    </w:rPr>
                  </w:pPr>
                  <w:r>
                    <w:rPr>
                      <w:color w:val="auto"/>
                      <w:szCs w:val="21"/>
                    </w:rPr>
                    <w:t>每季度监测一次（昼夜各一次）</w:t>
                  </w:r>
                </w:p>
              </w:tc>
            </w:tr>
          </w:tbl>
          <w:p>
            <w:pPr>
              <w:tabs>
                <w:tab w:val="left" w:pos="1245"/>
              </w:tabs>
              <w:spacing w:line="480" w:lineRule="exact"/>
              <w:ind w:firstLine="420" w:firstLineChars="200"/>
              <w:jc w:val="both"/>
              <w:rPr>
                <w:bCs/>
                <w:color w:val="auto"/>
                <w:szCs w:val="21"/>
              </w:rPr>
            </w:pPr>
            <w:r>
              <w:rPr>
                <w:bCs/>
                <w:color w:val="auto"/>
                <w:szCs w:val="21"/>
              </w:rPr>
              <w:t>对监测结果进行统计汇总，上报有关领导和主管部门，监测结果如有异常，应及时反馈生产管理部门，查找原因，及时解决。</w:t>
            </w:r>
          </w:p>
          <w:p>
            <w:pPr>
              <w:spacing w:line="480" w:lineRule="exact"/>
              <w:ind w:firstLine="422" w:firstLineChars="200"/>
              <w:jc w:val="both"/>
              <w:rPr>
                <w:b/>
                <w:bCs/>
                <w:color w:val="auto"/>
                <w:szCs w:val="21"/>
              </w:rPr>
            </w:pPr>
            <w:r>
              <w:rPr>
                <w:b/>
                <w:bCs/>
                <w:color w:val="auto"/>
                <w:szCs w:val="21"/>
              </w:rPr>
              <w:t>5.1.4排污口规范化设置</w:t>
            </w:r>
          </w:p>
          <w:p>
            <w:pPr>
              <w:tabs>
                <w:tab w:val="left" w:pos="1245"/>
              </w:tabs>
              <w:spacing w:line="480" w:lineRule="exact"/>
              <w:ind w:firstLine="420" w:firstLineChars="200"/>
              <w:jc w:val="both"/>
              <w:rPr>
                <w:color w:val="auto"/>
                <w:szCs w:val="21"/>
              </w:rPr>
            </w:pPr>
            <w:r>
              <w:rPr>
                <w:color w:val="auto"/>
                <w:szCs w:val="21"/>
              </w:rPr>
              <w:t>在厂区</w:t>
            </w:r>
            <w:r>
              <w:rPr>
                <w:rFonts w:hint="eastAsia"/>
                <w:color w:val="auto"/>
                <w:szCs w:val="21"/>
              </w:rPr>
              <w:t>“</w:t>
            </w:r>
            <w:r>
              <w:rPr>
                <w:color w:val="auto"/>
                <w:szCs w:val="21"/>
              </w:rPr>
              <w:t>三废</w:t>
            </w:r>
            <w:r>
              <w:rPr>
                <w:rFonts w:hint="eastAsia"/>
                <w:color w:val="auto"/>
                <w:szCs w:val="21"/>
              </w:rPr>
              <w:t>”</w:t>
            </w:r>
            <w:r>
              <w:rPr>
                <w:color w:val="auto"/>
                <w:szCs w:val="21"/>
              </w:rPr>
              <w:t>及噪声排放点，设置明显标志，标志的设置应执行《环境保护图形标志排放口》(15562.1-1995)、《环境保护图形标志固体废物贮存(处置)场》(15562.2-1995)中有关规定，见下表。</w:t>
            </w:r>
          </w:p>
          <w:tbl>
            <w:tblPr>
              <w:tblStyle w:val="22"/>
              <w:tblpPr w:leftFromText="180" w:rightFromText="180" w:vertAnchor="text" w:horzAnchor="page" w:tblpX="117" w:tblpY="5057"/>
              <w:tblOverlap w:val="never"/>
              <w:tblW w:w="75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559"/>
              <w:gridCol w:w="1558"/>
              <w:gridCol w:w="1561"/>
              <w:gridCol w:w="150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372" w:type="dxa"/>
                  <w:tcBorders>
                    <w:tl2br w:val="nil"/>
                    <w:tr2bl w:val="nil"/>
                  </w:tcBorders>
                  <w:vAlign w:val="center"/>
                </w:tcPr>
                <w:p>
                  <w:pPr>
                    <w:pStyle w:val="52"/>
                    <w:widowControl/>
                    <w:spacing w:line="240" w:lineRule="atLeast"/>
                    <w:jc w:val="center"/>
                    <w:rPr>
                      <w:rFonts w:eastAsia="宋体"/>
                      <w:b/>
                      <w:snapToGrid w:val="0"/>
                      <w:color w:val="auto"/>
                      <w:kern w:val="0"/>
                      <w:sz w:val="21"/>
                      <w:szCs w:val="21"/>
                    </w:rPr>
                  </w:pPr>
                  <w:r>
                    <w:rPr>
                      <w:rFonts w:eastAsia="宋体"/>
                      <w:b/>
                      <w:snapToGrid w:val="0"/>
                      <w:color w:val="auto"/>
                      <w:kern w:val="0"/>
                      <w:sz w:val="21"/>
                      <w:szCs w:val="21"/>
                    </w:rPr>
                    <w:t>排放口</w:t>
                  </w:r>
                </w:p>
              </w:tc>
              <w:tc>
                <w:tcPr>
                  <w:tcW w:w="1559" w:type="dxa"/>
                  <w:tcBorders>
                    <w:tl2br w:val="nil"/>
                    <w:tr2bl w:val="nil"/>
                  </w:tcBorders>
                  <w:vAlign w:val="center"/>
                </w:tcPr>
                <w:p>
                  <w:pPr>
                    <w:pStyle w:val="52"/>
                    <w:widowControl/>
                    <w:spacing w:line="240" w:lineRule="atLeast"/>
                    <w:jc w:val="center"/>
                    <w:rPr>
                      <w:rFonts w:eastAsia="宋体"/>
                      <w:b/>
                      <w:snapToGrid w:val="0"/>
                      <w:color w:val="auto"/>
                      <w:kern w:val="0"/>
                      <w:sz w:val="21"/>
                      <w:szCs w:val="21"/>
                    </w:rPr>
                  </w:pPr>
                  <w:r>
                    <w:rPr>
                      <w:rFonts w:eastAsia="宋体"/>
                      <w:b/>
                      <w:snapToGrid w:val="0"/>
                      <w:color w:val="auto"/>
                      <w:kern w:val="0"/>
                      <w:sz w:val="21"/>
                      <w:szCs w:val="21"/>
                    </w:rPr>
                    <w:t>废水排口</w:t>
                  </w:r>
                </w:p>
              </w:tc>
              <w:tc>
                <w:tcPr>
                  <w:tcW w:w="1558" w:type="dxa"/>
                  <w:tcBorders>
                    <w:tl2br w:val="nil"/>
                    <w:tr2bl w:val="nil"/>
                  </w:tcBorders>
                  <w:vAlign w:val="center"/>
                </w:tcPr>
                <w:p>
                  <w:pPr>
                    <w:pStyle w:val="52"/>
                    <w:widowControl/>
                    <w:spacing w:line="240" w:lineRule="atLeast"/>
                    <w:jc w:val="center"/>
                    <w:rPr>
                      <w:rFonts w:eastAsia="宋体"/>
                      <w:b/>
                      <w:snapToGrid w:val="0"/>
                      <w:color w:val="auto"/>
                      <w:kern w:val="0"/>
                      <w:sz w:val="21"/>
                      <w:szCs w:val="21"/>
                    </w:rPr>
                  </w:pPr>
                  <w:r>
                    <w:rPr>
                      <w:rFonts w:eastAsia="宋体"/>
                      <w:b/>
                      <w:snapToGrid w:val="0"/>
                      <w:color w:val="auto"/>
                      <w:kern w:val="0"/>
                      <w:sz w:val="21"/>
                      <w:szCs w:val="21"/>
                    </w:rPr>
                    <w:t>废气排口</w:t>
                  </w:r>
                </w:p>
              </w:tc>
              <w:tc>
                <w:tcPr>
                  <w:tcW w:w="1561" w:type="dxa"/>
                  <w:tcBorders>
                    <w:tl2br w:val="nil"/>
                    <w:tr2bl w:val="nil"/>
                  </w:tcBorders>
                  <w:vAlign w:val="center"/>
                </w:tcPr>
                <w:p>
                  <w:pPr>
                    <w:pStyle w:val="52"/>
                    <w:widowControl/>
                    <w:spacing w:line="240" w:lineRule="atLeast"/>
                    <w:jc w:val="center"/>
                    <w:rPr>
                      <w:rFonts w:eastAsia="宋体"/>
                      <w:b/>
                      <w:snapToGrid w:val="0"/>
                      <w:color w:val="auto"/>
                      <w:kern w:val="0"/>
                      <w:sz w:val="21"/>
                      <w:szCs w:val="21"/>
                    </w:rPr>
                  </w:pPr>
                  <w:r>
                    <w:rPr>
                      <w:rFonts w:eastAsia="宋体"/>
                      <w:b/>
                      <w:snapToGrid w:val="0"/>
                      <w:color w:val="auto"/>
                      <w:kern w:val="0"/>
                      <w:sz w:val="21"/>
                      <w:szCs w:val="21"/>
                    </w:rPr>
                    <w:t>噪声源</w:t>
                  </w:r>
                </w:p>
              </w:tc>
              <w:tc>
                <w:tcPr>
                  <w:tcW w:w="1509" w:type="dxa"/>
                  <w:tcBorders>
                    <w:tl2br w:val="nil"/>
                    <w:tr2bl w:val="nil"/>
                  </w:tcBorders>
                  <w:vAlign w:val="center"/>
                </w:tcPr>
                <w:p>
                  <w:pPr>
                    <w:pStyle w:val="52"/>
                    <w:widowControl/>
                    <w:spacing w:line="240" w:lineRule="atLeast"/>
                    <w:jc w:val="center"/>
                    <w:rPr>
                      <w:rFonts w:eastAsia="宋体"/>
                      <w:b/>
                      <w:snapToGrid w:val="0"/>
                      <w:color w:val="auto"/>
                      <w:kern w:val="0"/>
                      <w:sz w:val="21"/>
                      <w:szCs w:val="21"/>
                    </w:rPr>
                  </w:pPr>
                  <w:r>
                    <w:rPr>
                      <w:rFonts w:eastAsia="宋体"/>
                      <w:b/>
                      <w:snapToGrid w:val="0"/>
                      <w:color w:val="auto"/>
                      <w:kern w:val="0"/>
                      <w:sz w:val="21"/>
                      <w:szCs w:val="21"/>
                    </w:rPr>
                    <w:t>固废堆场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1372" w:type="dxa"/>
                  <w:tcBorders>
                    <w:tl2br w:val="nil"/>
                    <w:tr2bl w:val="nil"/>
                  </w:tcBorders>
                  <w:vAlign w:val="center"/>
                </w:tcPr>
                <w:p>
                  <w:pPr>
                    <w:pStyle w:val="52"/>
                    <w:widowControl/>
                    <w:spacing w:line="240" w:lineRule="atLeast"/>
                    <w:jc w:val="center"/>
                    <w:rPr>
                      <w:rFonts w:eastAsia="宋体"/>
                      <w:bCs/>
                      <w:snapToGrid w:val="0"/>
                      <w:color w:val="auto"/>
                      <w:kern w:val="0"/>
                      <w:sz w:val="21"/>
                      <w:szCs w:val="21"/>
                    </w:rPr>
                  </w:pPr>
                  <w:r>
                    <w:rPr>
                      <w:rFonts w:eastAsia="宋体"/>
                      <w:bCs/>
                      <w:snapToGrid w:val="0"/>
                      <w:color w:val="auto"/>
                      <w:kern w:val="0"/>
                      <w:sz w:val="21"/>
                      <w:szCs w:val="21"/>
                    </w:rPr>
                    <w:t>图形符号</w:t>
                  </w:r>
                </w:p>
              </w:tc>
              <w:tc>
                <w:tcPr>
                  <w:tcW w:w="1559" w:type="dxa"/>
                  <w:tcBorders>
                    <w:tl2br w:val="nil"/>
                    <w:tr2bl w:val="nil"/>
                  </w:tcBorders>
                  <w:vAlign w:val="center"/>
                </w:tcPr>
                <w:p>
                  <w:pPr>
                    <w:widowControl/>
                    <w:autoSpaceDE w:val="0"/>
                    <w:autoSpaceDN w:val="0"/>
                    <w:spacing w:line="240" w:lineRule="atLeast"/>
                    <w:jc w:val="center"/>
                    <w:rPr>
                      <w:bCs/>
                      <w:snapToGrid w:val="0"/>
                      <w:color w:val="auto"/>
                      <w:kern w:val="0"/>
                      <w:szCs w:val="21"/>
                    </w:rPr>
                  </w:pPr>
                  <w:r>
                    <w:rPr>
                      <w:color w:val="auto"/>
                      <w:kern w:val="0"/>
                      <w:szCs w:val="21"/>
                    </w:rPr>
                    <w:drawing>
                      <wp:inline distT="0" distB="0" distL="114300" distR="114300">
                        <wp:extent cx="915035" cy="904240"/>
                        <wp:effectExtent l="0" t="0" r="18415" b="10160"/>
                        <wp:docPr id="1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1"/>
                                <pic:cNvPicPr>
                                  <a:picLocks noChangeAspect="1"/>
                                </pic:cNvPicPr>
                              </pic:nvPicPr>
                              <pic:blipFill>
                                <a:blip r:embed="rId11"/>
                                <a:stretch>
                                  <a:fillRect/>
                                </a:stretch>
                              </pic:blipFill>
                              <pic:spPr>
                                <a:xfrm>
                                  <a:off x="0" y="0"/>
                                  <a:ext cx="915035" cy="904240"/>
                                </a:xfrm>
                                <a:prstGeom prst="rect">
                                  <a:avLst/>
                                </a:prstGeom>
                                <a:noFill/>
                                <a:ln>
                                  <a:noFill/>
                                </a:ln>
                              </pic:spPr>
                            </pic:pic>
                          </a:graphicData>
                        </a:graphic>
                      </wp:inline>
                    </w:drawing>
                  </w:r>
                </w:p>
              </w:tc>
              <w:tc>
                <w:tcPr>
                  <w:tcW w:w="1558" w:type="dxa"/>
                  <w:tcBorders>
                    <w:tl2br w:val="nil"/>
                    <w:tr2bl w:val="nil"/>
                  </w:tcBorders>
                  <w:vAlign w:val="center"/>
                </w:tcPr>
                <w:p>
                  <w:pPr>
                    <w:widowControl/>
                    <w:autoSpaceDE w:val="0"/>
                    <w:autoSpaceDN w:val="0"/>
                    <w:spacing w:line="240" w:lineRule="atLeast"/>
                    <w:jc w:val="center"/>
                    <w:rPr>
                      <w:bCs/>
                      <w:snapToGrid w:val="0"/>
                      <w:color w:val="auto"/>
                      <w:kern w:val="0"/>
                      <w:szCs w:val="21"/>
                    </w:rPr>
                  </w:pPr>
                  <w:r>
                    <w:rPr>
                      <w:color w:val="auto"/>
                      <w:kern w:val="0"/>
                      <w:szCs w:val="21"/>
                    </w:rPr>
                    <w:drawing>
                      <wp:inline distT="0" distB="0" distL="114300" distR="114300">
                        <wp:extent cx="906780" cy="878205"/>
                        <wp:effectExtent l="0" t="0" r="7620" b="17145"/>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12"/>
                                <a:stretch>
                                  <a:fillRect/>
                                </a:stretch>
                              </pic:blipFill>
                              <pic:spPr>
                                <a:xfrm>
                                  <a:off x="0" y="0"/>
                                  <a:ext cx="906780" cy="878205"/>
                                </a:xfrm>
                                <a:prstGeom prst="rect">
                                  <a:avLst/>
                                </a:prstGeom>
                                <a:noFill/>
                                <a:ln>
                                  <a:noFill/>
                                </a:ln>
                              </pic:spPr>
                            </pic:pic>
                          </a:graphicData>
                        </a:graphic>
                      </wp:inline>
                    </w:drawing>
                  </w:r>
                </w:p>
              </w:tc>
              <w:tc>
                <w:tcPr>
                  <w:tcW w:w="1561" w:type="dxa"/>
                  <w:tcBorders>
                    <w:tl2br w:val="nil"/>
                    <w:tr2bl w:val="nil"/>
                  </w:tcBorders>
                  <w:vAlign w:val="center"/>
                </w:tcPr>
                <w:p>
                  <w:pPr>
                    <w:widowControl/>
                    <w:autoSpaceDE w:val="0"/>
                    <w:autoSpaceDN w:val="0"/>
                    <w:spacing w:line="240" w:lineRule="atLeast"/>
                    <w:jc w:val="center"/>
                    <w:rPr>
                      <w:bCs/>
                      <w:snapToGrid w:val="0"/>
                      <w:color w:val="auto"/>
                      <w:kern w:val="0"/>
                      <w:szCs w:val="21"/>
                    </w:rPr>
                  </w:pPr>
                  <w:r>
                    <w:rPr>
                      <w:color w:val="auto"/>
                      <w:kern w:val="0"/>
                      <w:szCs w:val="21"/>
                    </w:rPr>
                    <w:drawing>
                      <wp:inline distT="0" distB="0" distL="114300" distR="114300">
                        <wp:extent cx="915670" cy="915670"/>
                        <wp:effectExtent l="0" t="0" r="17780" b="17780"/>
                        <wp:docPr id="1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3"/>
                                <pic:cNvPicPr>
                                  <a:picLocks noChangeAspect="1"/>
                                </pic:cNvPicPr>
                              </pic:nvPicPr>
                              <pic:blipFill>
                                <a:blip r:embed="rId13"/>
                                <a:stretch>
                                  <a:fillRect/>
                                </a:stretch>
                              </pic:blipFill>
                              <pic:spPr>
                                <a:xfrm>
                                  <a:off x="0" y="0"/>
                                  <a:ext cx="915670" cy="915670"/>
                                </a:xfrm>
                                <a:prstGeom prst="rect">
                                  <a:avLst/>
                                </a:prstGeom>
                                <a:noFill/>
                                <a:ln>
                                  <a:noFill/>
                                </a:ln>
                              </pic:spPr>
                            </pic:pic>
                          </a:graphicData>
                        </a:graphic>
                      </wp:inline>
                    </w:drawing>
                  </w:r>
                </w:p>
              </w:tc>
              <w:tc>
                <w:tcPr>
                  <w:tcW w:w="1509" w:type="dxa"/>
                  <w:tcBorders>
                    <w:tl2br w:val="nil"/>
                    <w:tr2bl w:val="nil"/>
                  </w:tcBorders>
                  <w:vAlign w:val="center"/>
                </w:tcPr>
                <w:p>
                  <w:pPr>
                    <w:widowControl/>
                    <w:autoSpaceDE w:val="0"/>
                    <w:autoSpaceDN w:val="0"/>
                    <w:spacing w:line="240" w:lineRule="atLeast"/>
                    <w:jc w:val="center"/>
                    <w:rPr>
                      <w:bCs/>
                      <w:snapToGrid w:val="0"/>
                      <w:color w:val="auto"/>
                      <w:kern w:val="0"/>
                      <w:szCs w:val="21"/>
                    </w:rPr>
                  </w:pPr>
                  <w:r>
                    <w:rPr>
                      <w:color w:val="auto"/>
                      <w:kern w:val="0"/>
                      <w:szCs w:val="21"/>
                    </w:rPr>
                    <w:drawing>
                      <wp:inline distT="0" distB="0" distL="114300" distR="114300">
                        <wp:extent cx="934720" cy="902335"/>
                        <wp:effectExtent l="0" t="0" r="17780" b="12065"/>
                        <wp:docPr id="11"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4"/>
                                <pic:cNvPicPr>
                                  <a:picLocks noChangeAspect="1"/>
                                </pic:cNvPicPr>
                              </pic:nvPicPr>
                              <pic:blipFill>
                                <a:blip r:embed="rId14"/>
                                <a:stretch>
                                  <a:fillRect/>
                                </a:stretch>
                              </pic:blipFill>
                              <pic:spPr>
                                <a:xfrm>
                                  <a:off x="0" y="0"/>
                                  <a:ext cx="934720" cy="902335"/>
                                </a:xfrm>
                                <a:prstGeom prst="rect">
                                  <a:avLst/>
                                </a:prstGeom>
                                <a:noFill/>
                                <a:ln>
                                  <a:noFill/>
                                </a:ln>
                              </pic:spPr>
                            </pic:pic>
                          </a:graphicData>
                        </a:graphic>
                      </wp:inline>
                    </w:drawing>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1372" w:type="dxa"/>
                  <w:tcBorders>
                    <w:tl2br w:val="nil"/>
                    <w:tr2bl w:val="nil"/>
                  </w:tcBorders>
                  <w:vAlign w:val="center"/>
                </w:tcPr>
                <w:p>
                  <w:pPr>
                    <w:pStyle w:val="52"/>
                    <w:widowControl/>
                    <w:spacing w:line="240" w:lineRule="atLeast"/>
                    <w:jc w:val="center"/>
                    <w:rPr>
                      <w:rFonts w:eastAsia="宋体"/>
                      <w:bCs/>
                      <w:snapToGrid w:val="0"/>
                      <w:color w:val="auto"/>
                      <w:kern w:val="0"/>
                      <w:sz w:val="21"/>
                      <w:szCs w:val="21"/>
                    </w:rPr>
                  </w:pPr>
                  <w:r>
                    <w:rPr>
                      <w:rFonts w:eastAsia="宋体"/>
                      <w:bCs/>
                      <w:snapToGrid w:val="0"/>
                      <w:color w:val="auto"/>
                      <w:kern w:val="0"/>
                      <w:sz w:val="21"/>
                      <w:szCs w:val="21"/>
                    </w:rPr>
                    <w:t>背景颜色</w:t>
                  </w:r>
                </w:p>
              </w:tc>
              <w:tc>
                <w:tcPr>
                  <w:tcW w:w="6187" w:type="dxa"/>
                  <w:gridSpan w:val="4"/>
                  <w:tcBorders>
                    <w:tl2br w:val="nil"/>
                    <w:tr2bl w:val="nil"/>
                  </w:tcBorders>
                  <w:vAlign w:val="center"/>
                </w:tcPr>
                <w:p>
                  <w:pPr>
                    <w:pStyle w:val="52"/>
                    <w:widowControl/>
                    <w:spacing w:line="240" w:lineRule="atLeast"/>
                    <w:jc w:val="center"/>
                    <w:rPr>
                      <w:rFonts w:eastAsia="宋体"/>
                      <w:bCs/>
                      <w:snapToGrid w:val="0"/>
                      <w:color w:val="auto"/>
                      <w:kern w:val="0"/>
                      <w:sz w:val="21"/>
                      <w:szCs w:val="21"/>
                    </w:rPr>
                  </w:pPr>
                  <w:r>
                    <w:rPr>
                      <w:rFonts w:eastAsia="宋体"/>
                      <w:bCs/>
                      <w:snapToGrid w:val="0"/>
                      <w:color w:val="auto"/>
                      <w:kern w:val="0"/>
                      <w:sz w:val="21"/>
                      <w:szCs w:val="21"/>
                    </w:rPr>
                    <w:t>绿色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97" w:hRule="atLeast"/>
              </w:trPr>
              <w:tc>
                <w:tcPr>
                  <w:tcW w:w="1372" w:type="dxa"/>
                  <w:tcBorders>
                    <w:tl2br w:val="nil"/>
                    <w:tr2bl w:val="nil"/>
                  </w:tcBorders>
                  <w:vAlign w:val="center"/>
                </w:tcPr>
                <w:p>
                  <w:pPr>
                    <w:pStyle w:val="52"/>
                    <w:widowControl/>
                    <w:spacing w:line="240" w:lineRule="atLeast"/>
                    <w:jc w:val="center"/>
                    <w:rPr>
                      <w:rFonts w:eastAsia="宋体"/>
                      <w:bCs/>
                      <w:snapToGrid w:val="0"/>
                      <w:color w:val="auto"/>
                      <w:kern w:val="0"/>
                      <w:sz w:val="21"/>
                      <w:szCs w:val="21"/>
                    </w:rPr>
                  </w:pPr>
                  <w:r>
                    <w:rPr>
                      <w:rFonts w:eastAsia="宋体"/>
                      <w:bCs/>
                      <w:snapToGrid w:val="0"/>
                      <w:color w:val="auto"/>
                      <w:kern w:val="0"/>
                      <w:sz w:val="21"/>
                      <w:szCs w:val="21"/>
                    </w:rPr>
                    <w:t>图形颜色</w:t>
                  </w:r>
                </w:p>
              </w:tc>
              <w:tc>
                <w:tcPr>
                  <w:tcW w:w="6187" w:type="dxa"/>
                  <w:gridSpan w:val="4"/>
                  <w:tcBorders>
                    <w:tl2br w:val="nil"/>
                    <w:tr2bl w:val="nil"/>
                  </w:tcBorders>
                  <w:vAlign w:val="center"/>
                </w:tcPr>
                <w:p>
                  <w:pPr>
                    <w:pStyle w:val="52"/>
                    <w:widowControl/>
                    <w:spacing w:line="240" w:lineRule="atLeast"/>
                    <w:jc w:val="center"/>
                    <w:rPr>
                      <w:rFonts w:eastAsia="宋体"/>
                      <w:bCs/>
                      <w:snapToGrid w:val="0"/>
                      <w:color w:val="auto"/>
                      <w:kern w:val="0"/>
                      <w:sz w:val="21"/>
                      <w:szCs w:val="21"/>
                    </w:rPr>
                  </w:pPr>
                  <w:r>
                    <w:rPr>
                      <w:rFonts w:eastAsia="宋体"/>
                      <w:bCs/>
                      <w:snapToGrid w:val="0"/>
                      <w:color w:val="auto"/>
                      <w:kern w:val="0"/>
                      <w:sz w:val="21"/>
                      <w:szCs w:val="21"/>
                    </w:rPr>
                    <w:t>白色</w:t>
                  </w:r>
                </w:p>
              </w:tc>
            </w:tr>
          </w:tbl>
          <w:p>
            <w:pPr>
              <w:tabs>
                <w:tab w:val="left" w:pos="1245"/>
              </w:tabs>
              <w:spacing w:line="480" w:lineRule="exact"/>
              <w:ind w:firstLine="420" w:firstLineChars="200"/>
              <w:jc w:val="both"/>
              <w:rPr>
                <w:bCs/>
                <w:color w:val="auto"/>
                <w:szCs w:val="21"/>
              </w:rPr>
            </w:pPr>
            <w:r>
              <w:rPr>
                <w:color w:val="auto"/>
                <w:szCs w:val="21"/>
              </w:rPr>
              <w:t>①废气排放口废气排放口必须符合规定的高度和按《污染源监测技术规范》便于采样、监测的要求，设置采样口，如无法满足要求的，其采样口与环境监测部门共同确认。②设置标志牌环境保护图形标志牌由国家环保总局统一定点制作，并由市环境监察部门根据企业排污情况统一向国家环保总局订购。企业排污口分布图由市环境监察部门统一绘制。标志牌设置位置在排污口（采样点）附近醒目处，高度为标志牌上边缘离地面2m。排污口附近1m范围内有建筑物的，设现面式标志牌，无建筑物的设立式标志牌。规范排污口的有关设置（如图形标专牌、计量装置等）均属于环保设施，排污单位必须负责日常的维护保养，任何单位和个人不得擅自拆除，如需要变更的须报环境监察部门同意并变更手续。</w:t>
            </w:r>
          </w:p>
          <w:p>
            <w:pPr>
              <w:spacing w:line="480" w:lineRule="exact"/>
              <w:jc w:val="center"/>
              <w:rPr>
                <w:b/>
                <w:bCs/>
                <w:color w:val="auto"/>
                <w:szCs w:val="21"/>
              </w:rPr>
            </w:pPr>
            <w:r>
              <w:rPr>
                <w:b/>
                <w:bCs/>
                <w:color w:val="auto"/>
                <w:szCs w:val="21"/>
              </w:rPr>
              <w:t xml:space="preserve">表5-2   </w:t>
            </w:r>
            <w:r>
              <w:rPr>
                <w:rFonts w:hint="eastAsia"/>
                <w:b/>
                <w:bCs/>
                <w:color w:val="auto"/>
                <w:szCs w:val="21"/>
              </w:rPr>
              <w:t xml:space="preserve"> </w:t>
            </w:r>
            <w:r>
              <w:rPr>
                <w:b/>
                <w:bCs/>
                <w:color w:val="auto"/>
                <w:szCs w:val="21"/>
              </w:rPr>
              <w:t>排放口图形标志</w:t>
            </w:r>
          </w:p>
          <w:p>
            <w:pPr>
              <w:spacing w:line="480" w:lineRule="exact"/>
              <w:ind w:firstLine="422" w:firstLineChars="200"/>
              <w:jc w:val="both"/>
              <w:rPr>
                <w:b/>
                <w:bCs/>
                <w:color w:val="auto"/>
                <w:szCs w:val="21"/>
              </w:rPr>
            </w:pPr>
            <w:r>
              <w:rPr>
                <w:b/>
                <w:bCs/>
                <w:color w:val="auto"/>
                <w:szCs w:val="21"/>
              </w:rPr>
              <w:t>5.1.5环保竣工验收</w:t>
            </w:r>
          </w:p>
          <w:p>
            <w:pPr>
              <w:spacing w:line="480" w:lineRule="exact"/>
              <w:ind w:firstLine="420" w:firstLineChars="200"/>
              <w:jc w:val="both"/>
              <w:rPr>
                <w:color w:val="auto"/>
                <w:szCs w:val="21"/>
              </w:rPr>
            </w:pPr>
            <w:r>
              <w:rPr>
                <w:color w:val="auto"/>
                <w:szCs w:val="21"/>
              </w:rPr>
              <w:t>根据《建设项目环境保护管理条例》（2017年修订版）以及建设单位自主开展建设项目竣工环境保护验收的相关要求。</w:t>
            </w:r>
          </w:p>
        </w:tc>
      </w:tr>
    </w:tbl>
    <w:p>
      <w:pPr>
        <w:widowControl/>
        <w:spacing w:before="100" w:beforeAutospacing="1" w:after="100" w:afterAutospacing="1"/>
        <w:jc w:val="center"/>
        <w:outlineLvl w:val="0"/>
        <w:rPr>
          <w:rFonts w:eastAsia="黑体"/>
          <w:snapToGrid w:val="0"/>
          <w:color w:val="auto"/>
          <w:kern w:val="0"/>
          <w:sz w:val="30"/>
          <w:szCs w:val="30"/>
        </w:rPr>
      </w:pPr>
      <w:r>
        <w:rPr>
          <w:snapToGrid w:val="0"/>
          <w:color w:val="auto"/>
          <w:kern w:val="0"/>
          <w:sz w:val="24"/>
          <w:szCs w:val="20"/>
        </w:rPr>
        <w:br w:type="page"/>
      </w:r>
      <w:r>
        <w:rPr>
          <w:rFonts w:eastAsia="黑体"/>
          <w:snapToGrid w:val="0"/>
          <w:color w:val="auto"/>
          <w:kern w:val="0"/>
          <w:sz w:val="30"/>
          <w:szCs w:val="30"/>
        </w:rPr>
        <w:t>六、结论</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vAlign w:val="center"/>
          </w:tcPr>
          <w:p>
            <w:pPr>
              <w:spacing w:line="360" w:lineRule="auto"/>
              <w:ind w:firstLine="420" w:firstLineChars="200"/>
              <w:jc w:val="left"/>
              <w:rPr>
                <w:color w:val="auto"/>
                <w:sz w:val="24"/>
              </w:rPr>
            </w:pPr>
            <w:r>
              <w:rPr>
                <w:rFonts w:ascii="宋体" w:hAnsi="宋体" w:cs="宋体"/>
                <w:color w:val="auto"/>
                <w:szCs w:val="21"/>
              </w:rPr>
              <w:t>本项目在生产过程中会产生废气</w:t>
            </w:r>
            <w:r>
              <w:rPr>
                <w:rFonts w:hint="eastAsia" w:ascii="宋体" w:hAnsi="宋体" w:cs="宋体"/>
                <w:color w:val="auto"/>
                <w:szCs w:val="21"/>
              </w:rPr>
              <w:t>、废水</w:t>
            </w:r>
            <w:r>
              <w:rPr>
                <w:rFonts w:ascii="宋体" w:hAnsi="宋体" w:cs="宋体"/>
                <w:color w:val="auto"/>
                <w:szCs w:val="21"/>
              </w:rPr>
              <w:t>、噪声</w:t>
            </w:r>
            <w:r>
              <w:rPr>
                <w:rFonts w:hint="eastAsia" w:ascii="宋体" w:hAnsi="宋体" w:cs="宋体"/>
                <w:color w:val="auto"/>
                <w:szCs w:val="21"/>
              </w:rPr>
              <w:t>和固体废物</w:t>
            </w:r>
            <w:r>
              <w:rPr>
                <w:rFonts w:ascii="宋体" w:hAnsi="宋体" w:cs="宋体"/>
                <w:color w:val="auto"/>
                <w:szCs w:val="21"/>
              </w:rPr>
              <w:t>等，在全面落实本报告表提出的各项环境保护措施的基础上，切实做到“三同时”，并在运营期内持之以恒加强环境管理的前提下，从环境保护角度，本项目环境影响可行。</w:t>
            </w:r>
          </w:p>
        </w:tc>
      </w:tr>
    </w:tbl>
    <w:p>
      <w:pPr>
        <w:rPr>
          <w:color w:val="auto"/>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pPr>
        <w:widowControl/>
        <w:adjustRightInd w:val="0"/>
        <w:snapToGrid w:val="0"/>
        <w:spacing w:line="648" w:lineRule="auto"/>
        <w:jc w:val="left"/>
        <w:outlineLvl w:val="0"/>
        <w:rPr>
          <w:rFonts w:eastAsia="黑体"/>
          <w:snapToGrid w:val="0"/>
          <w:color w:val="auto"/>
          <w:kern w:val="0"/>
          <w:sz w:val="32"/>
          <w:szCs w:val="32"/>
        </w:rPr>
      </w:pPr>
      <w:r>
        <w:rPr>
          <w:rFonts w:eastAsia="黑体"/>
          <w:snapToGrid w:val="0"/>
          <w:color w:val="auto"/>
          <w:kern w:val="0"/>
          <w:sz w:val="32"/>
          <w:szCs w:val="32"/>
        </w:rPr>
        <w:t>附表</w:t>
      </w:r>
    </w:p>
    <w:p>
      <w:pPr>
        <w:widowControl/>
        <w:adjustRightInd w:val="0"/>
        <w:snapToGrid w:val="0"/>
        <w:jc w:val="center"/>
        <w:outlineLvl w:val="0"/>
        <w:rPr>
          <w:rFonts w:eastAsia="方正小标宋_GBK"/>
          <w:snapToGrid w:val="0"/>
          <w:color w:val="auto"/>
          <w:kern w:val="0"/>
          <w:sz w:val="38"/>
          <w:szCs w:val="38"/>
        </w:rPr>
      </w:pPr>
      <w:r>
        <w:rPr>
          <w:rFonts w:eastAsia="方正小标宋_GBK"/>
          <w:snapToGrid w:val="0"/>
          <w:color w:val="auto"/>
          <w:kern w:val="0"/>
          <w:sz w:val="38"/>
          <w:szCs w:val="38"/>
        </w:rPr>
        <w:t>建设项目污染物排放量汇总表</w:t>
      </w:r>
    </w:p>
    <w:tbl>
      <w:tblPr>
        <w:tblStyle w:val="22"/>
        <w:tblW w:w="1378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52"/>
        <w:gridCol w:w="1289"/>
        <w:gridCol w:w="1923"/>
        <w:gridCol w:w="1227"/>
        <w:gridCol w:w="1892"/>
        <w:gridCol w:w="1559"/>
        <w:gridCol w:w="1594"/>
        <w:gridCol w:w="1964"/>
        <w:gridCol w:w="98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352" w:type="dxa"/>
            <w:tcBorders>
              <w:tl2br w:val="single" w:color="auto" w:sz="4" w:space="0"/>
            </w:tcBorders>
            <w:tcMar>
              <w:left w:w="28" w:type="dxa"/>
              <w:right w:w="28" w:type="dxa"/>
            </w:tcMar>
            <w:vAlign w:val="center"/>
          </w:tcPr>
          <w:p>
            <w:pPr>
              <w:adjustRightInd w:val="0"/>
              <w:snapToGrid w:val="0"/>
              <w:ind w:firstLine="420"/>
              <w:jc w:val="center"/>
              <w:rPr>
                <w:snapToGrid w:val="0"/>
                <w:color w:val="auto"/>
                <w:kern w:val="21"/>
                <w:szCs w:val="21"/>
              </w:rPr>
            </w:pPr>
            <w:r>
              <w:rPr>
                <w:snapToGrid w:val="0"/>
                <w:color w:val="auto"/>
                <w:kern w:val="21"/>
                <w:szCs w:val="21"/>
              </w:rPr>
              <w:t>项目</w:t>
            </w:r>
          </w:p>
          <w:p>
            <w:pPr>
              <w:adjustRightInd w:val="0"/>
              <w:snapToGrid w:val="0"/>
              <w:rPr>
                <w:snapToGrid w:val="0"/>
                <w:color w:val="auto"/>
                <w:kern w:val="21"/>
                <w:szCs w:val="21"/>
              </w:rPr>
            </w:pPr>
            <w:r>
              <w:rPr>
                <w:snapToGrid w:val="0"/>
                <w:color w:val="auto"/>
                <w:kern w:val="21"/>
                <w:szCs w:val="21"/>
              </w:rPr>
              <w:t>分类</w:t>
            </w:r>
          </w:p>
        </w:tc>
        <w:tc>
          <w:tcPr>
            <w:tcW w:w="1289" w:type="dxa"/>
            <w:tcMar>
              <w:left w:w="28" w:type="dxa"/>
              <w:right w:w="28" w:type="dxa"/>
            </w:tcMar>
            <w:vAlign w:val="center"/>
          </w:tcPr>
          <w:p>
            <w:pPr>
              <w:adjustRightInd w:val="0"/>
              <w:snapToGrid w:val="0"/>
              <w:jc w:val="center"/>
              <w:rPr>
                <w:snapToGrid w:val="0"/>
                <w:color w:val="auto"/>
                <w:kern w:val="21"/>
                <w:szCs w:val="21"/>
              </w:rPr>
            </w:pPr>
            <w:r>
              <w:rPr>
                <w:snapToGrid w:val="0"/>
                <w:color w:val="auto"/>
                <w:kern w:val="21"/>
                <w:szCs w:val="21"/>
              </w:rPr>
              <w:t>污染物名称</w:t>
            </w:r>
          </w:p>
        </w:tc>
        <w:tc>
          <w:tcPr>
            <w:tcW w:w="1923" w:type="dxa"/>
            <w:tcMar>
              <w:left w:w="28" w:type="dxa"/>
              <w:right w:w="28" w:type="dxa"/>
            </w:tcMar>
            <w:vAlign w:val="center"/>
          </w:tcPr>
          <w:p>
            <w:pPr>
              <w:adjustRightInd w:val="0"/>
              <w:snapToGrid w:val="0"/>
              <w:jc w:val="center"/>
              <w:rPr>
                <w:snapToGrid w:val="0"/>
                <w:color w:val="auto"/>
                <w:kern w:val="21"/>
                <w:szCs w:val="21"/>
              </w:rPr>
            </w:pPr>
            <w:r>
              <w:rPr>
                <w:snapToGrid w:val="0"/>
                <w:color w:val="auto"/>
                <w:kern w:val="21"/>
                <w:szCs w:val="21"/>
              </w:rPr>
              <w:t>现有工程排放量（固体废物产生量）</w:t>
            </w:r>
            <w:r>
              <w:rPr>
                <w:snapToGrid w:val="0"/>
                <w:color w:val="auto"/>
                <w:kern w:val="21"/>
                <w:szCs w:val="21"/>
              </w:rPr>
              <w:fldChar w:fldCharType="begin"/>
            </w:r>
            <w:r>
              <w:rPr>
                <w:snapToGrid w:val="0"/>
                <w:color w:val="auto"/>
                <w:kern w:val="21"/>
                <w:szCs w:val="21"/>
              </w:rPr>
              <w:instrText xml:space="preserve"> = 1 \* GB3 \* MERGEFORMAT </w:instrText>
            </w:r>
            <w:r>
              <w:rPr>
                <w:snapToGrid w:val="0"/>
                <w:color w:val="auto"/>
                <w:kern w:val="21"/>
                <w:szCs w:val="21"/>
              </w:rPr>
              <w:fldChar w:fldCharType="separate"/>
            </w:r>
            <w:r>
              <w:rPr>
                <w:color w:val="auto"/>
                <w:szCs w:val="21"/>
              </w:rPr>
              <w:t>①</w:t>
            </w:r>
            <w:r>
              <w:rPr>
                <w:snapToGrid w:val="0"/>
                <w:color w:val="auto"/>
                <w:kern w:val="21"/>
                <w:szCs w:val="21"/>
              </w:rPr>
              <w:fldChar w:fldCharType="end"/>
            </w:r>
          </w:p>
        </w:tc>
        <w:tc>
          <w:tcPr>
            <w:tcW w:w="1227" w:type="dxa"/>
            <w:tcMar>
              <w:left w:w="28" w:type="dxa"/>
              <w:right w:w="28" w:type="dxa"/>
            </w:tcMar>
            <w:vAlign w:val="center"/>
          </w:tcPr>
          <w:p>
            <w:pPr>
              <w:adjustRightInd w:val="0"/>
              <w:snapToGrid w:val="0"/>
              <w:jc w:val="center"/>
              <w:rPr>
                <w:snapToGrid w:val="0"/>
                <w:color w:val="auto"/>
                <w:kern w:val="21"/>
                <w:szCs w:val="21"/>
              </w:rPr>
            </w:pPr>
            <w:r>
              <w:rPr>
                <w:snapToGrid w:val="0"/>
                <w:color w:val="auto"/>
                <w:kern w:val="21"/>
                <w:szCs w:val="21"/>
              </w:rPr>
              <w:t>现有工程许可排放量</w:t>
            </w:r>
            <w:r>
              <w:rPr>
                <w:snapToGrid w:val="0"/>
                <w:color w:val="auto"/>
                <w:kern w:val="21"/>
                <w:szCs w:val="21"/>
              </w:rPr>
              <w:fldChar w:fldCharType="begin"/>
            </w:r>
            <w:r>
              <w:rPr>
                <w:snapToGrid w:val="0"/>
                <w:color w:val="auto"/>
                <w:kern w:val="21"/>
                <w:szCs w:val="21"/>
              </w:rPr>
              <w:instrText xml:space="preserve"> = 2 \* GB3 \* MERGEFORMAT </w:instrText>
            </w:r>
            <w:r>
              <w:rPr>
                <w:snapToGrid w:val="0"/>
                <w:color w:val="auto"/>
                <w:kern w:val="21"/>
                <w:szCs w:val="21"/>
              </w:rPr>
              <w:fldChar w:fldCharType="separate"/>
            </w:r>
            <w:r>
              <w:rPr>
                <w:snapToGrid w:val="0"/>
                <w:color w:val="auto"/>
                <w:kern w:val="21"/>
                <w:szCs w:val="21"/>
              </w:rPr>
              <w:t>②</w:t>
            </w:r>
            <w:r>
              <w:rPr>
                <w:snapToGrid w:val="0"/>
                <w:color w:val="auto"/>
                <w:kern w:val="21"/>
                <w:szCs w:val="21"/>
              </w:rPr>
              <w:fldChar w:fldCharType="end"/>
            </w:r>
          </w:p>
        </w:tc>
        <w:tc>
          <w:tcPr>
            <w:tcW w:w="1892" w:type="dxa"/>
            <w:tcMar>
              <w:left w:w="28" w:type="dxa"/>
              <w:right w:w="28" w:type="dxa"/>
            </w:tcMar>
            <w:vAlign w:val="center"/>
          </w:tcPr>
          <w:p>
            <w:pPr>
              <w:adjustRightInd w:val="0"/>
              <w:snapToGrid w:val="0"/>
              <w:jc w:val="center"/>
              <w:rPr>
                <w:snapToGrid w:val="0"/>
                <w:color w:val="auto"/>
                <w:kern w:val="21"/>
                <w:szCs w:val="21"/>
              </w:rPr>
            </w:pPr>
            <w:r>
              <w:rPr>
                <w:snapToGrid w:val="0"/>
                <w:color w:val="auto"/>
                <w:kern w:val="21"/>
                <w:szCs w:val="21"/>
              </w:rPr>
              <w:t>在建工程排放量（固体废物产生量）</w:t>
            </w:r>
            <w:r>
              <w:rPr>
                <w:snapToGrid w:val="0"/>
                <w:color w:val="auto"/>
                <w:kern w:val="21"/>
                <w:szCs w:val="21"/>
              </w:rPr>
              <w:fldChar w:fldCharType="begin"/>
            </w:r>
            <w:r>
              <w:rPr>
                <w:snapToGrid w:val="0"/>
                <w:color w:val="auto"/>
                <w:kern w:val="21"/>
                <w:szCs w:val="21"/>
              </w:rPr>
              <w:instrText xml:space="preserve"> = 3 \* GB3 \* MERGEFORMAT </w:instrText>
            </w:r>
            <w:r>
              <w:rPr>
                <w:snapToGrid w:val="0"/>
                <w:color w:val="auto"/>
                <w:kern w:val="21"/>
                <w:szCs w:val="21"/>
              </w:rPr>
              <w:fldChar w:fldCharType="separate"/>
            </w:r>
            <w:r>
              <w:rPr>
                <w:color w:val="auto"/>
                <w:szCs w:val="21"/>
              </w:rPr>
              <w:t>③</w:t>
            </w:r>
            <w:r>
              <w:rPr>
                <w:snapToGrid w:val="0"/>
                <w:color w:val="auto"/>
                <w:kern w:val="21"/>
                <w:szCs w:val="21"/>
              </w:rPr>
              <w:fldChar w:fldCharType="end"/>
            </w:r>
          </w:p>
        </w:tc>
        <w:tc>
          <w:tcPr>
            <w:tcW w:w="1559" w:type="dxa"/>
            <w:tcMar>
              <w:left w:w="28" w:type="dxa"/>
              <w:right w:w="28" w:type="dxa"/>
            </w:tcMar>
            <w:vAlign w:val="center"/>
          </w:tcPr>
          <w:p>
            <w:pPr>
              <w:adjustRightInd w:val="0"/>
              <w:snapToGrid w:val="0"/>
              <w:jc w:val="center"/>
              <w:rPr>
                <w:snapToGrid w:val="0"/>
                <w:color w:val="auto"/>
                <w:kern w:val="21"/>
                <w:szCs w:val="21"/>
              </w:rPr>
            </w:pPr>
            <w:r>
              <w:rPr>
                <w:snapToGrid w:val="0"/>
                <w:color w:val="auto"/>
                <w:kern w:val="21"/>
                <w:szCs w:val="21"/>
              </w:rPr>
              <w:t>本项目排放量（固体废物产生量）</w:t>
            </w:r>
            <w:r>
              <w:rPr>
                <w:snapToGrid w:val="0"/>
                <w:color w:val="auto"/>
                <w:kern w:val="21"/>
                <w:szCs w:val="21"/>
              </w:rPr>
              <w:fldChar w:fldCharType="begin"/>
            </w:r>
            <w:r>
              <w:rPr>
                <w:snapToGrid w:val="0"/>
                <w:color w:val="auto"/>
                <w:kern w:val="21"/>
                <w:szCs w:val="21"/>
              </w:rPr>
              <w:instrText xml:space="preserve"> = 4 \* GB3 \* MERGEFORMAT </w:instrText>
            </w:r>
            <w:r>
              <w:rPr>
                <w:snapToGrid w:val="0"/>
                <w:color w:val="auto"/>
                <w:kern w:val="21"/>
                <w:szCs w:val="21"/>
              </w:rPr>
              <w:fldChar w:fldCharType="separate"/>
            </w:r>
            <w:r>
              <w:rPr>
                <w:color w:val="auto"/>
                <w:szCs w:val="21"/>
              </w:rPr>
              <w:t>④</w:t>
            </w:r>
            <w:r>
              <w:rPr>
                <w:snapToGrid w:val="0"/>
                <w:color w:val="auto"/>
                <w:kern w:val="21"/>
                <w:szCs w:val="21"/>
              </w:rPr>
              <w:fldChar w:fldCharType="end"/>
            </w:r>
          </w:p>
        </w:tc>
        <w:tc>
          <w:tcPr>
            <w:tcW w:w="1594" w:type="dxa"/>
            <w:tcMar>
              <w:left w:w="28" w:type="dxa"/>
              <w:right w:w="28" w:type="dxa"/>
            </w:tcMar>
            <w:vAlign w:val="center"/>
          </w:tcPr>
          <w:p>
            <w:pPr>
              <w:adjustRightInd w:val="0"/>
              <w:snapToGrid w:val="0"/>
              <w:jc w:val="center"/>
              <w:rPr>
                <w:snapToGrid w:val="0"/>
                <w:color w:val="auto"/>
                <w:kern w:val="21"/>
                <w:szCs w:val="21"/>
              </w:rPr>
            </w:pPr>
            <w:r>
              <w:rPr>
                <w:snapToGrid w:val="0"/>
                <w:color w:val="auto"/>
                <w:kern w:val="21"/>
                <w:szCs w:val="21"/>
              </w:rPr>
              <w:t>以新带老削减量（新建项目不填）</w:t>
            </w:r>
            <w:r>
              <w:rPr>
                <w:snapToGrid w:val="0"/>
                <w:color w:val="auto"/>
                <w:kern w:val="21"/>
                <w:szCs w:val="21"/>
              </w:rPr>
              <w:fldChar w:fldCharType="begin"/>
            </w:r>
            <w:r>
              <w:rPr>
                <w:snapToGrid w:val="0"/>
                <w:color w:val="auto"/>
                <w:kern w:val="21"/>
                <w:szCs w:val="21"/>
              </w:rPr>
              <w:instrText xml:space="preserve"> = 5 \* GB3 \* MERGEFORMAT </w:instrText>
            </w:r>
            <w:r>
              <w:rPr>
                <w:snapToGrid w:val="0"/>
                <w:color w:val="auto"/>
                <w:kern w:val="21"/>
                <w:szCs w:val="21"/>
              </w:rPr>
              <w:fldChar w:fldCharType="separate"/>
            </w:r>
            <w:r>
              <w:rPr>
                <w:color w:val="auto"/>
                <w:szCs w:val="21"/>
              </w:rPr>
              <w:t>⑤</w:t>
            </w:r>
            <w:r>
              <w:rPr>
                <w:snapToGrid w:val="0"/>
                <w:color w:val="auto"/>
                <w:kern w:val="21"/>
                <w:szCs w:val="21"/>
              </w:rPr>
              <w:fldChar w:fldCharType="end"/>
            </w:r>
          </w:p>
        </w:tc>
        <w:tc>
          <w:tcPr>
            <w:tcW w:w="1964" w:type="dxa"/>
            <w:tcMar>
              <w:left w:w="28" w:type="dxa"/>
              <w:right w:w="28" w:type="dxa"/>
            </w:tcMar>
            <w:vAlign w:val="center"/>
          </w:tcPr>
          <w:p>
            <w:pPr>
              <w:adjustRightInd w:val="0"/>
              <w:snapToGrid w:val="0"/>
              <w:jc w:val="center"/>
              <w:rPr>
                <w:snapToGrid w:val="0"/>
                <w:color w:val="auto"/>
                <w:kern w:val="21"/>
                <w:szCs w:val="21"/>
              </w:rPr>
            </w:pPr>
            <w:r>
              <w:rPr>
                <w:snapToGrid w:val="0"/>
                <w:color w:val="auto"/>
                <w:kern w:val="21"/>
                <w:szCs w:val="21"/>
              </w:rPr>
              <w:t>本项目建成后全厂排放量（固体废物产生量）</w:t>
            </w:r>
            <w:r>
              <w:rPr>
                <w:snapToGrid w:val="0"/>
                <w:color w:val="auto"/>
                <w:kern w:val="21"/>
                <w:szCs w:val="21"/>
              </w:rPr>
              <w:fldChar w:fldCharType="begin"/>
            </w:r>
            <w:r>
              <w:rPr>
                <w:snapToGrid w:val="0"/>
                <w:color w:val="auto"/>
                <w:kern w:val="21"/>
                <w:szCs w:val="21"/>
              </w:rPr>
              <w:instrText xml:space="preserve"> = 6 \* GB3 \* MERGEFORMAT </w:instrText>
            </w:r>
            <w:r>
              <w:rPr>
                <w:snapToGrid w:val="0"/>
                <w:color w:val="auto"/>
                <w:kern w:val="21"/>
                <w:szCs w:val="21"/>
              </w:rPr>
              <w:fldChar w:fldCharType="separate"/>
            </w:r>
            <w:r>
              <w:rPr>
                <w:color w:val="auto"/>
                <w:szCs w:val="21"/>
              </w:rPr>
              <w:t>⑥</w:t>
            </w:r>
            <w:r>
              <w:rPr>
                <w:snapToGrid w:val="0"/>
                <w:color w:val="auto"/>
                <w:kern w:val="21"/>
                <w:szCs w:val="21"/>
              </w:rPr>
              <w:fldChar w:fldCharType="end"/>
            </w:r>
          </w:p>
        </w:tc>
        <w:tc>
          <w:tcPr>
            <w:tcW w:w="988" w:type="dxa"/>
            <w:tcMar>
              <w:left w:w="28" w:type="dxa"/>
              <w:right w:w="28" w:type="dxa"/>
            </w:tcMar>
            <w:vAlign w:val="center"/>
          </w:tcPr>
          <w:p>
            <w:pPr>
              <w:adjustRightInd w:val="0"/>
              <w:snapToGrid w:val="0"/>
              <w:jc w:val="center"/>
              <w:rPr>
                <w:snapToGrid w:val="0"/>
                <w:color w:val="auto"/>
                <w:kern w:val="21"/>
                <w:szCs w:val="21"/>
              </w:rPr>
            </w:pPr>
            <w:r>
              <w:rPr>
                <w:snapToGrid w:val="0"/>
                <w:color w:val="auto"/>
                <w:kern w:val="21"/>
                <w:szCs w:val="21"/>
              </w:rPr>
              <w:t>变化量</w:t>
            </w:r>
            <w:r>
              <w:rPr>
                <w:snapToGrid w:val="0"/>
                <w:color w:val="auto"/>
                <w:kern w:val="21"/>
                <w:szCs w:val="21"/>
              </w:rPr>
              <w:fldChar w:fldCharType="begin"/>
            </w:r>
            <w:r>
              <w:rPr>
                <w:snapToGrid w:val="0"/>
                <w:color w:val="auto"/>
                <w:kern w:val="21"/>
                <w:szCs w:val="21"/>
              </w:rPr>
              <w:instrText xml:space="preserve"> = 7 \* GB3 \* MERGEFORMAT </w:instrText>
            </w:r>
            <w:r>
              <w:rPr>
                <w:snapToGrid w:val="0"/>
                <w:color w:val="auto"/>
                <w:kern w:val="21"/>
                <w:szCs w:val="21"/>
              </w:rPr>
              <w:fldChar w:fldCharType="separate"/>
            </w:r>
            <w:r>
              <w:rPr>
                <w:color w:val="auto"/>
                <w:szCs w:val="21"/>
              </w:rPr>
              <w:t>⑦</w:t>
            </w:r>
            <w:r>
              <w:rPr>
                <w:snapToGrid w:val="0"/>
                <w:color w:val="auto"/>
                <w:kern w:val="21"/>
                <w:szCs w:val="21"/>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52" w:type="dxa"/>
            <w:vMerge w:val="restart"/>
            <w:vAlign w:val="center"/>
          </w:tcPr>
          <w:p>
            <w:pPr>
              <w:adjustRightInd w:val="0"/>
              <w:snapToGrid w:val="0"/>
              <w:ind w:firstLine="420"/>
              <w:rPr>
                <w:snapToGrid w:val="0"/>
                <w:color w:val="auto"/>
                <w:kern w:val="21"/>
                <w:szCs w:val="21"/>
              </w:rPr>
            </w:pPr>
            <w:r>
              <w:rPr>
                <w:snapToGrid w:val="0"/>
                <w:color w:val="auto"/>
                <w:kern w:val="21"/>
                <w:szCs w:val="21"/>
              </w:rPr>
              <w:t>废气</w:t>
            </w:r>
          </w:p>
        </w:tc>
        <w:tc>
          <w:tcPr>
            <w:tcW w:w="1289" w:type="dxa"/>
            <w:vAlign w:val="center"/>
          </w:tcPr>
          <w:p>
            <w:pPr>
              <w:spacing w:line="360" w:lineRule="exact"/>
              <w:jc w:val="center"/>
              <w:rPr>
                <w:snapToGrid w:val="0"/>
                <w:color w:val="auto"/>
                <w:kern w:val="21"/>
                <w:szCs w:val="21"/>
              </w:rPr>
            </w:pPr>
            <w:r>
              <w:rPr>
                <w:snapToGrid w:val="0"/>
                <w:color w:val="auto"/>
                <w:kern w:val="21"/>
                <w:szCs w:val="21"/>
              </w:rPr>
              <w:t>颗粒物</w:t>
            </w:r>
          </w:p>
        </w:tc>
        <w:tc>
          <w:tcPr>
            <w:tcW w:w="1923" w:type="dxa"/>
            <w:vAlign w:val="center"/>
          </w:tcPr>
          <w:p>
            <w:pPr>
              <w:adjustRightInd w:val="0"/>
              <w:snapToGrid w:val="0"/>
              <w:ind w:firstLine="420"/>
              <w:jc w:val="center"/>
              <w:rPr>
                <w:snapToGrid w:val="0"/>
                <w:color w:val="auto"/>
                <w:kern w:val="21"/>
                <w:szCs w:val="21"/>
              </w:rPr>
            </w:pPr>
          </w:p>
        </w:tc>
        <w:tc>
          <w:tcPr>
            <w:tcW w:w="1227" w:type="dxa"/>
            <w:vAlign w:val="center"/>
          </w:tcPr>
          <w:p>
            <w:pPr>
              <w:adjustRightInd w:val="0"/>
              <w:snapToGrid w:val="0"/>
              <w:ind w:firstLine="420"/>
              <w:jc w:val="center"/>
              <w:rPr>
                <w:snapToGrid w:val="0"/>
                <w:color w:val="auto"/>
                <w:kern w:val="21"/>
                <w:szCs w:val="21"/>
              </w:rPr>
            </w:pPr>
          </w:p>
        </w:tc>
        <w:tc>
          <w:tcPr>
            <w:tcW w:w="1892" w:type="dxa"/>
            <w:vAlign w:val="center"/>
          </w:tcPr>
          <w:p>
            <w:pPr>
              <w:adjustRightInd w:val="0"/>
              <w:snapToGrid w:val="0"/>
              <w:ind w:firstLine="420"/>
              <w:jc w:val="center"/>
              <w:rPr>
                <w:snapToGrid w:val="0"/>
                <w:color w:val="auto"/>
                <w:kern w:val="21"/>
                <w:szCs w:val="21"/>
              </w:rPr>
            </w:pPr>
          </w:p>
        </w:tc>
        <w:tc>
          <w:tcPr>
            <w:tcW w:w="1559" w:type="dxa"/>
            <w:vAlign w:val="center"/>
          </w:tcPr>
          <w:p>
            <w:pPr>
              <w:jc w:val="center"/>
              <w:rPr>
                <w:color w:val="auto"/>
              </w:rPr>
            </w:pPr>
            <w:r>
              <w:rPr>
                <w:rFonts w:hint="eastAsia"/>
                <w:color w:val="auto"/>
                <w:lang w:val="en-US" w:eastAsia="zh-CN"/>
              </w:rPr>
              <w:t>0.417</w:t>
            </w:r>
            <w:r>
              <w:rPr>
                <w:color w:val="auto"/>
              </w:rPr>
              <w:t>t/a</w:t>
            </w:r>
          </w:p>
        </w:tc>
        <w:tc>
          <w:tcPr>
            <w:tcW w:w="1594" w:type="dxa"/>
            <w:vAlign w:val="center"/>
          </w:tcPr>
          <w:p>
            <w:pPr>
              <w:adjustRightInd w:val="0"/>
              <w:snapToGrid w:val="0"/>
              <w:ind w:firstLine="420"/>
              <w:jc w:val="center"/>
              <w:rPr>
                <w:snapToGrid w:val="0"/>
                <w:color w:val="auto"/>
                <w:kern w:val="21"/>
                <w:szCs w:val="21"/>
              </w:rPr>
            </w:pPr>
          </w:p>
        </w:tc>
        <w:tc>
          <w:tcPr>
            <w:tcW w:w="1964" w:type="dxa"/>
            <w:vAlign w:val="center"/>
          </w:tcPr>
          <w:p>
            <w:pPr>
              <w:ind w:firstLine="420" w:firstLineChars="200"/>
              <w:rPr>
                <w:snapToGrid w:val="0"/>
                <w:color w:val="auto"/>
                <w:kern w:val="21"/>
                <w:szCs w:val="21"/>
              </w:rPr>
            </w:pPr>
            <w:r>
              <w:rPr>
                <w:rFonts w:hint="eastAsia"/>
                <w:color w:val="auto"/>
                <w:lang w:val="en-US" w:eastAsia="zh-CN"/>
              </w:rPr>
              <w:t>0.417</w:t>
            </w:r>
            <w:r>
              <w:rPr>
                <w:color w:val="auto"/>
              </w:rPr>
              <w:t>t/a</w:t>
            </w:r>
          </w:p>
        </w:tc>
        <w:tc>
          <w:tcPr>
            <w:tcW w:w="988" w:type="dxa"/>
            <w:vAlign w:val="center"/>
          </w:tcPr>
          <w:p>
            <w:pPr>
              <w:rPr>
                <w:snapToGrid w:val="0"/>
                <w:color w:val="auto"/>
                <w:kern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52" w:type="dxa"/>
            <w:vMerge w:val="continue"/>
            <w:vAlign w:val="center"/>
          </w:tcPr>
          <w:p>
            <w:pPr>
              <w:adjustRightInd w:val="0"/>
              <w:snapToGrid w:val="0"/>
              <w:ind w:firstLine="420"/>
              <w:jc w:val="center"/>
              <w:rPr>
                <w:snapToGrid w:val="0"/>
                <w:color w:val="auto"/>
                <w:kern w:val="21"/>
                <w:szCs w:val="21"/>
              </w:rPr>
            </w:pPr>
          </w:p>
        </w:tc>
        <w:tc>
          <w:tcPr>
            <w:tcW w:w="1289" w:type="dxa"/>
            <w:vAlign w:val="center"/>
          </w:tcPr>
          <w:p>
            <w:pPr>
              <w:spacing w:line="360" w:lineRule="exact"/>
              <w:jc w:val="center"/>
              <w:rPr>
                <w:snapToGrid w:val="0"/>
                <w:color w:val="auto"/>
                <w:kern w:val="21"/>
                <w:szCs w:val="21"/>
              </w:rPr>
            </w:pPr>
          </w:p>
        </w:tc>
        <w:tc>
          <w:tcPr>
            <w:tcW w:w="1923" w:type="dxa"/>
            <w:vAlign w:val="center"/>
          </w:tcPr>
          <w:p>
            <w:pPr>
              <w:adjustRightInd w:val="0"/>
              <w:snapToGrid w:val="0"/>
              <w:ind w:firstLine="420"/>
              <w:jc w:val="center"/>
              <w:rPr>
                <w:snapToGrid w:val="0"/>
                <w:color w:val="auto"/>
                <w:kern w:val="21"/>
                <w:szCs w:val="21"/>
              </w:rPr>
            </w:pPr>
          </w:p>
        </w:tc>
        <w:tc>
          <w:tcPr>
            <w:tcW w:w="1227" w:type="dxa"/>
            <w:vAlign w:val="center"/>
          </w:tcPr>
          <w:p>
            <w:pPr>
              <w:adjustRightInd w:val="0"/>
              <w:snapToGrid w:val="0"/>
              <w:ind w:firstLine="420"/>
              <w:jc w:val="center"/>
              <w:rPr>
                <w:snapToGrid w:val="0"/>
                <w:color w:val="auto"/>
                <w:kern w:val="21"/>
                <w:szCs w:val="21"/>
              </w:rPr>
            </w:pPr>
          </w:p>
        </w:tc>
        <w:tc>
          <w:tcPr>
            <w:tcW w:w="1892" w:type="dxa"/>
            <w:vAlign w:val="center"/>
          </w:tcPr>
          <w:p>
            <w:pPr>
              <w:adjustRightInd w:val="0"/>
              <w:snapToGrid w:val="0"/>
              <w:ind w:firstLine="420"/>
              <w:jc w:val="center"/>
              <w:rPr>
                <w:snapToGrid w:val="0"/>
                <w:color w:val="auto"/>
                <w:kern w:val="21"/>
                <w:szCs w:val="21"/>
              </w:rPr>
            </w:pPr>
          </w:p>
        </w:tc>
        <w:tc>
          <w:tcPr>
            <w:tcW w:w="1559" w:type="dxa"/>
            <w:vAlign w:val="center"/>
          </w:tcPr>
          <w:p>
            <w:pPr>
              <w:adjustRightInd w:val="0"/>
              <w:snapToGrid w:val="0"/>
              <w:ind w:firstLine="420"/>
              <w:rPr>
                <w:color w:val="auto"/>
              </w:rPr>
            </w:pPr>
          </w:p>
        </w:tc>
        <w:tc>
          <w:tcPr>
            <w:tcW w:w="1594" w:type="dxa"/>
            <w:vAlign w:val="center"/>
          </w:tcPr>
          <w:p>
            <w:pPr>
              <w:adjustRightInd w:val="0"/>
              <w:snapToGrid w:val="0"/>
              <w:ind w:firstLine="420"/>
              <w:jc w:val="center"/>
              <w:rPr>
                <w:snapToGrid w:val="0"/>
                <w:color w:val="auto"/>
                <w:kern w:val="21"/>
                <w:szCs w:val="21"/>
              </w:rPr>
            </w:pPr>
          </w:p>
        </w:tc>
        <w:tc>
          <w:tcPr>
            <w:tcW w:w="1964" w:type="dxa"/>
            <w:vAlign w:val="center"/>
          </w:tcPr>
          <w:p>
            <w:pPr>
              <w:adjustRightInd w:val="0"/>
              <w:snapToGrid w:val="0"/>
              <w:ind w:firstLine="420"/>
              <w:rPr>
                <w:snapToGrid w:val="0"/>
                <w:color w:val="auto"/>
                <w:kern w:val="21"/>
                <w:szCs w:val="21"/>
              </w:rPr>
            </w:pPr>
          </w:p>
        </w:tc>
        <w:tc>
          <w:tcPr>
            <w:tcW w:w="988" w:type="dxa"/>
            <w:vAlign w:val="center"/>
          </w:tcPr>
          <w:p>
            <w:pPr>
              <w:adjustRightInd w:val="0"/>
              <w:snapToGrid w:val="0"/>
              <w:rPr>
                <w:snapToGrid w:val="0"/>
                <w:color w:val="auto"/>
                <w:kern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52" w:type="dxa"/>
            <w:vMerge w:val="continue"/>
            <w:vAlign w:val="center"/>
          </w:tcPr>
          <w:p>
            <w:pPr>
              <w:adjustRightInd w:val="0"/>
              <w:snapToGrid w:val="0"/>
              <w:ind w:firstLine="420"/>
              <w:jc w:val="center"/>
              <w:rPr>
                <w:snapToGrid w:val="0"/>
                <w:color w:val="auto"/>
                <w:kern w:val="21"/>
                <w:szCs w:val="21"/>
              </w:rPr>
            </w:pPr>
          </w:p>
        </w:tc>
        <w:tc>
          <w:tcPr>
            <w:tcW w:w="1289" w:type="dxa"/>
            <w:vAlign w:val="center"/>
          </w:tcPr>
          <w:p>
            <w:pPr>
              <w:spacing w:line="360" w:lineRule="exact"/>
              <w:jc w:val="center"/>
              <w:rPr>
                <w:snapToGrid w:val="0"/>
                <w:color w:val="auto"/>
                <w:kern w:val="21"/>
                <w:szCs w:val="21"/>
              </w:rPr>
            </w:pPr>
          </w:p>
        </w:tc>
        <w:tc>
          <w:tcPr>
            <w:tcW w:w="1923" w:type="dxa"/>
            <w:vAlign w:val="center"/>
          </w:tcPr>
          <w:p>
            <w:pPr>
              <w:adjustRightInd w:val="0"/>
              <w:snapToGrid w:val="0"/>
              <w:ind w:firstLine="420"/>
              <w:jc w:val="center"/>
              <w:rPr>
                <w:snapToGrid w:val="0"/>
                <w:color w:val="auto"/>
                <w:kern w:val="21"/>
                <w:szCs w:val="21"/>
              </w:rPr>
            </w:pPr>
          </w:p>
        </w:tc>
        <w:tc>
          <w:tcPr>
            <w:tcW w:w="1227" w:type="dxa"/>
            <w:vAlign w:val="center"/>
          </w:tcPr>
          <w:p>
            <w:pPr>
              <w:adjustRightInd w:val="0"/>
              <w:snapToGrid w:val="0"/>
              <w:ind w:firstLine="420"/>
              <w:jc w:val="center"/>
              <w:rPr>
                <w:snapToGrid w:val="0"/>
                <w:color w:val="auto"/>
                <w:kern w:val="21"/>
                <w:szCs w:val="21"/>
              </w:rPr>
            </w:pPr>
          </w:p>
        </w:tc>
        <w:tc>
          <w:tcPr>
            <w:tcW w:w="1892" w:type="dxa"/>
            <w:vAlign w:val="center"/>
          </w:tcPr>
          <w:p>
            <w:pPr>
              <w:adjustRightInd w:val="0"/>
              <w:snapToGrid w:val="0"/>
              <w:ind w:firstLine="420"/>
              <w:jc w:val="center"/>
              <w:rPr>
                <w:snapToGrid w:val="0"/>
                <w:color w:val="auto"/>
                <w:kern w:val="21"/>
                <w:szCs w:val="21"/>
              </w:rPr>
            </w:pPr>
          </w:p>
        </w:tc>
        <w:tc>
          <w:tcPr>
            <w:tcW w:w="1559" w:type="dxa"/>
            <w:vAlign w:val="center"/>
          </w:tcPr>
          <w:p>
            <w:pPr>
              <w:adjustRightInd w:val="0"/>
              <w:snapToGrid w:val="0"/>
              <w:ind w:firstLine="420"/>
              <w:rPr>
                <w:color w:val="auto"/>
              </w:rPr>
            </w:pPr>
          </w:p>
        </w:tc>
        <w:tc>
          <w:tcPr>
            <w:tcW w:w="1594" w:type="dxa"/>
            <w:vAlign w:val="center"/>
          </w:tcPr>
          <w:p>
            <w:pPr>
              <w:adjustRightInd w:val="0"/>
              <w:snapToGrid w:val="0"/>
              <w:ind w:firstLine="420"/>
              <w:jc w:val="center"/>
              <w:rPr>
                <w:snapToGrid w:val="0"/>
                <w:color w:val="auto"/>
                <w:kern w:val="21"/>
                <w:szCs w:val="21"/>
              </w:rPr>
            </w:pPr>
          </w:p>
        </w:tc>
        <w:tc>
          <w:tcPr>
            <w:tcW w:w="1964" w:type="dxa"/>
            <w:vAlign w:val="center"/>
          </w:tcPr>
          <w:p>
            <w:pPr>
              <w:adjustRightInd w:val="0"/>
              <w:snapToGrid w:val="0"/>
              <w:ind w:firstLine="420"/>
              <w:rPr>
                <w:snapToGrid w:val="0"/>
                <w:color w:val="auto"/>
                <w:kern w:val="21"/>
                <w:szCs w:val="21"/>
              </w:rPr>
            </w:pPr>
          </w:p>
        </w:tc>
        <w:tc>
          <w:tcPr>
            <w:tcW w:w="988" w:type="dxa"/>
            <w:vAlign w:val="center"/>
          </w:tcPr>
          <w:p>
            <w:pPr>
              <w:adjustRightInd w:val="0"/>
              <w:snapToGrid w:val="0"/>
              <w:rPr>
                <w:snapToGrid w:val="0"/>
                <w:color w:val="auto"/>
                <w:kern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52" w:type="dxa"/>
            <w:vMerge w:val="restart"/>
            <w:vAlign w:val="center"/>
          </w:tcPr>
          <w:p>
            <w:pPr>
              <w:adjustRightInd w:val="0"/>
              <w:snapToGrid w:val="0"/>
              <w:jc w:val="center"/>
              <w:rPr>
                <w:snapToGrid w:val="0"/>
                <w:color w:val="auto"/>
                <w:kern w:val="21"/>
                <w:szCs w:val="21"/>
              </w:rPr>
            </w:pPr>
            <w:r>
              <w:rPr>
                <w:snapToGrid w:val="0"/>
                <w:color w:val="auto"/>
                <w:kern w:val="21"/>
                <w:szCs w:val="21"/>
              </w:rPr>
              <w:t>废水</w:t>
            </w:r>
          </w:p>
        </w:tc>
        <w:tc>
          <w:tcPr>
            <w:tcW w:w="1289" w:type="dxa"/>
            <w:vAlign w:val="center"/>
          </w:tcPr>
          <w:p>
            <w:pPr>
              <w:adjustRightInd w:val="0"/>
              <w:snapToGrid w:val="0"/>
              <w:jc w:val="center"/>
              <w:rPr>
                <w:snapToGrid w:val="0"/>
                <w:color w:val="auto"/>
                <w:kern w:val="21"/>
                <w:szCs w:val="21"/>
              </w:rPr>
            </w:pPr>
          </w:p>
        </w:tc>
        <w:tc>
          <w:tcPr>
            <w:tcW w:w="1923" w:type="dxa"/>
            <w:vAlign w:val="center"/>
          </w:tcPr>
          <w:p>
            <w:pPr>
              <w:adjustRightInd w:val="0"/>
              <w:snapToGrid w:val="0"/>
              <w:jc w:val="center"/>
              <w:rPr>
                <w:snapToGrid w:val="0"/>
                <w:color w:val="auto"/>
                <w:kern w:val="21"/>
                <w:szCs w:val="21"/>
              </w:rPr>
            </w:pPr>
          </w:p>
        </w:tc>
        <w:tc>
          <w:tcPr>
            <w:tcW w:w="1227" w:type="dxa"/>
            <w:vAlign w:val="center"/>
          </w:tcPr>
          <w:p>
            <w:pPr>
              <w:adjustRightInd w:val="0"/>
              <w:snapToGrid w:val="0"/>
              <w:jc w:val="center"/>
              <w:rPr>
                <w:snapToGrid w:val="0"/>
                <w:color w:val="auto"/>
                <w:kern w:val="21"/>
                <w:szCs w:val="21"/>
              </w:rPr>
            </w:pPr>
          </w:p>
        </w:tc>
        <w:tc>
          <w:tcPr>
            <w:tcW w:w="1892" w:type="dxa"/>
            <w:vAlign w:val="center"/>
          </w:tcPr>
          <w:p>
            <w:pPr>
              <w:adjustRightInd w:val="0"/>
              <w:snapToGrid w:val="0"/>
              <w:jc w:val="center"/>
              <w:rPr>
                <w:snapToGrid w:val="0"/>
                <w:color w:val="auto"/>
                <w:kern w:val="21"/>
                <w:szCs w:val="21"/>
              </w:rPr>
            </w:pPr>
          </w:p>
        </w:tc>
        <w:tc>
          <w:tcPr>
            <w:tcW w:w="1559" w:type="dxa"/>
            <w:vAlign w:val="center"/>
          </w:tcPr>
          <w:p>
            <w:pPr>
              <w:adjustRightInd w:val="0"/>
              <w:snapToGrid w:val="0"/>
              <w:jc w:val="center"/>
              <w:rPr>
                <w:color w:val="auto"/>
              </w:rPr>
            </w:pPr>
          </w:p>
        </w:tc>
        <w:tc>
          <w:tcPr>
            <w:tcW w:w="1594" w:type="dxa"/>
            <w:vAlign w:val="center"/>
          </w:tcPr>
          <w:p>
            <w:pPr>
              <w:adjustRightInd w:val="0"/>
              <w:snapToGrid w:val="0"/>
              <w:jc w:val="center"/>
              <w:rPr>
                <w:snapToGrid w:val="0"/>
                <w:color w:val="auto"/>
                <w:kern w:val="21"/>
                <w:szCs w:val="21"/>
              </w:rPr>
            </w:pPr>
          </w:p>
        </w:tc>
        <w:tc>
          <w:tcPr>
            <w:tcW w:w="1964" w:type="dxa"/>
            <w:vAlign w:val="center"/>
          </w:tcPr>
          <w:p>
            <w:pPr>
              <w:adjustRightInd w:val="0"/>
              <w:snapToGrid w:val="0"/>
              <w:jc w:val="center"/>
              <w:rPr>
                <w:snapToGrid w:val="0"/>
                <w:color w:val="auto"/>
                <w:kern w:val="21"/>
                <w:szCs w:val="21"/>
              </w:rPr>
            </w:pPr>
          </w:p>
        </w:tc>
        <w:tc>
          <w:tcPr>
            <w:tcW w:w="988" w:type="dxa"/>
            <w:vAlign w:val="center"/>
          </w:tcPr>
          <w:p>
            <w:pPr>
              <w:adjustRightInd w:val="0"/>
              <w:snapToGrid w:val="0"/>
              <w:rPr>
                <w:snapToGrid w:val="0"/>
                <w:color w:val="auto"/>
                <w:kern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52" w:type="dxa"/>
            <w:vMerge w:val="continue"/>
            <w:vAlign w:val="center"/>
          </w:tcPr>
          <w:p>
            <w:pPr>
              <w:adjustRightInd w:val="0"/>
              <w:snapToGrid w:val="0"/>
              <w:jc w:val="center"/>
              <w:rPr>
                <w:snapToGrid w:val="0"/>
                <w:color w:val="auto"/>
                <w:kern w:val="21"/>
                <w:szCs w:val="21"/>
              </w:rPr>
            </w:pPr>
          </w:p>
        </w:tc>
        <w:tc>
          <w:tcPr>
            <w:tcW w:w="1289" w:type="dxa"/>
            <w:vAlign w:val="center"/>
          </w:tcPr>
          <w:p>
            <w:pPr>
              <w:adjustRightInd w:val="0"/>
              <w:snapToGrid w:val="0"/>
              <w:jc w:val="center"/>
              <w:rPr>
                <w:snapToGrid w:val="0"/>
                <w:color w:val="auto"/>
                <w:kern w:val="21"/>
                <w:szCs w:val="21"/>
              </w:rPr>
            </w:pPr>
          </w:p>
        </w:tc>
        <w:tc>
          <w:tcPr>
            <w:tcW w:w="1923" w:type="dxa"/>
            <w:vAlign w:val="center"/>
          </w:tcPr>
          <w:p>
            <w:pPr>
              <w:adjustRightInd w:val="0"/>
              <w:snapToGrid w:val="0"/>
              <w:jc w:val="center"/>
              <w:rPr>
                <w:snapToGrid w:val="0"/>
                <w:color w:val="auto"/>
                <w:kern w:val="21"/>
                <w:szCs w:val="21"/>
              </w:rPr>
            </w:pPr>
          </w:p>
        </w:tc>
        <w:tc>
          <w:tcPr>
            <w:tcW w:w="1227" w:type="dxa"/>
            <w:vAlign w:val="center"/>
          </w:tcPr>
          <w:p>
            <w:pPr>
              <w:adjustRightInd w:val="0"/>
              <w:snapToGrid w:val="0"/>
              <w:jc w:val="center"/>
              <w:rPr>
                <w:snapToGrid w:val="0"/>
                <w:color w:val="auto"/>
                <w:kern w:val="21"/>
                <w:szCs w:val="21"/>
              </w:rPr>
            </w:pPr>
          </w:p>
        </w:tc>
        <w:tc>
          <w:tcPr>
            <w:tcW w:w="1892" w:type="dxa"/>
            <w:vAlign w:val="center"/>
          </w:tcPr>
          <w:p>
            <w:pPr>
              <w:adjustRightInd w:val="0"/>
              <w:snapToGrid w:val="0"/>
              <w:jc w:val="center"/>
              <w:rPr>
                <w:snapToGrid w:val="0"/>
                <w:color w:val="auto"/>
                <w:kern w:val="21"/>
                <w:szCs w:val="21"/>
              </w:rPr>
            </w:pPr>
          </w:p>
        </w:tc>
        <w:tc>
          <w:tcPr>
            <w:tcW w:w="1559" w:type="dxa"/>
            <w:vAlign w:val="center"/>
          </w:tcPr>
          <w:p>
            <w:pPr>
              <w:adjustRightInd w:val="0"/>
              <w:snapToGrid w:val="0"/>
              <w:jc w:val="center"/>
              <w:rPr>
                <w:color w:val="auto"/>
              </w:rPr>
            </w:pPr>
          </w:p>
        </w:tc>
        <w:tc>
          <w:tcPr>
            <w:tcW w:w="1594" w:type="dxa"/>
            <w:vAlign w:val="center"/>
          </w:tcPr>
          <w:p>
            <w:pPr>
              <w:adjustRightInd w:val="0"/>
              <w:snapToGrid w:val="0"/>
              <w:jc w:val="center"/>
              <w:rPr>
                <w:snapToGrid w:val="0"/>
                <w:color w:val="auto"/>
                <w:kern w:val="21"/>
                <w:szCs w:val="21"/>
              </w:rPr>
            </w:pPr>
          </w:p>
        </w:tc>
        <w:tc>
          <w:tcPr>
            <w:tcW w:w="1964" w:type="dxa"/>
            <w:vAlign w:val="center"/>
          </w:tcPr>
          <w:p>
            <w:pPr>
              <w:adjustRightInd w:val="0"/>
              <w:snapToGrid w:val="0"/>
              <w:jc w:val="center"/>
              <w:rPr>
                <w:color w:val="auto"/>
              </w:rPr>
            </w:pPr>
          </w:p>
        </w:tc>
        <w:tc>
          <w:tcPr>
            <w:tcW w:w="988" w:type="dxa"/>
            <w:vAlign w:val="center"/>
          </w:tcPr>
          <w:p>
            <w:pPr>
              <w:adjustRightInd w:val="0"/>
              <w:snapToGrid w:val="0"/>
              <w:rPr>
                <w:snapToGrid w:val="0"/>
                <w:color w:val="auto"/>
                <w:kern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52" w:type="dxa"/>
            <w:vMerge w:val="continue"/>
            <w:vAlign w:val="center"/>
          </w:tcPr>
          <w:p>
            <w:pPr>
              <w:adjustRightInd w:val="0"/>
              <w:snapToGrid w:val="0"/>
              <w:jc w:val="center"/>
              <w:rPr>
                <w:snapToGrid w:val="0"/>
                <w:color w:val="auto"/>
                <w:kern w:val="21"/>
                <w:szCs w:val="21"/>
              </w:rPr>
            </w:pPr>
          </w:p>
        </w:tc>
        <w:tc>
          <w:tcPr>
            <w:tcW w:w="1289" w:type="dxa"/>
            <w:vAlign w:val="center"/>
          </w:tcPr>
          <w:p>
            <w:pPr>
              <w:adjustRightInd w:val="0"/>
              <w:snapToGrid w:val="0"/>
              <w:jc w:val="center"/>
              <w:rPr>
                <w:snapToGrid w:val="0"/>
                <w:color w:val="auto"/>
                <w:kern w:val="21"/>
                <w:szCs w:val="21"/>
              </w:rPr>
            </w:pPr>
          </w:p>
        </w:tc>
        <w:tc>
          <w:tcPr>
            <w:tcW w:w="1923" w:type="dxa"/>
            <w:vAlign w:val="center"/>
          </w:tcPr>
          <w:p>
            <w:pPr>
              <w:adjustRightInd w:val="0"/>
              <w:snapToGrid w:val="0"/>
              <w:jc w:val="center"/>
              <w:rPr>
                <w:snapToGrid w:val="0"/>
                <w:color w:val="auto"/>
                <w:kern w:val="21"/>
                <w:szCs w:val="21"/>
              </w:rPr>
            </w:pPr>
          </w:p>
        </w:tc>
        <w:tc>
          <w:tcPr>
            <w:tcW w:w="1227" w:type="dxa"/>
            <w:vAlign w:val="center"/>
          </w:tcPr>
          <w:p>
            <w:pPr>
              <w:adjustRightInd w:val="0"/>
              <w:snapToGrid w:val="0"/>
              <w:jc w:val="center"/>
              <w:rPr>
                <w:snapToGrid w:val="0"/>
                <w:color w:val="auto"/>
                <w:kern w:val="21"/>
                <w:szCs w:val="21"/>
              </w:rPr>
            </w:pPr>
          </w:p>
        </w:tc>
        <w:tc>
          <w:tcPr>
            <w:tcW w:w="1892" w:type="dxa"/>
            <w:vAlign w:val="center"/>
          </w:tcPr>
          <w:p>
            <w:pPr>
              <w:adjustRightInd w:val="0"/>
              <w:snapToGrid w:val="0"/>
              <w:jc w:val="center"/>
              <w:rPr>
                <w:snapToGrid w:val="0"/>
                <w:color w:val="auto"/>
                <w:kern w:val="21"/>
                <w:szCs w:val="21"/>
              </w:rPr>
            </w:pPr>
          </w:p>
        </w:tc>
        <w:tc>
          <w:tcPr>
            <w:tcW w:w="1559" w:type="dxa"/>
            <w:vAlign w:val="center"/>
          </w:tcPr>
          <w:p>
            <w:pPr>
              <w:adjustRightInd w:val="0"/>
              <w:snapToGrid w:val="0"/>
              <w:jc w:val="center"/>
              <w:rPr>
                <w:color w:val="auto"/>
              </w:rPr>
            </w:pPr>
          </w:p>
        </w:tc>
        <w:tc>
          <w:tcPr>
            <w:tcW w:w="1594" w:type="dxa"/>
            <w:vAlign w:val="center"/>
          </w:tcPr>
          <w:p>
            <w:pPr>
              <w:adjustRightInd w:val="0"/>
              <w:snapToGrid w:val="0"/>
              <w:jc w:val="center"/>
              <w:rPr>
                <w:snapToGrid w:val="0"/>
                <w:color w:val="auto"/>
                <w:kern w:val="21"/>
                <w:szCs w:val="21"/>
              </w:rPr>
            </w:pPr>
          </w:p>
        </w:tc>
        <w:tc>
          <w:tcPr>
            <w:tcW w:w="1964" w:type="dxa"/>
            <w:vAlign w:val="center"/>
          </w:tcPr>
          <w:p>
            <w:pPr>
              <w:adjustRightInd w:val="0"/>
              <w:snapToGrid w:val="0"/>
              <w:jc w:val="center"/>
              <w:rPr>
                <w:snapToGrid w:val="0"/>
                <w:color w:val="auto"/>
                <w:kern w:val="21"/>
                <w:szCs w:val="21"/>
              </w:rPr>
            </w:pPr>
          </w:p>
        </w:tc>
        <w:tc>
          <w:tcPr>
            <w:tcW w:w="988" w:type="dxa"/>
            <w:vAlign w:val="center"/>
          </w:tcPr>
          <w:p>
            <w:pPr>
              <w:adjustRightInd w:val="0"/>
              <w:snapToGrid w:val="0"/>
              <w:rPr>
                <w:snapToGrid w:val="0"/>
                <w:color w:val="auto"/>
                <w:kern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52" w:type="dxa"/>
            <w:vMerge w:val="restart"/>
            <w:vAlign w:val="center"/>
          </w:tcPr>
          <w:p>
            <w:pPr>
              <w:adjustRightInd w:val="0"/>
              <w:snapToGrid w:val="0"/>
              <w:jc w:val="center"/>
              <w:rPr>
                <w:snapToGrid w:val="0"/>
                <w:color w:val="auto"/>
                <w:kern w:val="21"/>
                <w:szCs w:val="21"/>
              </w:rPr>
            </w:pPr>
            <w:r>
              <w:rPr>
                <w:snapToGrid w:val="0"/>
                <w:color w:val="auto"/>
                <w:kern w:val="21"/>
                <w:szCs w:val="21"/>
              </w:rPr>
              <w:t>一般工业</w:t>
            </w:r>
          </w:p>
          <w:p>
            <w:pPr>
              <w:adjustRightInd w:val="0"/>
              <w:snapToGrid w:val="0"/>
              <w:jc w:val="center"/>
              <w:rPr>
                <w:snapToGrid w:val="0"/>
                <w:color w:val="auto"/>
                <w:kern w:val="21"/>
                <w:szCs w:val="21"/>
              </w:rPr>
            </w:pPr>
            <w:r>
              <w:rPr>
                <w:snapToGrid w:val="0"/>
                <w:color w:val="auto"/>
                <w:kern w:val="21"/>
                <w:szCs w:val="21"/>
              </w:rPr>
              <w:t>固体废物</w:t>
            </w:r>
          </w:p>
        </w:tc>
        <w:tc>
          <w:tcPr>
            <w:tcW w:w="1289" w:type="dxa"/>
            <w:vAlign w:val="center"/>
          </w:tcPr>
          <w:p>
            <w:pPr>
              <w:adjustRightInd w:val="0"/>
              <w:snapToGrid w:val="0"/>
              <w:jc w:val="center"/>
              <w:rPr>
                <w:snapToGrid w:val="0"/>
                <w:color w:val="auto"/>
                <w:kern w:val="21"/>
                <w:szCs w:val="21"/>
              </w:rPr>
            </w:pPr>
            <w:r>
              <w:rPr>
                <w:snapToGrid w:val="0"/>
                <w:color w:val="auto"/>
                <w:kern w:val="21"/>
                <w:szCs w:val="21"/>
              </w:rPr>
              <w:t>金属废渣</w:t>
            </w:r>
          </w:p>
        </w:tc>
        <w:tc>
          <w:tcPr>
            <w:tcW w:w="1923" w:type="dxa"/>
            <w:vAlign w:val="center"/>
          </w:tcPr>
          <w:p>
            <w:pPr>
              <w:adjustRightInd w:val="0"/>
              <w:snapToGrid w:val="0"/>
              <w:jc w:val="center"/>
              <w:rPr>
                <w:snapToGrid w:val="0"/>
                <w:color w:val="auto"/>
                <w:kern w:val="21"/>
                <w:szCs w:val="21"/>
              </w:rPr>
            </w:pPr>
          </w:p>
        </w:tc>
        <w:tc>
          <w:tcPr>
            <w:tcW w:w="1227" w:type="dxa"/>
            <w:vAlign w:val="center"/>
          </w:tcPr>
          <w:p>
            <w:pPr>
              <w:adjustRightInd w:val="0"/>
              <w:snapToGrid w:val="0"/>
              <w:jc w:val="center"/>
              <w:rPr>
                <w:snapToGrid w:val="0"/>
                <w:color w:val="auto"/>
                <w:kern w:val="21"/>
                <w:szCs w:val="21"/>
              </w:rPr>
            </w:pPr>
          </w:p>
        </w:tc>
        <w:tc>
          <w:tcPr>
            <w:tcW w:w="1892" w:type="dxa"/>
            <w:vAlign w:val="center"/>
          </w:tcPr>
          <w:p>
            <w:pPr>
              <w:adjustRightInd w:val="0"/>
              <w:snapToGrid w:val="0"/>
              <w:jc w:val="center"/>
              <w:rPr>
                <w:snapToGrid w:val="0"/>
                <w:color w:val="auto"/>
                <w:kern w:val="21"/>
                <w:szCs w:val="21"/>
              </w:rPr>
            </w:pPr>
          </w:p>
        </w:tc>
        <w:tc>
          <w:tcPr>
            <w:tcW w:w="1559" w:type="dxa"/>
            <w:vAlign w:val="center"/>
          </w:tcPr>
          <w:p>
            <w:pPr>
              <w:adjustRightInd w:val="0"/>
              <w:snapToGrid w:val="0"/>
              <w:jc w:val="center"/>
              <w:rPr>
                <w:snapToGrid w:val="0"/>
                <w:color w:val="auto"/>
                <w:kern w:val="21"/>
                <w:szCs w:val="21"/>
              </w:rPr>
            </w:pPr>
            <w:r>
              <w:rPr>
                <w:rFonts w:hint="eastAsia"/>
                <w:snapToGrid w:val="0"/>
                <w:color w:val="auto"/>
                <w:kern w:val="21"/>
                <w:szCs w:val="21"/>
                <w:lang w:val="en-US" w:eastAsia="zh-CN"/>
              </w:rPr>
              <w:t>1138.8</w:t>
            </w:r>
            <w:r>
              <w:rPr>
                <w:snapToGrid w:val="0"/>
                <w:color w:val="auto"/>
                <w:kern w:val="21"/>
                <w:szCs w:val="21"/>
              </w:rPr>
              <w:t>t/a</w:t>
            </w:r>
          </w:p>
        </w:tc>
        <w:tc>
          <w:tcPr>
            <w:tcW w:w="1594" w:type="dxa"/>
            <w:vAlign w:val="center"/>
          </w:tcPr>
          <w:p>
            <w:pPr>
              <w:adjustRightInd w:val="0"/>
              <w:snapToGrid w:val="0"/>
              <w:jc w:val="center"/>
              <w:rPr>
                <w:snapToGrid w:val="0"/>
                <w:color w:val="auto"/>
                <w:kern w:val="21"/>
                <w:szCs w:val="21"/>
              </w:rPr>
            </w:pPr>
          </w:p>
        </w:tc>
        <w:tc>
          <w:tcPr>
            <w:tcW w:w="1964" w:type="dxa"/>
            <w:vAlign w:val="center"/>
          </w:tcPr>
          <w:p>
            <w:pPr>
              <w:adjustRightInd w:val="0"/>
              <w:snapToGrid w:val="0"/>
              <w:jc w:val="center"/>
              <w:rPr>
                <w:snapToGrid w:val="0"/>
                <w:color w:val="auto"/>
                <w:kern w:val="21"/>
                <w:szCs w:val="21"/>
              </w:rPr>
            </w:pPr>
            <w:r>
              <w:rPr>
                <w:rFonts w:hint="eastAsia"/>
                <w:snapToGrid w:val="0"/>
                <w:color w:val="auto"/>
                <w:kern w:val="21"/>
                <w:szCs w:val="21"/>
              </w:rPr>
              <w:t>0</w:t>
            </w:r>
          </w:p>
        </w:tc>
        <w:tc>
          <w:tcPr>
            <w:tcW w:w="988" w:type="dxa"/>
            <w:vAlign w:val="center"/>
          </w:tcPr>
          <w:p>
            <w:pPr>
              <w:adjustRightInd w:val="0"/>
              <w:snapToGrid w:val="0"/>
              <w:rPr>
                <w:snapToGrid w:val="0"/>
                <w:color w:val="auto"/>
                <w:kern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52" w:type="dxa"/>
            <w:vMerge w:val="continue"/>
            <w:vAlign w:val="center"/>
          </w:tcPr>
          <w:p>
            <w:pPr>
              <w:adjustRightInd w:val="0"/>
              <w:snapToGrid w:val="0"/>
              <w:ind w:firstLine="420"/>
              <w:jc w:val="center"/>
              <w:rPr>
                <w:snapToGrid w:val="0"/>
                <w:color w:val="auto"/>
                <w:kern w:val="21"/>
                <w:szCs w:val="21"/>
              </w:rPr>
            </w:pPr>
          </w:p>
        </w:tc>
        <w:tc>
          <w:tcPr>
            <w:tcW w:w="1289" w:type="dxa"/>
            <w:vAlign w:val="center"/>
          </w:tcPr>
          <w:p>
            <w:pPr>
              <w:adjustRightInd w:val="0"/>
              <w:snapToGrid w:val="0"/>
              <w:jc w:val="center"/>
              <w:rPr>
                <w:snapToGrid w:val="0"/>
                <w:color w:val="auto"/>
                <w:kern w:val="21"/>
                <w:szCs w:val="21"/>
              </w:rPr>
            </w:pPr>
            <w:r>
              <w:rPr>
                <w:rFonts w:hint="eastAsia"/>
                <w:snapToGrid w:val="0"/>
                <w:color w:val="auto"/>
                <w:kern w:val="21"/>
                <w:szCs w:val="21"/>
              </w:rPr>
              <w:t>分拣出的未燃尽垃圾</w:t>
            </w:r>
          </w:p>
        </w:tc>
        <w:tc>
          <w:tcPr>
            <w:tcW w:w="1923" w:type="dxa"/>
            <w:vAlign w:val="center"/>
          </w:tcPr>
          <w:p>
            <w:pPr>
              <w:adjustRightInd w:val="0"/>
              <w:snapToGrid w:val="0"/>
              <w:ind w:firstLine="420"/>
              <w:jc w:val="center"/>
              <w:rPr>
                <w:snapToGrid w:val="0"/>
                <w:color w:val="auto"/>
                <w:kern w:val="21"/>
                <w:szCs w:val="21"/>
              </w:rPr>
            </w:pPr>
          </w:p>
        </w:tc>
        <w:tc>
          <w:tcPr>
            <w:tcW w:w="1227" w:type="dxa"/>
            <w:vAlign w:val="center"/>
          </w:tcPr>
          <w:p>
            <w:pPr>
              <w:adjustRightInd w:val="0"/>
              <w:snapToGrid w:val="0"/>
              <w:ind w:firstLine="420"/>
              <w:jc w:val="center"/>
              <w:rPr>
                <w:snapToGrid w:val="0"/>
                <w:color w:val="auto"/>
                <w:kern w:val="21"/>
                <w:szCs w:val="21"/>
              </w:rPr>
            </w:pPr>
          </w:p>
        </w:tc>
        <w:tc>
          <w:tcPr>
            <w:tcW w:w="1892" w:type="dxa"/>
            <w:vAlign w:val="center"/>
          </w:tcPr>
          <w:p>
            <w:pPr>
              <w:adjustRightInd w:val="0"/>
              <w:snapToGrid w:val="0"/>
              <w:ind w:firstLine="420"/>
              <w:jc w:val="center"/>
              <w:rPr>
                <w:snapToGrid w:val="0"/>
                <w:color w:val="auto"/>
                <w:kern w:val="21"/>
                <w:szCs w:val="21"/>
              </w:rPr>
            </w:pPr>
          </w:p>
        </w:tc>
        <w:tc>
          <w:tcPr>
            <w:tcW w:w="1559" w:type="dxa"/>
            <w:vAlign w:val="center"/>
          </w:tcPr>
          <w:p>
            <w:pPr>
              <w:adjustRightInd w:val="0"/>
              <w:snapToGrid w:val="0"/>
              <w:jc w:val="center"/>
              <w:rPr>
                <w:snapToGrid w:val="0"/>
                <w:color w:val="auto"/>
                <w:kern w:val="21"/>
                <w:szCs w:val="21"/>
              </w:rPr>
            </w:pPr>
            <w:r>
              <w:rPr>
                <w:rFonts w:hint="eastAsia"/>
                <w:snapToGrid w:val="0"/>
                <w:color w:val="auto"/>
                <w:kern w:val="21"/>
                <w:szCs w:val="21"/>
                <w:lang w:val="en-US" w:eastAsia="zh-CN"/>
              </w:rPr>
              <w:t>1883.4</w:t>
            </w:r>
            <w:r>
              <w:rPr>
                <w:snapToGrid w:val="0"/>
                <w:color w:val="auto"/>
                <w:kern w:val="21"/>
                <w:szCs w:val="21"/>
              </w:rPr>
              <w:t>t/a</w:t>
            </w:r>
          </w:p>
        </w:tc>
        <w:tc>
          <w:tcPr>
            <w:tcW w:w="1594" w:type="dxa"/>
            <w:vAlign w:val="center"/>
          </w:tcPr>
          <w:p>
            <w:pPr>
              <w:adjustRightInd w:val="0"/>
              <w:snapToGrid w:val="0"/>
              <w:jc w:val="center"/>
              <w:rPr>
                <w:snapToGrid w:val="0"/>
                <w:color w:val="auto"/>
                <w:kern w:val="21"/>
                <w:szCs w:val="21"/>
              </w:rPr>
            </w:pPr>
          </w:p>
        </w:tc>
        <w:tc>
          <w:tcPr>
            <w:tcW w:w="1964" w:type="dxa"/>
            <w:vAlign w:val="center"/>
          </w:tcPr>
          <w:p>
            <w:pPr>
              <w:adjustRightInd w:val="0"/>
              <w:snapToGrid w:val="0"/>
              <w:spacing w:line="240" w:lineRule="atLeast"/>
              <w:jc w:val="center"/>
              <w:rPr>
                <w:snapToGrid w:val="0"/>
                <w:color w:val="auto"/>
                <w:kern w:val="21"/>
                <w:szCs w:val="21"/>
              </w:rPr>
            </w:pPr>
            <w:r>
              <w:rPr>
                <w:rFonts w:hint="eastAsia"/>
                <w:snapToGrid w:val="0"/>
                <w:color w:val="auto"/>
                <w:kern w:val="21"/>
                <w:szCs w:val="21"/>
              </w:rPr>
              <w:t>0</w:t>
            </w:r>
          </w:p>
        </w:tc>
        <w:tc>
          <w:tcPr>
            <w:tcW w:w="988" w:type="dxa"/>
            <w:vAlign w:val="center"/>
          </w:tcPr>
          <w:p>
            <w:pPr>
              <w:adjustRightInd w:val="0"/>
              <w:snapToGrid w:val="0"/>
              <w:ind w:firstLine="420"/>
              <w:jc w:val="center"/>
              <w:rPr>
                <w:snapToGrid w:val="0"/>
                <w:color w:val="auto"/>
                <w:kern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52" w:type="dxa"/>
            <w:vMerge w:val="restart"/>
            <w:vAlign w:val="center"/>
          </w:tcPr>
          <w:p>
            <w:pPr>
              <w:adjustRightInd w:val="0"/>
              <w:snapToGrid w:val="0"/>
              <w:jc w:val="center"/>
              <w:rPr>
                <w:snapToGrid w:val="0"/>
                <w:color w:val="auto"/>
                <w:kern w:val="21"/>
                <w:szCs w:val="21"/>
              </w:rPr>
            </w:pPr>
            <w:r>
              <w:rPr>
                <w:snapToGrid w:val="0"/>
                <w:color w:val="auto"/>
                <w:kern w:val="21"/>
                <w:szCs w:val="21"/>
              </w:rPr>
              <w:t>危险废物</w:t>
            </w:r>
          </w:p>
        </w:tc>
        <w:tc>
          <w:tcPr>
            <w:tcW w:w="1289" w:type="dxa"/>
            <w:vAlign w:val="center"/>
          </w:tcPr>
          <w:p>
            <w:pPr>
              <w:adjustRightInd w:val="0"/>
              <w:snapToGrid w:val="0"/>
              <w:rPr>
                <w:rFonts w:hint="eastAsia" w:eastAsia="宋体"/>
                <w:snapToGrid w:val="0"/>
                <w:color w:val="auto"/>
                <w:kern w:val="21"/>
                <w:szCs w:val="21"/>
                <w:lang w:val="en-US" w:eastAsia="zh-CN"/>
              </w:rPr>
            </w:pPr>
          </w:p>
        </w:tc>
        <w:tc>
          <w:tcPr>
            <w:tcW w:w="1923" w:type="dxa"/>
            <w:vAlign w:val="center"/>
          </w:tcPr>
          <w:p>
            <w:pPr>
              <w:adjustRightInd w:val="0"/>
              <w:snapToGrid w:val="0"/>
              <w:ind w:firstLine="420"/>
              <w:jc w:val="center"/>
              <w:rPr>
                <w:snapToGrid w:val="0"/>
                <w:color w:val="auto"/>
                <w:kern w:val="21"/>
                <w:szCs w:val="21"/>
              </w:rPr>
            </w:pPr>
          </w:p>
        </w:tc>
        <w:tc>
          <w:tcPr>
            <w:tcW w:w="1227" w:type="dxa"/>
            <w:vAlign w:val="center"/>
          </w:tcPr>
          <w:p>
            <w:pPr>
              <w:adjustRightInd w:val="0"/>
              <w:snapToGrid w:val="0"/>
              <w:ind w:firstLine="420"/>
              <w:jc w:val="center"/>
              <w:rPr>
                <w:snapToGrid w:val="0"/>
                <w:color w:val="auto"/>
                <w:kern w:val="21"/>
                <w:szCs w:val="21"/>
              </w:rPr>
            </w:pPr>
          </w:p>
        </w:tc>
        <w:tc>
          <w:tcPr>
            <w:tcW w:w="1892" w:type="dxa"/>
            <w:vAlign w:val="center"/>
          </w:tcPr>
          <w:p>
            <w:pPr>
              <w:adjustRightInd w:val="0"/>
              <w:snapToGrid w:val="0"/>
              <w:ind w:firstLine="420"/>
              <w:jc w:val="center"/>
              <w:rPr>
                <w:snapToGrid w:val="0"/>
                <w:color w:val="auto"/>
                <w:kern w:val="21"/>
                <w:szCs w:val="21"/>
              </w:rPr>
            </w:pPr>
          </w:p>
        </w:tc>
        <w:tc>
          <w:tcPr>
            <w:tcW w:w="1559" w:type="dxa"/>
            <w:vAlign w:val="center"/>
          </w:tcPr>
          <w:p>
            <w:pPr>
              <w:adjustRightInd w:val="0"/>
              <w:snapToGrid w:val="0"/>
              <w:ind w:firstLine="420"/>
              <w:rPr>
                <w:color w:val="auto"/>
              </w:rPr>
            </w:pPr>
          </w:p>
        </w:tc>
        <w:tc>
          <w:tcPr>
            <w:tcW w:w="1594" w:type="dxa"/>
            <w:vAlign w:val="center"/>
          </w:tcPr>
          <w:p>
            <w:pPr>
              <w:adjustRightInd w:val="0"/>
              <w:snapToGrid w:val="0"/>
              <w:ind w:firstLine="420"/>
              <w:jc w:val="center"/>
              <w:rPr>
                <w:snapToGrid w:val="0"/>
                <w:color w:val="auto"/>
                <w:kern w:val="21"/>
                <w:szCs w:val="21"/>
              </w:rPr>
            </w:pPr>
          </w:p>
        </w:tc>
        <w:tc>
          <w:tcPr>
            <w:tcW w:w="1964" w:type="dxa"/>
            <w:vAlign w:val="center"/>
          </w:tcPr>
          <w:p>
            <w:pPr>
              <w:adjustRightInd w:val="0"/>
              <w:snapToGrid w:val="0"/>
              <w:ind w:firstLine="420"/>
              <w:rPr>
                <w:snapToGrid w:val="0"/>
                <w:color w:val="auto"/>
                <w:kern w:val="21"/>
                <w:szCs w:val="21"/>
              </w:rPr>
            </w:pPr>
          </w:p>
        </w:tc>
        <w:tc>
          <w:tcPr>
            <w:tcW w:w="988" w:type="dxa"/>
            <w:vAlign w:val="center"/>
          </w:tcPr>
          <w:p>
            <w:pPr>
              <w:adjustRightInd w:val="0"/>
              <w:snapToGrid w:val="0"/>
              <w:rPr>
                <w:snapToGrid w:val="0"/>
                <w:color w:val="auto"/>
                <w:kern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52" w:type="dxa"/>
            <w:vMerge w:val="continue"/>
            <w:vAlign w:val="center"/>
          </w:tcPr>
          <w:p>
            <w:pPr>
              <w:adjustRightInd w:val="0"/>
              <w:snapToGrid w:val="0"/>
              <w:ind w:firstLine="420"/>
              <w:jc w:val="center"/>
              <w:rPr>
                <w:snapToGrid w:val="0"/>
                <w:color w:val="auto"/>
                <w:kern w:val="21"/>
                <w:szCs w:val="21"/>
              </w:rPr>
            </w:pPr>
          </w:p>
        </w:tc>
        <w:tc>
          <w:tcPr>
            <w:tcW w:w="1289" w:type="dxa"/>
            <w:vAlign w:val="center"/>
          </w:tcPr>
          <w:p>
            <w:pPr>
              <w:adjustRightInd w:val="0"/>
              <w:snapToGrid w:val="0"/>
              <w:ind w:firstLine="420"/>
              <w:jc w:val="center"/>
              <w:rPr>
                <w:snapToGrid w:val="0"/>
                <w:color w:val="auto"/>
                <w:kern w:val="21"/>
                <w:szCs w:val="21"/>
              </w:rPr>
            </w:pPr>
          </w:p>
        </w:tc>
        <w:tc>
          <w:tcPr>
            <w:tcW w:w="1923" w:type="dxa"/>
            <w:vAlign w:val="center"/>
          </w:tcPr>
          <w:p>
            <w:pPr>
              <w:adjustRightInd w:val="0"/>
              <w:snapToGrid w:val="0"/>
              <w:ind w:firstLine="420"/>
              <w:jc w:val="center"/>
              <w:rPr>
                <w:snapToGrid w:val="0"/>
                <w:color w:val="auto"/>
                <w:kern w:val="21"/>
                <w:szCs w:val="21"/>
              </w:rPr>
            </w:pPr>
          </w:p>
        </w:tc>
        <w:tc>
          <w:tcPr>
            <w:tcW w:w="1227" w:type="dxa"/>
            <w:vAlign w:val="center"/>
          </w:tcPr>
          <w:p>
            <w:pPr>
              <w:adjustRightInd w:val="0"/>
              <w:snapToGrid w:val="0"/>
              <w:ind w:firstLine="420"/>
              <w:jc w:val="center"/>
              <w:rPr>
                <w:snapToGrid w:val="0"/>
                <w:color w:val="auto"/>
                <w:kern w:val="21"/>
                <w:szCs w:val="21"/>
              </w:rPr>
            </w:pPr>
          </w:p>
        </w:tc>
        <w:tc>
          <w:tcPr>
            <w:tcW w:w="1892" w:type="dxa"/>
            <w:vAlign w:val="center"/>
          </w:tcPr>
          <w:p>
            <w:pPr>
              <w:adjustRightInd w:val="0"/>
              <w:snapToGrid w:val="0"/>
              <w:ind w:firstLine="420"/>
              <w:jc w:val="center"/>
              <w:rPr>
                <w:snapToGrid w:val="0"/>
                <w:color w:val="auto"/>
                <w:kern w:val="21"/>
                <w:szCs w:val="21"/>
              </w:rPr>
            </w:pPr>
          </w:p>
        </w:tc>
        <w:tc>
          <w:tcPr>
            <w:tcW w:w="1559" w:type="dxa"/>
            <w:vAlign w:val="center"/>
          </w:tcPr>
          <w:p>
            <w:pPr>
              <w:adjustRightInd w:val="0"/>
              <w:snapToGrid w:val="0"/>
              <w:ind w:firstLine="420"/>
              <w:jc w:val="center"/>
              <w:rPr>
                <w:snapToGrid w:val="0"/>
                <w:color w:val="auto"/>
                <w:kern w:val="21"/>
                <w:szCs w:val="21"/>
              </w:rPr>
            </w:pPr>
          </w:p>
        </w:tc>
        <w:tc>
          <w:tcPr>
            <w:tcW w:w="1594" w:type="dxa"/>
            <w:vAlign w:val="center"/>
          </w:tcPr>
          <w:p>
            <w:pPr>
              <w:adjustRightInd w:val="0"/>
              <w:snapToGrid w:val="0"/>
              <w:ind w:firstLine="420"/>
              <w:jc w:val="center"/>
              <w:rPr>
                <w:snapToGrid w:val="0"/>
                <w:color w:val="auto"/>
                <w:kern w:val="21"/>
                <w:szCs w:val="21"/>
              </w:rPr>
            </w:pPr>
          </w:p>
        </w:tc>
        <w:tc>
          <w:tcPr>
            <w:tcW w:w="1964" w:type="dxa"/>
            <w:vAlign w:val="center"/>
          </w:tcPr>
          <w:p>
            <w:pPr>
              <w:adjustRightInd w:val="0"/>
              <w:snapToGrid w:val="0"/>
              <w:ind w:firstLine="420"/>
              <w:jc w:val="center"/>
              <w:rPr>
                <w:snapToGrid w:val="0"/>
                <w:color w:val="auto"/>
                <w:kern w:val="21"/>
                <w:szCs w:val="21"/>
              </w:rPr>
            </w:pPr>
          </w:p>
        </w:tc>
        <w:tc>
          <w:tcPr>
            <w:tcW w:w="988" w:type="dxa"/>
            <w:vAlign w:val="center"/>
          </w:tcPr>
          <w:p>
            <w:pPr>
              <w:adjustRightInd w:val="0"/>
              <w:snapToGrid w:val="0"/>
              <w:ind w:firstLine="420"/>
              <w:jc w:val="center"/>
              <w:rPr>
                <w:snapToGrid w:val="0"/>
                <w:color w:val="auto"/>
                <w:kern w:val="21"/>
                <w:szCs w:val="21"/>
              </w:rPr>
            </w:pPr>
          </w:p>
        </w:tc>
      </w:tr>
    </w:tbl>
    <w:p>
      <w:pPr>
        <w:adjustRightInd w:val="0"/>
        <w:snapToGrid w:val="0"/>
        <w:spacing w:before="192" w:beforeLines="80" w:after="24" w:afterLines="10" w:line="259" w:lineRule="auto"/>
        <w:ind w:firstLine="420"/>
        <w:jc w:val="left"/>
        <w:rPr>
          <w:snapToGrid w:val="0"/>
          <w:color w:val="auto"/>
          <w:kern w:val="21"/>
          <w:szCs w:val="21"/>
        </w:rPr>
      </w:pPr>
      <w:r>
        <w:rPr>
          <w:snapToGrid w:val="0"/>
          <w:color w:val="auto"/>
          <w:kern w:val="21"/>
          <w:szCs w:val="21"/>
        </w:rPr>
        <w:t>注：</w:t>
      </w:r>
      <w:r>
        <w:rPr>
          <w:snapToGrid w:val="0"/>
          <w:color w:val="auto"/>
          <w:kern w:val="21"/>
          <w:szCs w:val="21"/>
        </w:rPr>
        <w:fldChar w:fldCharType="begin"/>
      </w:r>
      <w:r>
        <w:rPr>
          <w:snapToGrid w:val="0"/>
          <w:color w:val="auto"/>
          <w:kern w:val="21"/>
          <w:szCs w:val="21"/>
        </w:rPr>
        <w:instrText xml:space="preserve"> = 6 \* GB3 \* MERGEFORMAT </w:instrText>
      </w:r>
      <w:r>
        <w:rPr>
          <w:snapToGrid w:val="0"/>
          <w:color w:val="auto"/>
          <w:kern w:val="21"/>
          <w:szCs w:val="21"/>
        </w:rPr>
        <w:fldChar w:fldCharType="separate"/>
      </w:r>
      <w:r>
        <w:rPr>
          <w:color w:val="auto"/>
          <w:kern w:val="0"/>
          <w:szCs w:val="21"/>
        </w:rPr>
        <w:t>⑥</w:t>
      </w:r>
      <w:r>
        <w:rPr>
          <w:snapToGrid w:val="0"/>
          <w:color w:val="auto"/>
          <w:kern w:val="21"/>
          <w:szCs w:val="21"/>
        </w:rPr>
        <w:fldChar w:fldCharType="end"/>
      </w:r>
      <w:r>
        <w:rPr>
          <w:snapToGrid w:val="0"/>
          <w:color w:val="auto"/>
          <w:kern w:val="21"/>
          <w:szCs w:val="21"/>
        </w:rPr>
        <w:t>=</w:t>
      </w:r>
      <w:r>
        <w:rPr>
          <w:snapToGrid w:val="0"/>
          <w:color w:val="auto"/>
          <w:kern w:val="21"/>
          <w:szCs w:val="21"/>
        </w:rPr>
        <w:fldChar w:fldCharType="begin"/>
      </w:r>
      <w:r>
        <w:rPr>
          <w:snapToGrid w:val="0"/>
          <w:color w:val="auto"/>
          <w:kern w:val="21"/>
          <w:szCs w:val="21"/>
        </w:rPr>
        <w:instrText xml:space="preserve"> = 1 \* GB3 \* MERGEFORMAT </w:instrText>
      </w:r>
      <w:r>
        <w:rPr>
          <w:snapToGrid w:val="0"/>
          <w:color w:val="auto"/>
          <w:kern w:val="21"/>
          <w:szCs w:val="21"/>
        </w:rPr>
        <w:fldChar w:fldCharType="separate"/>
      </w:r>
      <w:r>
        <w:rPr>
          <w:color w:val="auto"/>
          <w:kern w:val="0"/>
          <w:szCs w:val="21"/>
        </w:rPr>
        <w:t>①</w:t>
      </w:r>
      <w:r>
        <w:rPr>
          <w:snapToGrid w:val="0"/>
          <w:color w:val="auto"/>
          <w:kern w:val="21"/>
          <w:szCs w:val="21"/>
        </w:rPr>
        <w:fldChar w:fldCharType="end"/>
      </w:r>
      <w:r>
        <w:rPr>
          <w:snapToGrid w:val="0"/>
          <w:color w:val="auto"/>
          <w:kern w:val="21"/>
          <w:szCs w:val="21"/>
        </w:rPr>
        <w:t>+</w:t>
      </w:r>
      <w:r>
        <w:rPr>
          <w:snapToGrid w:val="0"/>
          <w:color w:val="auto"/>
          <w:kern w:val="21"/>
          <w:szCs w:val="21"/>
        </w:rPr>
        <w:fldChar w:fldCharType="begin"/>
      </w:r>
      <w:r>
        <w:rPr>
          <w:snapToGrid w:val="0"/>
          <w:color w:val="auto"/>
          <w:kern w:val="21"/>
          <w:szCs w:val="21"/>
        </w:rPr>
        <w:instrText xml:space="preserve"> = 3 \* GB3 \* MERGEFORMAT </w:instrText>
      </w:r>
      <w:r>
        <w:rPr>
          <w:snapToGrid w:val="0"/>
          <w:color w:val="auto"/>
          <w:kern w:val="21"/>
          <w:szCs w:val="21"/>
        </w:rPr>
        <w:fldChar w:fldCharType="separate"/>
      </w:r>
      <w:r>
        <w:rPr>
          <w:color w:val="auto"/>
          <w:kern w:val="0"/>
          <w:szCs w:val="21"/>
        </w:rPr>
        <w:t>③</w:t>
      </w:r>
      <w:r>
        <w:rPr>
          <w:snapToGrid w:val="0"/>
          <w:color w:val="auto"/>
          <w:kern w:val="21"/>
          <w:szCs w:val="21"/>
        </w:rPr>
        <w:fldChar w:fldCharType="end"/>
      </w:r>
      <w:r>
        <w:rPr>
          <w:snapToGrid w:val="0"/>
          <w:color w:val="auto"/>
          <w:kern w:val="21"/>
          <w:szCs w:val="21"/>
        </w:rPr>
        <w:t>+</w:t>
      </w:r>
      <w:r>
        <w:rPr>
          <w:snapToGrid w:val="0"/>
          <w:color w:val="auto"/>
          <w:kern w:val="21"/>
          <w:szCs w:val="21"/>
        </w:rPr>
        <w:fldChar w:fldCharType="begin"/>
      </w:r>
      <w:r>
        <w:rPr>
          <w:snapToGrid w:val="0"/>
          <w:color w:val="auto"/>
          <w:kern w:val="21"/>
          <w:szCs w:val="21"/>
        </w:rPr>
        <w:instrText xml:space="preserve"> = 4 \* GB3 \* MERGEFORMAT </w:instrText>
      </w:r>
      <w:r>
        <w:rPr>
          <w:snapToGrid w:val="0"/>
          <w:color w:val="auto"/>
          <w:kern w:val="21"/>
          <w:szCs w:val="21"/>
        </w:rPr>
        <w:fldChar w:fldCharType="separate"/>
      </w:r>
      <w:r>
        <w:rPr>
          <w:color w:val="auto"/>
          <w:kern w:val="0"/>
          <w:szCs w:val="21"/>
        </w:rPr>
        <w:t>④</w:t>
      </w:r>
      <w:r>
        <w:rPr>
          <w:snapToGrid w:val="0"/>
          <w:color w:val="auto"/>
          <w:kern w:val="21"/>
          <w:szCs w:val="21"/>
        </w:rPr>
        <w:fldChar w:fldCharType="end"/>
      </w:r>
      <w:r>
        <w:rPr>
          <w:snapToGrid w:val="0"/>
          <w:color w:val="auto"/>
          <w:kern w:val="21"/>
          <w:szCs w:val="21"/>
        </w:rPr>
        <w:t>-</w:t>
      </w:r>
      <w:r>
        <w:rPr>
          <w:snapToGrid w:val="0"/>
          <w:color w:val="auto"/>
          <w:kern w:val="21"/>
          <w:szCs w:val="21"/>
        </w:rPr>
        <w:fldChar w:fldCharType="begin"/>
      </w:r>
      <w:r>
        <w:rPr>
          <w:snapToGrid w:val="0"/>
          <w:color w:val="auto"/>
          <w:kern w:val="21"/>
          <w:szCs w:val="21"/>
        </w:rPr>
        <w:instrText xml:space="preserve"> = 5 \* GB3 \* MERGEFORMAT </w:instrText>
      </w:r>
      <w:r>
        <w:rPr>
          <w:snapToGrid w:val="0"/>
          <w:color w:val="auto"/>
          <w:kern w:val="21"/>
          <w:szCs w:val="21"/>
        </w:rPr>
        <w:fldChar w:fldCharType="separate"/>
      </w:r>
      <w:r>
        <w:rPr>
          <w:color w:val="auto"/>
          <w:kern w:val="0"/>
          <w:szCs w:val="21"/>
        </w:rPr>
        <w:t>⑤</w:t>
      </w:r>
      <w:r>
        <w:rPr>
          <w:snapToGrid w:val="0"/>
          <w:color w:val="auto"/>
          <w:kern w:val="21"/>
          <w:szCs w:val="21"/>
        </w:rPr>
        <w:fldChar w:fldCharType="end"/>
      </w:r>
      <w:r>
        <w:rPr>
          <w:snapToGrid w:val="0"/>
          <w:color w:val="auto"/>
          <w:kern w:val="21"/>
          <w:szCs w:val="21"/>
        </w:rPr>
        <w:t>；</w:t>
      </w:r>
      <w:r>
        <w:rPr>
          <w:snapToGrid w:val="0"/>
          <w:color w:val="auto"/>
          <w:kern w:val="21"/>
          <w:szCs w:val="21"/>
        </w:rPr>
        <w:fldChar w:fldCharType="begin"/>
      </w:r>
      <w:r>
        <w:rPr>
          <w:snapToGrid w:val="0"/>
          <w:color w:val="auto"/>
          <w:kern w:val="21"/>
          <w:szCs w:val="21"/>
        </w:rPr>
        <w:instrText xml:space="preserve"> = 7 \* GB3 \* MERGEFORMAT </w:instrText>
      </w:r>
      <w:r>
        <w:rPr>
          <w:snapToGrid w:val="0"/>
          <w:color w:val="auto"/>
          <w:kern w:val="21"/>
          <w:szCs w:val="21"/>
        </w:rPr>
        <w:fldChar w:fldCharType="separate"/>
      </w:r>
      <w:r>
        <w:rPr>
          <w:color w:val="auto"/>
          <w:kern w:val="0"/>
          <w:szCs w:val="21"/>
        </w:rPr>
        <w:t>⑦</w:t>
      </w:r>
      <w:r>
        <w:rPr>
          <w:snapToGrid w:val="0"/>
          <w:color w:val="auto"/>
          <w:kern w:val="21"/>
          <w:szCs w:val="21"/>
        </w:rPr>
        <w:fldChar w:fldCharType="end"/>
      </w:r>
      <w:r>
        <w:rPr>
          <w:snapToGrid w:val="0"/>
          <w:color w:val="auto"/>
          <w:kern w:val="21"/>
          <w:szCs w:val="21"/>
        </w:rPr>
        <w:t>=</w:t>
      </w:r>
      <w:r>
        <w:rPr>
          <w:snapToGrid w:val="0"/>
          <w:color w:val="auto"/>
          <w:kern w:val="21"/>
          <w:szCs w:val="21"/>
        </w:rPr>
        <w:fldChar w:fldCharType="begin"/>
      </w:r>
      <w:r>
        <w:rPr>
          <w:snapToGrid w:val="0"/>
          <w:color w:val="auto"/>
          <w:kern w:val="21"/>
          <w:szCs w:val="21"/>
        </w:rPr>
        <w:instrText xml:space="preserve"> = 6 \* GB3 \* MERGEFORMAT </w:instrText>
      </w:r>
      <w:r>
        <w:rPr>
          <w:snapToGrid w:val="0"/>
          <w:color w:val="auto"/>
          <w:kern w:val="21"/>
          <w:szCs w:val="21"/>
        </w:rPr>
        <w:fldChar w:fldCharType="separate"/>
      </w:r>
      <w:r>
        <w:rPr>
          <w:color w:val="auto"/>
          <w:kern w:val="0"/>
          <w:szCs w:val="21"/>
        </w:rPr>
        <w:t>⑥</w:t>
      </w:r>
      <w:r>
        <w:rPr>
          <w:snapToGrid w:val="0"/>
          <w:color w:val="auto"/>
          <w:kern w:val="21"/>
          <w:szCs w:val="21"/>
        </w:rPr>
        <w:fldChar w:fldCharType="end"/>
      </w:r>
      <w:r>
        <w:rPr>
          <w:snapToGrid w:val="0"/>
          <w:color w:val="auto"/>
          <w:kern w:val="21"/>
          <w:szCs w:val="21"/>
        </w:rPr>
        <w:t>-</w:t>
      </w:r>
      <w:r>
        <w:rPr>
          <w:snapToGrid w:val="0"/>
          <w:color w:val="auto"/>
          <w:kern w:val="21"/>
          <w:szCs w:val="21"/>
        </w:rPr>
        <w:fldChar w:fldCharType="begin"/>
      </w:r>
      <w:r>
        <w:rPr>
          <w:snapToGrid w:val="0"/>
          <w:color w:val="auto"/>
          <w:kern w:val="21"/>
          <w:szCs w:val="21"/>
        </w:rPr>
        <w:instrText xml:space="preserve"> = 1 \* GB3 \* MERGEFORMAT </w:instrText>
      </w:r>
      <w:r>
        <w:rPr>
          <w:snapToGrid w:val="0"/>
          <w:color w:val="auto"/>
          <w:kern w:val="21"/>
          <w:szCs w:val="21"/>
        </w:rPr>
        <w:fldChar w:fldCharType="separate"/>
      </w:r>
      <w:r>
        <w:rPr>
          <w:color w:val="auto"/>
          <w:kern w:val="0"/>
          <w:szCs w:val="21"/>
        </w:rPr>
        <w:t>①</w:t>
      </w:r>
      <w:r>
        <w:rPr>
          <w:snapToGrid w:val="0"/>
          <w:color w:val="auto"/>
          <w:kern w:val="21"/>
          <w:szCs w:val="21"/>
        </w:rPr>
        <w:fldChar w:fldCharType="end"/>
      </w:r>
    </w:p>
    <w:p>
      <w:pPr>
        <w:rPr>
          <w:rFonts w:eastAsia="黑体"/>
          <w:color w:val="auto"/>
        </w:rPr>
      </w:pPr>
    </w:p>
    <w:p>
      <w:pPr>
        <w:rPr>
          <w:color w:val="auto"/>
        </w:rPr>
      </w:pPr>
    </w:p>
    <w:sectPr>
      <w:footerReference r:id="rId6" w:type="default"/>
      <w:pgSz w:w="16838" w:h="11906" w:orient="landscape"/>
      <w:pgMar w:top="1531" w:right="1701" w:bottom="1531" w:left="1701" w:header="851" w:footer="851"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6987B09-DE07-4261-A033-B6FED6C067E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0F78237F-58EE-4CB8-BF55-A2B09986B52F}"/>
  </w:font>
  <w:font w:name="华文中宋">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C0FF3F0E-CFB1-4F16-82C1-27DDC358DE7F}"/>
  </w:font>
  <w:font w:name="楷体_GB2312">
    <w:altName w:val="楷体"/>
    <w:panose1 w:val="00000000000000000000"/>
    <w:charset w:val="86"/>
    <w:family w:val="modern"/>
    <w:pitch w:val="default"/>
    <w:sig w:usb0="00000000" w:usb1="00000000" w:usb2="00000010" w:usb3="00000000" w:csb0="00040000" w:csb1="00000000"/>
    <w:embedRegular r:id="rId4" w:fontKey="{090E7BE6-F164-4F88-A0CC-ADF9139D22B3}"/>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仿宋_GBK">
    <w:altName w:val="微软雅黑"/>
    <w:panose1 w:val="00000000000000000000"/>
    <w:charset w:val="86"/>
    <w:family w:val="script"/>
    <w:pitch w:val="default"/>
    <w:sig w:usb0="00000000" w:usb1="00000000" w:usb2="00082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5" w:fontKey="{EE126187-D253-42BB-B088-5E50658D14AF}"/>
  </w:font>
  <w:font w:name="仿宋">
    <w:panose1 w:val="02010609060101010101"/>
    <w:charset w:val="86"/>
    <w:family w:val="auto"/>
    <w:pitch w:val="default"/>
    <w:sig w:usb0="800002BF" w:usb1="38CF7CFA" w:usb2="00000016" w:usb3="00000000" w:csb0="00040001" w:csb1="00000000"/>
    <w:embedRegular r:id="rId6" w:fontKey="{9F5B24E0-3787-493E-9B2D-DC4B74AFC37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right="360" w:firstLine="360"/>
      <w:jc w:val="center"/>
      <w:rPr>
        <w:kern w:val="0"/>
        <w:sz w:val="18"/>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snapToGrid w:val="0"/>
      <w:jc w:val="left"/>
      <w:rPr>
        <w:rStyle w:val="25"/>
        <w:kern w:val="0"/>
        <w:sz w:val="18"/>
        <w:szCs w:val="20"/>
      </w:rPr>
    </w:pPr>
    <w:r>
      <w:rPr>
        <w:kern w:val="0"/>
        <w:sz w:val="18"/>
        <w:szCs w:val="20"/>
      </w:rPr>
      <w:fldChar w:fldCharType="begin"/>
    </w:r>
    <w:r>
      <w:rPr>
        <w:rStyle w:val="25"/>
        <w:kern w:val="0"/>
        <w:sz w:val="18"/>
        <w:szCs w:val="20"/>
      </w:rPr>
      <w:instrText xml:space="preserve">PAGE  </w:instrText>
    </w:r>
    <w:r>
      <w:rPr>
        <w:kern w:val="0"/>
        <w:sz w:val="18"/>
        <w:szCs w:val="20"/>
      </w:rPr>
      <w:fldChar w:fldCharType="end"/>
    </w:r>
  </w:p>
  <w:p>
    <w:pPr>
      <w:snapToGrid w:val="0"/>
      <w:ind w:right="360" w:firstLine="360"/>
      <w:jc w:val="left"/>
      <w:rPr>
        <w:kern w:val="0"/>
        <w:sz w:val="18"/>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right="360" w:firstLine="360"/>
      <w:jc w:val="center"/>
      <w:rPr>
        <w:kern w:val="0"/>
        <w:sz w:val="18"/>
        <w:szCs w:val="20"/>
      </w:rPr>
    </w:pPr>
    <w:r>
      <w:rPr>
        <w:kern w:val="0"/>
        <w:sz w:val="18"/>
        <w:szCs w:val="2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jc w:val="left"/>
                            <w:rPr>
                              <w:rStyle w:val="25"/>
                              <w:rFonts w:ascii="宋体" w:hAnsi="宋体"/>
                              <w:kern w:val="0"/>
                              <w:sz w:val="28"/>
                              <w:szCs w:val="28"/>
                            </w:rPr>
                          </w:pPr>
                          <w:r>
                            <w:rPr>
                              <w:rStyle w:val="25"/>
                              <w:rFonts w:hint="eastAsia" w:ascii="宋体" w:hAnsi="宋体"/>
                              <w:kern w:val="0"/>
                              <w:sz w:val="28"/>
                              <w:szCs w:val="28"/>
                            </w:rPr>
                            <w:t>—</w:t>
                          </w:r>
                          <w:r>
                            <w:rPr>
                              <w:rStyle w:val="25"/>
                              <w:rFonts w:hint="eastAsia" w:ascii="宋体" w:hAnsi="宋体"/>
                              <w:kern w:val="0"/>
                              <w:sz w:val="20"/>
                              <w:szCs w:val="20"/>
                            </w:rPr>
                            <w:t xml:space="preserve">  </w:t>
                          </w:r>
                          <w:r>
                            <w:rPr>
                              <w:rFonts w:ascii="宋体" w:hAnsi="宋体"/>
                              <w:kern w:val="0"/>
                              <w:sz w:val="26"/>
                              <w:szCs w:val="26"/>
                            </w:rPr>
                            <w:fldChar w:fldCharType="begin"/>
                          </w:r>
                          <w:r>
                            <w:rPr>
                              <w:rStyle w:val="25"/>
                              <w:rFonts w:ascii="宋体" w:hAnsi="宋体"/>
                              <w:kern w:val="0"/>
                              <w:sz w:val="26"/>
                              <w:szCs w:val="26"/>
                            </w:rPr>
                            <w:instrText xml:space="preserve">PAGE  </w:instrText>
                          </w:r>
                          <w:r>
                            <w:rPr>
                              <w:rFonts w:ascii="宋体" w:hAnsi="宋体"/>
                              <w:kern w:val="0"/>
                              <w:sz w:val="26"/>
                              <w:szCs w:val="26"/>
                            </w:rPr>
                            <w:fldChar w:fldCharType="separate"/>
                          </w:r>
                          <w:r>
                            <w:rPr>
                              <w:rStyle w:val="25"/>
                              <w:rFonts w:ascii="宋体" w:hAnsi="宋体"/>
                              <w:kern w:val="0"/>
                              <w:sz w:val="26"/>
                              <w:szCs w:val="26"/>
                            </w:rPr>
                            <w:t>9</w:t>
                          </w:r>
                          <w:r>
                            <w:rPr>
                              <w:rFonts w:ascii="宋体" w:hAnsi="宋体"/>
                              <w:kern w:val="0"/>
                              <w:sz w:val="26"/>
                              <w:szCs w:val="26"/>
                            </w:rPr>
                            <w:fldChar w:fldCharType="end"/>
                          </w:r>
                          <w:r>
                            <w:rPr>
                              <w:rStyle w:val="25"/>
                              <w:rFonts w:hint="eastAsia" w:ascii="宋体" w:hAnsi="宋体"/>
                              <w:kern w:val="0"/>
                              <w:sz w:val="20"/>
                              <w:szCs w:val="20"/>
                            </w:rPr>
                            <w:t xml:space="preserve">  </w:t>
                          </w:r>
                          <w:r>
                            <w:rPr>
                              <w:rStyle w:val="25"/>
                              <w:rFonts w:hint="eastAsia" w:ascii="宋体" w:hAnsi="宋体"/>
                              <w:kern w:val="0"/>
                              <w:sz w:val="28"/>
                              <w:szCs w:val="28"/>
                            </w:rPr>
                            <w:t>—</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HcD8IBAACN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CJR3A/CAQAAjQMAAA4AAAAAAAAAAQAgAAAAHgEAAGRycy9lMm9Eb2MueG1sUEsF&#10;BgAAAAAGAAYAWQEAAFIFAAAAAA==&#10;">
              <v:fill on="f" focussize="0,0"/>
              <v:stroke on="f"/>
              <v:imagedata o:title=""/>
              <o:lock v:ext="edit" aspectratio="f"/>
              <v:textbox inset="0mm,0mm,0mm,0mm" style="mso-fit-shape-to-text:t;">
                <w:txbxContent>
                  <w:p>
                    <w:pPr>
                      <w:snapToGrid w:val="0"/>
                      <w:jc w:val="left"/>
                      <w:rPr>
                        <w:rStyle w:val="25"/>
                        <w:rFonts w:ascii="宋体" w:hAnsi="宋体"/>
                        <w:kern w:val="0"/>
                        <w:sz w:val="28"/>
                        <w:szCs w:val="28"/>
                      </w:rPr>
                    </w:pPr>
                    <w:r>
                      <w:rPr>
                        <w:rStyle w:val="25"/>
                        <w:rFonts w:hint="eastAsia" w:ascii="宋体" w:hAnsi="宋体"/>
                        <w:kern w:val="0"/>
                        <w:sz w:val="28"/>
                        <w:szCs w:val="28"/>
                      </w:rPr>
                      <w:t>—</w:t>
                    </w:r>
                    <w:r>
                      <w:rPr>
                        <w:rStyle w:val="25"/>
                        <w:rFonts w:hint="eastAsia" w:ascii="宋体" w:hAnsi="宋体"/>
                        <w:kern w:val="0"/>
                        <w:sz w:val="20"/>
                        <w:szCs w:val="20"/>
                      </w:rPr>
                      <w:t xml:space="preserve">  </w:t>
                    </w:r>
                    <w:r>
                      <w:rPr>
                        <w:rFonts w:ascii="宋体" w:hAnsi="宋体"/>
                        <w:kern w:val="0"/>
                        <w:sz w:val="26"/>
                        <w:szCs w:val="26"/>
                      </w:rPr>
                      <w:fldChar w:fldCharType="begin"/>
                    </w:r>
                    <w:r>
                      <w:rPr>
                        <w:rStyle w:val="25"/>
                        <w:rFonts w:ascii="宋体" w:hAnsi="宋体"/>
                        <w:kern w:val="0"/>
                        <w:sz w:val="26"/>
                        <w:szCs w:val="26"/>
                      </w:rPr>
                      <w:instrText xml:space="preserve">PAGE  </w:instrText>
                    </w:r>
                    <w:r>
                      <w:rPr>
                        <w:rFonts w:ascii="宋体" w:hAnsi="宋体"/>
                        <w:kern w:val="0"/>
                        <w:sz w:val="26"/>
                        <w:szCs w:val="26"/>
                      </w:rPr>
                      <w:fldChar w:fldCharType="separate"/>
                    </w:r>
                    <w:r>
                      <w:rPr>
                        <w:rStyle w:val="25"/>
                        <w:rFonts w:ascii="宋体" w:hAnsi="宋体"/>
                        <w:kern w:val="0"/>
                        <w:sz w:val="26"/>
                        <w:szCs w:val="26"/>
                      </w:rPr>
                      <w:t>9</w:t>
                    </w:r>
                    <w:r>
                      <w:rPr>
                        <w:rFonts w:ascii="宋体" w:hAnsi="宋体"/>
                        <w:kern w:val="0"/>
                        <w:sz w:val="26"/>
                        <w:szCs w:val="26"/>
                      </w:rPr>
                      <w:fldChar w:fldCharType="end"/>
                    </w:r>
                    <w:r>
                      <w:rPr>
                        <w:rStyle w:val="25"/>
                        <w:rFonts w:hint="eastAsia" w:ascii="宋体" w:hAnsi="宋体"/>
                        <w:kern w:val="0"/>
                        <w:sz w:val="20"/>
                        <w:szCs w:val="20"/>
                      </w:rPr>
                      <w:t xml:space="preserve">  </w:t>
                    </w:r>
                    <w:r>
                      <w:rPr>
                        <w:rStyle w:val="25"/>
                        <w:rFonts w:hint="eastAsia" w:ascii="宋体" w:hAnsi="宋体"/>
                        <w:kern w:val="0"/>
                        <w:sz w:val="28"/>
                        <w:szCs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firstLine="360"/>
      <w:jc w:val="cente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Style w:val="25"/>
                              <w:rFonts w:ascii="宋体" w:hAnsi="宋体"/>
                              <w:sz w:val="28"/>
                              <w:szCs w:val="28"/>
                            </w:rPr>
                          </w:pPr>
                          <w:r>
                            <w:rPr>
                              <w:rStyle w:val="25"/>
                              <w:rFonts w:hint="eastAsia" w:ascii="宋体" w:hAnsi="宋体"/>
                              <w:sz w:val="28"/>
                              <w:szCs w:val="28"/>
                            </w:rPr>
                            <w:t>—</w:t>
                          </w:r>
                          <w:r>
                            <w:rPr>
                              <w:rStyle w:val="25"/>
                              <w:rFonts w:hint="eastAsia" w:ascii="宋体" w:hAnsi="宋体"/>
                              <w:sz w:val="20"/>
                            </w:rPr>
                            <w:t xml:space="preserve">  </w:t>
                          </w:r>
                          <w:r>
                            <w:rPr>
                              <w:rFonts w:ascii="宋体" w:hAnsi="宋体"/>
                              <w:sz w:val="26"/>
                              <w:szCs w:val="26"/>
                            </w:rPr>
                            <w:fldChar w:fldCharType="begin"/>
                          </w:r>
                          <w:r>
                            <w:rPr>
                              <w:rStyle w:val="25"/>
                              <w:rFonts w:ascii="宋体" w:hAnsi="宋体"/>
                              <w:sz w:val="26"/>
                              <w:szCs w:val="26"/>
                            </w:rPr>
                            <w:instrText xml:space="preserve">PAGE  </w:instrText>
                          </w:r>
                          <w:r>
                            <w:rPr>
                              <w:rFonts w:ascii="宋体" w:hAnsi="宋体"/>
                              <w:sz w:val="26"/>
                              <w:szCs w:val="26"/>
                            </w:rPr>
                            <w:fldChar w:fldCharType="separate"/>
                          </w:r>
                          <w:r>
                            <w:rPr>
                              <w:rStyle w:val="25"/>
                              <w:rFonts w:ascii="宋体" w:hAnsi="宋体"/>
                              <w:sz w:val="26"/>
                              <w:szCs w:val="26"/>
                            </w:rPr>
                            <w:t>11</w:t>
                          </w:r>
                          <w:r>
                            <w:rPr>
                              <w:rFonts w:ascii="宋体" w:hAnsi="宋体"/>
                              <w:sz w:val="26"/>
                              <w:szCs w:val="26"/>
                            </w:rPr>
                            <w:fldChar w:fldCharType="end"/>
                          </w:r>
                          <w:r>
                            <w:rPr>
                              <w:rStyle w:val="25"/>
                              <w:rFonts w:hint="eastAsia" w:ascii="宋体" w:hAnsi="宋体"/>
                              <w:sz w:val="20"/>
                            </w:rPr>
                            <w:t xml:space="preserve">  </w:t>
                          </w:r>
                          <w:r>
                            <w:rPr>
                              <w:rStyle w:val="25"/>
                              <w:rFonts w:hint="eastAsia" w:ascii="宋体" w:hAnsi="宋体"/>
                              <w:sz w:val="28"/>
                              <w:szCs w:val="28"/>
                            </w:rPr>
                            <w:t>—</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8"/>
                      <w:rPr>
                        <w:rStyle w:val="25"/>
                        <w:rFonts w:ascii="宋体" w:hAnsi="宋体"/>
                        <w:sz w:val="28"/>
                        <w:szCs w:val="28"/>
                      </w:rPr>
                    </w:pPr>
                    <w:r>
                      <w:rPr>
                        <w:rStyle w:val="25"/>
                        <w:rFonts w:hint="eastAsia" w:ascii="宋体" w:hAnsi="宋体"/>
                        <w:sz w:val="28"/>
                        <w:szCs w:val="28"/>
                      </w:rPr>
                      <w:t>—</w:t>
                    </w:r>
                    <w:r>
                      <w:rPr>
                        <w:rStyle w:val="25"/>
                        <w:rFonts w:hint="eastAsia" w:ascii="宋体" w:hAnsi="宋体"/>
                        <w:sz w:val="20"/>
                      </w:rPr>
                      <w:t xml:space="preserve">  </w:t>
                    </w:r>
                    <w:r>
                      <w:rPr>
                        <w:rFonts w:ascii="宋体" w:hAnsi="宋体"/>
                        <w:sz w:val="26"/>
                        <w:szCs w:val="26"/>
                      </w:rPr>
                      <w:fldChar w:fldCharType="begin"/>
                    </w:r>
                    <w:r>
                      <w:rPr>
                        <w:rStyle w:val="25"/>
                        <w:rFonts w:ascii="宋体" w:hAnsi="宋体"/>
                        <w:sz w:val="26"/>
                        <w:szCs w:val="26"/>
                      </w:rPr>
                      <w:instrText xml:space="preserve">PAGE  </w:instrText>
                    </w:r>
                    <w:r>
                      <w:rPr>
                        <w:rFonts w:ascii="宋体" w:hAnsi="宋体"/>
                        <w:sz w:val="26"/>
                        <w:szCs w:val="26"/>
                      </w:rPr>
                      <w:fldChar w:fldCharType="separate"/>
                    </w:r>
                    <w:r>
                      <w:rPr>
                        <w:rStyle w:val="25"/>
                        <w:rFonts w:ascii="宋体" w:hAnsi="宋体"/>
                        <w:sz w:val="26"/>
                        <w:szCs w:val="26"/>
                      </w:rPr>
                      <w:t>11</w:t>
                    </w:r>
                    <w:r>
                      <w:rPr>
                        <w:rFonts w:ascii="宋体" w:hAnsi="宋体"/>
                        <w:sz w:val="26"/>
                        <w:szCs w:val="26"/>
                      </w:rPr>
                      <w:fldChar w:fldCharType="end"/>
                    </w:r>
                    <w:r>
                      <w:rPr>
                        <w:rStyle w:val="25"/>
                        <w:rFonts w:hint="eastAsia" w:ascii="宋体" w:hAnsi="宋体"/>
                        <w:sz w:val="20"/>
                      </w:rPr>
                      <w:t xml:space="preserve">  </w:t>
                    </w:r>
                    <w:r>
                      <w:rPr>
                        <w:rStyle w:val="25"/>
                        <w:rFonts w:hint="eastAsia" w:ascii="宋体" w:hAnsi="宋体"/>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6E72E8"/>
    <w:multiLevelType w:val="singleLevel"/>
    <w:tmpl w:val="B06E72E8"/>
    <w:lvl w:ilvl="0" w:tentative="0">
      <w:start w:val="1"/>
      <w:numFmt w:val="upperLetter"/>
      <w:suff w:val="nothing"/>
      <w:lvlText w:val="%1、"/>
      <w:lvlJc w:val="left"/>
    </w:lvl>
  </w:abstractNum>
  <w:abstractNum w:abstractNumId="1">
    <w:nsid w:val="B700227A"/>
    <w:multiLevelType w:val="singleLevel"/>
    <w:tmpl w:val="B700227A"/>
    <w:lvl w:ilvl="0" w:tentative="0">
      <w:start w:val="1"/>
      <w:numFmt w:val="decimal"/>
      <w:suff w:val="nothing"/>
      <w:lvlText w:val="%1）"/>
      <w:lvlJc w:val="left"/>
    </w:lvl>
  </w:abstractNum>
  <w:abstractNum w:abstractNumId="2">
    <w:nsid w:val="D6E0CD69"/>
    <w:multiLevelType w:val="singleLevel"/>
    <w:tmpl w:val="D6E0CD69"/>
    <w:lvl w:ilvl="0" w:tentative="0">
      <w:start w:val="1"/>
      <w:numFmt w:val="upperLetter"/>
      <w:suff w:val="nothing"/>
      <w:lvlText w:val="%1、"/>
      <w:lvlJc w:val="left"/>
    </w:lvl>
  </w:abstractNum>
  <w:abstractNum w:abstractNumId="3">
    <w:nsid w:val="D845A5E4"/>
    <w:multiLevelType w:val="singleLevel"/>
    <w:tmpl w:val="D845A5E4"/>
    <w:lvl w:ilvl="0" w:tentative="0">
      <w:start w:val="4"/>
      <w:numFmt w:val="decimal"/>
      <w:suff w:val="nothing"/>
      <w:lvlText w:val="%1）"/>
      <w:lvlJc w:val="left"/>
    </w:lvl>
  </w:abstractNum>
  <w:abstractNum w:abstractNumId="4">
    <w:nsid w:val="2299585D"/>
    <w:multiLevelType w:val="singleLevel"/>
    <w:tmpl w:val="2299585D"/>
    <w:lvl w:ilvl="0" w:tentative="0">
      <w:start w:val="7"/>
      <w:numFmt w:val="decimal"/>
      <w:suff w:val="nothing"/>
      <w:lvlText w:val="（%1）"/>
      <w:lvlJc w:val="left"/>
    </w:lvl>
  </w:abstractNum>
  <w:abstractNum w:abstractNumId="5">
    <w:nsid w:val="22DF9BDF"/>
    <w:multiLevelType w:val="singleLevel"/>
    <w:tmpl w:val="22DF9BDF"/>
    <w:lvl w:ilvl="0" w:tentative="0">
      <w:start w:val="1"/>
      <w:numFmt w:val="decimal"/>
      <w:suff w:val="space"/>
      <w:lvlText w:val="%1."/>
      <w:lvlJc w:val="left"/>
    </w:lvl>
  </w:abstractNum>
  <w:abstractNum w:abstractNumId="6">
    <w:nsid w:val="35F47F2E"/>
    <w:multiLevelType w:val="singleLevel"/>
    <w:tmpl w:val="35F47F2E"/>
    <w:lvl w:ilvl="0" w:tentative="0">
      <w:start w:val="1"/>
      <w:numFmt w:val="decimal"/>
      <w:suff w:val="nothing"/>
      <w:lvlText w:val="（%1）"/>
      <w:lvlJc w:val="left"/>
    </w:lvl>
  </w:abstractNum>
  <w:abstractNum w:abstractNumId="7">
    <w:nsid w:val="3BDC940B"/>
    <w:multiLevelType w:val="singleLevel"/>
    <w:tmpl w:val="3BDC940B"/>
    <w:lvl w:ilvl="0" w:tentative="0">
      <w:start w:val="1"/>
      <w:numFmt w:val="decimal"/>
      <w:suff w:val="nothing"/>
      <w:lvlText w:val="（%1）"/>
      <w:lvlJc w:val="left"/>
    </w:lvl>
  </w:abstractNum>
  <w:abstractNum w:abstractNumId="8">
    <w:nsid w:val="3CD63256"/>
    <w:multiLevelType w:val="singleLevel"/>
    <w:tmpl w:val="3CD63256"/>
    <w:lvl w:ilvl="0" w:tentative="0">
      <w:start w:val="1"/>
      <w:numFmt w:val="decimal"/>
      <w:suff w:val="space"/>
      <w:lvlText w:val="%1."/>
      <w:lvlJc w:val="left"/>
    </w:lvl>
  </w:abstractNum>
  <w:abstractNum w:abstractNumId="9">
    <w:nsid w:val="4E3739E4"/>
    <w:multiLevelType w:val="singleLevel"/>
    <w:tmpl w:val="4E3739E4"/>
    <w:lvl w:ilvl="0" w:tentative="0">
      <w:start w:val="1"/>
      <w:numFmt w:val="decimal"/>
      <w:suff w:val="nothing"/>
      <w:lvlText w:val="%1）"/>
      <w:lvlJc w:val="left"/>
    </w:lvl>
  </w:abstractNum>
  <w:abstractNum w:abstractNumId="10">
    <w:nsid w:val="7B159949"/>
    <w:multiLevelType w:val="singleLevel"/>
    <w:tmpl w:val="7B159949"/>
    <w:lvl w:ilvl="0" w:tentative="0">
      <w:start w:val="1"/>
      <w:numFmt w:val="decimal"/>
      <w:pStyle w:val="17"/>
      <w:lvlText w:val="%1."/>
      <w:lvlJc w:val="left"/>
      <w:pPr>
        <w:tabs>
          <w:tab w:val="left" w:pos="2040"/>
        </w:tabs>
        <w:ind w:left="2040" w:hanging="360"/>
      </w:pPr>
    </w:lvl>
  </w:abstractNum>
  <w:num w:numId="1">
    <w:abstractNumId w:val="10"/>
  </w:num>
  <w:num w:numId="2">
    <w:abstractNumId w:val="9"/>
  </w:num>
  <w:num w:numId="3">
    <w:abstractNumId w:val="3"/>
  </w:num>
  <w:num w:numId="4">
    <w:abstractNumId w:val="7"/>
  </w:num>
  <w:num w:numId="5">
    <w:abstractNumId w:val="4"/>
  </w:num>
  <w:num w:numId="6">
    <w:abstractNumId w:val="8"/>
  </w:num>
  <w:num w:numId="7">
    <w:abstractNumId w:val="5"/>
  </w:num>
  <w:num w:numId="8">
    <w:abstractNumId w:val="6"/>
  </w:num>
  <w:num w:numId="9">
    <w:abstractNumId w:val="1"/>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6F3E"/>
    <w:rsid w:val="00172A27"/>
    <w:rsid w:val="0034419E"/>
    <w:rsid w:val="003F3F62"/>
    <w:rsid w:val="004967E8"/>
    <w:rsid w:val="004A5071"/>
    <w:rsid w:val="004C42B9"/>
    <w:rsid w:val="00575DC0"/>
    <w:rsid w:val="005E1331"/>
    <w:rsid w:val="00722295"/>
    <w:rsid w:val="007A5E90"/>
    <w:rsid w:val="007B130A"/>
    <w:rsid w:val="0086042F"/>
    <w:rsid w:val="009607FE"/>
    <w:rsid w:val="00B11FA0"/>
    <w:rsid w:val="00B93ECA"/>
    <w:rsid w:val="00BA17B9"/>
    <w:rsid w:val="00BC16B7"/>
    <w:rsid w:val="00BF7BD1"/>
    <w:rsid w:val="00CA1173"/>
    <w:rsid w:val="00D035D9"/>
    <w:rsid w:val="00D76F79"/>
    <w:rsid w:val="00E8250F"/>
    <w:rsid w:val="023C5688"/>
    <w:rsid w:val="04165F18"/>
    <w:rsid w:val="05FC0AAA"/>
    <w:rsid w:val="06572BE7"/>
    <w:rsid w:val="078C0571"/>
    <w:rsid w:val="082952D0"/>
    <w:rsid w:val="086D540D"/>
    <w:rsid w:val="09D8573D"/>
    <w:rsid w:val="0B7F2691"/>
    <w:rsid w:val="0C8546E5"/>
    <w:rsid w:val="0D813A14"/>
    <w:rsid w:val="0F304130"/>
    <w:rsid w:val="0FB10CAA"/>
    <w:rsid w:val="11005262"/>
    <w:rsid w:val="120667D7"/>
    <w:rsid w:val="127D2CA9"/>
    <w:rsid w:val="129D771A"/>
    <w:rsid w:val="138E01F0"/>
    <w:rsid w:val="14451726"/>
    <w:rsid w:val="150947FD"/>
    <w:rsid w:val="15282234"/>
    <w:rsid w:val="17377CFB"/>
    <w:rsid w:val="18333A0C"/>
    <w:rsid w:val="18472DE6"/>
    <w:rsid w:val="18C33745"/>
    <w:rsid w:val="18C4102C"/>
    <w:rsid w:val="19F67788"/>
    <w:rsid w:val="1AF42D0E"/>
    <w:rsid w:val="1B3C1790"/>
    <w:rsid w:val="1B54580B"/>
    <w:rsid w:val="1BCA4DEA"/>
    <w:rsid w:val="1C850D11"/>
    <w:rsid w:val="1CDF2896"/>
    <w:rsid w:val="1EDD5DEA"/>
    <w:rsid w:val="217961F5"/>
    <w:rsid w:val="217D2528"/>
    <w:rsid w:val="219746CE"/>
    <w:rsid w:val="22CE0A9E"/>
    <w:rsid w:val="2305495A"/>
    <w:rsid w:val="23D46D92"/>
    <w:rsid w:val="24AC4908"/>
    <w:rsid w:val="24D64A1A"/>
    <w:rsid w:val="25467095"/>
    <w:rsid w:val="2968362E"/>
    <w:rsid w:val="296C63FE"/>
    <w:rsid w:val="29737BF9"/>
    <w:rsid w:val="2A0F0615"/>
    <w:rsid w:val="2B9C0F0B"/>
    <w:rsid w:val="2C604CBD"/>
    <w:rsid w:val="2F6877AB"/>
    <w:rsid w:val="30840AFF"/>
    <w:rsid w:val="32CE2679"/>
    <w:rsid w:val="32D31DB1"/>
    <w:rsid w:val="34C2350A"/>
    <w:rsid w:val="35CE4F49"/>
    <w:rsid w:val="375402C8"/>
    <w:rsid w:val="379D4BA0"/>
    <w:rsid w:val="38130F90"/>
    <w:rsid w:val="38671287"/>
    <w:rsid w:val="38E3237E"/>
    <w:rsid w:val="39C1181A"/>
    <w:rsid w:val="3BBF5A7C"/>
    <w:rsid w:val="3D0615DA"/>
    <w:rsid w:val="3F702894"/>
    <w:rsid w:val="41B80505"/>
    <w:rsid w:val="41BF3934"/>
    <w:rsid w:val="4202059B"/>
    <w:rsid w:val="440A7BCA"/>
    <w:rsid w:val="44615A3C"/>
    <w:rsid w:val="44B53E50"/>
    <w:rsid w:val="44CC6046"/>
    <w:rsid w:val="44F4102C"/>
    <w:rsid w:val="4585533A"/>
    <w:rsid w:val="46931707"/>
    <w:rsid w:val="48FB38A9"/>
    <w:rsid w:val="490E6E07"/>
    <w:rsid w:val="493A685C"/>
    <w:rsid w:val="4A2E2976"/>
    <w:rsid w:val="4B4C7026"/>
    <w:rsid w:val="4BB54C22"/>
    <w:rsid w:val="4C370D6E"/>
    <w:rsid w:val="4C5D406A"/>
    <w:rsid w:val="4C9C194B"/>
    <w:rsid w:val="4D760453"/>
    <w:rsid w:val="4ED47950"/>
    <w:rsid w:val="4EDF2412"/>
    <w:rsid w:val="4F7B5C2E"/>
    <w:rsid w:val="506279D4"/>
    <w:rsid w:val="50790E5E"/>
    <w:rsid w:val="51C2606B"/>
    <w:rsid w:val="52F11590"/>
    <w:rsid w:val="53CA4D5B"/>
    <w:rsid w:val="55C133B2"/>
    <w:rsid w:val="56152E93"/>
    <w:rsid w:val="56981712"/>
    <w:rsid w:val="572A0CEB"/>
    <w:rsid w:val="57524261"/>
    <w:rsid w:val="57DE0E89"/>
    <w:rsid w:val="587347A5"/>
    <w:rsid w:val="58802D9C"/>
    <w:rsid w:val="59F41B21"/>
    <w:rsid w:val="5B9C7C78"/>
    <w:rsid w:val="5BD17398"/>
    <w:rsid w:val="5C500E12"/>
    <w:rsid w:val="5C917A79"/>
    <w:rsid w:val="5DB77265"/>
    <w:rsid w:val="5E0F1988"/>
    <w:rsid w:val="5EF534F9"/>
    <w:rsid w:val="5F2631C8"/>
    <w:rsid w:val="5F3F132D"/>
    <w:rsid w:val="602A3040"/>
    <w:rsid w:val="60DB0627"/>
    <w:rsid w:val="61A47033"/>
    <w:rsid w:val="62CB7756"/>
    <w:rsid w:val="635332C1"/>
    <w:rsid w:val="63CE39A4"/>
    <w:rsid w:val="65286D86"/>
    <w:rsid w:val="667411A7"/>
    <w:rsid w:val="66F50EA7"/>
    <w:rsid w:val="671D544B"/>
    <w:rsid w:val="676A1C27"/>
    <w:rsid w:val="68832F63"/>
    <w:rsid w:val="69FC4B87"/>
    <w:rsid w:val="6A4C5D8A"/>
    <w:rsid w:val="6B0C2230"/>
    <w:rsid w:val="6B56417D"/>
    <w:rsid w:val="6DDF017B"/>
    <w:rsid w:val="6EEB3FD1"/>
    <w:rsid w:val="701E03D1"/>
    <w:rsid w:val="707D1AD7"/>
    <w:rsid w:val="70D00CD5"/>
    <w:rsid w:val="71D77FE9"/>
    <w:rsid w:val="721471E7"/>
    <w:rsid w:val="732637AD"/>
    <w:rsid w:val="74275AAB"/>
    <w:rsid w:val="76781420"/>
    <w:rsid w:val="76A107E9"/>
    <w:rsid w:val="76FA22C3"/>
    <w:rsid w:val="77D67798"/>
    <w:rsid w:val="78F84FB9"/>
    <w:rsid w:val="794A0E4C"/>
    <w:rsid w:val="79E509FD"/>
    <w:rsid w:val="7A477AC9"/>
    <w:rsid w:val="7BAF03A7"/>
    <w:rsid w:val="7BC51798"/>
    <w:rsid w:val="7D973AEF"/>
    <w:rsid w:val="7DFB3600"/>
    <w:rsid w:val="7E2632CD"/>
    <w:rsid w:val="7E7E7D13"/>
    <w:rsid w:val="7F200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6"/>
    <w:qFormat/>
    <w:uiPriority w:val="0"/>
    <w:pPr>
      <w:keepNext/>
      <w:spacing w:line="500" w:lineRule="exact"/>
      <w:jc w:val="center"/>
      <w:outlineLvl w:val="0"/>
    </w:pPr>
    <w:rPr>
      <w:rFonts w:eastAsia="华文中宋"/>
      <w:kern w:val="0"/>
      <w:sz w:val="28"/>
    </w:rPr>
  </w:style>
  <w:style w:type="paragraph" w:styleId="6">
    <w:name w:val="heading 2"/>
    <w:basedOn w:val="1"/>
    <w:next w:val="1"/>
    <w:link w:val="38"/>
    <w:semiHidden/>
    <w:unhideWhenUsed/>
    <w:qFormat/>
    <w:uiPriority w:val="0"/>
    <w:pPr>
      <w:keepNext/>
      <w:keepLines/>
      <w:spacing w:before="260" w:after="260" w:line="416" w:lineRule="auto"/>
      <w:outlineLvl w:val="1"/>
    </w:pPr>
    <w:rPr>
      <w:rFonts w:ascii="Arial" w:hAnsi="Arial" w:eastAsia="黑体"/>
      <w:b/>
      <w:bCs/>
      <w:kern w:val="0"/>
      <w:sz w:val="32"/>
      <w:szCs w:val="32"/>
    </w:rPr>
  </w:style>
  <w:style w:type="paragraph" w:styleId="7">
    <w:name w:val="heading 3"/>
    <w:basedOn w:val="1"/>
    <w:next w:val="1"/>
    <w:link w:val="39"/>
    <w:semiHidden/>
    <w:unhideWhenUsed/>
    <w:qFormat/>
    <w:uiPriority w:val="0"/>
    <w:pPr>
      <w:keepNext/>
      <w:keepLines/>
      <w:spacing w:before="260" w:after="260" w:line="416" w:lineRule="auto"/>
      <w:outlineLvl w:val="2"/>
    </w:pPr>
    <w:rPr>
      <w:rFonts w:eastAsia="华文中宋"/>
      <w:b/>
      <w:bCs/>
      <w:kern w:val="0"/>
      <w:sz w:val="32"/>
      <w:szCs w:val="32"/>
    </w:rPr>
  </w:style>
  <w:style w:type="paragraph" w:styleId="8">
    <w:name w:val="heading 4"/>
    <w:basedOn w:val="1"/>
    <w:next w:val="1"/>
    <w:link w:val="37"/>
    <w:semiHidden/>
    <w:unhideWhenUsed/>
    <w:qFormat/>
    <w:uiPriority w:val="0"/>
    <w:pPr>
      <w:keepNext/>
      <w:keepLines/>
      <w:spacing w:line="480" w:lineRule="exact"/>
      <w:ind w:firstLine="815" w:firstLineChars="200"/>
      <w:outlineLvl w:val="3"/>
    </w:pPr>
    <w:rPr>
      <w:rFonts w:ascii="Cambria" w:hAnsi="Cambria"/>
      <w:b/>
      <w:bCs/>
      <w:sz w:val="28"/>
      <w:szCs w:val="28"/>
    </w:rPr>
  </w:style>
  <w:style w:type="paragraph" w:styleId="9">
    <w:name w:val="heading 5"/>
    <w:basedOn w:val="1"/>
    <w:next w:val="1"/>
    <w:semiHidden/>
    <w:unhideWhenUsed/>
    <w:qFormat/>
    <w:uiPriority w:val="0"/>
    <w:pPr>
      <w:keepNext/>
      <w:keepLines/>
      <w:spacing w:before="280" w:after="290" w:line="372" w:lineRule="auto"/>
      <w:outlineLvl w:val="4"/>
    </w:pPr>
    <w:rPr>
      <w:b/>
      <w:sz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3"/>
    <w:qFormat/>
    <w:uiPriority w:val="0"/>
    <w:pPr>
      <w:adjustRightInd/>
      <w:spacing w:after="120"/>
      <w:ind w:left="420" w:leftChars="200" w:firstLine="420"/>
      <w:textAlignment w:val="auto"/>
    </w:pPr>
    <w:rPr>
      <w:kern w:val="2"/>
      <w:szCs w:val="24"/>
    </w:rPr>
  </w:style>
  <w:style w:type="paragraph" w:styleId="3">
    <w:name w:val="Body Text Indent"/>
    <w:basedOn w:val="1"/>
    <w:next w:val="4"/>
    <w:semiHidden/>
    <w:unhideWhenUsed/>
    <w:qFormat/>
    <w:uiPriority w:val="99"/>
    <w:pPr>
      <w:adjustRightInd w:val="0"/>
      <w:ind w:firstLine="480" w:firstLineChars="200"/>
      <w:textAlignment w:val="baseline"/>
    </w:pPr>
    <w:rPr>
      <w:kern w:val="44"/>
      <w:szCs w:val="12"/>
      <w:lang w:val="zh-CN"/>
    </w:rPr>
  </w:style>
  <w:style w:type="paragraph" w:styleId="4">
    <w:name w:val="Normal (Web)"/>
    <w:basedOn w:val="1"/>
    <w:next w:val="1"/>
    <w:qFormat/>
    <w:uiPriority w:val="0"/>
    <w:pPr>
      <w:widowControl/>
      <w:spacing w:before="100" w:beforeAutospacing="1" w:after="100" w:afterAutospacing="1"/>
      <w:jc w:val="left"/>
    </w:pPr>
    <w:rPr>
      <w:rFonts w:ascii="宋体" w:hAnsi="宋体"/>
      <w:kern w:val="0"/>
      <w:sz w:val="24"/>
      <w:szCs w:val="20"/>
    </w:rPr>
  </w:style>
  <w:style w:type="paragraph" w:styleId="10">
    <w:name w:val="Normal Indent"/>
    <w:basedOn w:val="1"/>
    <w:next w:val="11"/>
    <w:qFormat/>
    <w:uiPriority w:val="0"/>
    <w:pPr>
      <w:ind w:firstLine="420"/>
    </w:pPr>
  </w:style>
  <w:style w:type="paragraph" w:customStyle="1" w:styleId="11">
    <w:name w:val="Char Char Char Char Char Char Char Char Char1 Char"/>
    <w:basedOn w:val="1"/>
    <w:next w:val="12"/>
    <w:qFormat/>
    <w:uiPriority w:val="0"/>
    <w:pPr>
      <w:spacing w:line="360" w:lineRule="auto"/>
      <w:ind w:firstLine="200" w:firstLineChars="200"/>
    </w:pPr>
    <w:rPr>
      <w:rFonts w:hAnsi="宋体" w:cs="宋体"/>
      <w:spacing w:val="0"/>
      <w:sz w:val="24"/>
      <w:szCs w:val="24"/>
    </w:rPr>
  </w:style>
  <w:style w:type="paragraph" w:customStyle="1" w:styleId="12">
    <w:name w:val="Body Text First Indent1"/>
    <w:next w:val="1"/>
    <w:qFormat/>
    <w:uiPriority w:val="0"/>
    <w:pPr>
      <w:widowControl w:val="0"/>
      <w:spacing w:after="120"/>
      <w:ind w:firstLine="420"/>
      <w:jc w:val="both"/>
    </w:pPr>
    <w:rPr>
      <w:rFonts w:ascii="Times New Roman" w:hAnsi="Times New Roman" w:eastAsia="宋体" w:cs="Times New Roman"/>
      <w:sz w:val="21"/>
      <w:szCs w:val="22"/>
      <w:lang w:val="en-US" w:eastAsia="zh-CN" w:bidi="ar-SA"/>
    </w:rPr>
  </w:style>
  <w:style w:type="paragraph" w:styleId="13">
    <w:name w:val="annotation text"/>
    <w:basedOn w:val="1"/>
    <w:link w:val="62"/>
    <w:unhideWhenUsed/>
    <w:qFormat/>
    <w:uiPriority w:val="0"/>
    <w:pPr>
      <w:spacing w:line="500" w:lineRule="exact"/>
      <w:jc w:val="left"/>
    </w:pPr>
    <w:rPr>
      <w:rFonts w:ascii="Courier New" w:hAnsi="Courier New" w:cs="Courier New"/>
      <w:color w:val="000000"/>
      <w:sz w:val="24"/>
      <w:lang w:val="zh-CN"/>
    </w:rPr>
  </w:style>
  <w:style w:type="paragraph" w:styleId="14">
    <w:name w:val="Body Text"/>
    <w:basedOn w:val="1"/>
    <w:next w:val="15"/>
    <w:qFormat/>
    <w:uiPriority w:val="0"/>
    <w:pPr>
      <w:spacing w:after="120"/>
    </w:pPr>
  </w:style>
  <w:style w:type="paragraph" w:styleId="15">
    <w:name w:val="Body Text 2"/>
    <w:basedOn w:val="1"/>
    <w:qFormat/>
    <w:uiPriority w:val="0"/>
    <w:pPr>
      <w:spacing w:after="120" w:line="480" w:lineRule="auto"/>
    </w:pPr>
    <w:rPr>
      <w:rFonts w:eastAsia="仿宋_GB2312"/>
    </w:rPr>
  </w:style>
  <w:style w:type="paragraph" w:styleId="16">
    <w:name w:val="Plain Text"/>
    <w:basedOn w:val="1"/>
    <w:next w:val="17"/>
    <w:qFormat/>
    <w:uiPriority w:val="0"/>
    <w:pPr>
      <w:spacing w:line="500" w:lineRule="exact"/>
    </w:pPr>
    <w:rPr>
      <w:rFonts w:ascii="宋体" w:hAnsi="Courier New" w:cs="Courier New"/>
      <w:szCs w:val="21"/>
    </w:rPr>
  </w:style>
  <w:style w:type="paragraph" w:styleId="17">
    <w:name w:val="List Number 5"/>
    <w:basedOn w:val="1"/>
    <w:qFormat/>
    <w:uiPriority w:val="0"/>
    <w:pPr>
      <w:numPr>
        <w:ilvl w:val="0"/>
        <w:numId w:val="1"/>
      </w:numPr>
    </w:pPr>
  </w:style>
  <w:style w:type="paragraph" w:styleId="18">
    <w:name w:val="footer"/>
    <w:basedOn w:val="1"/>
    <w:qFormat/>
    <w:uiPriority w:val="99"/>
    <w:pPr>
      <w:tabs>
        <w:tab w:val="center" w:pos="4153"/>
        <w:tab w:val="right" w:pos="8306"/>
      </w:tabs>
      <w:snapToGrid w:val="0"/>
      <w:jc w:val="left"/>
    </w:pPr>
    <w:rPr>
      <w:kern w:val="0"/>
      <w:sz w:val="18"/>
      <w:szCs w:val="20"/>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List"/>
    <w:basedOn w:val="1"/>
    <w:next w:val="1"/>
    <w:qFormat/>
    <w:uiPriority w:val="0"/>
    <w:pPr>
      <w:ind w:left="200" w:hanging="200" w:hangingChars="200"/>
      <w:contextualSpacing/>
    </w:pPr>
    <w:rPr>
      <w:rFonts w:ascii="Calibri" w:hAnsi="Calibri" w:cs="Calibri"/>
    </w:rPr>
  </w:style>
  <w:style w:type="paragraph" w:styleId="21">
    <w:name w:val="annotation subject"/>
    <w:basedOn w:val="13"/>
    <w:next w:val="13"/>
    <w:link w:val="63"/>
    <w:qFormat/>
    <w:uiPriority w:val="0"/>
    <w:pPr>
      <w:spacing w:line="240" w:lineRule="auto"/>
    </w:pPr>
    <w:rPr>
      <w:rFonts w:ascii="Times New Roman" w:hAnsi="Times New Roman" w:cs="Times New Roman"/>
      <w:b/>
      <w:bCs/>
      <w:color w:val="auto"/>
      <w:sz w:val="21"/>
      <w:lang w:val="en-US"/>
    </w:r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annotation reference"/>
    <w:basedOn w:val="24"/>
    <w:unhideWhenUsed/>
    <w:qFormat/>
    <w:uiPriority w:val="0"/>
    <w:rPr>
      <w:sz w:val="21"/>
      <w:szCs w:val="21"/>
    </w:rPr>
  </w:style>
  <w:style w:type="paragraph" w:customStyle="1" w:styleId="27">
    <w:name w:val="二级标题"/>
    <w:basedOn w:val="1"/>
    <w:next w:val="1"/>
    <w:qFormat/>
    <w:uiPriority w:val="0"/>
    <w:pPr>
      <w:keepNext/>
      <w:keepLines/>
      <w:spacing w:before="120" w:after="120" w:line="560" w:lineRule="exact"/>
      <w:outlineLvl w:val="1"/>
    </w:pPr>
    <w:rPr>
      <w:rFonts w:hint="eastAsia"/>
      <w:b/>
      <w:color w:val="000000"/>
      <w:kern w:val="0"/>
      <w:sz w:val="32"/>
      <w:szCs w:val="20"/>
    </w:rPr>
  </w:style>
  <w:style w:type="paragraph" w:customStyle="1" w:styleId="28">
    <w:name w:val="一级标题"/>
    <w:basedOn w:val="1"/>
    <w:next w:val="1"/>
    <w:qFormat/>
    <w:uiPriority w:val="0"/>
    <w:pPr>
      <w:spacing w:before="240" w:after="180" w:line="600" w:lineRule="exact"/>
      <w:jc w:val="left"/>
      <w:outlineLvl w:val="0"/>
    </w:pPr>
    <w:rPr>
      <w:b/>
      <w:bCs/>
      <w:color w:val="000000"/>
      <w:kern w:val="44"/>
      <w:sz w:val="36"/>
      <w:szCs w:val="44"/>
    </w:rPr>
  </w:style>
  <w:style w:type="paragraph" w:customStyle="1" w:styleId="29">
    <w:name w:val="三级标题"/>
    <w:basedOn w:val="1"/>
    <w:next w:val="1"/>
    <w:qFormat/>
    <w:uiPriority w:val="0"/>
    <w:pPr>
      <w:keepNext/>
      <w:keepLines/>
      <w:spacing w:before="60" w:after="60" w:line="480" w:lineRule="exact"/>
      <w:outlineLvl w:val="2"/>
    </w:pPr>
    <w:rPr>
      <w:rFonts w:hint="eastAsia"/>
      <w:b/>
      <w:bCs/>
      <w:color w:val="000000"/>
      <w:kern w:val="0"/>
      <w:sz w:val="30"/>
      <w:szCs w:val="32"/>
    </w:rPr>
  </w:style>
  <w:style w:type="paragraph" w:customStyle="1" w:styleId="30">
    <w:name w:val="四级标题"/>
    <w:basedOn w:val="1"/>
    <w:next w:val="1"/>
    <w:qFormat/>
    <w:uiPriority w:val="0"/>
    <w:pPr>
      <w:keepNext/>
      <w:keepLines/>
      <w:spacing w:line="480" w:lineRule="exact"/>
      <w:ind w:firstLine="562" w:firstLineChars="200"/>
      <w:outlineLvl w:val="3"/>
    </w:pPr>
    <w:rPr>
      <w:rFonts w:hint="eastAsia"/>
      <w:b/>
      <w:bCs/>
      <w:color w:val="000000"/>
      <w:sz w:val="28"/>
      <w:szCs w:val="28"/>
    </w:rPr>
  </w:style>
  <w:style w:type="paragraph" w:customStyle="1" w:styleId="31">
    <w:name w:val="正文1"/>
    <w:basedOn w:val="10"/>
    <w:next w:val="10"/>
    <w:qFormat/>
    <w:uiPriority w:val="0"/>
    <w:pPr>
      <w:topLinePunct/>
      <w:spacing w:line="480" w:lineRule="exact"/>
      <w:ind w:firstLine="480" w:firstLineChars="200"/>
    </w:pPr>
    <w:rPr>
      <w:color w:val="000000"/>
      <w:sz w:val="24"/>
      <w:szCs w:val="22"/>
    </w:rPr>
  </w:style>
  <w:style w:type="paragraph" w:customStyle="1" w:styleId="32">
    <w:name w:val="表格"/>
    <w:next w:val="1"/>
    <w:qFormat/>
    <w:uiPriority w:val="0"/>
    <w:pPr>
      <w:widowControl w:val="0"/>
      <w:pBdr>
        <w:top w:val="single" w:color="auto" w:sz="4" w:space="1"/>
        <w:left w:val="single" w:color="auto" w:sz="4" w:space="4"/>
        <w:bottom w:val="single" w:color="auto" w:sz="4" w:space="1"/>
        <w:right w:val="single" w:color="auto" w:sz="4" w:space="4"/>
      </w:pBdr>
      <w:spacing w:line="250" w:lineRule="atLeast"/>
      <w:jc w:val="center"/>
    </w:pPr>
    <w:rPr>
      <w:rFonts w:ascii="宋体" w:hAnsi="宋体" w:eastAsia="宋体" w:cstheme="minorBidi"/>
      <w:sz w:val="21"/>
      <w:szCs w:val="21"/>
      <w:lang w:val="en-US" w:eastAsia="zh-CN" w:bidi="ar-SA"/>
    </w:rPr>
  </w:style>
  <w:style w:type="paragraph" w:customStyle="1" w:styleId="33">
    <w:name w:val="表格正文"/>
    <w:basedOn w:val="1"/>
    <w:next w:val="1"/>
    <w:qFormat/>
    <w:uiPriority w:val="0"/>
    <w:pPr>
      <w:autoSpaceDE w:val="0"/>
      <w:autoSpaceDN w:val="0"/>
      <w:adjustRightInd w:val="0"/>
      <w:spacing w:line="250" w:lineRule="atLeast"/>
      <w:jc w:val="center"/>
    </w:pPr>
    <w:rPr>
      <w:b/>
      <w:bCs/>
      <w:kern w:val="0"/>
      <w:szCs w:val="21"/>
    </w:rPr>
  </w:style>
  <w:style w:type="paragraph" w:customStyle="1" w:styleId="34">
    <w:name w:val="文本"/>
    <w:basedOn w:val="1"/>
    <w:qFormat/>
    <w:uiPriority w:val="0"/>
    <w:pPr>
      <w:topLinePunct/>
      <w:spacing w:line="480" w:lineRule="exact"/>
      <w:ind w:firstLine="480" w:firstLineChars="200"/>
    </w:pPr>
    <w:rPr>
      <w:rFonts w:hint="eastAsia"/>
      <w:color w:val="000000"/>
      <w:sz w:val="24"/>
    </w:rPr>
  </w:style>
  <w:style w:type="paragraph" w:customStyle="1" w:styleId="35">
    <w:name w:val="TB"/>
    <w:basedOn w:val="1"/>
    <w:qFormat/>
    <w:uiPriority w:val="0"/>
    <w:pPr>
      <w:spacing w:line="480" w:lineRule="exact"/>
      <w:jc w:val="center"/>
    </w:pPr>
    <w:rPr>
      <w:rFonts w:hint="eastAsia"/>
      <w:b/>
      <w:color w:val="000000"/>
    </w:rPr>
  </w:style>
  <w:style w:type="character" w:customStyle="1" w:styleId="36">
    <w:name w:val="标题 1 字符"/>
    <w:link w:val="5"/>
    <w:qFormat/>
    <w:uiPriority w:val="9"/>
    <w:rPr>
      <w:rFonts w:ascii="Times New Roman" w:hAnsi="Times New Roman" w:eastAsia="华文中宋" w:cs="Times New Roman"/>
      <w:b/>
      <w:bCs/>
      <w:kern w:val="0"/>
      <w:sz w:val="36"/>
      <w:szCs w:val="28"/>
    </w:rPr>
  </w:style>
  <w:style w:type="character" w:customStyle="1" w:styleId="37">
    <w:name w:val="标题 4 字符"/>
    <w:link w:val="8"/>
    <w:qFormat/>
    <w:uiPriority w:val="0"/>
    <w:rPr>
      <w:rFonts w:ascii="Cambria" w:hAnsi="Cambria" w:eastAsia="宋体" w:cs="Times New Roman"/>
      <w:b/>
      <w:bCs/>
      <w:sz w:val="28"/>
      <w:szCs w:val="28"/>
    </w:rPr>
  </w:style>
  <w:style w:type="character" w:customStyle="1" w:styleId="38">
    <w:name w:val="标题 2 字符"/>
    <w:link w:val="6"/>
    <w:qFormat/>
    <w:uiPriority w:val="0"/>
    <w:rPr>
      <w:rFonts w:ascii="Arial" w:hAnsi="Arial" w:eastAsia="黑体" w:cs="Times New Roman"/>
      <w:b/>
      <w:bCs/>
      <w:kern w:val="0"/>
      <w:sz w:val="32"/>
      <w:szCs w:val="32"/>
    </w:rPr>
  </w:style>
  <w:style w:type="character" w:customStyle="1" w:styleId="39">
    <w:name w:val="标题 3 字符"/>
    <w:link w:val="7"/>
    <w:qFormat/>
    <w:uiPriority w:val="0"/>
    <w:rPr>
      <w:rFonts w:ascii="Times New Roman" w:hAnsi="Times New Roman" w:eastAsia="华文中宋" w:cs="Times New Roman"/>
      <w:b/>
      <w:bCs/>
      <w:kern w:val="0"/>
      <w:sz w:val="32"/>
      <w:szCs w:val="32"/>
    </w:rPr>
  </w:style>
  <w:style w:type="paragraph" w:customStyle="1" w:styleId="40">
    <w:name w:val="表头"/>
    <w:basedOn w:val="31"/>
    <w:next w:val="1"/>
    <w:qFormat/>
    <w:uiPriority w:val="0"/>
    <w:pPr>
      <w:spacing w:line="500" w:lineRule="exact"/>
      <w:jc w:val="center"/>
    </w:pPr>
    <w:rPr>
      <w:rFonts w:ascii="楷体_GB2312" w:hAnsi="楷体_GB2312" w:eastAsia="楷体_GB2312" w:cs="楷体_GB2312"/>
      <w:b/>
    </w:rPr>
  </w:style>
  <w:style w:type="paragraph" w:customStyle="1" w:styleId="41">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42">
    <w:name w:val="表格内"/>
    <w:basedOn w:val="1"/>
    <w:qFormat/>
    <w:uiPriority w:val="0"/>
    <w:pPr>
      <w:widowControl/>
      <w:adjustRightInd w:val="0"/>
      <w:snapToGrid w:val="0"/>
      <w:spacing w:after="200" w:line="360" w:lineRule="exact"/>
      <w:ind w:firstLine="720" w:firstLineChars="200"/>
      <w:jc w:val="center"/>
    </w:pPr>
    <w:rPr>
      <w:rFonts w:ascii="Calibri" w:hAnsi="Calibri" w:eastAsia="微软雅黑"/>
      <w:kern w:val="0"/>
      <w:sz w:val="22"/>
      <w:szCs w:val="21"/>
    </w:rPr>
  </w:style>
  <w:style w:type="table" w:customStyle="1" w:styleId="43">
    <w:name w:val="网格型4"/>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44">
    <w:name w:val="List Paragraph"/>
    <w:basedOn w:val="1"/>
    <w:qFormat/>
    <w:uiPriority w:val="99"/>
    <w:pPr>
      <w:ind w:firstLine="420" w:firstLineChars="200"/>
    </w:pPr>
  </w:style>
  <w:style w:type="paragraph" w:customStyle="1" w:styleId="45">
    <w:name w:val="样式 宋体 小四 首行缩进:  0.85 厘米 行距: 1.5 倍行距"/>
    <w:basedOn w:val="1"/>
    <w:qFormat/>
    <w:uiPriority w:val="0"/>
    <w:pPr>
      <w:spacing w:line="360" w:lineRule="auto"/>
      <w:ind w:firstLine="480" w:firstLineChars="200"/>
    </w:pPr>
    <w:rPr>
      <w:rFonts w:ascii="宋体" w:hAnsi="宋体" w:cs="宋体"/>
      <w:sz w:val="24"/>
    </w:rPr>
  </w:style>
  <w:style w:type="paragraph" w:customStyle="1" w:styleId="46">
    <w:name w:val="Table Paragraph"/>
    <w:basedOn w:val="1"/>
    <w:qFormat/>
    <w:uiPriority w:val="0"/>
  </w:style>
  <w:style w:type="paragraph" w:customStyle="1" w:styleId="47">
    <w:name w:val="表中文字"/>
    <w:basedOn w:val="1"/>
    <w:qFormat/>
    <w:uiPriority w:val="0"/>
    <w:pPr>
      <w:snapToGrid w:val="0"/>
      <w:spacing w:line="360" w:lineRule="exact"/>
      <w:jc w:val="center"/>
      <w:textAlignment w:val="center"/>
    </w:pPr>
    <w:rPr>
      <w:rFonts w:ascii="宋体" w:hAnsi="宋体" w:cs="宋体"/>
      <w:bCs/>
      <w:color w:val="000000"/>
      <w:kern w:val="0"/>
      <w:szCs w:val="18"/>
    </w:rPr>
  </w:style>
  <w:style w:type="paragraph" w:customStyle="1" w:styleId="48">
    <w:name w:val="农贸市场表格表头"/>
    <w:basedOn w:val="1"/>
    <w:qFormat/>
    <w:uiPriority w:val="0"/>
    <w:pPr>
      <w:jc w:val="center"/>
    </w:pPr>
    <w:rPr>
      <w:rFonts w:hAnsi="宋体" w:cs="仿宋_GB2312"/>
      <w:b/>
      <w:szCs w:val="21"/>
    </w:rPr>
  </w:style>
  <w:style w:type="paragraph" w:customStyle="1" w:styleId="49">
    <w:name w:val="正文dh"/>
    <w:basedOn w:val="1"/>
    <w:qFormat/>
    <w:uiPriority w:val="0"/>
    <w:pPr>
      <w:ind w:firstLine="482"/>
    </w:pPr>
  </w:style>
  <w:style w:type="paragraph" w:customStyle="1" w:styleId="50">
    <w:name w:val="报告书正文"/>
    <w:qFormat/>
    <w:uiPriority w:val="0"/>
    <w:pPr>
      <w:widowControl/>
      <w:spacing w:before="100" w:beforeAutospacing="1" w:after="0" w:line="360" w:lineRule="auto"/>
      <w:ind w:firstLine="200" w:firstLineChars="200"/>
      <w:jc w:val="left"/>
    </w:pPr>
    <w:rPr>
      <w:rFonts w:ascii="Times New Roman" w:hAnsi="Times New Roman" w:eastAsia="宋体" w:cs="Times New Roman"/>
      <w:sz w:val="24"/>
    </w:rPr>
  </w:style>
  <w:style w:type="paragraph" w:customStyle="1" w:styleId="51">
    <w:name w:val="环小四表内容"/>
    <w:basedOn w:val="1"/>
    <w:qFormat/>
    <w:uiPriority w:val="0"/>
    <w:pPr>
      <w:wordWrap w:val="0"/>
      <w:spacing w:line="240" w:lineRule="exact"/>
      <w:jc w:val="center"/>
    </w:pPr>
    <w:rPr>
      <w:rFonts w:ascii="宋体" w:hAnsi="宋体"/>
      <w:sz w:val="18"/>
      <w:szCs w:val="21"/>
    </w:rPr>
  </w:style>
  <w:style w:type="paragraph" w:customStyle="1" w:styleId="52">
    <w:name w:val="首行缩进"/>
    <w:basedOn w:val="1"/>
    <w:qFormat/>
    <w:uiPriority w:val="0"/>
    <w:pPr>
      <w:spacing w:line="400" w:lineRule="exact"/>
      <w:jc w:val="center"/>
    </w:pPr>
    <w:rPr>
      <w:rFonts w:eastAsia="黑体"/>
      <w:sz w:val="24"/>
    </w:rPr>
  </w:style>
  <w:style w:type="paragraph" w:customStyle="1" w:styleId="53">
    <w:name w:val="Table of contents|1"/>
    <w:basedOn w:val="1"/>
    <w:qFormat/>
    <w:uiPriority w:val="0"/>
    <w:pPr>
      <w:spacing w:after="280"/>
    </w:pPr>
    <w:rPr>
      <w:rFonts w:ascii="宋体" w:hAnsi="宋体" w:cs="宋体"/>
      <w:sz w:val="28"/>
      <w:szCs w:val="28"/>
      <w:lang w:val="zh-TW" w:eastAsia="zh-TW" w:bidi="zh-TW"/>
    </w:rPr>
  </w:style>
  <w:style w:type="paragraph" w:customStyle="1" w:styleId="54">
    <w:name w:val="Body text|2"/>
    <w:basedOn w:val="1"/>
    <w:qFormat/>
    <w:uiPriority w:val="0"/>
    <w:pPr>
      <w:spacing w:after="230"/>
    </w:pPr>
    <w:rPr>
      <w:rFonts w:ascii="宋体" w:hAnsi="宋体" w:cs="宋体"/>
      <w:sz w:val="36"/>
      <w:szCs w:val="36"/>
      <w:lang w:val="zh-TW" w:eastAsia="zh-TW" w:bidi="zh-TW"/>
    </w:rPr>
  </w:style>
  <w:style w:type="paragraph" w:customStyle="1" w:styleId="55">
    <w:name w:val="样式 方正仿宋_GBK 三号 行距: 固定值 28 磅"/>
    <w:basedOn w:val="1"/>
    <w:qFormat/>
    <w:uiPriority w:val="0"/>
    <w:pPr>
      <w:spacing w:line="360" w:lineRule="auto"/>
      <w:ind w:firstLine="200" w:firstLineChars="200"/>
      <w:jc w:val="left"/>
    </w:pPr>
    <w:rPr>
      <w:rFonts w:ascii="方正仿宋_GBK" w:hAnsi="方正仿宋_GBK" w:cs="宋体"/>
      <w:sz w:val="28"/>
      <w:szCs w:val="20"/>
    </w:rPr>
  </w:style>
  <w:style w:type="paragraph" w:customStyle="1" w:styleId="56">
    <w:name w:val="表格定"/>
    <w:basedOn w:val="57"/>
    <w:qFormat/>
    <w:uiPriority w:val="0"/>
    <w:pPr>
      <w:keepLines/>
      <w:autoSpaceDE w:val="0"/>
      <w:autoSpaceDN w:val="0"/>
      <w:adjustRightInd w:val="0"/>
      <w:snapToGrid w:val="0"/>
      <w:spacing w:line="220" w:lineRule="exact"/>
      <w:textAlignment w:val="center"/>
    </w:pPr>
    <w:rPr>
      <w:rFonts w:cs="宋体"/>
      <w:kern w:val="0"/>
      <w:sz w:val="22"/>
      <w:szCs w:val="22"/>
      <w:lang w:bidi="en-US"/>
    </w:rPr>
  </w:style>
  <w:style w:type="paragraph" w:customStyle="1" w:styleId="57">
    <w:name w:val="表格内容"/>
    <w:basedOn w:val="58"/>
    <w:qFormat/>
    <w:uiPriority w:val="0"/>
    <w:pPr>
      <w:widowControl/>
      <w:suppressAutoHyphens/>
      <w:spacing w:line="320" w:lineRule="exact"/>
      <w:ind w:firstLine="0"/>
      <w:jc w:val="center"/>
    </w:pPr>
    <w:rPr>
      <w:color w:val="000000"/>
      <w:kern w:val="1"/>
      <w:sz w:val="21"/>
      <w:lang w:eastAsia="ar-SA"/>
    </w:rPr>
  </w:style>
  <w:style w:type="paragraph" w:customStyle="1" w:styleId="58">
    <w:name w:val="WW-正文缩进"/>
    <w:basedOn w:val="1"/>
    <w:semiHidden/>
    <w:qFormat/>
    <w:uiPriority w:val="0"/>
    <w:pPr>
      <w:ind w:firstLine="420"/>
    </w:pPr>
    <w:rPr>
      <w:sz w:val="28"/>
      <w:szCs w:val="20"/>
    </w:rPr>
  </w:style>
  <w:style w:type="paragraph" w:customStyle="1" w:styleId="59">
    <w:name w:val="正文(首行缩进)"/>
    <w:basedOn w:val="1"/>
    <w:qFormat/>
    <w:uiPriority w:val="0"/>
    <w:pPr>
      <w:ind w:firstLine="540" w:firstLineChars="225"/>
    </w:pPr>
    <w:rPr>
      <w:snapToGrid w:val="0"/>
      <w:color w:val="000000"/>
      <w:kern w:val="0"/>
      <w:szCs w:val="20"/>
    </w:rPr>
  </w:style>
  <w:style w:type="paragraph" w:customStyle="1" w:styleId="60">
    <w:name w:val="正文格式"/>
    <w:qFormat/>
    <w:uiPriority w:val="0"/>
    <w:pPr>
      <w:widowControl/>
      <w:spacing w:after="0"/>
      <w:ind w:firstLine="200" w:firstLineChars="200"/>
      <w:jc w:val="left"/>
    </w:pPr>
    <w:rPr>
      <w:rFonts w:ascii="宋体" w:hAnsi="Times New Roman" w:eastAsia="宋体" w:cs="Times New Roman"/>
      <w:szCs w:val="20"/>
    </w:rPr>
  </w:style>
  <w:style w:type="paragraph" w:customStyle="1" w:styleId="61">
    <w:name w:val="表格1"/>
    <w:basedOn w:val="1"/>
    <w:qFormat/>
    <w:uiPriority w:val="0"/>
    <w:pPr>
      <w:adjustRightInd w:val="0"/>
      <w:snapToGrid w:val="0"/>
      <w:jc w:val="center"/>
    </w:pPr>
    <w:rPr>
      <w:rFonts w:eastAsia="方正仿宋_GBK"/>
      <w:color w:val="000000"/>
      <w:kern w:val="0"/>
    </w:rPr>
  </w:style>
  <w:style w:type="character" w:customStyle="1" w:styleId="62">
    <w:name w:val="批注文字 字符"/>
    <w:basedOn w:val="24"/>
    <w:link w:val="13"/>
    <w:qFormat/>
    <w:uiPriority w:val="0"/>
    <w:rPr>
      <w:rFonts w:ascii="Courier New" w:hAnsi="Courier New" w:cs="Courier New"/>
      <w:color w:val="000000"/>
      <w:kern w:val="2"/>
      <w:sz w:val="24"/>
      <w:szCs w:val="24"/>
      <w:lang w:val="zh-CN"/>
    </w:rPr>
  </w:style>
  <w:style w:type="character" w:customStyle="1" w:styleId="63">
    <w:name w:val="批注主题 字符"/>
    <w:basedOn w:val="62"/>
    <w:link w:val="21"/>
    <w:qFormat/>
    <w:uiPriority w:val="0"/>
    <w:rPr>
      <w:rFonts w:ascii="Courier New" w:hAnsi="Courier New" w:cs="Courier New"/>
      <w:b/>
      <w:bCs/>
      <w:color w:val="000000"/>
      <w:kern w:val="2"/>
      <w:sz w:val="21"/>
      <w:szCs w:val="24"/>
      <w:lang w:val="zh-CN"/>
    </w:rPr>
  </w:style>
  <w:style w:type="paragraph" w:customStyle="1" w:styleId="64">
    <w:name w:val="表内字"/>
    <w:basedOn w:val="1"/>
    <w:qFormat/>
    <w:uiPriority w:val="0"/>
    <w:pPr>
      <w:spacing w:line="360" w:lineRule="exact"/>
      <w:jc w:val="center"/>
    </w:pPr>
    <w:rPr>
      <w:rFonts w:ascii="Times New Roman" w:hAnsi="Times New Roman"/>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51</Pages>
  <Words>27842</Words>
  <Characters>30788</Characters>
  <Lines>196</Lines>
  <Paragraphs>55</Paragraphs>
  <TotalTime>51</TotalTime>
  <ScaleCrop>false</ScaleCrop>
  <LinksUpToDate>false</LinksUpToDate>
  <CharactersWithSpaces>31043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2021-12-15T04:21:00Z</dcterms:created>
  <dc:creator>柳辛夷</dc:creator>
  <cp:lastModifiedBy>Administrator</cp:lastModifiedBy>
  <cp:lastPrinted>2021-12-27T08:38:00Z</cp:lastPrinted>
  <dcterms:modified xsi:type="dcterms:W3CDTF">2022-04-24T08:36:53Z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BEB2700E5D764F969580F98CEB620A17</vt:lpwstr>
  </property>
</Properties>
</file>