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rPr>
      </w:pPr>
      <w:bookmarkStart w:id="0" w:name="_Toc2465"/>
      <w:bookmarkStart w:id="1" w:name="_Toc8127544"/>
      <w:bookmarkStart w:id="2" w:name="_Toc341867025"/>
      <w:bookmarkStart w:id="3" w:name="_Toc332975133"/>
      <w:bookmarkStart w:id="4" w:name="_Toc21615"/>
      <w:bookmarkStart w:id="5" w:name="_Toc341867031"/>
      <w:bookmarkStart w:id="6" w:name="_Toc332975138"/>
    </w:p>
    <w:p>
      <w:pPr>
        <w:bidi w:val="0"/>
        <w:rPr>
          <w:rFonts w:hint="eastAsia"/>
        </w:rPr>
      </w:pPr>
    </w:p>
    <w:p>
      <w:pPr>
        <w:bidi w:val="0"/>
        <w:rPr>
          <w:rFonts w:hint="eastAsia"/>
        </w:rPr>
      </w:pPr>
    </w:p>
    <w:p>
      <w:pPr>
        <w:bidi w:val="0"/>
        <w:rPr>
          <w:rFonts w:hint="eastAsia"/>
        </w:rPr>
      </w:pPr>
    </w:p>
    <w:p>
      <w:pPr>
        <w:bidi w:val="0"/>
        <w:ind w:left="0" w:leftChars="0" w:firstLine="0" w:firstLineChars="0"/>
        <w:jc w:val="center"/>
        <w:rPr>
          <w:rFonts w:hint="eastAsia"/>
          <w:b/>
          <w:bCs/>
          <w:sz w:val="44"/>
          <w:szCs w:val="44"/>
          <w:lang w:val="en-US" w:eastAsia="zh-CN"/>
        </w:rPr>
      </w:pPr>
      <w:r>
        <w:rPr>
          <w:rFonts w:hint="eastAsia"/>
          <w:b/>
          <w:bCs/>
          <w:sz w:val="44"/>
          <w:szCs w:val="44"/>
          <w:lang w:val="en-US" w:eastAsia="zh-CN"/>
        </w:rPr>
        <w:t>吉木萨尔县天雨滴灌带地膜加工建设项目</w:t>
      </w:r>
    </w:p>
    <w:p>
      <w:pPr>
        <w:bidi w:val="0"/>
        <w:ind w:left="0" w:leftChars="0" w:firstLine="0" w:firstLineChars="0"/>
        <w:jc w:val="center"/>
        <w:rPr>
          <w:b/>
          <w:bCs/>
          <w:sz w:val="52"/>
          <w:szCs w:val="52"/>
        </w:rPr>
      </w:pPr>
      <w:r>
        <w:rPr>
          <w:b/>
          <w:bCs/>
          <w:sz w:val="52"/>
          <w:szCs w:val="52"/>
        </w:rPr>
        <w:t>环境影响报告书</w:t>
      </w:r>
    </w:p>
    <w:p>
      <w:pPr>
        <w:bidi w:val="0"/>
        <w:ind w:left="0" w:leftChars="0" w:firstLine="0" w:firstLineChars="0"/>
        <w:jc w:val="center"/>
        <w:rPr>
          <w:b/>
          <w:bCs/>
          <w:sz w:val="44"/>
          <w:szCs w:val="44"/>
        </w:rPr>
      </w:pPr>
      <w:r>
        <w:rPr>
          <w:b/>
          <w:bCs/>
          <w:sz w:val="44"/>
          <w:szCs w:val="44"/>
        </w:rPr>
        <w:t>（</w:t>
      </w:r>
      <w:r>
        <w:rPr>
          <w:rFonts w:hint="eastAsia"/>
          <w:b w:val="0"/>
          <w:bCs w:val="0"/>
          <w:sz w:val="44"/>
          <w:szCs w:val="44"/>
          <w:lang w:val="en-US" w:eastAsia="zh-CN"/>
        </w:rPr>
        <w:t>报批稿</w:t>
      </w:r>
      <w:r>
        <w:rPr>
          <w:b/>
          <w:bCs/>
          <w:sz w:val="44"/>
          <w:szCs w:val="44"/>
        </w:rPr>
        <w:t>）</w:t>
      </w:r>
    </w:p>
    <w:p>
      <w:pPr>
        <w:bidi w:val="0"/>
      </w:pPr>
    </w:p>
    <w:p>
      <w:pPr>
        <w:bidi w:val="0"/>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jc w:val="both"/>
        <w:rPr>
          <w:rFonts w:hint="eastAsia"/>
          <w:b/>
          <w:bCs/>
          <w:sz w:val="32"/>
          <w:szCs w:val="32"/>
          <w:lang w:val="zh-CN" w:eastAsia="zh-CN"/>
        </w:rPr>
      </w:pPr>
      <w:r>
        <w:rPr>
          <w:rFonts w:hint="eastAsia"/>
          <w:b/>
          <w:bCs/>
          <w:sz w:val="32"/>
          <w:szCs w:val="32"/>
          <w:lang w:val="en-US" w:eastAsia="zh-CN"/>
        </w:rPr>
        <w:t>建设单位：吉木萨尔县二工镇大泉湖村经济合作社</w:t>
      </w:r>
    </w:p>
    <w:p>
      <w:pPr>
        <w:bidi w:val="0"/>
        <w:jc w:val="both"/>
        <w:rPr>
          <w:rFonts w:hint="eastAsia"/>
          <w:b/>
          <w:bCs/>
          <w:sz w:val="32"/>
          <w:szCs w:val="32"/>
          <w:lang w:val="en-US" w:eastAsia="zh-CN"/>
        </w:rPr>
      </w:pPr>
      <w:r>
        <w:rPr>
          <w:b/>
          <w:bCs/>
          <w:sz w:val="32"/>
          <w:szCs w:val="32"/>
        </w:rPr>
        <w:t>项目评价单位：</w:t>
      </w:r>
      <w:r>
        <w:rPr>
          <w:rFonts w:hint="eastAsia"/>
          <w:b/>
          <w:bCs/>
          <w:sz w:val="32"/>
          <w:szCs w:val="32"/>
          <w:lang w:eastAsia="zh-CN"/>
        </w:rPr>
        <w:t>乌鲁木齐鑫达众合环保科技有限公司</w:t>
      </w:r>
    </w:p>
    <w:p>
      <w:pPr>
        <w:bidi w:val="0"/>
        <w:jc w:val="center"/>
        <w:rPr>
          <w:rFonts w:hint="eastAsia"/>
          <w:b/>
          <w:bCs/>
          <w:sz w:val="32"/>
          <w:szCs w:val="32"/>
          <w:lang w:val="en-US" w:eastAsia="zh-CN"/>
        </w:rPr>
      </w:pPr>
      <w:r>
        <w:rPr>
          <w:rFonts w:hint="eastAsia"/>
          <w:b/>
          <w:bCs/>
          <w:sz w:val="32"/>
          <w:szCs w:val="32"/>
          <w:lang w:val="en-US" w:eastAsia="zh-CN"/>
        </w:rPr>
        <w:t>二0二二年一月</w:t>
      </w:r>
    </w:p>
    <w:p>
      <w:pPr>
        <w:bidi w:val="0"/>
        <w:rPr>
          <w:rFonts w:hint="default"/>
        </w:rPr>
        <w:sectPr>
          <w:headerReference r:id="rId3" w:type="default"/>
          <w:footerReference r:id="rId4" w:type="default"/>
          <w:footerReference r:id="rId5" w:type="even"/>
          <w:pgSz w:w="11906" w:h="16838"/>
          <w:pgMar w:top="1474" w:right="1474" w:bottom="1474" w:left="1474"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3"/>
        <w:bidi w:val="0"/>
        <w:rPr>
          <w:rFonts w:hint="default"/>
        </w:rPr>
      </w:pPr>
      <w:bookmarkStart w:id="7" w:name="_Toc15135"/>
      <w:bookmarkStart w:id="8" w:name="_Toc17058"/>
      <w:bookmarkStart w:id="9" w:name="_Toc547"/>
      <w:bookmarkStart w:id="10" w:name="_Toc7111"/>
      <w:bookmarkStart w:id="11" w:name="_Toc14769"/>
      <w:r>
        <w:rPr>
          <w:rFonts w:hint="default"/>
        </w:rPr>
        <w:t>目  录</w:t>
      </w:r>
      <w:bookmarkEnd w:id="0"/>
      <w:bookmarkEnd w:id="1"/>
      <w:bookmarkEnd w:id="7"/>
      <w:bookmarkEnd w:id="8"/>
      <w:bookmarkEnd w:id="9"/>
      <w:bookmarkEnd w:id="10"/>
      <w:bookmarkEnd w:id="11"/>
    </w:p>
    <w:p>
      <w:pPr>
        <w:pStyle w:val="9"/>
        <w:tabs>
          <w:tab w:val="right" w:leader="dot" w:pos="8958"/>
        </w:tabs>
      </w:pPr>
      <w:r>
        <w:rPr>
          <w:rFonts w:hint="default"/>
        </w:rPr>
        <w:fldChar w:fldCharType="begin"/>
      </w:r>
      <w:r>
        <w:rPr>
          <w:rFonts w:hint="default"/>
        </w:rPr>
        <w:instrText xml:space="preserve"> TOC \o "1-2" \h \z \u </w:instrText>
      </w:r>
      <w:r>
        <w:rPr>
          <w:rFonts w:hint="default"/>
        </w:rPr>
        <w:fldChar w:fldCharType="separate"/>
      </w:r>
    </w:p>
    <w:p>
      <w:pPr>
        <w:pStyle w:val="9"/>
        <w:tabs>
          <w:tab w:val="right" w:leader="dot" w:pos="8958"/>
        </w:tabs>
      </w:pPr>
      <w:r>
        <w:rPr>
          <w:rFonts w:hint="default"/>
        </w:rPr>
        <w:fldChar w:fldCharType="begin"/>
      </w:r>
      <w:r>
        <w:rPr>
          <w:rFonts w:hint="default"/>
        </w:rPr>
        <w:instrText xml:space="preserve"> HYPERLINK \l _Toc29375 </w:instrText>
      </w:r>
      <w:r>
        <w:rPr>
          <w:rFonts w:hint="default"/>
        </w:rPr>
        <w:fldChar w:fldCharType="separate"/>
      </w:r>
      <w:r>
        <w:rPr>
          <w:rFonts w:hint="default"/>
        </w:rPr>
        <w:t>1概述</w:t>
      </w:r>
      <w:r>
        <w:tab/>
      </w:r>
      <w:r>
        <w:fldChar w:fldCharType="begin"/>
      </w:r>
      <w:r>
        <w:instrText xml:space="preserve"> PAGEREF _Toc29375 \h </w:instrText>
      </w:r>
      <w:r>
        <w:fldChar w:fldCharType="separate"/>
      </w:r>
      <w:r>
        <w:t>1</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_Toc16693 </w:instrText>
      </w:r>
      <w:r>
        <w:rPr>
          <w:rFonts w:hint="default"/>
        </w:rPr>
        <w:fldChar w:fldCharType="separate"/>
      </w:r>
      <w:r>
        <w:rPr>
          <w:rFonts w:hint="default"/>
        </w:rPr>
        <w:t>1.1</w:t>
      </w:r>
      <w:r>
        <w:rPr>
          <w:rFonts w:hint="eastAsia"/>
          <w:lang w:eastAsia="zh-CN"/>
        </w:rPr>
        <w:t>、</w:t>
      </w:r>
      <w:r>
        <w:rPr>
          <w:rFonts w:hint="default"/>
        </w:rPr>
        <w:t>项目背景</w:t>
      </w:r>
      <w:r>
        <w:tab/>
      </w:r>
      <w:r>
        <w:fldChar w:fldCharType="begin"/>
      </w:r>
      <w:r>
        <w:instrText xml:space="preserve"> PAGEREF _Toc16693 \h </w:instrText>
      </w:r>
      <w:r>
        <w:fldChar w:fldCharType="separate"/>
      </w:r>
      <w:r>
        <w:t>1</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_Toc27552 </w:instrText>
      </w:r>
      <w:r>
        <w:rPr>
          <w:rFonts w:hint="default"/>
        </w:rPr>
        <w:fldChar w:fldCharType="separate"/>
      </w:r>
      <w:r>
        <w:rPr>
          <w:rFonts w:hint="default"/>
        </w:rPr>
        <w:t>1.2</w:t>
      </w:r>
      <w:r>
        <w:rPr>
          <w:rFonts w:hint="eastAsia"/>
          <w:lang w:eastAsia="zh-CN"/>
        </w:rPr>
        <w:t>、</w:t>
      </w:r>
      <w:r>
        <w:rPr>
          <w:rFonts w:hint="default"/>
        </w:rPr>
        <w:t>项目特点</w:t>
      </w:r>
      <w:r>
        <w:tab/>
      </w:r>
      <w:r>
        <w:fldChar w:fldCharType="begin"/>
      </w:r>
      <w:r>
        <w:instrText xml:space="preserve"> PAGEREF _Toc27552 \h </w:instrText>
      </w:r>
      <w:r>
        <w:fldChar w:fldCharType="separate"/>
      </w:r>
      <w:r>
        <w:t>3</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_Toc25320 </w:instrText>
      </w:r>
      <w:r>
        <w:rPr>
          <w:rFonts w:hint="default"/>
        </w:rPr>
        <w:fldChar w:fldCharType="separate"/>
      </w:r>
      <w:r>
        <w:rPr>
          <w:rFonts w:hint="default"/>
        </w:rPr>
        <w:t>1.3</w:t>
      </w:r>
      <w:r>
        <w:rPr>
          <w:rFonts w:hint="eastAsia"/>
          <w:lang w:eastAsia="zh-CN"/>
        </w:rPr>
        <w:t>、</w:t>
      </w:r>
      <w:r>
        <w:rPr>
          <w:rFonts w:hint="default"/>
        </w:rPr>
        <w:t>环评工作过程</w:t>
      </w:r>
      <w:r>
        <w:tab/>
      </w:r>
      <w:r>
        <w:fldChar w:fldCharType="begin"/>
      </w:r>
      <w:r>
        <w:instrText xml:space="preserve"> PAGEREF _Toc25320 \h </w:instrText>
      </w:r>
      <w:r>
        <w:fldChar w:fldCharType="separate"/>
      </w:r>
      <w:r>
        <w:t>4</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_Toc12710 </w:instrText>
      </w:r>
      <w:r>
        <w:rPr>
          <w:rFonts w:hint="default"/>
        </w:rPr>
        <w:fldChar w:fldCharType="separate"/>
      </w:r>
      <w:r>
        <w:rPr>
          <w:rFonts w:hint="default"/>
        </w:rPr>
        <w:t>1.4</w:t>
      </w:r>
      <w:r>
        <w:rPr>
          <w:rFonts w:hint="eastAsia"/>
          <w:lang w:eastAsia="zh-CN"/>
        </w:rPr>
        <w:t>、</w:t>
      </w:r>
      <w:r>
        <w:rPr>
          <w:rFonts w:hint="default"/>
        </w:rPr>
        <w:t>分析判定相关情况</w:t>
      </w:r>
      <w:r>
        <w:tab/>
      </w:r>
      <w:r>
        <w:fldChar w:fldCharType="begin"/>
      </w:r>
      <w:r>
        <w:instrText xml:space="preserve"> PAGEREF _Toc12710 \h </w:instrText>
      </w:r>
      <w:r>
        <w:fldChar w:fldCharType="separate"/>
      </w:r>
      <w:r>
        <w:t>6</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_Toc7961 </w:instrText>
      </w:r>
      <w:r>
        <w:rPr>
          <w:rFonts w:hint="default"/>
        </w:rPr>
        <w:fldChar w:fldCharType="separate"/>
      </w:r>
      <w:r>
        <w:rPr>
          <w:rFonts w:hint="default"/>
        </w:rPr>
        <w:t>1.5</w:t>
      </w:r>
      <w:r>
        <w:rPr>
          <w:rFonts w:hint="eastAsia"/>
          <w:lang w:eastAsia="zh-CN"/>
        </w:rPr>
        <w:t>、</w:t>
      </w:r>
      <w:r>
        <w:rPr>
          <w:rFonts w:hint="default"/>
        </w:rPr>
        <w:t>主要关注的环境问题及环境影响</w:t>
      </w:r>
      <w:r>
        <w:tab/>
      </w:r>
      <w:r>
        <w:fldChar w:fldCharType="begin"/>
      </w:r>
      <w:r>
        <w:instrText xml:space="preserve"> PAGEREF _Toc7961 \h </w:instrText>
      </w:r>
      <w:r>
        <w:fldChar w:fldCharType="separate"/>
      </w:r>
      <w:r>
        <w:t>21</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_Toc9072 </w:instrText>
      </w:r>
      <w:r>
        <w:rPr>
          <w:rFonts w:hint="default"/>
        </w:rPr>
        <w:fldChar w:fldCharType="separate"/>
      </w:r>
      <w:r>
        <w:rPr>
          <w:rFonts w:hint="default"/>
        </w:rPr>
        <w:t>1.6</w:t>
      </w:r>
      <w:r>
        <w:rPr>
          <w:rFonts w:hint="eastAsia"/>
          <w:lang w:eastAsia="zh-CN"/>
        </w:rPr>
        <w:t>、</w:t>
      </w:r>
      <w:r>
        <w:rPr>
          <w:rFonts w:hint="default"/>
        </w:rPr>
        <w:t>环境影响评价的主要结论</w:t>
      </w:r>
      <w:r>
        <w:tab/>
      </w:r>
      <w:r>
        <w:fldChar w:fldCharType="begin"/>
      </w:r>
      <w:r>
        <w:instrText xml:space="preserve"> PAGEREF _Toc9072 \h </w:instrText>
      </w:r>
      <w:r>
        <w:fldChar w:fldCharType="separate"/>
      </w:r>
      <w:r>
        <w:t>21</w:t>
      </w:r>
      <w:r>
        <w:fldChar w:fldCharType="end"/>
      </w:r>
      <w:r>
        <w:rPr>
          <w:rFonts w:hint="default"/>
        </w:rPr>
        <w:fldChar w:fldCharType="end"/>
      </w:r>
    </w:p>
    <w:p>
      <w:pPr>
        <w:pStyle w:val="9"/>
        <w:tabs>
          <w:tab w:val="right" w:leader="dot" w:pos="8958"/>
        </w:tabs>
      </w:pPr>
      <w:r>
        <w:rPr>
          <w:rFonts w:hint="default"/>
        </w:rPr>
        <w:fldChar w:fldCharType="begin"/>
      </w:r>
      <w:r>
        <w:rPr>
          <w:rFonts w:hint="default"/>
        </w:rPr>
        <w:instrText xml:space="preserve"> HYPERLINK \l _Toc25419 </w:instrText>
      </w:r>
      <w:r>
        <w:rPr>
          <w:rFonts w:hint="default"/>
        </w:rPr>
        <w:fldChar w:fldCharType="separate"/>
      </w:r>
      <w:r>
        <w:rPr>
          <w:rFonts w:hint="eastAsia"/>
          <w:lang w:val="en-US" w:eastAsia="zh-CN"/>
        </w:rPr>
        <w:t>2总则</w:t>
      </w:r>
      <w:r>
        <w:tab/>
      </w:r>
      <w:r>
        <w:fldChar w:fldCharType="begin"/>
      </w:r>
      <w:r>
        <w:instrText xml:space="preserve"> PAGEREF _Toc25419 \h </w:instrText>
      </w:r>
      <w:r>
        <w:fldChar w:fldCharType="separate"/>
      </w:r>
      <w:r>
        <w:t>23</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_Toc25672 </w:instrText>
      </w:r>
      <w:r>
        <w:rPr>
          <w:rFonts w:hint="default"/>
        </w:rPr>
        <w:fldChar w:fldCharType="separate"/>
      </w:r>
      <w:r>
        <w:rPr>
          <w:rFonts w:hint="default"/>
        </w:rPr>
        <w:t>2.1</w:t>
      </w:r>
      <w:r>
        <w:rPr>
          <w:rFonts w:hint="eastAsia"/>
          <w:lang w:eastAsia="zh-CN"/>
        </w:rPr>
        <w:t>、</w:t>
      </w:r>
      <w:r>
        <w:rPr>
          <w:rFonts w:hint="default"/>
        </w:rPr>
        <w:t>评价原则</w:t>
      </w:r>
      <w:r>
        <w:tab/>
      </w:r>
      <w:r>
        <w:fldChar w:fldCharType="begin"/>
      </w:r>
      <w:r>
        <w:instrText xml:space="preserve"> PAGEREF _Toc25672 \h </w:instrText>
      </w:r>
      <w:r>
        <w:fldChar w:fldCharType="separate"/>
      </w:r>
      <w:r>
        <w:t>23</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_Toc27155 </w:instrText>
      </w:r>
      <w:r>
        <w:rPr>
          <w:rFonts w:hint="default"/>
        </w:rPr>
        <w:fldChar w:fldCharType="separate"/>
      </w:r>
      <w:r>
        <w:rPr>
          <w:rFonts w:hint="default"/>
        </w:rPr>
        <w:t>2.2</w:t>
      </w:r>
      <w:r>
        <w:rPr>
          <w:rFonts w:hint="eastAsia"/>
          <w:lang w:eastAsia="zh-CN"/>
        </w:rPr>
        <w:t>、</w:t>
      </w:r>
      <w:r>
        <w:rPr>
          <w:rFonts w:hint="default"/>
        </w:rPr>
        <w:t>编制依据</w:t>
      </w:r>
      <w:r>
        <w:tab/>
      </w:r>
      <w:r>
        <w:fldChar w:fldCharType="begin"/>
      </w:r>
      <w:r>
        <w:instrText xml:space="preserve"> PAGEREF _Toc27155 \h </w:instrText>
      </w:r>
      <w:r>
        <w:fldChar w:fldCharType="separate"/>
      </w:r>
      <w:r>
        <w:t>23</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_Toc7969 </w:instrText>
      </w:r>
      <w:r>
        <w:rPr>
          <w:rFonts w:hint="default"/>
        </w:rPr>
        <w:fldChar w:fldCharType="separate"/>
      </w:r>
      <w:r>
        <w:rPr>
          <w:rFonts w:hint="default"/>
        </w:rPr>
        <w:t>2.3</w:t>
      </w:r>
      <w:r>
        <w:rPr>
          <w:rFonts w:hint="eastAsia"/>
          <w:lang w:eastAsia="zh-CN"/>
        </w:rPr>
        <w:t>、</w:t>
      </w:r>
      <w:r>
        <w:rPr>
          <w:rFonts w:hint="default"/>
        </w:rPr>
        <w:t>评价时段</w:t>
      </w:r>
      <w:r>
        <w:tab/>
      </w:r>
      <w:r>
        <w:fldChar w:fldCharType="begin"/>
      </w:r>
      <w:r>
        <w:instrText xml:space="preserve"> PAGEREF _Toc7969 \h </w:instrText>
      </w:r>
      <w:r>
        <w:fldChar w:fldCharType="separate"/>
      </w:r>
      <w:r>
        <w:t>28</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_Toc19099 </w:instrText>
      </w:r>
      <w:r>
        <w:rPr>
          <w:rFonts w:hint="default"/>
        </w:rPr>
        <w:fldChar w:fldCharType="separate"/>
      </w:r>
      <w:r>
        <w:rPr>
          <w:rFonts w:hint="default"/>
        </w:rPr>
        <w:t>2.4</w:t>
      </w:r>
      <w:r>
        <w:rPr>
          <w:rFonts w:hint="eastAsia"/>
          <w:lang w:eastAsia="zh-CN"/>
        </w:rPr>
        <w:t>、</w:t>
      </w:r>
      <w:r>
        <w:rPr>
          <w:rFonts w:hint="default"/>
        </w:rPr>
        <w:t>环境功能区划</w:t>
      </w:r>
      <w:r>
        <w:tab/>
      </w:r>
      <w:r>
        <w:fldChar w:fldCharType="begin"/>
      </w:r>
      <w:r>
        <w:instrText xml:space="preserve"> PAGEREF _Toc19099 \h </w:instrText>
      </w:r>
      <w:r>
        <w:fldChar w:fldCharType="separate"/>
      </w:r>
      <w:r>
        <w:t>28</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_Toc20081 </w:instrText>
      </w:r>
      <w:r>
        <w:rPr>
          <w:rFonts w:hint="default"/>
        </w:rPr>
        <w:fldChar w:fldCharType="separate"/>
      </w:r>
      <w:r>
        <w:rPr>
          <w:rFonts w:hint="default"/>
        </w:rPr>
        <w:t>2.5</w:t>
      </w:r>
      <w:r>
        <w:rPr>
          <w:rFonts w:hint="eastAsia"/>
          <w:lang w:eastAsia="zh-CN"/>
        </w:rPr>
        <w:t>、</w:t>
      </w:r>
      <w:r>
        <w:rPr>
          <w:rFonts w:hint="default"/>
        </w:rPr>
        <w:t>评价因子及评价标准</w:t>
      </w:r>
      <w:r>
        <w:tab/>
      </w:r>
      <w:r>
        <w:fldChar w:fldCharType="begin"/>
      </w:r>
      <w:r>
        <w:instrText xml:space="preserve"> PAGEREF _Toc20081 \h </w:instrText>
      </w:r>
      <w:r>
        <w:fldChar w:fldCharType="separate"/>
      </w:r>
      <w:r>
        <w:t>31</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_Toc15761 </w:instrText>
      </w:r>
      <w:r>
        <w:rPr>
          <w:rFonts w:hint="default"/>
        </w:rPr>
        <w:fldChar w:fldCharType="separate"/>
      </w:r>
      <w:r>
        <w:rPr>
          <w:rFonts w:hint="default"/>
        </w:rPr>
        <w:t>2.6</w:t>
      </w:r>
      <w:r>
        <w:rPr>
          <w:rFonts w:hint="eastAsia"/>
          <w:lang w:eastAsia="zh-CN"/>
        </w:rPr>
        <w:t>、</w:t>
      </w:r>
      <w:r>
        <w:rPr>
          <w:rFonts w:hint="default"/>
        </w:rPr>
        <w:t>评价工作等级和评价</w:t>
      </w:r>
      <w:r>
        <w:rPr>
          <w:rFonts w:hint="default"/>
          <w:lang w:val="en-US" w:eastAsia="zh-CN"/>
        </w:rPr>
        <w:t>范围</w:t>
      </w:r>
      <w:r>
        <w:tab/>
      </w:r>
      <w:r>
        <w:fldChar w:fldCharType="begin"/>
      </w:r>
      <w:r>
        <w:instrText xml:space="preserve"> PAGEREF _Toc15761 \h </w:instrText>
      </w:r>
      <w:r>
        <w:fldChar w:fldCharType="separate"/>
      </w:r>
      <w:r>
        <w:t>36</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_Toc6138 </w:instrText>
      </w:r>
      <w:r>
        <w:rPr>
          <w:rFonts w:hint="default"/>
        </w:rPr>
        <w:fldChar w:fldCharType="separate"/>
      </w:r>
      <w:r>
        <w:rPr>
          <w:rFonts w:hint="default"/>
        </w:rPr>
        <w:t>2.7</w:t>
      </w:r>
      <w:r>
        <w:rPr>
          <w:rFonts w:hint="eastAsia"/>
          <w:lang w:eastAsia="zh-CN"/>
        </w:rPr>
        <w:t>、</w:t>
      </w:r>
      <w:r>
        <w:rPr>
          <w:rFonts w:hint="default"/>
        </w:rPr>
        <w:t>环境保护目标</w:t>
      </w:r>
      <w:r>
        <w:tab/>
      </w:r>
      <w:r>
        <w:fldChar w:fldCharType="begin"/>
      </w:r>
      <w:r>
        <w:instrText xml:space="preserve"> PAGEREF _Toc6138 \h </w:instrText>
      </w:r>
      <w:r>
        <w:fldChar w:fldCharType="separate"/>
      </w:r>
      <w:r>
        <w:t>44</w:t>
      </w:r>
      <w:r>
        <w:fldChar w:fldCharType="end"/>
      </w:r>
      <w:r>
        <w:rPr>
          <w:rFonts w:hint="default"/>
        </w:rPr>
        <w:fldChar w:fldCharType="end"/>
      </w:r>
    </w:p>
    <w:p>
      <w:pPr>
        <w:pStyle w:val="9"/>
        <w:tabs>
          <w:tab w:val="right" w:leader="dot" w:pos="8958"/>
        </w:tabs>
      </w:pPr>
      <w:r>
        <w:rPr>
          <w:rFonts w:hint="default"/>
        </w:rPr>
        <w:fldChar w:fldCharType="begin"/>
      </w:r>
      <w:r>
        <w:rPr>
          <w:rFonts w:hint="default"/>
        </w:rPr>
        <w:instrText xml:space="preserve"> HYPERLINK \l _Toc2642 </w:instrText>
      </w:r>
      <w:r>
        <w:rPr>
          <w:rFonts w:hint="default"/>
        </w:rPr>
        <w:fldChar w:fldCharType="separate"/>
      </w:r>
      <w:r>
        <w:rPr>
          <w:rFonts w:hint="default"/>
        </w:rPr>
        <w:t>3建设项目概况</w:t>
      </w:r>
      <w:r>
        <w:tab/>
      </w:r>
      <w:r>
        <w:fldChar w:fldCharType="begin"/>
      </w:r>
      <w:r>
        <w:instrText xml:space="preserve"> PAGEREF _Toc2642 \h </w:instrText>
      </w:r>
      <w:r>
        <w:fldChar w:fldCharType="separate"/>
      </w:r>
      <w:r>
        <w:t>45</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_Toc961 </w:instrText>
      </w:r>
      <w:r>
        <w:rPr>
          <w:rFonts w:hint="default"/>
        </w:rPr>
        <w:fldChar w:fldCharType="separate"/>
      </w:r>
      <w:r>
        <w:rPr>
          <w:rFonts w:hint="default"/>
        </w:rPr>
        <w:t>3.1</w:t>
      </w:r>
      <w:r>
        <w:rPr>
          <w:rFonts w:hint="eastAsia"/>
          <w:lang w:eastAsia="zh-CN"/>
        </w:rPr>
        <w:t>、</w:t>
      </w:r>
      <w:r>
        <w:rPr>
          <w:rFonts w:hint="default"/>
        </w:rPr>
        <w:t>项目基本情况</w:t>
      </w:r>
      <w:r>
        <w:tab/>
      </w:r>
      <w:r>
        <w:fldChar w:fldCharType="begin"/>
      </w:r>
      <w:r>
        <w:instrText xml:space="preserve"> PAGEREF _Toc961 \h </w:instrText>
      </w:r>
      <w:r>
        <w:fldChar w:fldCharType="separate"/>
      </w:r>
      <w:r>
        <w:t>45</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_Toc26244 </w:instrText>
      </w:r>
      <w:r>
        <w:rPr>
          <w:rFonts w:hint="default"/>
        </w:rPr>
        <w:fldChar w:fldCharType="separate"/>
      </w:r>
      <w:r>
        <w:rPr>
          <w:rFonts w:hint="default"/>
        </w:rPr>
        <w:t>3.2</w:t>
      </w:r>
      <w:r>
        <w:rPr>
          <w:rFonts w:hint="eastAsia"/>
          <w:lang w:eastAsia="zh-CN"/>
        </w:rPr>
        <w:t>、</w:t>
      </w:r>
      <w:r>
        <w:rPr>
          <w:rFonts w:hint="default"/>
        </w:rPr>
        <w:t>建设内容及规模</w:t>
      </w:r>
      <w:r>
        <w:tab/>
      </w:r>
      <w:r>
        <w:fldChar w:fldCharType="begin"/>
      </w:r>
      <w:r>
        <w:instrText xml:space="preserve"> PAGEREF _Toc26244 \h </w:instrText>
      </w:r>
      <w:r>
        <w:fldChar w:fldCharType="separate"/>
      </w:r>
      <w:r>
        <w:t>45</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_Toc20410 </w:instrText>
      </w:r>
      <w:r>
        <w:rPr>
          <w:rFonts w:hint="default"/>
        </w:rPr>
        <w:fldChar w:fldCharType="separate"/>
      </w:r>
      <w:r>
        <w:rPr>
          <w:rFonts w:hint="default"/>
        </w:rPr>
        <w:t>3.3</w:t>
      </w:r>
      <w:r>
        <w:rPr>
          <w:rFonts w:hint="eastAsia"/>
          <w:lang w:eastAsia="zh-CN"/>
        </w:rPr>
        <w:t>、</w:t>
      </w:r>
      <w:r>
        <w:rPr>
          <w:rFonts w:hint="default"/>
        </w:rPr>
        <w:t>主要原辅材料及能耗情况</w:t>
      </w:r>
      <w:r>
        <w:tab/>
      </w:r>
      <w:r>
        <w:fldChar w:fldCharType="begin"/>
      </w:r>
      <w:r>
        <w:instrText xml:space="preserve"> PAGEREF _Toc20410 \h </w:instrText>
      </w:r>
      <w:r>
        <w:fldChar w:fldCharType="separate"/>
      </w:r>
      <w:r>
        <w:t>49</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_Toc9096 </w:instrText>
      </w:r>
      <w:r>
        <w:rPr>
          <w:rFonts w:hint="default"/>
        </w:rPr>
        <w:fldChar w:fldCharType="separate"/>
      </w:r>
      <w:r>
        <w:rPr>
          <w:rFonts w:hint="default"/>
        </w:rPr>
        <w:t>3.4</w:t>
      </w:r>
      <w:r>
        <w:rPr>
          <w:rFonts w:hint="eastAsia"/>
          <w:lang w:eastAsia="zh-CN"/>
        </w:rPr>
        <w:t>、</w:t>
      </w:r>
      <w:r>
        <w:rPr>
          <w:rFonts w:hint="default"/>
        </w:rPr>
        <w:t>主要设备</w:t>
      </w:r>
      <w:r>
        <w:tab/>
      </w:r>
      <w:r>
        <w:fldChar w:fldCharType="begin"/>
      </w:r>
      <w:r>
        <w:instrText xml:space="preserve"> PAGEREF _Toc9096 \h </w:instrText>
      </w:r>
      <w:r>
        <w:fldChar w:fldCharType="separate"/>
      </w:r>
      <w:r>
        <w:t>51</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_Toc28159 </w:instrText>
      </w:r>
      <w:r>
        <w:rPr>
          <w:rFonts w:hint="default"/>
        </w:rPr>
        <w:fldChar w:fldCharType="separate"/>
      </w:r>
      <w:r>
        <w:rPr>
          <w:rFonts w:hint="default"/>
        </w:rPr>
        <w:t>3.5</w:t>
      </w:r>
      <w:r>
        <w:rPr>
          <w:rFonts w:hint="eastAsia"/>
          <w:lang w:eastAsia="zh-CN"/>
        </w:rPr>
        <w:t>、</w:t>
      </w:r>
      <w:r>
        <w:rPr>
          <w:rFonts w:hint="default"/>
        </w:rPr>
        <w:t>厂区平面布置</w:t>
      </w:r>
      <w:r>
        <w:tab/>
      </w:r>
      <w:r>
        <w:fldChar w:fldCharType="begin"/>
      </w:r>
      <w:r>
        <w:instrText xml:space="preserve"> PAGEREF _Toc28159 \h </w:instrText>
      </w:r>
      <w:r>
        <w:fldChar w:fldCharType="separate"/>
      </w:r>
      <w:r>
        <w:t>51</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_Toc8292 </w:instrText>
      </w:r>
      <w:r>
        <w:rPr>
          <w:rFonts w:hint="default"/>
        </w:rPr>
        <w:fldChar w:fldCharType="separate"/>
      </w:r>
      <w:r>
        <w:rPr>
          <w:rFonts w:hint="default"/>
        </w:rPr>
        <w:t>3.6</w:t>
      </w:r>
      <w:r>
        <w:rPr>
          <w:rFonts w:hint="eastAsia"/>
          <w:lang w:eastAsia="zh-CN"/>
        </w:rPr>
        <w:t>、</w:t>
      </w:r>
      <w:r>
        <w:rPr>
          <w:rFonts w:hint="default"/>
        </w:rPr>
        <w:t>主要经济技术指标汇总</w:t>
      </w:r>
      <w:r>
        <w:tab/>
      </w:r>
      <w:r>
        <w:fldChar w:fldCharType="begin"/>
      </w:r>
      <w:r>
        <w:instrText xml:space="preserve"> PAGEREF _Toc8292 \h </w:instrText>
      </w:r>
      <w:r>
        <w:fldChar w:fldCharType="separate"/>
      </w:r>
      <w:r>
        <w:t>52</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_Toc27015 </w:instrText>
      </w:r>
      <w:r>
        <w:rPr>
          <w:rFonts w:hint="default"/>
        </w:rPr>
        <w:fldChar w:fldCharType="separate"/>
      </w:r>
      <w:r>
        <w:rPr>
          <w:rFonts w:hint="default"/>
        </w:rPr>
        <w:t>3.7</w:t>
      </w:r>
      <w:r>
        <w:rPr>
          <w:rFonts w:hint="eastAsia"/>
          <w:lang w:eastAsia="zh-CN"/>
        </w:rPr>
        <w:t>、</w:t>
      </w:r>
      <w:r>
        <w:rPr>
          <w:rFonts w:hint="default"/>
        </w:rPr>
        <w:t>工程分析</w:t>
      </w:r>
      <w:r>
        <w:tab/>
      </w:r>
      <w:r>
        <w:fldChar w:fldCharType="begin"/>
      </w:r>
      <w:r>
        <w:instrText xml:space="preserve"> PAGEREF _Toc27015 \h </w:instrText>
      </w:r>
      <w:r>
        <w:fldChar w:fldCharType="separate"/>
      </w:r>
      <w:r>
        <w:t>53</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_Toc27671 </w:instrText>
      </w:r>
      <w:r>
        <w:rPr>
          <w:rFonts w:hint="default"/>
        </w:rPr>
        <w:fldChar w:fldCharType="separate"/>
      </w:r>
      <w:r>
        <w:rPr>
          <w:rFonts w:hint="default"/>
        </w:rPr>
        <w:t>3.8</w:t>
      </w:r>
      <w:r>
        <w:rPr>
          <w:rFonts w:hint="eastAsia"/>
          <w:lang w:eastAsia="zh-CN"/>
        </w:rPr>
        <w:t>、</w:t>
      </w:r>
      <w:r>
        <w:rPr>
          <w:rFonts w:hint="default"/>
        </w:rPr>
        <w:t>施工期污染源及环境影响</w:t>
      </w:r>
      <w:r>
        <w:tab/>
      </w:r>
      <w:r>
        <w:fldChar w:fldCharType="begin"/>
      </w:r>
      <w:r>
        <w:instrText xml:space="preserve"> PAGEREF _Toc27671 \h </w:instrText>
      </w:r>
      <w:r>
        <w:fldChar w:fldCharType="separate"/>
      </w:r>
      <w:r>
        <w:t>58</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_Toc3504 </w:instrText>
      </w:r>
      <w:r>
        <w:rPr>
          <w:rFonts w:hint="default"/>
        </w:rPr>
        <w:fldChar w:fldCharType="separate"/>
      </w:r>
      <w:r>
        <w:rPr>
          <w:rFonts w:hint="default"/>
        </w:rPr>
        <w:t>3.9</w:t>
      </w:r>
      <w:r>
        <w:rPr>
          <w:rFonts w:hint="eastAsia"/>
          <w:lang w:eastAsia="zh-CN"/>
        </w:rPr>
        <w:t>、</w:t>
      </w:r>
      <w:r>
        <w:rPr>
          <w:rFonts w:hint="default"/>
        </w:rPr>
        <w:t>运营期污染源分析</w:t>
      </w:r>
      <w:r>
        <w:tab/>
      </w:r>
      <w:r>
        <w:fldChar w:fldCharType="begin"/>
      </w:r>
      <w:r>
        <w:instrText xml:space="preserve"> PAGEREF _Toc3504 \h </w:instrText>
      </w:r>
      <w:r>
        <w:fldChar w:fldCharType="separate"/>
      </w:r>
      <w:r>
        <w:t>63</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_Toc9077 </w:instrText>
      </w:r>
      <w:r>
        <w:rPr>
          <w:rFonts w:hint="default"/>
        </w:rPr>
        <w:fldChar w:fldCharType="separate"/>
      </w:r>
      <w:r>
        <w:rPr>
          <w:rFonts w:hint="default"/>
        </w:rPr>
        <w:t>3.10</w:t>
      </w:r>
      <w:r>
        <w:rPr>
          <w:rFonts w:hint="eastAsia"/>
          <w:lang w:eastAsia="zh-CN"/>
        </w:rPr>
        <w:t>、</w:t>
      </w:r>
      <w:r>
        <w:rPr>
          <w:rFonts w:hint="default"/>
        </w:rPr>
        <w:t>污染源汇总分析</w:t>
      </w:r>
      <w:r>
        <w:tab/>
      </w:r>
      <w:r>
        <w:fldChar w:fldCharType="begin"/>
      </w:r>
      <w:r>
        <w:instrText xml:space="preserve"> PAGEREF _Toc9077 \h </w:instrText>
      </w:r>
      <w:r>
        <w:fldChar w:fldCharType="separate"/>
      </w:r>
      <w:r>
        <w:t>72</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_Toc20263 </w:instrText>
      </w:r>
      <w:r>
        <w:rPr>
          <w:rFonts w:hint="default"/>
        </w:rPr>
        <w:fldChar w:fldCharType="separate"/>
      </w:r>
      <w:r>
        <w:rPr>
          <w:rFonts w:hint="default"/>
        </w:rPr>
        <w:t>3.11</w:t>
      </w:r>
      <w:r>
        <w:rPr>
          <w:rFonts w:hint="eastAsia"/>
          <w:lang w:eastAsia="zh-CN"/>
        </w:rPr>
        <w:t>、</w:t>
      </w:r>
      <w:r>
        <w:rPr>
          <w:rFonts w:hint="default"/>
        </w:rPr>
        <w:t>清洁生产概述</w:t>
      </w:r>
      <w:r>
        <w:tab/>
      </w:r>
      <w:r>
        <w:fldChar w:fldCharType="begin"/>
      </w:r>
      <w:r>
        <w:instrText xml:space="preserve"> PAGEREF _Toc20263 \h </w:instrText>
      </w:r>
      <w:r>
        <w:fldChar w:fldCharType="separate"/>
      </w:r>
      <w:r>
        <w:t>73</w:t>
      </w:r>
      <w:r>
        <w:fldChar w:fldCharType="end"/>
      </w:r>
      <w:r>
        <w:rPr>
          <w:rFonts w:hint="default"/>
        </w:rPr>
        <w:fldChar w:fldCharType="end"/>
      </w:r>
    </w:p>
    <w:p>
      <w:pPr>
        <w:pStyle w:val="9"/>
        <w:tabs>
          <w:tab w:val="right" w:leader="dot" w:pos="8958"/>
        </w:tabs>
      </w:pPr>
      <w:r>
        <w:rPr>
          <w:rFonts w:hint="default"/>
        </w:rPr>
        <w:fldChar w:fldCharType="begin"/>
      </w:r>
      <w:r>
        <w:rPr>
          <w:rFonts w:hint="default"/>
        </w:rPr>
        <w:instrText xml:space="preserve"> HYPERLINK \l _Toc12030 </w:instrText>
      </w:r>
      <w:r>
        <w:rPr>
          <w:rFonts w:hint="default"/>
        </w:rPr>
        <w:fldChar w:fldCharType="separate"/>
      </w:r>
      <w:r>
        <w:rPr>
          <w:rFonts w:hint="default"/>
        </w:rPr>
        <w:t>4建设项目周边环境概况</w:t>
      </w:r>
      <w:r>
        <w:tab/>
      </w:r>
      <w:r>
        <w:fldChar w:fldCharType="begin"/>
      </w:r>
      <w:r>
        <w:instrText xml:space="preserve"> PAGEREF _Toc12030 \h </w:instrText>
      </w:r>
      <w:r>
        <w:fldChar w:fldCharType="separate"/>
      </w:r>
      <w:r>
        <w:t>77</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_Toc10472 </w:instrText>
      </w:r>
      <w:r>
        <w:rPr>
          <w:rFonts w:hint="default"/>
        </w:rPr>
        <w:fldChar w:fldCharType="separate"/>
      </w:r>
      <w:r>
        <w:rPr>
          <w:rFonts w:hint="default"/>
        </w:rPr>
        <w:t>4.1</w:t>
      </w:r>
      <w:r>
        <w:rPr>
          <w:rFonts w:hint="eastAsia"/>
          <w:lang w:eastAsia="zh-CN"/>
        </w:rPr>
        <w:t>、</w:t>
      </w:r>
      <w:r>
        <w:rPr>
          <w:rFonts w:hint="default"/>
        </w:rPr>
        <w:t>自然环境现状调查与评价</w:t>
      </w:r>
      <w:r>
        <w:tab/>
      </w:r>
      <w:r>
        <w:fldChar w:fldCharType="begin"/>
      </w:r>
      <w:r>
        <w:instrText xml:space="preserve"> PAGEREF _Toc10472 \h </w:instrText>
      </w:r>
      <w:r>
        <w:fldChar w:fldCharType="separate"/>
      </w:r>
      <w:r>
        <w:t>77</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_Toc26698 </w:instrText>
      </w:r>
      <w:r>
        <w:rPr>
          <w:rFonts w:hint="default"/>
        </w:rPr>
        <w:fldChar w:fldCharType="separate"/>
      </w:r>
      <w:r>
        <w:rPr>
          <w:rFonts w:hint="default"/>
        </w:rPr>
        <w:t>4.</w:t>
      </w:r>
      <w:r>
        <w:rPr>
          <w:rFonts w:hint="eastAsia"/>
          <w:lang w:val="en-US" w:eastAsia="zh-CN"/>
        </w:rPr>
        <w:t>2</w:t>
      </w:r>
      <w:r>
        <w:rPr>
          <w:rFonts w:hint="eastAsia"/>
          <w:lang w:eastAsia="zh-CN"/>
        </w:rPr>
        <w:t>、</w:t>
      </w:r>
      <w:r>
        <w:rPr>
          <w:rFonts w:hint="default"/>
        </w:rPr>
        <w:t>环境质量现状调查与评价</w:t>
      </w:r>
      <w:r>
        <w:tab/>
      </w:r>
      <w:r>
        <w:fldChar w:fldCharType="begin"/>
      </w:r>
      <w:r>
        <w:instrText xml:space="preserve"> PAGEREF _Toc26698 \h </w:instrText>
      </w:r>
      <w:r>
        <w:fldChar w:fldCharType="separate"/>
      </w:r>
      <w:r>
        <w:t>79</w:t>
      </w:r>
      <w:r>
        <w:fldChar w:fldCharType="end"/>
      </w:r>
      <w:r>
        <w:rPr>
          <w:rFonts w:hint="default"/>
        </w:rPr>
        <w:fldChar w:fldCharType="end"/>
      </w:r>
    </w:p>
    <w:p>
      <w:pPr>
        <w:pStyle w:val="9"/>
        <w:tabs>
          <w:tab w:val="right" w:leader="dot" w:pos="8958"/>
        </w:tabs>
      </w:pPr>
      <w:r>
        <w:rPr>
          <w:rFonts w:hint="default"/>
        </w:rPr>
        <w:fldChar w:fldCharType="begin"/>
      </w:r>
      <w:r>
        <w:rPr>
          <w:rFonts w:hint="default"/>
        </w:rPr>
        <w:instrText xml:space="preserve"> HYPERLINK \l _Toc30322 </w:instrText>
      </w:r>
      <w:r>
        <w:rPr>
          <w:rFonts w:hint="default"/>
        </w:rPr>
        <w:fldChar w:fldCharType="separate"/>
      </w:r>
      <w:r>
        <w:rPr>
          <w:rFonts w:hint="default"/>
        </w:rPr>
        <w:t>5运营期环境影响分析与评价</w:t>
      </w:r>
      <w:r>
        <w:tab/>
      </w:r>
      <w:r>
        <w:fldChar w:fldCharType="begin"/>
      </w:r>
      <w:r>
        <w:instrText xml:space="preserve"> PAGEREF _Toc30322 \h </w:instrText>
      </w:r>
      <w:r>
        <w:fldChar w:fldCharType="separate"/>
      </w:r>
      <w:r>
        <w:t>90</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_Toc11267 </w:instrText>
      </w:r>
      <w:r>
        <w:rPr>
          <w:rFonts w:hint="default"/>
        </w:rPr>
        <w:fldChar w:fldCharType="separate"/>
      </w:r>
      <w:r>
        <w:rPr>
          <w:rFonts w:hint="default"/>
        </w:rPr>
        <w:t>5.1</w:t>
      </w:r>
      <w:r>
        <w:rPr>
          <w:rFonts w:hint="eastAsia"/>
          <w:lang w:eastAsia="zh-CN"/>
        </w:rPr>
        <w:t>、</w:t>
      </w:r>
      <w:r>
        <w:rPr>
          <w:rFonts w:hint="default"/>
        </w:rPr>
        <w:t>大气环境影响分析</w:t>
      </w:r>
      <w:r>
        <w:tab/>
      </w:r>
      <w:r>
        <w:fldChar w:fldCharType="begin"/>
      </w:r>
      <w:r>
        <w:instrText xml:space="preserve"> PAGEREF _Toc11267 \h </w:instrText>
      </w:r>
      <w:r>
        <w:fldChar w:fldCharType="separate"/>
      </w:r>
      <w:r>
        <w:t>90</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_Toc23649 </w:instrText>
      </w:r>
      <w:r>
        <w:rPr>
          <w:rFonts w:hint="default"/>
        </w:rPr>
        <w:fldChar w:fldCharType="separate"/>
      </w:r>
      <w:r>
        <w:rPr>
          <w:rFonts w:hint="default"/>
        </w:rPr>
        <w:t>5.2</w:t>
      </w:r>
      <w:r>
        <w:rPr>
          <w:rFonts w:hint="eastAsia"/>
          <w:lang w:eastAsia="zh-CN"/>
        </w:rPr>
        <w:t>、</w:t>
      </w:r>
      <w:r>
        <w:rPr>
          <w:rFonts w:hint="default"/>
        </w:rPr>
        <w:t>水环境影响分析</w:t>
      </w:r>
      <w:r>
        <w:tab/>
      </w:r>
      <w:r>
        <w:fldChar w:fldCharType="begin"/>
      </w:r>
      <w:r>
        <w:instrText xml:space="preserve"> PAGEREF _Toc23649 \h </w:instrText>
      </w:r>
      <w:r>
        <w:fldChar w:fldCharType="separate"/>
      </w:r>
      <w:r>
        <w:t>97</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_Toc17543 </w:instrText>
      </w:r>
      <w:r>
        <w:rPr>
          <w:rFonts w:hint="default"/>
        </w:rPr>
        <w:fldChar w:fldCharType="separate"/>
      </w:r>
      <w:r>
        <w:rPr>
          <w:rFonts w:hint="default"/>
        </w:rPr>
        <w:t>5.</w:t>
      </w:r>
      <w:r>
        <w:rPr>
          <w:rFonts w:hint="eastAsia"/>
          <w:lang w:val="en-US" w:eastAsia="zh-CN"/>
        </w:rPr>
        <w:t>3、</w:t>
      </w:r>
      <w:r>
        <w:rPr>
          <w:rFonts w:hint="default"/>
        </w:rPr>
        <w:t>声环境影响分析</w:t>
      </w:r>
      <w:r>
        <w:tab/>
      </w:r>
      <w:r>
        <w:fldChar w:fldCharType="begin"/>
      </w:r>
      <w:r>
        <w:instrText xml:space="preserve"> PAGEREF _Toc17543 \h </w:instrText>
      </w:r>
      <w:r>
        <w:fldChar w:fldCharType="separate"/>
      </w:r>
      <w:r>
        <w:t>104</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_Toc6919 </w:instrText>
      </w:r>
      <w:r>
        <w:rPr>
          <w:rFonts w:hint="default"/>
        </w:rPr>
        <w:fldChar w:fldCharType="separate"/>
      </w:r>
      <w:r>
        <w:rPr>
          <w:rFonts w:hint="default"/>
        </w:rPr>
        <w:t>5.</w:t>
      </w:r>
      <w:r>
        <w:rPr>
          <w:rFonts w:hint="eastAsia"/>
          <w:lang w:val="en-US" w:eastAsia="zh-CN"/>
        </w:rPr>
        <w:t>4、</w:t>
      </w:r>
      <w:r>
        <w:rPr>
          <w:rFonts w:hint="default"/>
        </w:rPr>
        <w:t>固体废物环境影响分析</w:t>
      </w:r>
      <w:r>
        <w:tab/>
      </w:r>
      <w:r>
        <w:fldChar w:fldCharType="begin"/>
      </w:r>
      <w:r>
        <w:instrText xml:space="preserve"> PAGEREF _Toc6919 \h </w:instrText>
      </w:r>
      <w:r>
        <w:fldChar w:fldCharType="separate"/>
      </w:r>
      <w:r>
        <w:t>107</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_Toc15005 </w:instrText>
      </w:r>
      <w:r>
        <w:rPr>
          <w:rFonts w:hint="default"/>
        </w:rPr>
        <w:fldChar w:fldCharType="separate"/>
      </w:r>
      <w:r>
        <w:rPr>
          <w:rFonts w:hint="eastAsia"/>
          <w:lang w:val="en-US" w:eastAsia="zh-CN"/>
        </w:rPr>
        <w:t>5.5、土壤环境影响分析</w:t>
      </w:r>
      <w:r>
        <w:tab/>
      </w:r>
      <w:r>
        <w:fldChar w:fldCharType="begin"/>
      </w:r>
      <w:r>
        <w:instrText xml:space="preserve"> PAGEREF _Toc15005 \h </w:instrText>
      </w:r>
      <w:r>
        <w:fldChar w:fldCharType="separate"/>
      </w:r>
      <w:r>
        <w:t>109</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_Toc17098 </w:instrText>
      </w:r>
      <w:r>
        <w:rPr>
          <w:rFonts w:hint="default"/>
        </w:rPr>
        <w:fldChar w:fldCharType="separate"/>
      </w:r>
      <w:r>
        <w:rPr>
          <w:rFonts w:hint="default"/>
        </w:rPr>
        <w:t>5.</w:t>
      </w:r>
      <w:r>
        <w:rPr>
          <w:rFonts w:hint="eastAsia"/>
          <w:lang w:val="en-US" w:eastAsia="zh-CN"/>
        </w:rPr>
        <w:t>5、</w:t>
      </w:r>
      <w:r>
        <w:rPr>
          <w:rFonts w:hint="default"/>
        </w:rPr>
        <w:t>生态环境影响分析</w:t>
      </w:r>
      <w:r>
        <w:tab/>
      </w:r>
      <w:r>
        <w:fldChar w:fldCharType="begin"/>
      </w:r>
      <w:r>
        <w:instrText xml:space="preserve"> PAGEREF _Toc17098 \h </w:instrText>
      </w:r>
      <w:r>
        <w:fldChar w:fldCharType="separate"/>
      </w:r>
      <w:r>
        <w:t>111</w:t>
      </w:r>
      <w:r>
        <w:fldChar w:fldCharType="end"/>
      </w:r>
      <w:r>
        <w:rPr>
          <w:rFonts w:hint="default"/>
        </w:rPr>
        <w:fldChar w:fldCharType="end"/>
      </w:r>
    </w:p>
    <w:p>
      <w:pPr>
        <w:pStyle w:val="9"/>
        <w:tabs>
          <w:tab w:val="right" w:leader="dot" w:pos="8958"/>
        </w:tabs>
      </w:pPr>
      <w:r>
        <w:rPr>
          <w:rFonts w:hint="default"/>
        </w:rPr>
        <w:fldChar w:fldCharType="begin"/>
      </w:r>
      <w:r>
        <w:rPr>
          <w:rFonts w:hint="default"/>
        </w:rPr>
        <w:instrText xml:space="preserve"> HYPERLINK \l _Toc17643 </w:instrText>
      </w:r>
      <w:r>
        <w:rPr>
          <w:rFonts w:hint="default"/>
        </w:rPr>
        <w:fldChar w:fldCharType="separate"/>
      </w:r>
      <w:r>
        <w:rPr>
          <w:rFonts w:hint="default"/>
        </w:rPr>
        <w:t>6环境风险评价</w:t>
      </w:r>
      <w:r>
        <w:tab/>
      </w:r>
      <w:r>
        <w:fldChar w:fldCharType="begin"/>
      </w:r>
      <w:r>
        <w:instrText xml:space="preserve"> PAGEREF _Toc17643 \h </w:instrText>
      </w:r>
      <w:r>
        <w:fldChar w:fldCharType="separate"/>
      </w:r>
      <w:r>
        <w:t>113</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_Toc16447 </w:instrText>
      </w:r>
      <w:r>
        <w:rPr>
          <w:rFonts w:hint="default"/>
        </w:rPr>
        <w:fldChar w:fldCharType="separate"/>
      </w:r>
      <w:r>
        <w:rPr>
          <w:rFonts w:hint="default"/>
        </w:rPr>
        <w:t>6.1</w:t>
      </w:r>
      <w:r>
        <w:rPr>
          <w:rFonts w:hint="eastAsia"/>
          <w:lang w:eastAsia="zh-CN"/>
        </w:rPr>
        <w:t>、</w:t>
      </w:r>
      <w:r>
        <w:rPr>
          <w:rFonts w:hint="default"/>
        </w:rPr>
        <w:t>概述</w:t>
      </w:r>
      <w:r>
        <w:tab/>
      </w:r>
      <w:r>
        <w:fldChar w:fldCharType="begin"/>
      </w:r>
      <w:r>
        <w:instrText xml:space="preserve"> PAGEREF _Toc16447 \h </w:instrText>
      </w:r>
      <w:r>
        <w:fldChar w:fldCharType="separate"/>
      </w:r>
      <w:r>
        <w:t>113</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_Toc5136 </w:instrText>
      </w:r>
      <w:r>
        <w:rPr>
          <w:rFonts w:hint="default"/>
        </w:rPr>
        <w:fldChar w:fldCharType="separate"/>
      </w:r>
      <w:r>
        <w:rPr>
          <w:rFonts w:hint="default"/>
          <w:lang w:val="de-DE"/>
        </w:rPr>
        <w:t>6.</w:t>
      </w:r>
      <w:r>
        <w:rPr>
          <w:rFonts w:hint="default"/>
        </w:rPr>
        <w:t>2</w:t>
      </w:r>
      <w:r>
        <w:rPr>
          <w:rFonts w:hint="eastAsia"/>
          <w:lang w:eastAsia="zh-CN"/>
        </w:rPr>
        <w:t>、</w:t>
      </w:r>
      <w:r>
        <w:rPr>
          <w:rFonts w:hint="default"/>
          <w:lang w:val="de-DE"/>
        </w:rPr>
        <w:t>风险调查及评价等级</w:t>
      </w:r>
      <w:r>
        <w:tab/>
      </w:r>
      <w:r>
        <w:fldChar w:fldCharType="begin"/>
      </w:r>
      <w:r>
        <w:instrText xml:space="preserve"> PAGEREF _Toc5136 \h </w:instrText>
      </w:r>
      <w:r>
        <w:fldChar w:fldCharType="separate"/>
      </w:r>
      <w:r>
        <w:t>113</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_Toc9825 </w:instrText>
      </w:r>
      <w:r>
        <w:rPr>
          <w:rFonts w:hint="default"/>
        </w:rPr>
        <w:fldChar w:fldCharType="separate"/>
      </w:r>
      <w:r>
        <w:rPr>
          <w:rFonts w:hint="default"/>
        </w:rPr>
        <w:t>6.3</w:t>
      </w:r>
      <w:r>
        <w:rPr>
          <w:rFonts w:hint="eastAsia"/>
          <w:lang w:eastAsia="zh-CN"/>
        </w:rPr>
        <w:t>、</w:t>
      </w:r>
      <w:r>
        <w:rPr>
          <w:rFonts w:hint="default"/>
        </w:rPr>
        <w:t>环境风险识别</w:t>
      </w:r>
      <w:r>
        <w:tab/>
      </w:r>
      <w:r>
        <w:fldChar w:fldCharType="begin"/>
      </w:r>
      <w:r>
        <w:instrText xml:space="preserve"> PAGEREF _Toc9825 \h </w:instrText>
      </w:r>
      <w:r>
        <w:fldChar w:fldCharType="separate"/>
      </w:r>
      <w:r>
        <w:t>115</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_Toc26765 </w:instrText>
      </w:r>
      <w:r>
        <w:rPr>
          <w:rFonts w:hint="default"/>
        </w:rPr>
        <w:fldChar w:fldCharType="separate"/>
      </w:r>
      <w:r>
        <w:rPr>
          <w:rFonts w:hint="default"/>
        </w:rPr>
        <w:t>6.4</w:t>
      </w:r>
      <w:r>
        <w:rPr>
          <w:rFonts w:hint="eastAsia"/>
          <w:lang w:eastAsia="zh-CN"/>
        </w:rPr>
        <w:t>、</w:t>
      </w:r>
      <w:r>
        <w:rPr>
          <w:rFonts w:hint="default"/>
        </w:rPr>
        <w:t>环境风险分析</w:t>
      </w:r>
      <w:r>
        <w:tab/>
      </w:r>
      <w:r>
        <w:fldChar w:fldCharType="begin"/>
      </w:r>
      <w:r>
        <w:instrText xml:space="preserve"> PAGEREF _Toc26765 \h </w:instrText>
      </w:r>
      <w:r>
        <w:fldChar w:fldCharType="separate"/>
      </w:r>
      <w:r>
        <w:t>117</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_Toc3935 </w:instrText>
      </w:r>
      <w:r>
        <w:rPr>
          <w:rFonts w:hint="default"/>
        </w:rPr>
        <w:fldChar w:fldCharType="separate"/>
      </w:r>
      <w:r>
        <w:rPr>
          <w:rFonts w:hint="default"/>
        </w:rPr>
        <w:t>6.5</w:t>
      </w:r>
      <w:r>
        <w:rPr>
          <w:rFonts w:hint="eastAsia"/>
          <w:lang w:eastAsia="zh-CN"/>
        </w:rPr>
        <w:t>、</w:t>
      </w:r>
      <w:r>
        <w:rPr>
          <w:rFonts w:hint="default"/>
        </w:rPr>
        <w:t>风险防范措施和管理措施</w:t>
      </w:r>
      <w:r>
        <w:tab/>
      </w:r>
      <w:r>
        <w:fldChar w:fldCharType="begin"/>
      </w:r>
      <w:r>
        <w:instrText xml:space="preserve"> PAGEREF _Toc3935 \h </w:instrText>
      </w:r>
      <w:r>
        <w:fldChar w:fldCharType="separate"/>
      </w:r>
      <w:r>
        <w:t>120</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_Toc2266 </w:instrText>
      </w:r>
      <w:r>
        <w:rPr>
          <w:rFonts w:hint="default"/>
        </w:rPr>
        <w:fldChar w:fldCharType="separate"/>
      </w:r>
      <w:r>
        <w:rPr>
          <w:rFonts w:hint="default"/>
        </w:rPr>
        <w:t>6.6</w:t>
      </w:r>
      <w:r>
        <w:rPr>
          <w:rFonts w:hint="eastAsia"/>
          <w:lang w:eastAsia="zh-CN"/>
        </w:rPr>
        <w:t>、</w:t>
      </w:r>
      <w:r>
        <w:rPr>
          <w:rFonts w:hint="default"/>
        </w:rPr>
        <w:t>事故应急预案</w:t>
      </w:r>
      <w:r>
        <w:tab/>
      </w:r>
      <w:r>
        <w:fldChar w:fldCharType="begin"/>
      </w:r>
      <w:r>
        <w:instrText xml:space="preserve"> PAGEREF _Toc2266 \h </w:instrText>
      </w:r>
      <w:r>
        <w:fldChar w:fldCharType="separate"/>
      </w:r>
      <w:r>
        <w:t>122</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_Toc28868 </w:instrText>
      </w:r>
      <w:r>
        <w:rPr>
          <w:rFonts w:hint="default"/>
        </w:rPr>
        <w:fldChar w:fldCharType="separate"/>
      </w:r>
      <w:r>
        <w:rPr>
          <w:rFonts w:hint="default"/>
        </w:rPr>
        <w:t>6.7</w:t>
      </w:r>
      <w:r>
        <w:rPr>
          <w:rFonts w:hint="eastAsia"/>
          <w:lang w:eastAsia="zh-CN"/>
        </w:rPr>
        <w:t>、</w:t>
      </w:r>
      <w:r>
        <w:rPr>
          <w:rFonts w:hint="default"/>
        </w:rPr>
        <w:t>水环境风险</w:t>
      </w:r>
      <w:r>
        <w:tab/>
      </w:r>
      <w:r>
        <w:fldChar w:fldCharType="begin"/>
      </w:r>
      <w:r>
        <w:instrText xml:space="preserve"> PAGEREF _Toc28868 \h </w:instrText>
      </w:r>
      <w:r>
        <w:fldChar w:fldCharType="separate"/>
      </w:r>
      <w:r>
        <w:t>123</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_Toc8549 </w:instrText>
      </w:r>
      <w:r>
        <w:rPr>
          <w:rFonts w:hint="default"/>
        </w:rPr>
        <w:fldChar w:fldCharType="separate"/>
      </w:r>
      <w:r>
        <w:rPr>
          <w:rFonts w:hint="default"/>
        </w:rPr>
        <w:t>6.8</w:t>
      </w:r>
      <w:r>
        <w:rPr>
          <w:rFonts w:hint="eastAsia"/>
          <w:lang w:eastAsia="zh-CN"/>
        </w:rPr>
        <w:t>、</w:t>
      </w:r>
      <w:r>
        <w:rPr>
          <w:rFonts w:hint="default"/>
        </w:rPr>
        <w:t>环境风险分析结论</w:t>
      </w:r>
      <w:r>
        <w:tab/>
      </w:r>
      <w:r>
        <w:fldChar w:fldCharType="begin"/>
      </w:r>
      <w:r>
        <w:instrText xml:space="preserve"> PAGEREF _Toc8549 \h </w:instrText>
      </w:r>
      <w:r>
        <w:fldChar w:fldCharType="separate"/>
      </w:r>
      <w:r>
        <w:t>123</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_Toc26130 </w:instrText>
      </w:r>
      <w:r>
        <w:rPr>
          <w:rFonts w:hint="default"/>
        </w:rPr>
        <w:fldChar w:fldCharType="separate"/>
      </w:r>
      <w:r>
        <w:rPr>
          <w:rFonts w:hint="eastAsia"/>
          <w:lang w:val="en-US" w:eastAsia="zh-CN"/>
        </w:rPr>
        <w:t>6.9、环境风险评价自查</w:t>
      </w:r>
      <w:r>
        <w:tab/>
      </w:r>
      <w:r>
        <w:fldChar w:fldCharType="begin"/>
      </w:r>
      <w:r>
        <w:instrText xml:space="preserve"> PAGEREF _Toc26130 \h </w:instrText>
      </w:r>
      <w:r>
        <w:fldChar w:fldCharType="separate"/>
      </w:r>
      <w:r>
        <w:t>123</w:t>
      </w:r>
      <w:r>
        <w:fldChar w:fldCharType="end"/>
      </w:r>
      <w:r>
        <w:rPr>
          <w:rFonts w:hint="default"/>
        </w:rPr>
        <w:fldChar w:fldCharType="end"/>
      </w:r>
    </w:p>
    <w:p>
      <w:pPr>
        <w:pStyle w:val="9"/>
        <w:tabs>
          <w:tab w:val="right" w:leader="dot" w:pos="8958"/>
        </w:tabs>
      </w:pPr>
      <w:r>
        <w:rPr>
          <w:rFonts w:hint="default"/>
        </w:rPr>
        <w:fldChar w:fldCharType="begin"/>
      </w:r>
      <w:r>
        <w:rPr>
          <w:rFonts w:hint="default"/>
        </w:rPr>
        <w:instrText xml:space="preserve"> HYPERLINK \l _Toc9550 </w:instrText>
      </w:r>
      <w:r>
        <w:rPr>
          <w:rFonts w:hint="default"/>
        </w:rPr>
        <w:fldChar w:fldCharType="separate"/>
      </w:r>
      <w:r>
        <w:rPr>
          <w:rFonts w:hint="default"/>
        </w:rPr>
        <w:t>7环保措施可行性论证</w:t>
      </w:r>
      <w:r>
        <w:tab/>
      </w:r>
      <w:r>
        <w:fldChar w:fldCharType="begin"/>
      </w:r>
      <w:r>
        <w:instrText xml:space="preserve"> PAGEREF _Toc9550 \h </w:instrText>
      </w:r>
      <w:r>
        <w:fldChar w:fldCharType="separate"/>
      </w:r>
      <w:r>
        <w:t>126</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_Toc19716 </w:instrText>
      </w:r>
      <w:r>
        <w:rPr>
          <w:rFonts w:hint="default"/>
        </w:rPr>
        <w:fldChar w:fldCharType="separate"/>
      </w:r>
      <w:r>
        <w:rPr>
          <w:rFonts w:hint="default"/>
        </w:rPr>
        <w:t>7.1</w:t>
      </w:r>
      <w:r>
        <w:rPr>
          <w:rFonts w:hint="eastAsia"/>
          <w:lang w:eastAsia="zh-CN"/>
        </w:rPr>
        <w:t>、</w:t>
      </w:r>
      <w:r>
        <w:rPr>
          <w:rFonts w:hint="default"/>
        </w:rPr>
        <w:t>施工期污染防治措施</w:t>
      </w:r>
      <w:r>
        <w:tab/>
      </w:r>
      <w:r>
        <w:fldChar w:fldCharType="begin"/>
      </w:r>
      <w:r>
        <w:instrText xml:space="preserve"> PAGEREF _Toc19716 \h </w:instrText>
      </w:r>
      <w:r>
        <w:fldChar w:fldCharType="separate"/>
      </w:r>
      <w:r>
        <w:t>126</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_Toc15887 </w:instrText>
      </w:r>
      <w:r>
        <w:rPr>
          <w:rFonts w:hint="default"/>
        </w:rPr>
        <w:fldChar w:fldCharType="separate"/>
      </w:r>
      <w:r>
        <w:rPr>
          <w:rFonts w:hint="default"/>
        </w:rPr>
        <w:t>7.2</w:t>
      </w:r>
      <w:r>
        <w:rPr>
          <w:rFonts w:hint="eastAsia"/>
          <w:lang w:eastAsia="zh-CN"/>
        </w:rPr>
        <w:t>、</w:t>
      </w:r>
      <w:r>
        <w:rPr>
          <w:rFonts w:hint="default"/>
        </w:rPr>
        <w:t>运营期污染防治措施</w:t>
      </w:r>
      <w:r>
        <w:tab/>
      </w:r>
      <w:r>
        <w:fldChar w:fldCharType="begin"/>
      </w:r>
      <w:r>
        <w:instrText xml:space="preserve"> PAGEREF _Toc15887 \h </w:instrText>
      </w:r>
      <w:r>
        <w:fldChar w:fldCharType="separate"/>
      </w:r>
      <w:r>
        <w:t>128</w:t>
      </w:r>
      <w:r>
        <w:fldChar w:fldCharType="end"/>
      </w:r>
      <w:r>
        <w:rPr>
          <w:rFonts w:hint="default"/>
        </w:rPr>
        <w:fldChar w:fldCharType="end"/>
      </w:r>
    </w:p>
    <w:p>
      <w:pPr>
        <w:pStyle w:val="9"/>
        <w:tabs>
          <w:tab w:val="right" w:leader="dot" w:pos="8958"/>
        </w:tabs>
      </w:pPr>
      <w:r>
        <w:rPr>
          <w:rFonts w:hint="default"/>
        </w:rPr>
        <w:fldChar w:fldCharType="begin"/>
      </w:r>
      <w:r>
        <w:rPr>
          <w:rFonts w:hint="default"/>
        </w:rPr>
        <w:instrText xml:space="preserve"> HYPERLINK \l _Toc10518 </w:instrText>
      </w:r>
      <w:r>
        <w:rPr>
          <w:rFonts w:hint="default"/>
        </w:rPr>
        <w:fldChar w:fldCharType="separate"/>
      </w:r>
      <w:r>
        <w:rPr>
          <w:rFonts w:hint="default"/>
        </w:rPr>
        <w:t>8环境影响经济损益分析</w:t>
      </w:r>
      <w:r>
        <w:tab/>
      </w:r>
      <w:r>
        <w:fldChar w:fldCharType="begin"/>
      </w:r>
      <w:r>
        <w:instrText xml:space="preserve"> PAGEREF _Toc10518 \h </w:instrText>
      </w:r>
      <w:r>
        <w:fldChar w:fldCharType="separate"/>
      </w:r>
      <w:r>
        <w:t>137</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_Toc2431 </w:instrText>
      </w:r>
      <w:r>
        <w:rPr>
          <w:rFonts w:hint="default"/>
        </w:rPr>
        <w:fldChar w:fldCharType="separate"/>
      </w:r>
      <w:r>
        <w:rPr>
          <w:rFonts w:hint="default"/>
        </w:rPr>
        <w:t>8.1</w:t>
      </w:r>
      <w:r>
        <w:rPr>
          <w:rFonts w:hint="eastAsia"/>
          <w:lang w:eastAsia="zh-CN"/>
        </w:rPr>
        <w:t>、</w:t>
      </w:r>
      <w:r>
        <w:rPr>
          <w:rFonts w:hint="default"/>
        </w:rPr>
        <w:t>环境保护投资</w:t>
      </w:r>
      <w:r>
        <w:tab/>
      </w:r>
      <w:r>
        <w:fldChar w:fldCharType="begin"/>
      </w:r>
      <w:r>
        <w:instrText xml:space="preserve"> PAGEREF _Toc2431 \h </w:instrText>
      </w:r>
      <w:r>
        <w:fldChar w:fldCharType="separate"/>
      </w:r>
      <w:r>
        <w:t>137</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_Toc12284 </w:instrText>
      </w:r>
      <w:r>
        <w:rPr>
          <w:rFonts w:hint="default"/>
        </w:rPr>
        <w:fldChar w:fldCharType="separate"/>
      </w:r>
      <w:r>
        <w:rPr>
          <w:rFonts w:hint="default"/>
        </w:rPr>
        <w:t>8.2</w:t>
      </w:r>
      <w:r>
        <w:rPr>
          <w:rFonts w:hint="eastAsia"/>
          <w:lang w:eastAsia="zh-CN"/>
        </w:rPr>
        <w:t>、</w:t>
      </w:r>
      <w:r>
        <w:rPr>
          <w:rFonts w:hint="default"/>
        </w:rPr>
        <w:t>环境经济损益分析</w:t>
      </w:r>
      <w:r>
        <w:tab/>
      </w:r>
      <w:r>
        <w:fldChar w:fldCharType="begin"/>
      </w:r>
      <w:r>
        <w:instrText xml:space="preserve"> PAGEREF _Toc12284 \h </w:instrText>
      </w:r>
      <w:r>
        <w:fldChar w:fldCharType="separate"/>
      </w:r>
      <w:r>
        <w:t>138</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_Toc8396 </w:instrText>
      </w:r>
      <w:r>
        <w:rPr>
          <w:rFonts w:hint="default"/>
        </w:rPr>
        <w:fldChar w:fldCharType="separate"/>
      </w:r>
      <w:r>
        <w:rPr>
          <w:rFonts w:hint="default"/>
        </w:rPr>
        <w:t>8.3</w:t>
      </w:r>
      <w:r>
        <w:rPr>
          <w:rFonts w:hint="eastAsia"/>
          <w:lang w:eastAsia="zh-CN"/>
        </w:rPr>
        <w:t>、</w:t>
      </w:r>
      <w:r>
        <w:rPr>
          <w:rFonts w:hint="default"/>
        </w:rPr>
        <w:t>社会经济效益分析</w:t>
      </w:r>
      <w:r>
        <w:tab/>
      </w:r>
      <w:r>
        <w:fldChar w:fldCharType="begin"/>
      </w:r>
      <w:r>
        <w:instrText xml:space="preserve"> PAGEREF _Toc8396 \h </w:instrText>
      </w:r>
      <w:r>
        <w:fldChar w:fldCharType="separate"/>
      </w:r>
      <w:r>
        <w:t>139</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_Toc12085 </w:instrText>
      </w:r>
      <w:r>
        <w:rPr>
          <w:rFonts w:hint="default"/>
        </w:rPr>
        <w:fldChar w:fldCharType="separate"/>
      </w:r>
      <w:r>
        <w:rPr>
          <w:rFonts w:hint="default"/>
        </w:rPr>
        <w:t>8.4</w:t>
      </w:r>
      <w:r>
        <w:rPr>
          <w:rFonts w:hint="eastAsia"/>
          <w:lang w:eastAsia="zh-CN"/>
        </w:rPr>
        <w:t>、</w:t>
      </w:r>
      <w:r>
        <w:rPr>
          <w:rFonts w:hint="default"/>
        </w:rPr>
        <w:t>小结</w:t>
      </w:r>
      <w:r>
        <w:tab/>
      </w:r>
      <w:r>
        <w:fldChar w:fldCharType="begin"/>
      </w:r>
      <w:r>
        <w:instrText xml:space="preserve"> PAGEREF _Toc12085 \h </w:instrText>
      </w:r>
      <w:r>
        <w:fldChar w:fldCharType="separate"/>
      </w:r>
      <w:r>
        <w:t>139</w:t>
      </w:r>
      <w:r>
        <w:fldChar w:fldCharType="end"/>
      </w:r>
      <w:r>
        <w:rPr>
          <w:rFonts w:hint="default"/>
        </w:rPr>
        <w:fldChar w:fldCharType="end"/>
      </w:r>
    </w:p>
    <w:p>
      <w:pPr>
        <w:pStyle w:val="9"/>
        <w:tabs>
          <w:tab w:val="right" w:leader="dot" w:pos="8958"/>
        </w:tabs>
      </w:pPr>
      <w:r>
        <w:rPr>
          <w:rFonts w:hint="default"/>
        </w:rPr>
        <w:fldChar w:fldCharType="begin"/>
      </w:r>
      <w:r>
        <w:rPr>
          <w:rFonts w:hint="default"/>
        </w:rPr>
        <w:instrText xml:space="preserve"> HYPERLINK \l _Toc30815 </w:instrText>
      </w:r>
      <w:r>
        <w:rPr>
          <w:rFonts w:hint="default"/>
        </w:rPr>
        <w:fldChar w:fldCharType="separate"/>
      </w:r>
      <w:r>
        <w:rPr>
          <w:rFonts w:hint="default"/>
        </w:rPr>
        <w:t>9 环境管理与监测计划</w:t>
      </w:r>
      <w:r>
        <w:tab/>
      </w:r>
      <w:r>
        <w:fldChar w:fldCharType="begin"/>
      </w:r>
      <w:r>
        <w:instrText xml:space="preserve"> PAGEREF _Toc30815 \h </w:instrText>
      </w:r>
      <w:r>
        <w:fldChar w:fldCharType="separate"/>
      </w:r>
      <w:r>
        <w:t>140</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_Toc15073 </w:instrText>
      </w:r>
      <w:r>
        <w:rPr>
          <w:rFonts w:hint="default"/>
        </w:rPr>
        <w:fldChar w:fldCharType="separate"/>
      </w:r>
      <w:r>
        <w:rPr>
          <w:rFonts w:hint="default"/>
        </w:rPr>
        <w:t>9.1</w:t>
      </w:r>
      <w:r>
        <w:rPr>
          <w:rFonts w:hint="eastAsia"/>
          <w:lang w:eastAsia="zh-CN"/>
        </w:rPr>
        <w:t>、</w:t>
      </w:r>
      <w:r>
        <w:rPr>
          <w:rFonts w:hint="default"/>
        </w:rPr>
        <w:t>环境管理</w:t>
      </w:r>
      <w:r>
        <w:tab/>
      </w:r>
      <w:r>
        <w:fldChar w:fldCharType="begin"/>
      </w:r>
      <w:r>
        <w:instrText xml:space="preserve"> PAGEREF _Toc15073 \h </w:instrText>
      </w:r>
      <w:r>
        <w:fldChar w:fldCharType="separate"/>
      </w:r>
      <w:r>
        <w:t>140</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_Toc26570 </w:instrText>
      </w:r>
      <w:r>
        <w:rPr>
          <w:rFonts w:hint="default"/>
        </w:rPr>
        <w:fldChar w:fldCharType="separate"/>
      </w:r>
      <w:r>
        <w:rPr>
          <w:rFonts w:hint="default"/>
        </w:rPr>
        <w:t>9.2</w:t>
      </w:r>
      <w:r>
        <w:rPr>
          <w:rFonts w:hint="eastAsia"/>
          <w:lang w:eastAsia="zh-CN"/>
        </w:rPr>
        <w:t>、</w:t>
      </w:r>
      <w:r>
        <w:rPr>
          <w:rFonts w:hint="default"/>
        </w:rPr>
        <w:t>污染物排放清单及环境管理要求</w:t>
      </w:r>
      <w:r>
        <w:tab/>
      </w:r>
      <w:r>
        <w:fldChar w:fldCharType="begin"/>
      </w:r>
      <w:r>
        <w:instrText xml:space="preserve"> PAGEREF _Toc26570 \h </w:instrText>
      </w:r>
      <w:r>
        <w:fldChar w:fldCharType="separate"/>
      </w:r>
      <w:r>
        <w:t>141</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_Toc22647 </w:instrText>
      </w:r>
      <w:r>
        <w:rPr>
          <w:rFonts w:hint="default"/>
        </w:rPr>
        <w:fldChar w:fldCharType="separate"/>
      </w:r>
      <w:r>
        <w:rPr>
          <w:rFonts w:hint="default"/>
        </w:rPr>
        <w:t>9.3</w:t>
      </w:r>
      <w:r>
        <w:rPr>
          <w:rFonts w:hint="eastAsia"/>
          <w:lang w:eastAsia="zh-CN"/>
        </w:rPr>
        <w:t>、</w:t>
      </w:r>
      <w:r>
        <w:rPr>
          <w:rFonts w:hint="default"/>
        </w:rPr>
        <w:t>环境监测计划</w:t>
      </w:r>
      <w:r>
        <w:tab/>
      </w:r>
      <w:r>
        <w:fldChar w:fldCharType="begin"/>
      </w:r>
      <w:r>
        <w:instrText xml:space="preserve"> PAGEREF _Toc22647 \h </w:instrText>
      </w:r>
      <w:r>
        <w:fldChar w:fldCharType="separate"/>
      </w:r>
      <w:r>
        <w:t>145</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_Toc25128 </w:instrText>
      </w:r>
      <w:r>
        <w:rPr>
          <w:rFonts w:hint="default"/>
        </w:rPr>
        <w:fldChar w:fldCharType="separate"/>
      </w:r>
      <w:r>
        <w:rPr>
          <w:rFonts w:hint="default"/>
        </w:rPr>
        <w:t>9.4</w:t>
      </w:r>
      <w:r>
        <w:rPr>
          <w:rFonts w:hint="eastAsia"/>
          <w:lang w:eastAsia="zh-CN"/>
        </w:rPr>
        <w:t>、</w:t>
      </w:r>
      <w:r>
        <w:rPr>
          <w:rFonts w:hint="default"/>
        </w:rPr>
        <w:t>竣工验收管理</w:t>
      </w:r>
      <w:r>
        <w:tab/>
      </w:r>
      <w:r>
        <w:fldChar w:fldCharType="begin"/>
      </w:r>
      <w:r>
        <w:instrText xml:space="preserve"> PAGEREF _Toc25128 \h </w:instrText>
      </w:r>
      <w:r>
        <w:fldChar w:fldCharType="separate"/>
      </w:r>
      <w:r>
        <w:t>149</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_Toc11290 </w:instrText>
      </w:r>
      <w:r>
        <w:rPr>
          <w:rFonts w:hint="default"/>
        </w:rPr>
        <w:fldChar w:fldCharType="separate"/>
      </w:r>
      <w:r>
        <w:rPr>
          <w:rFonts w:hint="default"/>
        </w:rPr>
        <w:t>9.</w:t>
      </w:r>
      <w:r>
        <w:rPr>
          <w:rFonts w:hint="default"/>
          <w:lang w:val="en-US" w:eastAsia="zh-CN"/>
        </w:rPr>
        <w:t>5</w:t>
      </w:r>
      <w:r>
        <w:rPr>
          <w:rFonts w:hint="eastAsia"/>
          <w:lang w:val="en-US" w:eastAsia="zh-CN"/>
        </w:rPr>
        <w:t>、</w:t>
      </w:r>
      <w:r>
        <w:rPr>
          <w:rFonts w:hint="default"/>
        </w:rPr>
        <w:t>总量控制</w:t>
      </w:r>
      <w:r>
        <w:tab/>
      </w:r>
      <w:r>
        <w:fldChar w:fldCharType="begin"/>
      </w:r>
      <w:r>
        <w:instrText xml:space="preserve"> PAGEREF _Toc11290 \h </w:instrText>
      </w:r>
      <w:r>
        <w:fldChar w:fldCharType="separate"/>
      </w:r>
      <w:r>
        <w:t>151</w:t>
      </w:r>
      <w:r>
        <w:fldChar w:fldCharType="end"/>
      </w:r>
      <w:r>
        <w:rPr>
          <w:rFonts w:hint="default"/>
        </w:rPr>
        <w:fldChar w:fldCharType="end"/>
      </w:r>
    </w:p>
    <w:p>
      <w:pPr>
        <w:pStyle w:val="9"/>
        <w:tabs>
          <w:tab w:val="right" w:leader="dot" w:pos="8958"/>
        </w:tabs>
      </w:pPr>
      <w:r>
        <w:rPr>
          <w:rFonts w:hint="default"/>
        </w:rPr>
        <w:fldChar w:fldCharType="begin"/>
      </w:r>
      <w:r>
        <w:rPr>
          <w:rFonts w:hint="default"/>
        </w:rPr>
        <w:instrText xml:space="preserve"> HYPERLINK \l _Toc27301 </w:instrText>
      </w:r>
      <w:r>
        <w:rPr>
          <w:rFonts w:hint="default"/>
        </w:rPr>
        <w:fldChar w:fldCharType="separate"/>
      </w:r>
      <w:r>
        <w:rPr>
          <w:rFonts w:hint="default"/>
          <w:lang w:val="en-US" w:eastAsia="zh-CN"/>
        </w:rPr>
        <w:t>1</w:t>
      </w:r>
      <w:r>
        <w:rPr>
          <w:rFonts w:hint="default"/>
        </w:rPr>
        <w:t>0环境影响评价结论</w:t>
      </w:r>
      <w:r>
        <w:tab/>
      </w:r>
      <w:r>
        <w:fldChar w:fldCharType="begin"/>
      </w:r>
      <w:r>
        <w:instrText xml:space="preserve"> PAGEREF _Toc27301 \h </w:instrText>
      </w:r>
      <w:r>
        <w:fldChar w:fldCharType="separate"/>
      </w:r>
      <w:r>
        <w:t>153</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_Toc9622 </w:instrText>
      </w:r>
      <w:r>
        <w:rPr>
          <w:rFonts w:hint="default"/>
        </w:rPr>
        <w:fldChar w:fldCharType="separate"/>
      </w:r>
      <w:r>
        <w:rPr>
          <w:rFonts w:hint="default"/>
        </w:rPr>
        <w:t>10.1</w:t>
      </w:r>
      <w:r>
        <w:rPr>
          <w:rFonts w:hint="eastAsia"/>
          <w:lang w:eastAsia="zh-CN"/>
        </w:rPr>
        <w:t>、</w:t>
      </w:r>
      <w:r>
        <w:rPr>
          <w:rFonts w:hint="default"/>
        </w:rPr>
        <w:t>建设项目概况</w:t>
      </w:r>
      <w:r>
        <w:tab/>
      </w:r>
      <w:r>
        <w:fldChar w:fldCharType="begin"/>
      </w:r>
      <w:r>
        <w:instrText xml:space="preserve"> PAGEREF _Toc9622 \h </w:instrText>
      </w:r>
      <w:r>
        <w:fldChar w:fldCharType="separate"/>
      </w:r>
      <w:r>
        <w:t>153</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_Toc28155 </w:instrText>
      </w:r>
      <w:r>
        <w:rPr>
          <w:rFonts w:hint="default"/>
        </w:rPr>
        <w:fldChar w:fldCharType="separate"/>
      </w:r>
      <w:r>
        <w:rPr>
          <w:rFonts w:hint="default"/>
        </w:rPr>
        <w:t>10.2</w:t>
      </w:r>
      <w:r>
        <w:rPr>
          <w:rFonts w:hint="eastAsia"/>
          <w:lang w:eastAsia="zh-CN"/>
        </w:rPr>
        <w:t>、</w:t>
      </w:r>
      <w:r>
        <w:rPr>
          <w:rFonts w:hint="default"/>
        </w:rPr>
        <w:t>环境质量现状评价结论</w:t>
      </w:r>
      <w:r>
        <w:tab/>
      </w:r>
      <w:r>
        <w:fldChar w:fldCharType="begin"/>
      </w:r>
      <w:r>
        <w:instrText xml:space="preserve"> PAGEREF _Toc28155 \h </w:instrText>
      </w:r>
      <w:r>
        <w:fldChar w:fldCharType="separate"/>
      </w:r>
      <w:r>
        <w:t>153</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_Toc21073 </w:instrText>
      </w:r>
      <w:r>
        <w:rPr>
          <w:rFonts w:hint="default"/>
        </w:rPr>
        <w:fldChar w:fldCharType="separate"/>
      </w:r>
      <w:r>
        <w:rPr>
          <w:rFonts w:hint="default"/>
        </w:rPr>
        <w:t>10.3</w:t>
      </w:r>
      <w:r>
        <w:rPr>
          <w:rFonts w:hint="eastAsia"/>
          <w:lang w:eastAsia="zh-CN"/>
        </w:rPr>
        <w:t>、</w:t>
      </w:r>
      <w:r>
        <w:rPr>
          <w:rFonts w:hint="default"/>
        </w:rPr>
        <w:t>环境影响分析结论</w:t>
      </w:r>
      <w:r>
        <w:tab/>
      </w:r>
      <w:r>
        <w:fldChar w:fldCharType="begin"/>
      </w:r>
      <w:r>
        <w:instrText xml:space="preserve"> PAGEREF _Toc21073 \h </w:instrText>
      </w:r>
      <w:r>
        <w:fldChar w:fldCharType="separate"/>
      </w:r>
      <w:r>
        <w:t>154</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_Toc12589 </w:instrText>
      </w:r>
      <w:r>
        <w:rPr>
          <w:rFonts w:hint="default"/>
        </w:rPr>
        <w:fldChar w:fldCharType="separate"/>
      </w:r>
      <w:r>
        <w:rPr>
          <w:rFonts w:hint="default"/>
        </w:rPr>
        <w:t>10.4</w:t>
      </w:r>
      <w:r>
        <w:rPr>
          <w:rFonts w:hint="eastAsia"/>
          <w:lang w:eastAsia="zh-CN"/>
        </w:rPr>
        <w:t>、</w:t>
      </w:r>
      <w:r>
        <w:rPr>
          <w:rFonts w:hint="default"/>
        </w:rPr>
        <w:t>污染防治措施可行性分析结论</w:t>
      </w:r>
      <w:r>
        <w:tab/>
      </w:r>
      <w:r>
        <w:fldChar w:fldCharType="begin"/>
      </w:r>
      <w:r>
        <w:instrText xml:space="preserve"> PAGEREF _Toc12589 \h </w:instrText>
      </w:r>
      <w:r>
        <w:fldChar w:fldCharType="separate"/>
      </w:r>
      <w:r>
        <w:t>155</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_Toc25522 </w:instrText>
      </w:r>
      <w:r>
        <w:rPr>
          <w:rFonts w:hint="default"/>
        </w:rPr>
        <w:fldChar w:fldCharType="separate"/>
      </w:r>
      <w:r>
        <w:rPr>
          <w:rFonts w:hint="default"/>
        </w:rPr>
        <w:t>10.5</w:t>
      </w:r>
      <w:r>
        <w:rPr>
          <w:rFonts w:hint="eastAsia"/>
          <w:lang w:eastAsia="zh-CN"/>
        </w:rPr>
        <w:t>、</w:t>
      </w:r>
      <w:r>
        <w:rPr>
          <w:rFonts w:hint="default"/>
        </w:rPr>
        <w:t>环境风险评价结论</w:t>
      </w:r>
      <w:r>
        <w:tab/>
      </w:r>
      <w:r>
        <w:fldChar w:fldCharType="begin"/>
      </w:r>
      <w:r>
        <w:instrText xml:space="preserve"> PAGEREF _Toc25522 \h </w:instrText>
      </w:r>
      <w:r>
        <w:fldChar w:fldCharType="separate"/>
      </w:r>
      <w:r>
        <w:t>157</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_Toc18119 </w:instrText>
      </w:r>
      <w:r>
        <w:rPr>
          <w:rFonts w:hint="default"/>
        </w:rPr>
        <w:fldChar w:fldCharType="separate"/>
      </w:r>
      <w:r>
        <w:rPr>
          <w:rFonts w:hint="default"/>
        </w:rPr>
        <w:t>10.6</w:t>
      </w:r>
      <w:r>
        <w:rPr>
          <w:rFonts w:hint="eastAsia"/>
          <w:lang w:eastAsia="zh-CN"/>
        </w:rPr>
        <w:t>、</w:t>
      </w:r>
      <w:r>
        <w:rPr>
          <w:rFonts w:hint="default"/>
        </w:rPr>
        <w:t>清洁生产分析结论</w:t>
      </w:r>
      <w:r>
        <w:tab/>
      </w:r>
      <w:r>
        <w:fldChar w:fldCharType="begin"/>
      </w:r>
      <w:r>
        <w:instrText xml:space="preserve"> PAGEREF _Toc18119 \h </w:instrText>
      </w:r>
      <w:r>
        <w:fldChar w:fldCharType="separate"/>
      </w:r>
      <w:r>
        <w:t>158</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_Toc13770 </w:instrText>
      </w:r>
      <w:r>
        <w:rPr>
          <w:rFonts w:hint="default"/>
        </w:rPr>
        <w:fldChar w:fldCharType="separate"/>
      </w:r>
      <w:r>
        <w:rPr>
          <w:rFonts w:hint="default"/>
        </w:rPr>
        <w:t>10.7</w:t>
      </w:r>
      <w:r>
        <w:rPr>
          <w:rFonts w:hint="eastAsia"/>
          <w:lang w:eastAsia="zh-CN"/>
        </w:rPr>
        <w:t>、</w:t>
      </w:r>
      <w:r>
        <w:rPr>
          <w:rFonts w:hint="default"/>
        </w:rPr>
        <w:t>选址合理性分析结论</w:t>
      </w:r>
      <w:r>
        <w:tab/>
      </w:r>
      <w:r>
        <w:fldChar w:fldCharType="begin"/>
      </w:r>
      <w:r>
        <w:instrText xml:space="preserve"> PAGEREF _Toc13770 \h </w:instrText>
      </w:r>
      <w:r>
        <w:fldChar w:fldCharType="separate"/>
      </w:r>
      <w:r>
        <w:t>158</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_Toc18282 </w:instrText>
      </w:r>
      <w:r>
        <w:rPr>
          <w:rFonts w:hint="default"/>
        </w:rPr>
        <w:fldChar w:fldCharType="separate"/>
      </w:r>
      <w:r>
        <w:rPr>
          <w:rFonts w:hint="default"/>
        </w:rPr>
        <w:t>10.8</w:t>
      </w:r>
      <w:r>
        <w:rPr>
          <w:rFonts w:hint="eastAsia"/>
          <w:lang w:eastAsia="zh-CN"/>
        </w:rPr>
        <w:t>、</w:t>
      </w:r>
      <w:r>
        <w:rPr>
          <w:rFonts w:hint="default"/>
        </w:rPr>
        <w:t>公众参与分析结论</w:t>
      </w:r>
      <w:r>
        <w:tab/>
      </w:r>
      <w:r>
        <w:fldChar w:fldCharType="begin"/>
      </w:r>
      <w:r>
        <w:instrText xml:space="preserve"> PAGEREF _Toc18282 \h </w:instrText>
      </w:r>
      <w:r>
        <w:fldChar w:fldCharType="separate"/>
      </w:r>
      <w:r>
        <w:t>158</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_Toc16454 </w:instrText>
      </w:r>
      <w:r>
        <w:rPr>
          <w:rFonts w:hint="default"/>
        </w:rPr>
        <w:fldChar w:fldCharType="separate"/>
      </w:r>
      <w:r>
        <w:rPr>
          <w:rFonts w:hint="default"/>
        </w:rPr>
        <w:t>10.9</w:t>
      </w:r>
      <w:r>
        <w:rPr>
          <w:rFonts w:hint="eastAsia"/>
          <w:lang w:eastAsia="zh-CN"/>
        </w:rPr>
        <w:t>、</w:t>
      </w:r>
      <w:r>
        <w:rPr>
          <w:rFonts w:hint="default"/>
        </w:rPr>
        <w:t>环评总结论</w:t>
      </w:r>
      <w:r>
        <w:tab/>
      </w:r>
      <w:r>
        <w:fldChar w:fldCharType="begin"/>
      </w:r>
      <w:r>
        <w:instrText xml:space="preserve"> PAGEREF _Toc16454 \h </w:instrText>
      </w:r>
      <w:r>
        <w:fldChar w:fldCharType="separate"/>
      </w:r>
      <w:r>
        <w:t>158</w:t>
      </w:r>
      <w:r>
        <w:fldChar w:fldCharType="end"/>
      </w:r>
      <w:r>
        <w:rPr>
          <w:rFonts w:hint="default"/>
        </w:rPr>
        <w:fldChar w:fldCharType="end"/>
      </w:r>
    </w:p>
    <w:p>
      <w:pPr>
        <w:pStyle w:val="10"/>
        <w:tabs>
          <w:tab w:val="right" w:leader="dot" w:pos="8958"/>
        </w:tabs>
      </w:pPr>
      <w:r>
        <w:rPr>
          <w:rFonts w:hint="default"/>
        </w:rPr>
        <w:fldChar w:fldCharType="begin"/>
      </w:r>
      <w:r>
        <w:rPr>
          <w:rFonts w:hint="default"/>
        </w:rPr>
        <w:instrText xml:space="preserve"> HYPERLINK \l _Toc12141 </w:instrText>
      </w:r>
      <w:r>
        <w:rPr>
          <w:rFonts w:hint="default"/>
        </w:rPr>
        <w:fldChar w:fldCharType="separate"/>
      </w:r>
      <w:r>
        <w:rPr>
          <w:rFonts w:hint="default"/>
        </w:rPr>
        <w:t>10.10</w:t>
      </w:r>
      <w:r>
        <w:rPr>
          <w:rFonts w:hint="eastAsia"/>
          <w:lang w:eastAsia="zh-CN"/>
        </w:rPr>
        <w:t>、</w:t>
      </w:r>
      <w:r>
        <w:rPr>
          <w:rFonts w:hint="default"/>
        </w:rPr>
        <w:t>要求及建议</w:t>
      </w:r>
      <w:r>
        <w:tab/>
      </w:r>
      <w:r>
        <w:fldChar w:fldCharType="begin"/>
      </w:r>
      <w:r>
        <w:instrText xml:space="preserve"> PAGEREF _Toc12141 \h </w:instrText>
      </w:r>
      <w:r>
        <w:fldChar w:fldCharType="separate"/>
      </w:r>
      <w:r>
        <w:t>158</w:t>
      </w:r>
      <w:r>
        <w:fldChar w:fldCharType="end"/>
      </w:r>
      <w:r>
        <w:rPr>
          <w:rFonts w:hint="default"/>
        </w:rPr>
        <w:fldChar w:fldCharType="end"/>
      </w:r>
    </w:p>
    <w:p>
      <w:pPr>
        <w:bidi w:val="0"/>
        <w:rPr>
          <w:rFonts w:hint="default"/>
        </w:rPr>
        <w:sectPr>
          <w:pgSz w:w="11906" w:h="16838"/>
          <w:pgMar w:top="1474" w:right="1474" w:bottom="1474" w:left="1474"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default"/>
        </w:rPr>
        <w:fldChar w:fldCharType="end"/>
      </w:r>
    </w:p>
    <w:p>
      <w:pPr>
        <w:pStyle w:val="3"/>
        <w:bidi w:val="0"/>
        <w:rPr>
          <w:rFonts w:hint="default"/>
        </w:rPr>
      </w:pPr>
      <w:bookmarkStart w:id="12" w:name="_Toc29375"/>
      <w:bookmarkStart w:id="13" w:name="_Toc8127545"/>
      <w:r>
        <w:rPr>
          <w:rFonts w:hint="default"/>
        </w:rPr>
        <w:t>1概</w:t>
      </w:r>
      <w:bookmarkEnd w:id="2"/>
      <w:bookmarkEnd w:id="3"/>
      <w:r>
        <w:rPr>
          <w:rFonts w:hint="default"/>
        </w:rPr>
        <w:t>述</w:t>
      </w:r>
      <w:bookmarkEnd w:id="4"/>
      <w:bookmarkEnd w:id="12"/>
      <w:bookmarkEnd w:id="13"/>
    </w:p>
    <w:p>
      <w:pPr>
        <w:pStyle w:val="4"/>
        <w:bidi w:val="0"/>
        <w:rPr>
          <w:rFonts w:hint="default"/>
        </w:rPr>
      </w:pPr>
      <w:bookmarkStart w:id="14" w:name="_Toc16693"/>
      <w:bookmarkStart w:id="15" w:name="_Toc8341"/>
      <w:bookmarkStart w:id="16" w:name="_Toc332975134"/>
      <w:bookmarkStart w:id="17" w:name="_Toc341867026"/>
      <w:r>
        <w:rPr>
          <w:rFonts w:hint="default"/>
        </w:rPr>
        <w:t>1.1</w:t>
      </w:r>
      <w:r>
        <w:rPr>
          <w:rFonts w:hint="eastAsia"/>
          <w:lang w:eastAsia="zh-CN"/>
        </w:rPr>
        <w:t>、</w:t>
      </w:r>
      <w:r>
        <w:rPr>
          <w:rFonts w:hint="default"/>
        </w:rPr>
        <w:t>项目背景</w:t>
      </w:r>
      <w:bookmarkEnd w:id="14"/>
      <w:bookmarkEnd w:id="15"/>
    </w:p>
    <w:p>
      <w:pPr>
        <w:pStyle w:val="5"/>
        <w:bidi w:val="0"/>
        <w:rPr>
          <w:rFonts w:hint="default"/>
        </w:rPr>
      </w:pPr>
      <w:r>
        <w:rPr>
          <w:rFonts w:hint="default"/>
        </w:rPr>
        <w:t>1.1.1</w:t>
      </w:r>
      <w:r>
        <w:rPr>
          <w:rFonts w:hint="eastAsia"/>
          <w:lang w:eastAsia="zh-CN"/>
        </w:rPr>
        <w:t>、</w:t>
      </w:r>
      <w:r>
        <w:rPr>
          <w:rFonts w:hint="default"/>
        </w:rPr>
        <w:t>项目建设概况</w:t>
      </w:r>
    </w:p>
    <w:p>
      <w:pPr>
        <w:bidi w:val="0"/>
        <w:rPr>
          <w:rFonts w:hint="eastAsia"/>
          <w:lang w:val="en-US" w:eastAsia="zh-CN"/>
        </w:rPr>
      </w:pPr>
      <w:r>
        <w:rPr>
          <w:rFonts w:hint="eastAsia"/>
          <w:lang w:val="en-US" w:eastAsia="zh-CN"/>
        </w:rPr>
        <w:t>废塑料的回收利用作为一项解决能源、保护环境的措施，正日益受到重视。依据国家发改委2017年发布的数据，2008年以来，我国累计消减塑料袋用量140万吨左右，相当于节省了840万吨石油。废旧塑料熔融造粒，即可缓解塑料原料供需矛盾，又可大量节省国家进口原有的外汇。目前我国废弃塑料主要是为塑料包装袋、包装箱、塑料薄膜、塑料丝及百年制品、泡沫塑料、日用塑料制品、农用地膜等。废弃的塑料绝大部分不可降解，在自然环境中会逐渐变为塑料微粒，目前全球塑料微粒广泛存在，从极地到赤道，从海洋到高山，均发现了塑料微粒的存在。故将塑料制品回收熔融后再生利用，是目前全人类都需要迫切解决的重大问题。</w:t>
      </w:r>
    </w:p>
    <w:p>
      <w:pPr>
        <w:bidi w:val="0"/>
        <w:rPr>
          <w:rFonts w:hint="eastAsia" w:cs="Times New Roman"/>
          <w:lang w:val="en-US" w:eastAsia="zh-CN"/>
        </w:rPr>
      </w:pPr>
      <w:r>
        <w:rPr>
          <w:rFonts w:hint="eastAsia"/>
          <w:lang w:val="en-US" w:eastAsia="zh-CN"/>
        </w:rPr>
        <w:t>目前我国的塑料回收行业，正在缓步上升中，规范废塑料回收利用行业的发展秩序是当务之急。2018年4月，多部</w:t>
      </w:r>
      <w:r>
        <w:rPr>
          <w:rFonts w:hint="default" w:ascii="Times New Roman" w:hAnsi="Times New Roman" w:cs="Times New Roman"/>
          <w:lang w:val="en-US" w:eastAsia="zh-CN"/>
        </w:rPr>
        <w:t>门联合印发了《关于加快推进再生资源行业转型升级的指导意见》（供销经字</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2018</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11号）</w:t>
      </w:r>
      <w:r>
        <w:rPr>
          <w:rFonts w:hint="eastAsia" w:cs="Times New Roman"/>
          <w:lang w:val="en-US" w:eastAsia="zh-CN"/>
        </w:rPr>
        <w:t>，指导意见提出了推进再生资源行业转型升级是贯彻落实党的十九大精神的重要举措、推进再生资源行业转型升级是深化供销合作社综合改革的内在要求、推进再生资源行业转型升级是再生资源企业走出困境的必然选择。</w:t>
      </w:r>
    </w:p>
    <w:p>
      <w:pPr>
        <w:bidi w:val="0"/>
        <w:rPr>
          <w:rFonts w:hint="default" w:cs="Times New Roman"/>
          <w:lang w:val="en-US" w:eastAsia="zh-CN"/>
        </w:rPr>
      </w:pPr>
      <w:r>
        <w:rPr>
          <w:rFonts w:hint="eastAsia" w:cs="Times New Roman"/>
          <w:lang w:val="en-US" w:eastAsia="zh-CN"/>
        </w:rPr>
        <w:t>2020年1月，新疆维吾尔自治区生态环境厅印发了《关于促进全区废旧塑料再生利用按行业有序发展的指导意见》，提出了为发展循环经济，推进废塑料再生资源综合利用产业有序健康发展，防止废料加工利用对人民群众身体健康和环境造成不良影响，提出废塑料再生利用行业指导意见。</w:t>
      </w:r>
    </w:p>
    <w:p>
      <w:pPr>
        <w:bidi w:val="0"/>
        <w:rPr>
          <w:rFonts w:hint="eastAsia" w:cs="Times New Roman"/>
          <w:lang w:val="en-US" w:eastAsia="zh-CN"/>
        </w:rPr>
      </w:pPr>
      <w:r>
        <w:rPr>
          <w:rFonts w:hint="eastAsia"/>
          <w:lang w:val="en-US" w:eastAsia="zh-CN"/>
        </w:rPr>
        <w:t>综上，基本可以判断出，未来几年内，新疆的再生资源回收利用行业将向现代化、集约化、科学化方向发展。</w:t>
      </w:r>
      <w:r>
        <w:rPr>
          <w:rFonts w:hint="eastAsia"/>
          <w:lang w:eastAsia="zh-CN"/>
        </w:rPr>
        <w:t>吉木萨尔县二工镇大泉湖村经济合作社</w:t>
      </w:r>
      <w:r>
        <w:rPr>
          <w:rFonts w:hint="eastAsia"/>
          <w:lang w:val="en-US" w:eastAsia="zh-CN"/>
        </w:rPr>
        <w:t>是吉木萨尔县二工镇大全湖村村民集体出资成立的一家专门从事农用滴灌带回收再生加工利用的企业，是一家在</w:t>
      </w:r>
      <w:r>
        <w:rPr>
          <w:rFonts w:hint="eastAsia" w:cs="Times New Roman"/>
          <w:lang w:val="en-US" w:eastAsia="zh-CN"/>
        </w:rPr>
        <w:t>《关于促进全区废旧塑料再生利用按行业有序发展的指导意见》出台后，果断尝试集约化发展、现代化发展、科学化发展的年轻企业。</w:t>
      </w:r>
    </w:p>
    <w:p>
      <w:pPr>
        <w:bidi w:val="0"/>
        <w:rPr>
          <w:rFonts w:hint="default"/>
        </w:rPr>
      </w:pPr>
      <w:r>
        <w:rPr>
          <w:rFonts w:hint="eastAsia" w:cs="Times New Roman"/>
          <w:lang w:val="en-US" w:eastAsia="zh-CN"/>
        </w:rPr>
        <w:t>吉木萨尔县大力发展小农户和现场农业的有机衔接，积极支持、引导村集体经济组织、农民专业合作社、家庭农场、专业大户、农业企业等不同服务主体参与农业社会化服务，制定政策重点鼓励服务主体农业发展，大力促进乡村产业振兴。滴灌带、地膜加工厂作为农业生产的重要辅助工程，目前吉木萨尔县已经建成成规模化废旧滴灌带回收加工厂2家，年产能合计约为1.2万t，尚不能完全满足吉木萨尔县农业种植需要。故</w:t>
      </w:r>
      <w:r>
        <w:rPr>
          <w:rFonts w:hint="eastAsia"/>
          <w:lang w:eastAsia="zh-CN"/>
        </w:rPr>
        <w:t>吉木萨尔县二工镇大泉湖村经济合作社</w:t>
      </w:r>
      <w:r>
        <w:rPr>
          <w:rFonts w:hint="default"/>
        </w:rPr>
        <w:t>（以下简称建设单位）拟在投资建设</w:t>
      </w:r>
      <w:r>
        <w:rPr>
          <w:rFonts w:hint="eastAsia"/>
          <w:lang w:eastAsia="zh-CN"/>
        </w:rPr>
        <w:t>吉木萨尔县天雨滴灌带地膜加工建设项目</w:t>
      </w:r>
      <w:r>
        <w:rPr>
          <w:rFonts w:hint="default"/>
        </w:rPr>
        <w:t>。项目主要建设内容包括生产车间</w:t>
      </w:r>
      <w:r>
        <w:rPr>
          <w:rFonts w:hint="eastAsia"/>
          <w:lang w:eastAsia="zh-CN"/>
        </w:rPr>
        <w:t>、</w:t>
      </w:r>
      <w:r>
        <w:rPr>
          <w:rFonts w:hint="eastAsia"/>
          <w:lang w:val="en-US" w:eastAsia="zh-CN"/>
        </w:rPr>
        <w:t>造粒车间、办公室、宿舍等</w:t>
      </w:r>
      <w:r>
        <w:rPr>
          <w:rFonts w:hint="default"/>
        </w:rPr>
        <w:t>，</w:t>
      </w:r>
      <w:r>
        <w:rPr>
          <w:rFonts w:hint="eastAsia"/>
          <w:lang w:val="en-US" w:eastAsia="zh-CN"/>
        </w:rPr>
        <w:t>建设3</w:t>
      </w:r>
      <w:r>
        <w:rPr>
          <w:rFonts w:hint="default"/>
        </w:rPr>
        <w:t>条塑料造粒机组生产线，</w:t>
      </w:r>
      <w:r>
        <w:rPr>
          <w:rFonts w:hint="eastAsia"/>
          <w:lang w:val="en-US" w:eastAsia="zh-CN"/>
        </w:rPr>
        <w:t>10</w:t>
      </w:r>
      <w:r>
        <w:rPr>
          <w:rFonts w:hint="default"/>
        </w:rPr>
        <w:t>条滴灌带及配套设施设备生产线，</w:t>
      </w:r>
      <w:r>
        <w:rPr>
          <w:rFonts w:hint="eastAsia"/>
          <w:lang w:val="en-US" w:eastAsia="zh-CN"/>
        </w:rPr>
        <w:t>2</w:t>
      </w:r>
      <w:r>
        <w:rPr>
          <w:rFonts w:hint="default"/>
        </w:rPr>
        <w:t>条地膜生产线，</w:t>
      </w:r>
      <w:r>
        <w:rPr>
          <w:rFonts w:hint="default"/>
          <w:lang w:val="en-US" w:eastAsia="zh-CN"/>
        </w:rPr>
        <w:t>2</w:t>
      </w:r>
      <w:r>
        <w:rPr>
          <w:rFonts w:hint="default"/>
        </w:rPr>
        <w:t>条</w:t>
      </w:r>
      <w:r>
        <w:rPr>
          <w:rFonts w:hint="default"/>
          <w:lang w:val="en-US" w:eastAsia="zh-CN"/>
        </w:rPr>
        <w:t>PE管</w:t>
      </w:r>
      <w:r>
        <w:rPr>
          <w:rFonts w:hint="default"/>
        </w:rPr>
        <w:t>生产线；配套建设原料库房、产品库房、职工宿舍及供水、供电、供热等辅助工程。项目建成后可实现年回收废旧滴灌带</w:t>
      </w:r>
      <w:r>
        <w:rPr>
          <w:rFonts w:hint="eastAsia"/>
          <w:lang w:val="en-US" w:eastAsia="zh-CN"/>
        </w:rPr>
        <w:t>0.5</w:t>
      </w:r>
      <w:r>
        <w:rPr>
          <w:rFonts w:hint="default"/>
          <w:lang w:val="en-US" w:eastAsia="zh-CN"/>
        </w:rPr>
        <w:t>万</w:t>
      </w:r>
      <w:r>
        <w:rPr>
          <w:rFonts w:hint="default"/>
        </w:rPr>
        <w:t>t，年产</w:t>
      </w:r>
      <w:r>
        <w:rPr>
          <w:rFonts w:hint="default"/>
          <w:lang w:val="en-US" w:eastAsia="zh-CN"/>
        </w:rPr>
        <w:t>农业节水滴灌带</w:t>
      </w:r>
      <w:r>
        <w:rPr>
          <w:rFonts w:hint="eastAsia"/>
          <w:lang w:val="en-US" w:eastAsia="zh-CN"/>
        </w:rPr>
        <w:t>0.5万</w:t>
      </w:r>
      <w:r>
        <w:rPr>
          <w:rFonts w:hint="default"/>
        </w:rPr>
        <w:t>t、地膜</w:t>
      </w:r>
      <w:r>
        <w:rPr>
          <w:rFonts w:hint="eastAsia"/>
          <w:lang w:val="en-US" w:eastAsia="zh-CN"/>
        </w:rPr>
        <w:t>0.06万</w:t>
      </w:r>
      <w:r>
        <w:rPr>
          <w:rFonts w:hint="default"/>
        </w:rPr>
        <w:t>t、</w:t>
      </w:r>
      <w:r>
        <w:rPr>
          <w:rFonts w:hint="default"/>
          <w:lang w:val="en-US" w:eastAsia="zh-CN"/>
        </w:rPr>
        <w:t>PE管件</w:t>
      </w:r>
      <w:r>
        <w:rPr>
          <w:rFonts w:hint="eastAsia"/>
          <w:lang w:val="en-US" w:eastAsia="zh-CN"/>
        </w:rPr>
        <w:t>0.05万</w:t>
      </w:r>
      <w:r>
        <w:rPr>
          <w:rFonts w:hint="default"/>
        </w:rPr>
        <w:t>t。</w:t>
      </w:r>
    </w:p>
    <w:p>
      <w:pPr>
        <w:pStyle w:val="5"/>
        <w:bidi w:val="0"/>
        <w:rPr>
          <w:rFonts w:hint="default"/>
        </w:rPr>
      </w:pPr>
      <w:r>
        <w:rPr>
          <w:rFonts w:hint="default"/>
        </w:rPr>
        <w:t>1.1.2</w:t>
      </w:r>
      <w:r>
        <w:rPr>
          <w:rFonts w:hint="eastAsia"/>
          <w:lang w:eastAsia="zh-CN"/>
        </w:rPr>
        <w:t>、</w:t>
      </w:r>
      <w:r>
        <w:rPr>
          <w:rFonts w:hint="default"/>
        </w:rPr>
        <w:t>项目建设背景</w:t>
      </w:r>
    </w:p>
    <w:p>
      <w:pPr>
        <w:bidi w:val="0"/>
        <w:rPr>
          <w:rFonts w:hint="default"/>
        </w:rPr>
      </w:pPr>
      <w:r>
        <w:rPr>
          <w:rFonts w:hint="eastAsia"/>
          <w:lang w:eastAsia="zh-CN"/>
        </w:rPr>
        <w:t>吉木萨尔县二工镇大泉湖村经济合作社</w:t>
      </w:r>
      <w:r>
        <w:rPr>
          <w:rFonts w:hint="default"/>
        </w:rPr>
        <w:t>成立于</w:t>
      </w:r>
      <w:r>
        <w:rPr>
          <w:rFonts w:hint="eastAsia"/>
          <w:lang w:eastAsia="zh-CN"/>
        </w:rPr>
        <w:t>202</w:t>
      </w:r>
      <w:r>
        <w:rPr>
          <w:rFonts w:hint="eastAsia"/>
          <w:lang w:val="en-US" w:eastAsia="zh-CN"/>
        </w:rPr>
        <w:t>0</w:t>
      </w:r>
      <w:r>
        <w:rPr>
          <w:rFonts w:hint="default"/>
        </w:rPr>
        <w:t>年</w:t>
      </w:r>
      <w:r>
        <w:rPr>
          <w:rFonts w:hint="eastAsia"/>
          <w:lang w:val="en-US" w:eastAsia="zh-CN"/>
        </w:rPr>
        <w:t>06</w:t>
      </w:r>
      <w:r>
        <w:rPr>
          <w:rFonts w:hint="default"/>
        </w:rPr>
        <w:t>月</w:t>
      </w:r>
      <w:r>
        <w:rPr>
          <w:rFonts w:hint="eastAsia"/>
          <w:lang w:val="en-US" w:eastAsia="zh-CN"/>
        </w:rPr>
        <w:t>05</w:t>
      </w:r>
      <w:r>
        <w:rPr>
          <w:rFonts w:hint="default"/>
        </w:rPr>
        <w:t>日，</w:t>
      </w:r>
      <w:r>
        <w:rPr>
          <w:rFonts w:hint="default"/>
          <w:lang w:eastAsia="zh-CN"/>
        </w:rPr>
        <w:t>注册资本</w:t>
      </w:r>
      <w:r>
        <w:rPr>
          <w:rFonts w:hint="eastAsia"/>
          <w:lang w:val="en-US" w:eastAsia="zh-CN"/>
        </w:rPr>
        <w:t>257.82</w:t>
      </w:r>
      <w:r>
        <w:rPr>
          <w:rFonts w:hint="default"/>
        </w:rPr>
        <w:t>万元，业务范围：节水灌溉高新技术开发及推广；新型节水器材中试及推广；节水灌溉计算机应用软件开发利用；给水用PVC管材、PE管材及各种配件、压力补偿滴灌带、迷宫式滴灌带、內镶式滴灌带、农膜、滴灌器生产及销售；废旧塑料回收及加工；废料销售；农业机械销售；农业节水灌溉工程的施工。</w:t>
      </w:r>
    </w:p>
    <w:p>
      <w:pPr>
        <w:bidi w:val="0"/>
        <w:rPr>
          <w:rFonts w:hint="default"/>
          <w:lang w:val="en-US" w:eastAsia="zh-CN"/>
        </w:rPr>
      </w:pPr>
      <w:r>
        <w:rPr>
          <w:rFonts w:hint="default"/>
        </w:rPr>
        <w:t>为</w:t>
      </w:r>
      <w:r>
        <w:rPr>
          <w:rFonts w:hint="default"/>
          <w:lang w:eastAsia="zh-CN"/>
        </w:rPr>
        <w:t>贯彻落实</w:t>
      </w:r>
      <w:r>
        <w:rPr>
          <w:rFonts w:hint="eastAsia"/>
          <w:lang w:eastAsia="zh-CN"/>
        </w:rPr>
        <w:t>吉木萨尔县</w:t>
      </w:r>
      <w:r>
        <w:rPr>
          <w:rFonts w:hint="default"/>
          <w:lang w:eastAsia="zh-CN"/>
        </w:rPr>
        <w:t>坚决打赢蓝天保卫战工作要求，切实做好</w:t>
      </w:r>
      <w:r>
        <w:rPr>
          <w:rFonts w:hint="eastAsia"/>
          <w:lang w:eastAsia="zh-CN"/>
        </w:rPr>
        <w:t>吉木萨尔县“</w:t>
      </w:r>
      <w:r>
        <w:rPr>
          <w:rFonts w:hint="default"/>
          <w:lang w:eastAsia="zh-CN"/>
        </w:rPr>
        <w:t>散乱污</w:t>
      </w:r>
      <w:r>
        <w:rPr>
          <w:rFonts w:hint="eastAsia"/>
          <w:lang w:eastAsia="zh-CN"/>
        </w:rPr>
        <w:t>”</w:t>
      </w:r>
      <w:r>
        <w:rPr>
          <w:rFonts w:hint="default"/>
          <w:lang w:eastAsia="zh-CN"/>
        </w:rPr>
        <w:t>企业综合治理工作，按照县委县政府的要求，</w:t>
      </w:r>
      <w:r>
        <w:rPr>
          <w:rFonts w:hint="eastAsia"/>
          <w:lang w:val="en-US" w:eastAsia="zh-CN"/>
        </w:rPr>
        <w:t>吉木萨尔县二工镇大全湖村村委会成立了</w:t>
      </w:r>
      <w:r>
        <w:rPr>
          <w:rFonts w:hint="eastAsia"/>
          <w:lang w:eastAsia="zh-CN"/>
        </w:rPr>
        <w:t>吉木萨尔县二工镇大泉湖村经济合作社</w:t>
      </w:r>
      <w:r>
        <w:rPr>
          <w:rFonts w:hint="default"/>
          <w:lang w:eastAsia="zh-CN"/>
        </w:rPr>
        <w:t>，并拟</w:t>
      </w:r>
      <w:r>
        <w:rPr>
          <w:rFonts w:hint="default"/>
          <w:lang w:val="en-US" w:eastAsia="zh-CN"/>
        </w:rPr>
        <w:t>建</w:t>
      </w:r>
      <w:r>
        <w:rPr>
          <w:rFonts w:hint="eastAsia"/>
          <w:lang w:eastAsia="zh-CN"/>
        </w:rPr>
        <w:t>“</w:t>
      </w:r>
      <w:r>
        <w:rPr>
          <w:rFonts w:hint="eastAsia"/>
          <w:lang w:val="en-US" w:eastAsia="zh-CN"/>
        </w:rPr>
        <w:t>吉木萨尔县天雨滴灌带地膜加工建设项目”</w:t>
      </w:r>
      <w:r>
        <w:rPr>
          <w:rFonts w:hint="default"/>
          <w:lang w:val="en-US" w:eastAsia="zh-CN"/>
        </w:rPr>
        <w:t>。</w:t>
      </w:r>
    </w:p>
    <w:p>
      <w:pPr>
        <w:bidi w:val="0"/>
        <w:rPr>
          <w:rFonts w:hint="default"/>
        </w:rPr>
      </w:pPr>
      <w:r>
        <w:rPr>
          <w:rFonts w:hint="default"/>
          <w:lang w:eastAsia="zh-CN"/>
        </w:rPr>
        <w:t>项目</w:t>
      </w:r>
      <w:r>
        <w:rPr>
          <w:rFonts w:hint="default"/>
        </w:rPr>
        <w:t>通过废旧滴灌带的回收，减少农田残膜污染，提高土地肥力</w:t>
      </w:r>
      <w:r>
        <w:rPr>
          <w:rFonts w:hint="default"/>
          <w:lang w:eastAsia="zh-CN"/>
        </w:rPr>
        <w:t>。</w:t>
      </w:r>
      <w:r>
        <w:rPr>
          <w:rFonts w:hint="default"/>
        </w:rPr>
        <w:t>实现节能减排，有利于加快循环经济产业的发展。</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b w:val="0"/>
          <w:bCs w:val="0"/>
          <w:color w:val="FF0000"/>
          <w:kern w:val="0"/>
          <w:sz w:val="24"/>
          <w:szCs w:val="24"/>
          <w:lang w:val="en-US" w:eastAsia="zh-CN" w:bidi="ar-SA"/>
        </w:rPr>
      </w:pPr>
      <w:r>
        <w:rPr>
          <w:rFonts w:hint="default" w:ascii="Times New Roman" w:hAnsi="Times New Roman" w:eastAsia="宋体" w:cs="Times New Roman"/>
          <w:b w:val="0"/>
          <w:bCs w:val="0"/>
          <w:i w:val="0"/>
          <w:iCs w:val="0"/>
          <w:color w:val="FF0000"/>
          <w:kern w:val="2"/>
          <w:sz w:val="24"/>
          <w:szCs w:val="24"/>
          <w:lang w:val="en-US" w:eastAsia="zh-CN" w:bidi="ar-SA"/>
        </w:rPr>
        <w:t>根据《（新疆）2018年吉木萨尔县国民经济和社会发展统计公报》，全县农作物播种面积83.7万亩，比上年增加1.1万亩，增长1.28%</w:t>
      </w:r>
      <w:r>
        <w:rPr>
          <w:rFonts w:hint="default" w:ascii="Times New Roman" w:hAnsi="Times New Roman" w:cs="Times New Roman"/>
          <w:b w:val="0"/>
          <w:bCs w:val="0"/>
          <w:color w:val="FF0000"/>
          <w:kern w:val="0"/>
          <w:sz w:val="24"/>
          <w:lang w:val="en-US" w:eastAsia="zh-CN"/>
        </w:rPr>
        <w:t>，滴灌带产生量大，原料来源充足</w:t>
      </w:r>
      <w:r>
        <w:rPr>
          <w:rFonts w:hint="eastAsia" w:ascii="Times New Roman" w:hAnsi="Times New Roman" w:cs="Times New Roman"/>
          <w:b w:val="0"/>
          <w:bCs w:val="0"/>
          <w:color w:val="FF0000"/>
          <w:kern w:val="0"/>
          <w:sz w:val="24"/>
          <w:lang w:val="en-US" w:eastAsia="zh-CN"/>
        </w:rPr>
        <w:t>，</w:t>
      </w:r>
      <w:r>
        <w:rPr>
          <w:rFonts w:hint="default" w:ascii="Times New Roman" w:hAnsi="Times New Roman" w:cs="Times New Roman"/>
          <w:b w:val="0"/>
          <w:bCs w:val="0"/>
          <w:color w:val="FF0000"/>
          <w:kern w:val="0"/>
          <w:sz w:val="24"/>
          <w:lang w:val="en-US" w:eastAsia="zh-CN"/>
        </w:rPr>
        <w:t>具有很高的回收及利用价值</w:t>
      </w:r>
      <w:r>
        <w:rPr>
          <w:rFonts w:hint="eastAsia" w:ascii="Times New Roman" w:hAnsi="Times New Roman" w:cs="Times New Roman"/>
          <w:b w:val="0"/>
          <w:bCs w:val="0"/>
          <w:color w:val="FF0000"/>
          <w:kern w:val="0"/>
          <w:sz w:val="24"/>
          <w:szCs w:val="24"/>
          <w:lang w:val="en-US" w:eastAsia="zh-CN" w:bidi="ar-SA"/>
        </w:rPr>
        <w:t>。每年废滴灌带的产生量约为1.5万t</w:t>
      </w:r>
      <w:r>
        <w:rPr>
          <w:rFonts w:hint="default" w:ascii="Times New Roman" w:hAnsi="Times New Roman" w:cs="Times New Roman"/>
          <w:b w:val="0"/>
          <w:bCs w:val="0"/>
          <w:color w:val="FF0000"/>
          <w:kern w:val="0"/>
          <w:sz w:val="24"/>
          <w:szCs w:val="24"/>
          <w:lang w:val="en-US" w:eastAsia="zh-CN" w:bidi="ar-SA"/>
        </w:rPr>
        <w:t>，</w:t>
      </w:r>
      <w:r>
        <w:rPr>
          <w:rFonts w:hint="eastAsia" w:ascii="Times New Roman" w:hAnsi="Times New Roman" w:cs="Times New Roman"/>
          <w:b w:val="0"/>
          <w:bCs w:val="0"/>
          <w:color w:val="FF0000"/>
          <w:kern w:val="0"/>
          <w:sz w:val="24"/>
          <w:szCs w:val="24"/>
          <w:lang w:val="en-US" w:eastAsia="zh-CN" w:bidi="ar-SA"/>
        </w:rPr>
        <w:t>现有废旧滴灌带主要去向为县内滴灌带厂回收造粒，近年，吉木萨尔县针对不符合环保要求的小型滴灌带厂进行查处。</w:t>
      </w:r>
      <w:r>
        <w:rPr>
          <w:rFonts w:hint="eastAsia" w:ascii="Times New Roman" w:hAnsi="Times New Roman" w:eastAsia="宋体" w:cs="Times New Roman"/>
          <w:b w:val="0"/>
          <w:bCs w:val="0"/>
          <w:color w:val="FF0000"/>
          <w:kern w:val="0"/>
          <w:sz w:val="24"/>
          <w:szCs w:val="24"/>
          <w:lang w:val="en-US" w:eastAsia="zh-CN" w:bidi="ar-SA"/>
        </w:rPr>
        <w:t>目前吉木萨尔县内同类企业有：</w:t>
      </w:r>
      <w:r>
        <w:rPr>
          <w:rFonts w:hint="default" w:ascii="Times New Roman" w:hAnsi="Times New Roman" w:eastAsia="宋体" w:cs="Times New Roman"/>
          <w:b w:val="0"/>
          <w:bCs w:val="0"/>
          <w:color w:val="FF0000"/>
          <w:kern w:val="0"/>
          <w:sz w:val="24"/>
          <w:szCs w:val="24"/>
          <w:lang w:val="en-US" w:eastAsia="zh-CN" w:bidi="ar-SA"/>
        </w:rPr>
        <w:t>吉木萨尔县庆丰源农机专业合作社</w:t>
      </w:r>
      <w:r>
        <w:rPr>
          <w:rFonts w:hint="eastAsia" w:ascii="Times New Roman" w:hAnsi="Times New Roman" w:eastAsia="宋体" w:cs="Times New Roman"/>
          <w:b w:val="0"/>
          <w:bCs w:val="0"/>
          <w:color w:val="FF0000"/>
          <w:kern w:val="0"/>
          <w:sz w:val="24"/>
          <w:szCs w:val="24"/>
          <w:lang w:val="en-US" w:eastAsia="zh-CN" w:bidi="ar-SA"/>
        </w:rPr>
        <w:t>（滴灌带厂，年产废旧塑料颗粒料</w:t>
      </w:r>
      <w:r>
        <w:rPr>
          <w:rFonts w:hint="default" w:ascii="Times New Roman" w:hAnsi="Times New Roman" w:eastAsia="宋体" w:cs="Times New Roman"/>
          <w:b w:val="0"/>
          <w:bCs w:val="0"/>
          <w:color w:val="FF0000"/>
          <w:kern w:val="0"/>
          <w:sz w:val="24"/>
          <w:szCs w:val="24"/>
          <w:lang w:val="en-US" w:eastAsia="zh-CN" w:bidi="ar-SA"/>
        </w:rPr>
        <w:t>5025</w:t>
      </w:r>
      <w:r>
        <w:rPr>
          <w:rFonts w:hint="eastAsia" w:ascii="Times New Roman" w:hAnsi="Times New Roman" w:eastAsia="宋体" w:cs="Times New Roman"/>
          <w:b w:val="0"/>
          <w:bCs w:val="0"/>
          <w:color w:val="FF0000"/>
          <w:kern w:val="0"/>
          <w:sz w:val="24"/>
          <w:szCs w:val="24"/>
          <w:lang w:val="en-US" w:eastAsia="zh-CN" w:bidi="ar-SA"/>
        </w:rPr>
        <w:t>吨，年产滴灌带</w:t>
      </w:r>
      <w:r>
        <w:rPr>
          <w:rFonts w:hint="default" w:ascii="Times New Roman" w:hAnsi="Times New Roman" w:eastAsia="宋体" w:cs="Times New Roman"/>
          <w:b w:val="0"/>
          <w:bCs w:val="0"/>
          <w:color w:val="FF0000"/>
          <w:kern w:val="0"/>
          <w:sz w:val="24"/>
          <w:szCs w:val="24"/>
          <w:lang w:val="en-US" w:eastAsia="zh-CN" w:bidi="ar-SA"/>
        </w:rPr>
        <w:t>4000</w:t>
      </w:r>
      <w:r>
        <w:rPr>
          <w:rFonts w:hint="eastAsia" w:ascii="Times New Roman" w:hAnsi="Times New Roman" w:eastAsia="宋体" w:cs="Times New Roman"/>
          <w:b w:val="0"/>
          <w:bCs w:val="0"/>
          <w:color w:val="FF0000"/>
          <w:kern w:val="0"/>
          <w:sz w:val="24"/>
          <w:szCs w:val="24"/>
          <w:lang w:val="en-US" w:eastAsia="zh-CN" w:bidi="ar-SA"/>
        </w:rPr>
        <w:t>吨，原料为废旧滴灌带、农田</w:t>
      </w:r>
      <w:r>
        <w:rPr>
          <w:rFonts w:hint="default" w:ascii="Times New Roman" w:hAnsi="Times New Roman" w:eastAsia="宋体" w:cs="Times New Roman"/>
          <w:b w:val="0"/>
          <w:bCs w:val="0"/>
          <w:color w:val="FF0000"/>
          <w:kern w:val="0"/>
          <w:sz w:val="24"/>
          <w:szCs w:val="24"/>
          <w:lang w:val="en-US" w:eastAsia="zh-CN" w:bidi="ar-SA"/>
        </w:rPr>
        <w:t>残膜</w:t>
      </w:r>
      <w:r>
        <w:rPr>
          <w:rFonts w:hint="eastAsia" w:ascii="Times New Roman" w:hAnsi="Times New Roman" w:eastAsia="宋体" w:cs="Times New Roman"/>
          <w:b w:val="0"/>
          <w:bCs w:val="0"/>
          <w:color w:val="FF0000"/>
          <w:kern w:val="0"/>
          <w:sz w:val="24"/>
          <w:szCs w:val="24"/>
          <w:lang w:val="en-US" w:eastAsia="zh-CN" w:bidi="ar-SA"/>
        </w:rPr>
        <w:t>）；</w:t>
      </w:r>
      <w:r>
        <w:rPr>
          <w:rFonts w:hint="default" w:ascii="Times New Roman" w:hAnsi="Times New Roman" w:eastAsia="宋体" w:cs="Times New Roman"/>
          <w:b w:val="0"/>
          <w:bCs w:val="0"/>
          <w:color w:val="FF0000"/>
          <w:kern w:val="0"/>
          <w:sz w:val="24"/>
          <w:szCs w:val="24"/>
          <w:lang w:val="en-US" w:eastAsia="zh-CN" w:bidi="ar-SA"/>
        </w:rPr>
        <w:t>吉木萨尔县汇农残膜回收造粒厂</w:t>
      </w:r>
      <w:r>
        <w:rPr>
          <w:rFonts w:hint="eastAsia" w:ascii="Times New Roman" w:hAnsi="Times New Roman" w:eastAsia="宋体" w:cs="Times New Roman"/>
          <w:b w:val="0"/>
          <w:bCs w:val="0"/>
          <w:color w:val="FF0000"/>
          <w:kern w:val="0"/>
          <w:sz w:val="24"/>
          <w:szCs w:val="24"/>
          <w:lang w:val="en-US" w:eastAsia="zh-CN" w:bidi="ar-SA"/>
        </w:rPr>
        <w:t>（年产12</w:t>
      </w:r>
      <w:r>
        <w:rPr>
          <w:rFonts w:hint="default" w:ascii="Times New Roman" w:hAnsi="Times New Roman" w:eastAsia="宋体" w:cs="Times New Roman"/>
          <w:b w:val="0"/>
          <w:bCs w:val="0"/>
          <w:color w:val="FF0000"/>
          <w:kern w:val="0"/>
          <w:sz w:val="24"/>
          <w:szCs w:val="24"/>
          <w:lang w:val="en-US" w:eastAsia="zh-CN" w:bidi="ar-SA"/>
        </w:rPr>
        <w:t>00</w:t>
      </w:r>
      <w:r>
        <w:rPr>
          <w:rFonts w:hint="eastAsia" w:ascii="Times New Roman" w:hAnsi="Times New Roman" w:eastAsia="宋体" w:cs="Times New Roman"/>
          <w:b w:val="0"/>
          <w:bCs w:val="0"/>
          <w:color w:val="FF0000"/>
          <w:kern w:val="0"/>
          <w:sz w:val="24"/>
          <w:szCs w:val="24"/>
          <w:lang w:val="en-US" w:eastAsia="zh-CN" w:bidi="ar-SA"/>
        </w:rPr>
        <w:t>吨再生塑料颗粒、1200吨地膜、工业薄膜等，原料农田</w:t>
      </w:r>
      <w:r>
        <w:rPr>
          <w:rFonts w:hint="default" w:ascii="Times New Roman" w:hAnsi="Times New Roman" w:eastAsia="宋体" w:cs="Times New Roman"/>
          <w:b w:val="0"/>
          <w:bCs w:val="0"/>
          <w:color w:val="FF0000"/>
          <w:kern w:val="0"/>
          <w:sz w:val="24"/>
          <w:szCs w:val="24"/>
          <w:lang w:val="en-US" w:eastAsia="zh-CN" w:bidi="ar-SA"/>
        </w:rPr>
        <w:t>残膜</w:t>
      </w:r>
      <w:r>
        <w:rPr>
          <w:rFonts w:hint="eastAsia" w:ascii="Times New Roman" w:hAnsi="Times New Roman" w:eastAsia="宋体" w:cs="Times New Roman"/>
          <w:b w:val="0"/>
          <w:bCs w:val="0"/>
          <w:color w:val="FF0000"/>
          <w:kern w:val="0"/>
          <w:sz w:val="24"/>
          <w:szCs w:val="24"/>
          <w:lang w:val="en-US" w:eastAsia="zh-CN" w:bidi="ar-SA"/>
        </w:rPr>
        <w:t>），</w:t>
      </w:r>
      <w:r>
        <w:rPr>
          <w:rFonts w:hint="eastAsia" w:ascii="Times New Roman" w:hAnsi="Times New Roman" w:cs="Times New Roman"/>
          <w:b w:val="0"/>
          <w:bCs w:val="0"/>
          <w:color w:val="FF0000"/>
          <w:kern w:val="0"/>
          <w:sz w:val="24"/>
          <w:szCs w:val="24"/>
          <w:lang w:val="en-US" w:eastAsia="zh-CN" w:bidi="ar-SA"/>
        </w:rPr>
        <w:t>其产能不足以回收吉木萨尔县每年产生的废滴灌带，本</w:t>
      </w:r>
      <w:r>
        <w:rPr>
          <w:rFonts w:hint="default" w:ascii="Times New Roman" w:hAnsi="Times New Roman" w:eastAsia="宋体" w:cs="Times New Roman"/>
          <w:b w:val="0"/>
          <w:bCs w:val="0"/>
          <w:color w:val="FF0000"/>
          <w:kern w:val="0"/>
          <w:sz w:val="24"/>
          <w:szCs w:val="24"/>
          <w:lang w:val="en-US" w:eastAsia="zh-CN" w:bidi="ar-SA"/>
        </w:rPr>
        <w:t>项目</w:t>
      </w:r>
      <w:r>
        <w:rPr>
          <w:rFonts w:hint="eastAsia" w:ascii="Times New Roman" w:hAnsi="Times New Roman" w:cs="Times New Roman"/>
          <w:b w:val="0"/>
          <w:bCs w:val="0"/>
          <w:color w:val="FF0000"/>
          <w:kern w:val="0"/>
          <w:sz w:val="24"/>
          <w:szCs w:val="24"/>
          <w:lang w:val="en-US" w:eastAsia="zh-CN" w:bidi="ar-SA"/>
        </w:rPr>
        <w:t>建成后，</w:t>
      </w:r>
      <w:r>
        <w:rPr>
          <w:rFonts w:hint="default" w:ascii="Times New Roman" w:hAnsi="Times New Roman" w:eastAsia="宋体" w:cs="Times New Roman"/>
          <w:b w:val="0"/>
          <w:bCs w:val="0"/>
          <w:color w:val="FF0000"/>
          <w:kern w:val="0"/>
          <w:sz w:val="24"/>
          <w:szCs w:val="24"/>
          <w:lang w:val="en-US" w:eastAsia="zh-CN" w:bidi="ar-SA"/>
        </w:rPr>
        <w:t>年回收废旧滴灌带</w:t>
      </w:r>
      <w:r>
        <w:rPr>
          <w:rFonts w:hint="eastAsia" w:ascii="Times New Roman" w:hAnsi="Times New Roman" w:eastAsia="宋体" w:cs="Times New Roman"/>
          <w:b w:val="0"/>
          <w:bCs w:val="0"/>
          <w:color w:val="FF0000"/>
          <w:kern w:val="0"/>
          <w:sz w:val="24"/>
          <w:szCs w:val="24"/>
          <w:lang w:val="en-US" w:eastAsia="zh-CN" w:bidi="ar-SA"/>
        </w:rPr>
        <w:t>50</w:t>
      </w:r>
      <w:r>
        <w:rPr>
          <w:rFonts w:hint="default" w:ascii="Times New Roman" w:hAnsi="Times New Roman" w:eastAsia="宋体" w:cs="Times New Roman"/>
          <w:b w:val="0"/>
          <w:bCs w:val="0"/>
          <w:color w:val="FF0000"/>
          <w:kern w:val="0"/>
          <w:sz w:val="24"/>
          <w:szCs w:val="24"/>
          <w:lang w:val="en-US" w:eastAsia="zh-CN" w:bidi="ar-SA"/>
        </w:rPr>
        <w:t>00t/a</w:t>
      </w:r>
      <w:r>
        <w:rPr>
          <w:rFonts w:hint="eastAsia" w:ascii="Times New Roman" w:hAnsi="Times New Roman" w:eastAsia="宋体" w:cs="Times New Roman"/>
          <w:b w:val="0"/>
          <w:bCs w:val="0"/>
          <w:color w:val="FF0000"/>
          <w:kern w:val="0"/>
          <w:sz w:val="24"/>
          <w:szCs w:val="24"/>
          <w:lang w:val="en-US" w:eastAsia="zh-CN" w:bidi="ar-SA"/>
        </w:rPr>
        <w:t>，</w:t>
      </w:r>
      <w:r>
        <w:rPr>
          <w:rFonts w:hint="eastAsia" w:ascii="Times New Roman" w:hAnsi="Times New Roman" w:cs="Times New Roman"/>
          <w:b w:val="0"/>
          <w:bCs w:val="0"/>
          <w:color w:val="FF0000"/>
          <w:kern w:val="0"/>
          <w:sz w:val="24"/>
          <w:szCs w:val="24"/>
          <w:lang w:val="en-US" w:eastAsia="zh-CN" w:bidi="ar-SA"/>
        </w:rPr>
        <w:t>以吉木萨尔县目前的废滴灌带产生量，可</w:t>
      </w:r>
      <w:r>
        <w:rPr>
          <w:rFonts w:hint="eastAsia" w:ascii="Times New Roman" w:hAnsi="Times New Roman" w:eastAsia="宋体" w:cs="Times New Roman"/>
          <w:b w:val="0"/>
          <w:bCs w:val="0"/>
          <w:color w:val="FF0000"/>
          <w:kern w:val="0"/>
          <w:sz w:val="24"/>
          <w:szCs w:val="24"/>
          <w:lang w:val="en-US" w:eastAsia="zh-CN" w:bidi="ar-SA"/>
        </w:rPr>
        <w:t>保证项目的生产运营。</w:t>
      </w:r>
    </w:p>
    <w:p>
      <w:pPr>
        <w:bidi w:val="0"/>
        <w:rPr>
          <w:rFonts w:hint="default"/>
        </w:rPr>
      </w:pPr>
      <w:r>
        <w:rPr>
          <w:rFonts w:hint="eastAsia"/>
          <w:lang w:eastAsia="zh-CN"/>
        </w:rPr>
        <w:t>吉木萨尔县二工镇大泉湖村经济合作社</w:t>
      </w:r>
      <w:r>
        <w:rPr>
          <w:rFonts w:hint="default"/>
        </w:rPr>
        <w:t>综合考虑</w:t>
      </w:r>
      <w:r>
        <w:rPr>
          <w:rFonts w:hint="eastAsia"/>
          <w:lang w:eastAsia="zh-CN"/>
        </w:rPr>
        <w:t>吉木萨尔县</w:t>
      </w:r>
      <w:r>
        <w:rPr>
          <w:rFonts w:hint="default"/>
        </w:rPr>
        <w:t>市场需求和自身技术条件，准备在</w:t>
      </w:r>
      <w:r>
        <w:rPr>
          <w:rFonts w:hint="eastAsia"/>
          <w:lang w:val="en-US" w:eastAsia="zh-CN"/>
        </w:rPr>
        <w:t>吉木萨尔县二工镇</w:t>
      </w:r>
      <w:r>
        <w:rPr>
          <w:rFonts w:hint="default"/>
        </w:rPr>
        <w:t>建设年回收</w:t>
      </w:r>
      <w:r>
        <w:rPr>
          <w:rFonts w:hint="eastAsia"/>
          <w:lang w:val="en-US" w:eastAsia="zh-CN"/>
        </w:rPr>
        <w:t>0.5</w:t>
      </w:r>
      <w:r>
        <w:rPr>
          <w:rFonts w:hint="default"/>
          <w:lang w:val="en-US" w:eastAsia="zh-CN"/>
        </w:rPr>
        <w:t>万</w:t>
      </w:r>
      <w:r>
        <w:rPr>
          <w:rFonts w:hint="default"/>
        </w:rPr>
        <w:t>t废旧滴灌带，年产</w:t>
      </w:r>
      <w:r>
        <w:rPr>
          <w:rFonts w:hint="default"/>
          <w:lang w:val="en-US" w:eastAsia="zh-CN"/>
        </w:rPr>
        <w:t>农业节水滴灌带</w:t>
      </w:r>
      <w:r>
        <w:rPr>
          <w:rFonts w:hint="eastAsia"/>
          <w:lang w:val="en-US" w:eastAsia="zh-CN"/>
        </w:rPr>
        <w:t>5000</w:t>
      </w:r>
      <w:r>
        <w:rPr>
          <w:rFonts w:hint="default"/>
        </w:rPr>
        <w:t>t、地膜</w:t>
      </w:r>
      <w:r>
        <w:rPr>
          <w:rFonts w:hint="eastAsia"/>
          <w:lang w:val="en-US" w:eastAsia="zh-CN"/>
        </w:rPr>
        <w:t>600</w:t>
      </w:r>
      <w:r>
        <w:rPr>
          <w:rFonts w:hint="default"/>
        </w:rPr>
        <w:t>t、</w:t>
      </w:r>
      <w:r>
        <w:rPr>
          <w:rFonts w:hint="default"/>
          <w:lang w:val="en-US" w:eastAsia="zh-CN"/>
        </w:rPr>
        <w:t>PE管件</w:t>
      </w:r>
      <w:r>
        <w:rPr>
          <w:rFonts w:hint="eastAsia"/>
          <w:lang w:val="en-US" w:eastAsia="zh-CN"/>
        </w:rPr>
        <w:t>500</w:t>
      </w:r>
      <w:r>
        <w:rPr>
          <w:rFonts w:hint="default"/>
        </w:rPr>
        <w:t>t。满足《废塑料综合利用行业规范条件》（中华人民共和国工业和信息部公告 2015 年第 81 号）中</w:t>
      </w:r>
      <w:r>
        <w:rPr>
          <w:rFonts w:hint="eastAsia"/>
          <w:lang w:eastAsia="zh-CN"/>
        </w:rPr>
        <w:t>“</w:t>
      </w:r>
      <w:r>
        <w:rPr>
          <w:rFonts w:hint="default"/>
        </w:rPr>
        <w:t>塑料再生造粒类企业：新建企业年废塑料处理能力不低于5000t</w:t>
      </w:r>
      <w:r>
        <w:rPr>
          <w:rFonts w:hint="eastAsia"/>
          <w:lang w:eastAsia="zh-CN"/>
        </w:rPr>
        <w:t>”</w:t>
      </w:r>
      <w:r>
        <w:rPr>
          <w:rFonts w:hint="default"/>
        </w:rPr>
        <w:t>要求。项目回收废旧滴灌带进行清洗后制成塑料颗粒，同时加入商品聚乙烯颗粒、黑色母料和抗老化剂加工成滴灌带、地膜及</w:t>
      </w:r>
      <w:r>
        <w:rPr>
          <w:rFonts w:hint="default"/>
          <w:lang w:eastAsia="zh-CN"/>
        </w:rPr>
        <w:t>PE管材</w:t>
      </w:r>
      <w:r>
        <w:rPr>
          <w:rFonts w:hint="default"/>
        </w:rPr>
        <w:t>。项目通过废旧滴灌带回收再加工利用，生产滴灌带、地膜及</w:t>
      </w:r>
      <w:r>
        <w:rPr>
          <w:rFonts w:hint="default"/>
          <w:lang w:eastAsia="zh-CN"/>
        </w:rPr>
        <w:t>PE管材</w:t>
      </w:r>
      <w:r>
        <w:rPr>
          <w:rFonts w:hint="default"/>
        </w:rPr>
        <w:t>用于当地滴灌节水农业及生产，将进一步促进当地旱作节水农业建设，同时减少农田残膜污染，提高土地肥力，不仅</w:t>
      </w:r>
      <w:r>
        <w:rPr>
          <w:rFonts w:hint="eastAsia"/>
          <w:lang w:val="en-US" w:eastAsia="zh-CN"/>
        </w:rPr>
        <w:t>能</w:t>
      </w:r>
      <w:r>
        <w:rPr>
          <w:rFonts w:hint="default"/>
        </w:rPr>
        <w:t>实现资源化综合利用，而且</w:t>
      </w:r>
      <w:r>
        <w:rPr>
          <w:rFonts w:hint="eastAsia"/>
          <w:lang w:val="en-US" w:eastAsia="zh-CN"/>
        </w:rPr>
        <w:t>能</w:t>
      </w:r>
      <w:r>
        <w:rPr>
          <w:rFonts w:hint="default"/>
        </w:rPr>
        <w:t>获得较高经济社会效益和环境效益。</w:t>
      </w:r>
    </w:p>
    <w:p>
      <w:pPr>
        <w:bidi w:val="0"/>
        <w:rPr>
          <w:rFonts w:hint="eastAsia"/>
          <w:lang w:val="en-US" w:eastAsia="zh-CN"/>
        </w:rPr>
      </w:pPr>
      <w:r>
        <w:rPr>
          <w:rFonts w:hint="eastAsia"/>
          <w:lang w:eastAsia="zh-CN"/>
        </w:rPr>
        <w:t>吉木萨尔县二工镇大泉湖村经济合作社</w:t>
      </w:r>
      <w:r>
        <w:rPr>
          <w:rFonts w:hint="eastAsia"/>
          <w:lang w:val="en-US" w:eastAsia="zh-CN"/>
        </w:rPr>
        <w:t>通过采用购买吉木萨尔县二工镇现有的建设用地，新建厂房，设施方式，达到满足</w:t>
      </w:r>
      <w:r>
        <w:rPr>
          <w:rFonts w:hint="eastAsia"/>
          <w:lang w:eastAsia="zh-CN"/>
        </w:rPr>
        <w:t>吉木萨尔县二工镇大泉湖村经济合作社</w:t>
      </w:r>
      <w:r>
        <w:rPr>
          <w:rFonts w:hint="default"/>
        </w:rPr>
        <w:t>年回收</w:t>
      </w:r>
      <w:r>
        <w:rPr>
          <w:rFonts w:hint="eastAsia"/>
          <w:lang w:val="en-US" w:eastAsia="zh-CN"/>
        </w:rPr>
        <w:t>0.5</w:t>
      </w:r>
      <w:r>
        <w:rPr>
          <w:rFonts w:hint="default"/>
          <w:lang w:val="en-US" w:eastAsia="zh-CN"/>
        </w:rPr>
        <w:t>万</w:t>
      </w:r>
      <w:r>
        <w:rPr>
          <w:rFonts w:hint="default"/>
        </w:rPr>
        <w:t>t废旧滴灌带，年产</w:t>
      </w:r>
      <w:r>
        <w:rPr>
          <w:rFonts w:hint="default"/>
          <w:lang w:val="en-US" w:eastAsia="zh-CN"/>
        </w:rPr>
        <w:t>农业节水滴灌带</w:t>
      </w:r>
      <w:r>
        <w:rPr>
          <w:rFonts w:hint="eastAsia"/>
          <w:lang w:val="en-US" w:eastAsia="zh-CN"/>
        </w:rPr>
        <w:t>5000</w:t>
      </w:r>
      <w:r>
        <w:rPr>
          <w:rFonts w:hint="default"/>
        </w:rPr>
        <w:t>t、地膜</w:t>
      </w:r>
      <w:r>
        <w:rPr>
          <w:rFonts w:hint="eastAsia"/>
          <w:lang w:val="en-US" w:eastAsia="zh-CN"/>
        </w:rPr>
        <w:t>600</w:t>
      </w:r>
      <w:r>
        <w:rPr>
          <w:rFonts w:hint="default"/>
        </w:rPr>
        <w:t>t、</w:t>
      </w:r>
      <w:r>
        <w:rPr>
          <w:rFonts w:hint="default"/>
          <w:lang w:val="en-US" w:eastAsia="zh-CN"/>
        </w:rPr>
        <w:t>PE管件</w:t>
      </w:r>
      <w:r>
        <w:rPr>
          <w:rFonts w:hint="eastAsia"/>
          <w:lang w:val="en-US" w:eastAsia="zh-CN"/>
        </w:rPr>
        <w:t>500</w:t>
      </w:r>
      <w:r>
        <w:rPr>
          <w:rFonts w:hint="default"/>
        </w:rPr>
        <w:t>t</w:t>
      </w:r>
      <w:r>
        <w:rPr>
          <w:rFonts w:hint="eastAsia"/>
          <w:lang w:val="en-US" w:eastAsia="zh-CN"/>
        </w:rPr>
        <w:t>的生产要求。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Autospacing="0" w:after="0" w:afterAutospacing="0" w:line="360" w:lineRule="auto"/>
        <w:ind w:left="0" w:right="0" w:firstLine="480" w:firstLineChars="200"/>
        <w:jc w:val="both"/>
        <w:textAlignment w:val="auto"/>
        <w:rPr>
          <w:rFonts w:hint="eastAsia"/>
          <w:lang w:val="en-US" w:eastAsia="zh-CN"/>
        </w:rPr>
      </w:pPr>
      <w:r>
        <w:rPr>
          <w:rFonts w:hint="default" w:ascii="Times New Roman" w:hAnsi="Times New Roman" w:eastAsia="宋体" w:cs="Times New Roman"/>
          <w:b w:val="0"/>
          <w:bCs w:val="0"/>
          <w:color w:val="auto"/>
          <w:kern w:val="0"/>
          <w:sz w:val="24"/>
          <w:szCs w:val="24"/>
          <w:lang w:val="en-US" w:eastAsia="zh-CN" w:bidi="ar-SA"/>
        </w:rPr>
        <w:t>项目建设规模主要为年回收废旧滴灌带5000t/a</w:t>
      </w:r>
      <w:r>
        <w:rPr>
          <w:rFonts w:hint="default" w:ascii="Times New Roman" w:hAnsi="Times New Roman" w:cs="Times New Roman"/>
          <w:b w:val="0"/>
          <w:bCs w:val="0"/>
          <w:color w:val="auto"/>
          <w:kern w:val="0"/>
          <w:sz w:val="24"/>
          <w:szCs w:val="24"/>
          <w:lang w:val="en-US" w:eastAsia="zh-CN" w:bidi="ar-SA"/>
        </w:rPr>
        <w:t>，</w:t>
      </w:r>
      <w:r>
        <w:rPr>
          <w:rFonts w:hint="default" w:ascii="Times New Roman" w:hAnsi="Times New Roman" w:eastAsia="宋体" w:cs="Times New Roman"/>
          <w:color w:val="auto"/>
          <w:spacing w:val="-4"/>
          <w:sz w:val="24"/>
          <w:szCs w:val="24"/>
          <w:lang w:eastAsia="zh-CN"/>
        </w:rPr>
        <w:t>废旧塑料回收来源</w:t>
      </w:r>
      <w:r>
        <w:rPr>
          <w:rFonts w:hint="default" w:ascii="Times New Roman" w:hAnsi="Times New Roman" w:eastAsia="宋体" w:cs="Times New Roman"/>
          <w:color w:val="auto"/>
          <w:spacing w:val="-4"/>
          <w:sz w:val="24"/>
          <w:szCs w:val="24"/>
        </w:rPr>
        <w:t>主要</w:t>
      </w:r>
      <w:r>
        <w:rPr>
          <w:rFonts w:hint="default" w:ascii="Times New Roman" w:hAnsi="Times New Roman" w:eastAsia="宋体" w:cs="Times New Roman"/>
          <w:color w:val="auto"/>
          <w:spacing w:val="-4"/>
          <w:sz w:val="24"/>
          <w:szCs w:val="24"/>
          <w:lang w:eastAsia="zh-CN"/>
        </w:rPr>
        <w:t>为</w:t>
      </w:r>
      <w:r>
        <w:rPr>
          <w:rFonts w:hint="default" w:ascii="Times New Roman" w:hAnsi="Times New Roman" w:eastAsia="宋体" w:cs="Times New Roman"/>
          <w:color w:val="auto"/>
          <w:spacing w:val="-4"/>
          <w:sz w:val="24"/>
          <w:szCs w:val="24"/>
          <w:lang w:val="en-US" w:eastAsia="zh-CN"/>
        </w:rPr>
        <w:t>吉木萨尔县二工镇47000亩、北庭镇10000亩、红旗农场85000亩、三台镇27000亩、泉子街镇23000亩、大有镇10000亩、阜康滋泥泉子42000亩、奇台县吉布库镇47000亩、半截沟镇49000亩等废旧农用滴灌带，每亩15公斤。废旧滴灌带塑料回收量达到5000吨/年以上（详见吉木萨尔</w:t>
      </w:r>
      <w:r>
        <w:rPr>
          <w:rFonts w:hint="default" w:ascii="Times New Roman" w:hAnsi="Times New Roman" w:eastAsia="宋体" w:cs="Times New Roman"/>
          <w:b w:val="0"/>
          <w:bCs w:val="0"/>
          <w:color w:val="auto"/>
          <w:kern w:val="0"/>
          <w:sz w:val="24"/>
          <w:szCs w:val="24"/>
          <w:lang w:val="en-US" w:eastAsia="zh-CN" w:bidi="ar-SA"/>
        </w:rPr>
        <w:t>县商务和工信部文件）。</w:t>
      </w:r>
    </w:p>
    <w:p>
      <w:pPr>
        <w:bidi w:val="0"/>
        <w:rPr>
          <w:rFonts w:hint="default"/>
          <w:lang w:val="en-US" w:eastAsia="zh-CN"/>
        </w:rPr>
      </w:pPr>
      <w:r>
        <w:rPr>
          <w:rFonts w:hint="eastAsia"/>
          <w:lang w:val="en-US" w:eastAsia="zh-CN"/>
        </w:rPr>
        <w:t>目前</w:t>
      </w:r>
      <w:r>
        <w:rPr>
          <w:rFonts w:hint="eastAsia"/>
          <w:lang w:eastAsia="zh-CN"/>
        </w:rPr>
        <w:t>吉木萨尔县二工镇大泉湖村经济合作社</w:t>
      </w:r>
      <w:r>
        <w:rPr>
          <w:rFonts w:hint="eastAsia"/>
          <w:lang w:val="en-US" w:eastAsia="zh-CN"/>
        </w:rPr>
        <w:t>已购买获得了吉木萨尔县二工镇现有的建设用地，目前正在进行生产设备、环保设备选型等工作。根据现场踏勘，项目区尚未进行施工，</w:t>
      </w:r>
      <w:r>
        <w:rPr>
          <w:rFonts w:hint="eastAsia"/>
          <w:lang w:eastAsia="zh-CN"/>
        </w:rPr>
        <w:t>吉木萨尔县二工镇大泉湖村经济合作社</w:t>
      </w:r>
      <w:r>
        <w:rPr>
          <w:rFonts w:hint="eastAsia"/>
          <w:lang w:val="en-US" w:eastAsia="zh-CN"/>
        </w:rPr>
        <w:t>不存在未批先建违法情况。</w:t>
      </w:r>
    </w:p>
    <w:p>
      <w:pPr>
        <w:pStyle w:val="4"/>
        <w:bidi w:val="0"/>
        <w:rPr>
          <w:rFonts w:hint="default"/>
        </w:rPr>
      </w:pPr>
      <w:bookmarkStart w:id="18" w:name="_Toc16768"/>
      <w:bookmarkStart w:id="19" w:name="_Toc27552"/>
      <w:r>
        <w:rPr>
          <w:rFonts w:hint="default"/>
        </w:rPr>
        <w:t>1.2</w:t>
      </w:r>
      <w:r>
        <w:rPr>
          <w:rFonts w:hint="eastAsia"/>
          <w:lang w:eastAsia="zh-CN"/>
        </w:rPr>
        <w:t>、</w:t>
      </w:r>
      <w:r>
        <w:rPr>
          <w:rFonts w:hint="default"/>
        </w:rPr>
        <w:t>项目特点</w:t>
      </w:r>
      <w:bookmarkEnd w:id="18"/>
      <w:bookmarkEnd w:id="19"/>
    </w:p>
    <w:p>
      <w:pPr>
        <w:bidi w:val="0"/>
        <w:rPr>
          <w:rFonts w:hint="default"/>
        </w:rPr>
      </w:pPr>
      <w:r>
        <w:rPr>
          <w:rFonts w:hint="default"/>
        </w:rPr>
        <w:t>本项目废旧滴灌带回收再生生产线</w:t>
      </w:r>
      <w:r>
        <w:rPr>
          <w:rFonts w:hint="default"/>
          <w:lang w:val="en-US" w:eastAsia="zh-CN"/>
        </w:rPr>
        <w:t>主</w:t>
      </w:r>
      <w:r>
        <w:rPr>
          <w:rFonts w:hint="default"/>
        </w:rPr>
        <w:t>要包括聚乙烯再生颗粒生产单元、滴灌带生产单元、地膜生产单元</w:t>
      </w:r>
      <w:r>
        <w:rPr>
          <w:rFonts w:hint="default"/>
          <w:lang w:val="en-US" w:eastAsia="zh-CN"/>
        </w:rPr>
        <w:t>和PE管生产单元</w:t>
      </w:r>
      <w:r>
        <w:rPr>
          <w:rFonts w:hint="default"/>
        </w:rPr>
        <w:t>等，配套建设相关公辅设施。项目特点概括如下：</w:t>
      </w:r>
    </w:p>
    <w:p>
      <w:pPr>
        <w:bidi w:val="0"/>
        <w:rPr>
          <w:rFonts w:hint="default"/>
        </w:rPr>
      </w:pPr>
      <w:r>
        <w:rPr>
          <w:rFonts w:hint="default"/>
        </w:rPr>
        <w:t>（1）废旧滴灌带回收再生项目的总体工艺路线可概括为：废旧滴灌带→分拣、清洗、破碎→热熔→聚乙烯再生造粒→注塑定型→滴灌带、</w:t>
      </w:r>
      <w:r>
        <w:rPr>
          <w:rFonts w:hint="default"/>
          <w:lang w:val="en-US" w:eastAsia="zh-CN"/>
        </w:rPr>
        <w:t>PE管</w:t>
      </w:r>
      <w:r>
        <w:rPr>
          <w:rFonts w:hint="default"/>
        </w:rPr>
        <w:t>和农用地膜。</w:t>
      </w:r>
    </w:p>
    <w:p>
      <w:pPr>
        <w:bidi w:val="0"/>
        <w:rPr>
          <w:rFonts w:hint="default"/>
        </w:rPr>
      </w:pPr>
      <w:r>
        <w:rPr>
          <w:rFonts w:hint="default"/>
        </w:rPr>
        <w:t>（2）项目产生的主要环境问题为大气环境影响、地下水环境影响、噪声环境影响、固体废物环境影响及社会环境影响等。项目废水污染源主要为清洗废水和生活污水，污染因子为COD、BOD</w:t>
      </w:r>
      <w:r>
        <w:rPr>
          <w:rFonts w:hint="default"/>
          <w:vertAlign w:val="subscript"/>
        </w:rPr>
        <w:t>5</w:t>
      </w:r>
      <w:r>
        <w:rPr>
          <w:rFonts w:hint="default"/>
        </w:rPr>
        <w:t>、SS、NH</w:t>
      </w:r>
      <w:r>
        <w:rPr>
          <w:rFonts w:hint="default"/>
          <w:vertAlign w:val="subscript"/>
        </w:rPr>
        <w:t>3</w:t>
      </w:r>
      <w:r>
        <w:rPr>
          <w:rFonts w:hint="default"/>
        </w:rPr>
        <w:t>-N等；废气污染源主要为热熔、再生造粒、注塑定型过程中产生有机废气和混料、破碎过程中产生的粉尘，污染因子为颗粒物、非甲烷总烃；噪声污染源主要为废旧塑料破碎、清洗、分选、干燥、再生造粒、注塑定型过程机械运行噪声；固体废物主要有废旧塑料分拣杂质、沉淀池污泥、塑料挤出机过滤网片、残次品及边角料和员工生活垃圾。</w:t>
      </w:r>
    </w:p>
    <w:p>
      <w:pPr>
        <w:bidi w:val="0"/>
        <w:rPr>
          <w:rFonts w:hint="default"/>
        </w:rPr>
      </w:pPr>
      <w:r>
        <w:rPr>
          <w:rFonts w:hint="default"/>
        </w:rPr>
        <w:t>（3）项目生产过程中</w:t>
      </w:r>
      <w:r>
        <w:rPr>
          <w:rFonts w:hint="eastAsia"/>
          <w:lang w:val="en-US" w:eastAsia="zh-CN"/>
        </w:rPr>
        <w:t>产生的</w:t>
      </w:r>
      <w:r>
        <w:rPr>
          <w:rFonts w:hint="default"/>
        </w:rPr>
        <w:t>清洗废水经沉淀处理后循环使用，每天</w:t>
      </w:r>
      <w:r>
        <w:rPr>
          <w:rFonts w:hint="eastAsia"/>
          <w:lang w:val="en-US" w:eastAsia="zh-CN"/>
        </w:rPr>
        <w:t>定</w:t>
      </w:r>
      <w:r>
        <w:rPr>
          <w:rFonts w:hint="default"/>
        </w:rPr>
        <w:t>排生活污水约</w:t>
      </w:r>
      <w:r>
        <w:rPr>
          <w:rFonts w:hint="default"/>
          <w:lang w:val="en-US" w:eastAsia="zh-CN"/>
        </w:rPr>
        <w:t>3.36</w:t>
      </w:r>
      <w:r>
        <w:rPr>
          <w:rFonts w:hint="eastAsia"/>
          <w:lang w:val="en-US" w:eastAsia="zh-CN"/>
        </w:rPr>
        <w:t>m³</w:t>
      </w:r>
      <w:r>
        <w:rPr>
          <w:rFonts w:hint="default"/>
        </w:rPr>
        <w:t>/d，</w:t>
      </w:r>
      <w:r>
        <w:rPr>
          <w:rFonts w:hint="eastAsia"/>
          <w:lang w:val="en-US" w:eastAsia="zh-CN"/>
        </w:rPr>
        <w:t>抽运至吉木萨尔县二工镇污水处理厂进行后续处理</w:t>
      </w:r>
      <w:r>
        <w:rPr>
          <w:rFonts w:hint="default"/>
        </w:rPr>
        <w:t>；噪声选用技术先进低噪声设备，并对高噪声设备采取基础固定减震、布置在厂房内等降噪措施；固体废物进行综合利用，分拣废物外运填埋处理</w:t>
      </w:r>
      <w:r>
        <w:rPr>
          <w:rFonts w:hint="default"/>
          <w:lang w:eastAsia="zh-CN"/>
        </w:rPr>
        <w:t>，</w:t>
      </w:r>
      <w:r>
        <w:rPr>
          <w:rFonts w:hint="default"/>
        </w:rPr>
        <w:t>沉降池污泥</w:t>
      </w:r>
      <w:r>
        <w:rPr>
          <w:rFonts w:hint="default"/>
          <w:lang w:val="en-US" w:eastAsia="zh-CN"/>
        </w:rPr>
        <w:t>和生活垃圾</w:t>
      </w:r>
      <w:r>
        <w:rPr>
          <w:rFonts w:hint="default"/>
        </w:rPr>
        <w:t>统一收集后，由环卫部门转运至</w:t>
      </w:r>
      <w:r>
        <w:rPr>
          <w:rFonts w:hint="eastAsia"/>
          <w:lang w:eastAsia="zh-CN"/>
        </w:rPr>
        <w:t>吉木萨尔县</w:t>
      </w:r>
      <w:r>
        <w:rPr>
          <w:rFonts w:hint="default"/>
          <w:lang w:eastAsia="zh-CN"/>
        </w:rPr>
        <w:t>垃圾填埋场</w:t>
      </w:r>
      <w:r>
        <w:rPr>
          <w:rFonts w:hint="default"/>
        </w:rPr>
        <w:t>进行填埋处理</w:t>
      </w:r>
      <w:r>
        <w:rPr>
          <w:rFonts w:hint="default"/>
          <w:lang w:eastAsia="zh-CN"/>
        </w:rPr>
        <w:t>，</w:t>
      </w:r>
      <w:r>
        <w:rPr>
          <w:rFonts w:hint="default"/>
        </w:rPr>
        <w:t>塑料挤出机过滤网片采用专用容器妥善贮存由厂家回收</w:t>
      </w:r>
      <w:r>
        <w:rPr>
          <w:rFonts w:hint="default"/>
          <w:lang w:eastAsia="zh-CN"/>
        </w:rPr>
        <w:t>，</w:t>
      </w:r>
      <w:r>
        <w:rPr>
          <w:rFonts w:hint="default"/>
        </w:rPr>
        <w:t>滴灌带生产残次品及边角料全部回用于造粒工序；项目产生的有机废气经收集后经等离子光氧一体机</w:t>
      </w:r>
      <w:r>
        <w:rPr>
          <w:rFonts w:hint="eastAsia"/>
          <w:lang w:val="en-US" w:eastAsia="zh-CN"/>
        </w:rPr>
        <w:t>+活性炭吸附</w:t>
      </w:r>
      <w:r>
        <w:rPr>
          <w:rFonts w:hint="default"/>
        </w:rPr>
        <w:t>处理后+15m排气筒外排，</w:t>
      </w:r>
      <w:r>
        <w:rPr>
          <w:rFonts w:hint="default"/>
          <w:lang w:val="en-US" w:eastAsia="zh-CN"/>
        </w:rPr>
        <w:t>采用干法破碎工艺，</w:t>
      </w:r>
      <w:r>
        <w:rPr>
          <w:rFonts w:hint="default"/>
        </w:rPr>
        <w:t>破碎机顶部设置雾化喷嘴，混料粉尘经喷淋除尘。</w:t>
      </w:r>
    </w:p>
    <w:p>
      <w:pPr>
        <w:bidi w:val="0"/>
        <w:rPr>
          <w:rFonts w:hint="default"/>
        </w:rPr>
      </w:pPr>
      <w:r>
        <w:rPr>
          <w:rFonts w:hint="default"/>
        </w:rPr>
        <w:t>（4）项目选址位于</w:t>
      </w:r>
      <w:r>
        <w:rPr>
          <w:rFonts w:hint="eastAsia"/>
          <w:lang w:val="en-US" w:eastAsia="zh-CN"/>
        </w:rPr>
        <w:t>吉木萨尔县二工镇</w:t>
      </w:r>
      <w:r>
        <w:rPr>
          <w:rFonts w:hint="default"/>
        </w:rPr>
        <w:t>，目前选址及周边为平坦的</w:t>
      </w:r>
      <w:r>
        <w:rPr>
          <w:rFonts w:hint="eastAsia"/>
          <w:lang w:val="en-US" w:eastAsia="zh-CN"/>
        </w:rPr>
        <w:t>建设</w:t>
      </w:r>
      <w:r>
        <w:rPr>
          <w:rFonts w:hint="default"/>
        </w:rPr>
        <w:t>用地，可依托的基础设施主要为道路、给水、电通等。企业生产废水主要以自行处理后回用为主。本项目生产废水经沉淀</w:t>
      </w:r>
      <w:r>
        <w:rPr>
          <w:rFonts w:hint="default"/>
          <w:lang w:val="en-US" w:eastAsia="zh-CN"/>
        </w:rPr>
        <w:t>过滤</w:t>
      </w:r>
      <w:r>
        <w:rPr>
          <w:rFonts w:hint="default"/>
        </w:rPr>
        <w:t>处理后回用于生产；生活污水经</w:t>
      </w:r>
      <w:r>
        <w:rPr>
          <w:rFonts w:hint="eastAsia"/>
          <w:lang w:val="en-US" w:eastAsia="zh-CN"/>
        </w:rPr>
        <w:t>收集后定期抽运至二工镇污水处理厂进行后续处理</w:t>
      </w:r>
      <w:r>
        <w:rPr>
          <w:rFonts w:hint="default"/>
        </w:rPr>
        <w:t>。</w:t>
      </w:r>
    </w:p>
    <w:bookmarkEnd w:id="16"/>
    <w:bookmarkEnd w:id="17"/>
    <w:p>
      <w:pPr>
        <w:pStyle w:val="4"/>
        <w:bidi w:val="0"/>
        <w:rPr>
          <w:rFonts w:hint="default"/>
        </w:rPr>
      </w:pPr>
      <w:bookmarkStart w:id="20" w:name="_Toc332975135"/>
      <w:bookmarkStart w:id="21" w:name="_Toc25320"/>
      <w:bookmarkStart w:id="22" w:name="_Toc16728"/>
      <w:bookmarkStart w:id="23" w:name="_Toc341867029"/>
      <w:r>
        <w:rPr>
          <w:rFonts w:hint="default"/>
        </w:rPr>
        <w:t>1.3</w:t>
      </w:r>
      <w:r>
        <w:rPr>
          <w:rFonts w:hint="eastAsia"/>
          <w:lang w:eastAsia="zh-CN"/>
        </w:rPr>
        <w:t>、</w:t>
      </w:r>
      <w:r>
        <w:rPr>
          <w:rFonts w:hint="default"/>
        </w:rPr>
        <w:t>环评工作过程</w:t>
      </w:r>
      <w:bookmarkEnd w:id="20"/>
      <w:bookmarkEnd w:id="21"/>
      <w:bookmarkEnd w:id="22"/>
      <w:bookmarkEnd w:id="23"/>
    </w:p>
    <w:p>
      <w:pPr>
        <w:bidi w:val="0"/>
        <w:rPr>
          <w:rFonts w:hint="default"/>
        </w:rPr>
      </w:pPr>
      <w:r>
        <w:rPr>
          <w:rFonts w:hint="default"/>
        </w:rPr>
        <w:t>项目在</w:t>
      </w:r>
      <w:r>
        <w:rPr>
          <w:rFonts w:hint="eastAsia"/>
          <w:lang w:eastAsia="zh-CN"/>
        </w:rPr>
        <w:t>吉木萨尔县</w:t>
      </w:r>
      <w:r>
        <w:rPr>
          <w:rFonts w:hint="default"/>
          <w:lang w:eastAsia="zh-CN"/>
        </w:rPr>
        <w:t>发展和改革委员会</w:t>
      </w:r>
      <w:r>
        <w:rPr>
          <w:rFonts w:hint="default"/>
        </w:rPr>
        <w:t>取得了企业投资项目备案证明，备案证</w:t>
      </w:r>
      <w:r>
        <w:rPr>
          <w:rFonts w:hint="default"/>
          <w:lang w:val="en-US" w:eastAsia="zh-CN"/>
        </w:rPr>
        <w:t>编码</w:t>
      </w:r>
      <w:r>
        <w:rPr>
          <w:rFonts w:hint="default"/>
        </w:rPr>
        <w:t>：</w:t>
      </w:r>
      <w:r>
        <w:rPr>
          <w:rFonts w:hint="eastAsia"/>
          <w:lang w:val="en-US" w:eastAsia="zh-CN"/>
        </w:rPr>
        <w:t>2108-652327-20-01-690912</w:t>
      </w:r>
      <w:r>
        <w:rPr>
          <w:rFonts w:hint="default"/>
        </w:rPr>
        <w:t>。</w:t>
      </w:r>
      <w:r>
        <w:rPr>
          <w:rFonts w:hint="default"/>
          <w:lang w:val="en-US" w:eastAsia="zh-CN"/>
        </w:rPr>
        <w:t>确定</w:t>
      </w:r>
      <w:r>
        <w:rPr>
          <w:rFonts w:hint="default"/>
        </w:rPr>
        <w:t>了项目建设地点、投资总额、建设内容、执行年限等。</w:t>
      </w:r>
    </w:p>
    <w:p>
      <w:pPr>
        <w:bidi w:val="0"/>
        <w:rPr>
          <w:rFonts w:hint="default"/>
        </w:rPr>
      </w:pPr>
      <w:r>
        <w:rPr>
          <w:rFonts w:hint="default"/>
        </w:rPr>
        <w:t>根据《中华人民共和国环境保护法》、《中华人民共和国环境影响评价法》、《建设项目环境保护管理条例》等相关规定，建设单位</w:t>
      </w:r>
      <w:r>
        <w:rPr>
          <w:rFonts w:hint="eastAsia"/>
          <w:lang w:eastAsia="zh-CN"/>
        </w:rPr>
        <w:t>吉木萨尔县二工镇大泉湖村经济合作社</w:t>
      </w:r>
      <w:r>
        <w:rPr>
          <w:rFonts w:hint="default"/>
        </w:rPr>
        <w:t>特委托</w:t>
      </w:r>
      <w:r>
        <w:rPr>
          <w:rFonts w:hint="eastAsia"/>
          <w:lang w:eastAsia="zh-CN"/>
        </w:rPr>
        <w:t>乌鲁木齐鑫达众合环保科技有限公司</w:t>
      </w:r>
      <w:r>
        <w:rPr>
          <w:rFonts w:hint="default"/>
        </w:rPr>
        <w:t>（以下简称评价单位）承担</w:t>
      </w:r>
      <w:r>
        <w:rPr>
          <w:rFonts w:hint="eastAsia"/>
          <w:lang w:eastAsia="zh-CN"/>
        </w:rPr>
        <w:t>“吉木萨尔县天雨滴灌带地膜加工建设项目”</w:t>
      </w:r>
      <w:r>
        <w:rPr>
          <w:rFonts w:hint="default"/>
        </w:rPr>
        <w:t>的环境影响评价工作。环境影响评价一般分为三个阶段，即调查分析和工作方案制定阶段，分析论证和预测评价阶段，环境影响报告书编制阶段。环境影响评价的工作程序见图1.3-1。</w:t>
      </w:r>
    </w:p>
    <w:p>
      <w:pPr>
        <w:bidi w:val="0"/>
        <w:rPr>
          <w:rFonts w:hint="default"/>
        </w:rPr>
      </w:pPr>
      <w:r>
        <w:rPr>
          <w:rFonts w:hint="default"/>
        </w:rPr>
        <w:t>评价单位在工程分析、污染气象资料收集、地下水文地质资料收集及现场勘查、环境质量现状资料收集及监测的基础上，结合</w:t>
      </w:r>
      <w:r>
        <w:rPr>
          <w:rFonts w:hint="eastAsia"/>
          <w:lang w:eastAsia="zh-CN"/>
        </w:rPr>
        <w:t>吉木萨尔县</w:t>
      </w:r>
      <w:r>
        <w:rPr>
          <w:rFonts w:hint="default"/>
        </w:rPr>
        <w:t>相关规划，充分考虑建设工程的特点，落实设计的主要工艺系统及参数，经过模式计算、综合分析，按照现行技术导则及技术规范开展本工程环境影响报告书的编制工作。在上述工作的基础上编制完成了《</w:t>
      </w:r>
      <w:r>
        <w:rPr>
          <w:rFonts w:hint="eastAsia"/>
          <w:lang w:eastAsia="zh-CN"/>
        </w:rPr>
        <w:t>吉木萨尔县天雨滴灌带地膜加工建设项目</w:t>
      </w:r>
      <w:r>
        <w:rPr>
          <w:rFonts w:hint="eastAsia"/>
          <w:lang w:val="en-US" w:eastAsia="zh-CN"/>
        </w:rPr>
        <w:t>环境影响报告书</w:t>
      </w:r>
      <w:r>
        <w:rPr>
          <w:rFonts w:hint="default"/>
        </w:rPr>
        <w:t>》，现呈报上级主管部门审查。</w:t>
      </w:r>
    </w:p>
    <w:p>
      <w:pPr>
        <w:bidi w:val="0"/>
        <w:ind w:left="0" w:leftChars="0" w:right="0" w:rightChars="0" w:firstLine="0" w:firstLineChars="0"/>
        <w:jc w:val="center"/>
        <w:rPr>
          <w:rFonts w:hint="default"/>
          <w:b/>
          <w:bCs/>
        </w:rPr>
      </w:pPr>
      <w:r>
        <w:rPr>
          <w:rFonts w:hint="default"/>
          <w:b/>
          <w:bCs/>
        </w:rPr>
        <w:drawing>
          <wp:inline distT="0" distB="0" distL="114300" distR="114300">
            <wp:extent cx="6120130" cy="6863080"/>
            <wp:effectExtent l="0" t="0" r="13970" b="13970"/>
            <wp:docPr id="2" name="图片 549" descr="IMG_256"/>
            <wp:cNvGraphicFramePr/>
            <a:graphic xmlns:a="http://schemas.openxmlformats.org/drawingml/2006/main">
              <a:graphicData uri="http://schemas.openxmlformats.org/drawingml/2006/picture">
                <pic:pic xmlns:pic="http://schemas.openxmlformats.org/drawingml/2006/picture">
                  <pic:nvPicPr>
                    <pic:cNvPr id="2" name="图片 549" descr="IMG_256"/>
                    <pic:cNvPicPr/>
                  </pic:nvPicPr>
                  <pic:blipFill>
                    <a:blip r:embed="rId12" cstate="print"/>
                    <a:stretch>
                      <a:fillRect/>
                    </a:stretch>
                  </pic:blipFill>
                  <pic:spPr>
                    <a:xfrm>
                      <a:off x="0" y="0"/>
                      <a:ext cx="6120130" cy="6863080"/>
                    </a:xfrm>
                    <a:prstGeom prst="rect">
                      <a:avLst/>
                    </a:prstGeom>
                    <a:noFill/>
                    <a:ln>
                      <a:noFill/>
                    </a:ln>
                  </pic:spPr>
                </pic:pic>
              </a:graphicData>
            </a:graphic>
          </wp:inline>
        </w:drawing>
      </w:r>
      <w:r>
        <w:rPr>
          <w:rFonts w:hint="default"/>
          <w:b/>
          <w:bCs/>
        </w:rPr>
        <w:t>图1.3-1   环境影响评价工作程序图</w:t>
      </w:r>
    </w:p>
    <w:p>
      <w:pPr>
        <w:bidi w:val="0"/>
        <w:rPr>
          <w:rFonts w:hint="default"/>
        </w:rPr>
        <w:sectPr>
          <w:pgSz w:w="11906" w:h="16838"/>
          <w:pgMar w:top="1474" w:right="1474" w:bottom="1474" w:left="1474"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4"/>
        <w:bidi w:val="0"/>
        <w:rPr>
          <w:rFonts w:hint="default"/>
        </w:rPr>
      </w:pPr>
      <w:bookmarkStart w:id="24" w:name="_Toc12710"/>
      <w:bookmarkStart w:id="25" w:name="_Toc500"/>
      <w:r>
        <w:rPr>
          <w:rFonts w:hint="default"/>
        </w:rPr>
        <w:t>1.4</w:t>
      </w:r>
      <w:r>
        <w:rPr>
          <w:rFonts w:hint="eastAsia"/>
          <w:lang w:eastAsia="zh-CN"/>
        </w:rPr>
        <w:t>、</w:t>
      </w:r>
      <w:r>
        <w:rPr>
          <w:rFonts w:hint="default"/>
        </w:rPr>
        <w:t>分析判定相关情况</w:t>
      </w:r>
      <w:bookmarkEnd w:id="24"/>
      <w:bookmarkEnd w:id="25"/>
    </w:p>
    <w:p>
      <w:pPr>
        <w:pStyle w:val="5"/>
        <w:bidi w:val="0"/>
        <w:rPr>
          <w:rFonts w:hint="default"/>
        </w:rPr>
      </w:pPr>
      <w:r>
        <w:rPr>
          <w:rFonts w:hint="default"/>
        </w:rPr>
        <w:t>1.4.1</w:t>
      </w:r>
      <w:r>
        <w:rPr>
          <w:rFonts w:hint="eastAsia"/>
          <w:lang w:eastAsia="zh-CN"/>
        </w:rPr>
        <w:t>、</w:t>
      </w:r>
      <w:r>
        <w:rPr>
          <w:rFonts w:hint="default"/>
        </w:rPr>
        <w:t>法律法规符合性</w:t>
      </w:r>
    </w:p>
    <w:p>
      <w:pPr>
        <w:bidi w:val="0"/>
        <w:rPr>
          <w:rFonts w:hint="default"/>
        </w:rPr>
      </w:pPr>
      <w:r>
        <w:rPr>
          <w:rFonts w:hint="eastAsia"/>
          <w:lang w:eastAsia="zh-CN"/>
        </w:rPr>
        <w:t>吉木萨尔县天雨滴灌带地膜加工建设项目</w:t>
      </w:r>
      <w:r>
        <w:rPr>
          <w:rFonts w:hint="default"/>
        </w:rPr>
        <w:t>，年回收废旧滴灌带</w:t>
      </w:r>
      <w:r>
        <w:rPr>
          <w:rFonts w:hint="eastAsia"/>
          <w:lang w:val="en-US" w:eastAsia="zh-CN"/>
        </w:rPr>
        <w:t>0.5</w:t>
      </w:r>
      <w:r>
        <w:rPr>
          <w:rFonts w:hint="default"/>
          <w:lang w:val="en-US" w:eastAsia="zh-CN"/>
        </w:rPr>
        <w:t>万</w:t>
      </w:r>
      <w:r>
        <w:rPr>
          <w:rFonts w:hint="default"/>
        </w:rPr>
        <w:t>t，产</w:t>
      </w:r>
      <w:r>
        <w:rPr>
          <w:rFonts w:hint="default"/>
          <w:lang w:val="en-US" w:eastAsia="zh-CN"/>
        </w:rPr>
        <w:t>农业生产用</w:t>
      </w:r>
      <w:r>
        <w:rPr>
          <w:rFonts w:hint="default"/>
        </w:rPr>
        <w:t>滴灌带</w:t>
      </w:r>
      <w:r>
        <w:rPr>
          <w:rFonts w:hint="eastAsia"/>
          <w:lang w:val="en-US" w:eastAsia="zh-CN"/>
        </w:rPr>
        <w:t>5000</w:t>
      </w:r>
      <w:r>
        <w:rPr>
          <w:rFonts w:hint="default"/>
        </w:rPr>
        <w:t>t、地膜</w:t>
      </w:r>
      <w:r>
        <w:rPr>
          <w:rFonts w:hint="eastAsia"/>
          <w:lang w:val="en-US" w:eastAsia="zh-CN"/>
        </w:rPr>
        <w:t>6</w:t>
      </w:r>
      <w:r>
        <w:rPr>
          <w:rFonts w:hint="default"/>
          <w:lang w:val="en-US" w:eastAsia="zh-CN"/>
        </w:rPr>
        <w:t>00</w:t>
      </w:r>
      <w:r>
        <w:rPr>
          <w:rFonts w:hint="default"/>
        </w:rPr>
        <w:t>t、</w:t>
      </w:r>
      <w:r>
        <w:rPr>
          <w:rFonts w:hint="default"/>
          <w:lang w:val="en-US" w:eastAsia="zh-CN"/>
        </w:rPr>
        <w:t>PE管材</w:t>
      </w:r>
      <w:r>
        <w:rPr>
          <w:rFonts w:hint="eastAsia"/>
          <w:lang w:val="en-US" w:eastAsia="zh-CN"/>
        </w:rPr>
        <w:t>5</w:t>
      </w:r>
      <w:r>
        <w:rPr>
          <w:rFonts w:hint="default"/>
          <w:lang w:val="en-US" w:eastAsia="zh-CN"/>
        </w:rPr>
        <w:t>00t</w:t>
      </w:r>
      <w:r>
        <w:rPr>
          <w:rFonts w:hint="default"/>
        </w:rPr>
        <w:t>。生产规模、性质和工艺路线等符合国家和地方有关环境保护法律法规、标准、规范要求。</w:t>
      </w:r>
    </w:p>
    <w:p>
      <w:pPr>
        <w:pStyle w:val="5"/>
        <w:bidi w:val="0"/>
        <w:rPr>
          <w:rFonts w:hint="default"/>
        </w:rPr>
      </w:pPr>
      <w:r>
        <w:rPr>
          <w:rFonts w:hint="default"/>
        </w:rPr>
        <w:t>1.4.2</w:t>
      </w:r>
      <w:r>
        <w:rPr>
          <w:rFonts w:hint="eastAsia"/>
          <w:lang w:eastAsia="zh-CN"/>
        </w:rPr>
        <w:t>、</w:t>
      </w:r>
      <w:r>
        <w:rPr>
          <w:rFonts w:hint="default"/>
        </w:rPr>
        <w:t>技术政策的符合性</w:t>
      </w:r>
    </w:p>
    <w:p>
      <w:pPr>
        <w:bidi w:val="0"/>
        <w:rPr>
          <w:rFonts w:hint="default"/>
        </w:rPr>
      </w:pPr>
      <w:r>
        <w:rPr>
          <w:rFonts w:hint="default"/>
        </w:rPr>
        <w:t>项目生产工艺整体密闭，车间保持负压，热熔挤出废气经集气罩收集，通过等离子光氧一体机</w:t>
      </w:r>
      <w:r>
        <w:rPr>
          <w:rFonts w:hint="eastAsia"/>
          <w:lang w:val="en-US" w:eastAsia="zh-CN"/>
        </w:rPr>
        <w:t>+活性炭吸附</w:t>
      </w:r>
      <w:r>
        <w:rPr>
          <w:rFonts w:hint="default"/>
        </w:rPr>
        <w:t>处理后由15m排气筒排出。项目对有机废气的处理符合《挥发性有机物（VOCs）污染防治技术政策》（环保部公告2013年第31号）等规范的要求。</w:t>
      </w:r>
    </w:p>
    <w:p>
      <w:pPr>
        <w:pStyle w:val="5"/>
        <w:bidi w:val="0"/>
        <w:rPr>
          <w:rFonts w:hint="default"/>
        </w:rPr>
      </w:pPr>
      <w:r>
        <w:rPr>
          <w:rFonts w:hint="default"/>
        </w:rPr>
        <w:t>1.4.3</w:t>
      </w:r>
      <w:r>
        <w:rPr>
          <w:rFonts w:hint="eastAsia"/>
          <w:lang w:eastAsia="zh-CN"/>
        </w:rPr>
        <w:t>、</w:t>
      </w:r>
      <w:r>
        <w:rPr>
          <w:rFonts w:hint="default"/>
        </w:rPr>
        <w:t>产业政策的符合性</w:t>
      </w:r>
    </w:p>
    <w:p>
      <w:pPr>
        <w:bidi w:val="0"/>
        <w:rPr>
          <w:rFonts w:hint="default"/>
        </w:rPr>
      </w:pPr>
      <w:r>
        <w:rPr>
          <w:rFonts w:hint="default"/>
        </w:rPr>
        <w:t>（1）与《产业结构调整指导目录（201</w:t>
      </w:r>
      <w:r>
        <w:rPr>
          <w:rFonts w:hint="default"/>
          <w:lang w:val="en-US" w:eastAsia="zh-CN"/>
        </w:rPr>
        <w:t>9</w:t>
      </w:r>
      <w:r>
        <w:rPr>
          <w:rFonts w:hint="default"/>
        </w:rPr>
        <w:t>年本</w:t>
      </w:r>
      <w:r>
        <w:rPr>
          <w:rFonts w:hint="default"/>
          <w:lang w:eastAsia="zh-CN"/>
        </w:rPr>
        <w:t>）</w:t>
      </w:r>
      <w:r>
        <w:rPr>
          <w:rFonts w:hint="default"/>
        </w:rPr>
        <w:t>》（国家发展和改革委员会，</w:t>
      </w:r>
      <w:r>
        <w:rPr>
          <w:rFonts w:hint="eastAsia"/>
          <w:lang w:eastAsia="zh-CN"/>
        </w:rPr>
        <w:t>2021</w:t>
      </w:r>
      <w:r>
        <w:rPr>
          <w:rFonts w:hint="default"/>
        </w:rPr>
        <w:t>.1.1）的符合性</w:t>
      </w:r>
    </w:p>
    <w:p>
      <w:pPr>
        <w:bidi w:val="0"/>
        <w:rPr>
          <w:rFonts w:hint="default"/>
        </w:rPr>
      </w:pPr>
      <w:r>
        <w:rPr>
          <w:rFonts w:hint="default"/>
        </w:rPr>
        <w:t>对照《产业结构调整指导目录（201</w:t>
      </w:r>
      <w:r>
        <w:rPr>
          <w:rFonts w:hint="default"/>
          <w:lang w:val="en-US" w:eastAsia="zh-CN"/>
        </w:rPr>
        <w:t>9</w:t>
      </w:r>
      <w:r>
        <w:rPr>
          <w:rFonts w:hint="default"/>
        </w:rPr>
        <w:t>年本）》（国家发展和改革委员会，</w:t>
      </w:r>
      <w:r>
        <w:rPr>
          <w:rFonts w:hint="eastAsia"/>
          <w:lang w:eastAsia="zh-CN"/>
        </w:rPr>
        <w:t>2021</w:t>
      </w:r>
      <w:r>
        <w:rPr>
          <w:rFonts w:hint="default"/>
        </w:rPr>
        <w:t>.1.1），本项目属于第一类</w:t>
      </w:r>
      <w:r>
        <w:rPr>
          <w:rFonts w:hint="eastAsia"/>
          <w:lang w:eastAsia="zh-CN"/>
        </w:rPr>
        <w:t>“</w:t>
      </w:r>
      <w:r>
        <w:rPr>
          <w:rFonts w:hint="default"/>
        </w:rPr>
        <w:t>鼓励类</w:t>
      </w:r>
      <w:r>
        <w:rPr>
          <w:rFonts w:hint="eastAsia"/>
          <w:lang w:eastAsia="zh-CN"/>
        </w:rPr>
        <w:t>”</w:t>
      </w:r>
      <w:r>
        <w:rPr>
          <w:rFonts w:hint="default"/>
        </w:rPr>
        <w:t>中</w:t>
      </w:r>
      <w:r>
        <w:rPr>
          <w:rFonts w:hint="eastAsia"/>
          <w:lang w:eastAsia="zh-CN"/>
        </w:rPr>
        <w:t>“</w:t>
      </w:r>
      <w:r>
        <w:rPr>
          <w:rFonts w:hint="default"/>
          <w:lang w:val="en-US" w:eastAsia="zh-CN"/>
        </w:rPr>
        <w:t>四十三</w:t>
      </w:r>
      <w:r>
        <w:rPr>
          <w:rFonts w:hint="default"/>
        </w:rPr>
        <w:t>、环境保护与资源节约综合利用</w:t>
      </w:r>
      <w:r>
        <w:rPr>
          <w:rFonts w:hint="eastAsia"/>
          <w:lang w:eastAsia="zh-CN"/>
        </w:rPr>
        <w:t>”</w:t>
      </w:r>
      <w:r>
        <w:rPr>
          <w:rFonts w:hint="default"/>
        </w:rPr>
        <w:t>类</w:t>
      </w:r>
      <w:r>
        <w:rPr>
          <w:rFonts w:hint="eastAsia"/>
          <w:lang w:eastAsia="zh-CN"/>
        </w:rPr>
        <w:t>“</w:t>
      </w:r>
      <w:r>
        <w:rPr>
          <w:rFonts w:hint="default"/>
        </w:rPr>
        <w:t>2</w:t>
      </w:r>
      <w:r>
        <w:rPr>
          <w:rFonts w:hint="default"/>
          <w:lang w:val="en-US" w:eastAsia="zh-CN"/>
        </w:rPr>
        <w:t>7</w:t>
      </w:r>
      <w:r>
        <w:rPr>
          <w:rFonts w:hint="default"/>
        </w:rPr>
        <w:t>、废旧木材、废旧电器电子产品、废印刷电路板、废旧电池、废旧船舶、废旧农机、废塑料、废旧纺织品及纺织废料和边角料、废（碎）玻璃、废橡胶、废弃油脂等废旧物资等资源循环再利用技术、设备开发及应用</w:t>
      </w:r>
      <w:r>
        <w:rPr>
          <w:rFonts w:hint="eastAsia"/>
          <w:lang w:eastAsia="zh-CN"/>
        </w:rPr>
        <w:t>”</w:t>
      </w:r>
      <w:r>
        <w:rPr>
          <w:rFonts w:hint="default"/>
        </w:rPr>
        <w:t>项目，符合国家产业政策。</w:t>
      </w:r>
    </w:p>
    <w:p>
      <w:pPr>
        <w:bidi w:val="0"/>
        <w:rPr>
          <w:rFonts w:hint="default"/>
        </w:rPr>
      </w:pPr>
      <w:r>
        <w:rPr>
          <w:rFonts w:hint="default"/>
        </w:rPr>
        <w:t>（</w:t>
      </w:r>
      <w:r>
        <w:rPr>
          <w:rFonts w:hint="eastAsia"/>
          <w:lang w:val="en-US" w:eastAsia="zh-CN"/>
        </w:rPr>
        <w:t>2</w:t>
      </w:r>
      <w:r>
        <w:rPr>
          <w:rFonts w:hint="default"/>
        </w:rPr>
        <w:t>）与《中共中央国务院关于加快推进生态文明建设的意见》的符合性</w:t>
      </w:r>
    </w:p>
    <w:p>
      <w:pPr>
        <w:bidi w:val="0"/>
        <w:rPr>
          <w:rFonts w:hint="eastAsia"/>
          <w:lang w:val="en-US" w:eastAsia="zh-CN"/>
        </w:rPr>
      </w:pPr>
      <w:r>
        <w:rPr>
          <w:rFonts w:hint="default"/>
        </w:rPr>
        <w:t>《中共中央国务院关于加快推进生态文明建设的意见》中提到要全面促进资源节约循环高效使用，推进利用方式根本转变。发展循环经济，按照减量化、再利用、资源化的原则，加快建立循环型工业、农业、服务业体系，提高全社会资源产出率。完善再生资源回收体系，实行垃圾分类回收，开发利用</w:t>
      </w:r>
      <w:r>
        <w:rPr>
          <w:rFonts w:hint="eastAsia"/>
          <w:lang w:eastAsia="zh-CN"/>
        </w:rPr>
        <w:t>“</w:t>
      </w:r>
      <w:r>
        <w:rPr>
          <w:rFonts w:hint="default"/>
        </w:rPr>
        <w:t>城市矿产</w:t>
      </w:r>
      <w:r>
        <w:rPr>
          <w:rFonts w:hint="eastAsia"/>
          <w:lang w:eastAsia="zh-CN"/>
        </w:rPr>
        <w:t>”</w:t>
      </w:r>
      <w:r>
        <w:rPr>
          <w:rFonts w:hint="default"/>
        </w:rPr>
        <w:t>，推进秸秆等农林废弃物以及建筑垃圾、餐厨废弃物资源化利用，发展再制造和再生利用产品，鼓励纺织品、汽车轮胎等废旧物品回收利用。推进煤矸石、废渣等大宗</w:t>
      </w:r>
      <w:r>
        <w:rPr>
          <w:rFonts w:hint="eastAsia"/>
          <w:lang w:eastAsia="zh-CN"/>
        </w:rPr>
        <w:t>固体废物</w:t>
      </w:r>
      <w:r>
        <w:rPr>
          <w:rFonts w:hint="default"/>
        </w:rPr>
        <w:t>综合利用。组织开展循环经济示范行动，大力推广循环经济典型模式。推进产业循环式组合，促进生产和生活系统的循环链接，构建覆盖全社会资源利用循环体系。本项目利用废旧滴灌带作为原材料生产加工塑料颗粒进而生产滴灌带、地膜和</w:t>
      </w:r>
      <w:r>
        <w:rPr>
          <w:rFonts w:hint="default"/>
          <w:lang w:eastAsia="zh-CN"/>
        </w:rPr>
        <w:t>PE管材</w:t>
      </w:r>
      <w:r>
        <w:rPr>
          <w:rFonts w:hint="default"/>
        </w:rPr>
        <w:t>，使废弃物得到循环再利用，因此本项目符合《中共中央国务院关于加快推进生态文明建设的意见》的要求</w:t>
      </w:r>
      <w:r>
        <w:rPr>
          <w:rFonts w:hint="eastAsia"/>
          <w:lang w:eastAsia="zh-CN"/>
        </w:rPr>
        <w:t>。</w:t>
      </w:r>
    </w:p>
    <w:p>
      <w:pPr>
        <w:bidi w:val="0"/>
        <w:rPr>
          <w:rFonts w:hint="default"/>
        </w:rPr>
      </w:pPr>
      <w:r>
        <w:rPr>
          <w:rFonts w:hint="default"/>
        </w:rPr>
        <w:t>（</w:t>
      </w:r>
      <w:r>
        <w:rPr>
          <w:rFonts w:hint="eastAsia"/>
          <w:lang w:val="en-US" w:eastAsia="zh-CN"/>
        </w:rPr>
        <w:t>3</w:t>
      </w:r>
      <w:r>
        <w:rPr>
          <w:rFonts w:hint="default"/>
        </w:rPr>
        <w:t>）与《废塑料综合利用行业规范条件》的符合性</w:t>
      </w:r>
    </w:p>
    <w:p>
      <w:pPr>
        <w:bidi w:val="0"/>
        <w:rPr>
          <w:rFonts w:hint="default"/>
        </w:rPr>
      </w:pPr>
      <w:r>
        <w:rPr>
          <w:rFonts w:hint="default"/>
        </w:rPr>
        <w:t>根据工信部发布的2016年1月1日起施行的《废塑料综合利用行业规范条件》，分析本项目的符合性，详见</w:t>
      </w:r>
      <w:r>
        <w:rPr>
          <w:rFonts w:hint="default"/>
        </w:rPr>
        <w:fldChar w:fldCharType="begin"/>
      </w:r>
      <w:r>
        <w:rPr>
          <w:rFonts w:hint="default"/>
        </w:rPr>
        <w:instrText xml:space="preserve"> REF _Ref498528758 \h  \* MERGEFORMAT </w:instrText>
      </w:r>
      <w:r>
        <w:rPr>
          <w:rFonts w:hint="default"/>
        </w:rPr>
        <w:fldChar w:fldCharType="separate"/>
      </w:r>
      <w:r>
        <w:rPr>
          <w:rFonts w:hint="default"/>
        </w:rPr>
        <w:t>表</w:t>
      </w:r>
      <w:r>
        <w:rPr>
          <w:rFonts w:hint="default"/>
        </w:rPr>
        <w:fldChar w:fldCharType="end"/>
      </w:r>
      <w:r>
        <w:rPr>
          <w:rFonts w:hint="default"/>
        </w:rPr>
        <w:t>1.4-1。</w:t>
      </w:r>
    </w:p>
    <w:p>
      <w:pPr>
        <w:pStyle w:val="17"/>
        <w:bidi w:val="0"/>
        <w:rPr>
          <w:rFonts w:hint="default"/>
          <w:b/>
          <w:bCs/>
          <w:color w:val="0000FF"/>
        </w:rPr>
      </w:pPr>
      <w:r>
        <w:rPr>
          <w:rFonts w:hint="default"/>
          <w:b/>
          <w:bCs/>
          <w:color w:val="0000FF"/>
        </w:rPr>
        <w:t>表1.4-1</w:t>
      </w:r>
      <w:r>
        <w:rPr>
          <w:rFonts w:hint="default"/>
          <w:b/>
          <w:bCs/>
          <w:color w:val="0000FF"/>
          <w:lang w:val="en-US" w:eastAsia="zh-CN"/>
        </w:rPr>
        <w:t xml:space="preserve"> </w:t>
      </w:r>
      <w:r>
        <w:rPr>
          <w:rFonts w:hint="eastAsia"/>
          <w:b/>
          <w:bCs/>
          <w:color w:val="0000FF"/>
          <w:lang w:val="en-US" w:eastAsia="zh-CN"/>
        </w:rPr>
        <w:t xml:space="preserve">  </w:t>
      </w:r>
      <w:r>
        <w:rPr>
          <w:rFonts w:hint="default"/>
          <w:b/>
          <w:bCs/>
          <w:color w:val="0000FF"/>
        </w:rPr>
        <w:t>项目与《废塑料综合利用行业规范条件》符合性分析一览表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774"/>
        <w:gridCol w:w="4513"/>
        <w:gridCol w:w="2159"/>
        <w:gridCol w:w="9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b/>
                <w:bCs/>
                <w:color w:val="0000FF"/>
              </w:rPr>
            </w:pPr>
            <w:r>
              <w:rPr>
                <w:rFonts w:hint="default"/>
                <w:b/>
                <w:bCs/>
                <w:color w:val="0000FF"/>
              </w:rPr>
              <w:t>序号</w:t>
            </w:r>
          </w:p>
        </w:tc>
        <w:tc>
          <w:tcPr>
            <w:tcW w:w="5287" w:type="dxa"/>
            <w:gridSpan w:val="2"/>
            <w:tcBorders>
              <w:tl2br w:val="nil"/>
              <w:tr2bl w:val="nil"/>
            </w:tcBorders>
            <w:vAlign w:val="center"/>
          </w:tcPr>
          <w:p>
            <w:pPr>
              <w:pStyle w:val="17"/>
              <w:bidi w:val="0"/>
              <w:rPr>
                <w:rFonts w:hint="default"/>
                <w:b/>
                <w:bCs/>
                <w:color w:val="0000FF"/>
              </w:rPr>
            </w:pPr>
            <w:r>
              <w:rPr>
                <w:rFonts w:hint="default"/>
                <w:b/>
                <w:bCs/>
                <w:color w:val="0000FF"/>
              </w:rPr>
              <w:t>《废塑料综合利用行业规范条件》文件要求</w:t>
            </w:r>
          </w:p>
        </w:tc>
        <w:tc>
          <w:tcPr>
            <w:tcW w:w="2159" w:type="dxa"/>
            <w:tcBorders>
              <w:tl2br w:val="nil"/>
              <w:tr2bl w:val="nil"/>
            </w:tcBorders>
            <w:vAlign w:val="center"/>
          </w:tcPr>
          <w:p>
            <w:pPr>
              <w:pStyle w:val="17"/>
              <w:bidi w:val="0"/>
              <w:rPr>
                <w:rFonts w:hint="default"/>
                <w:b/>
                <w:bCs/>
                <w:color w:val="0000FF"/>
              </w:rPr>
            </w:pPr>
            <w:r>
              <w:rPr>
                <w:rFonts w:hint="default"/>
                <w:b/>
                <w:bCs/>
                <w:color w:val="0000FF"/>
              </w:rPr>
              <w:t>项目情况</w:t>
            </w:r>
          </w:p>
        </w:tc>
        <w:tc>
          <w:tcPr>
            <w:tcW w:w="908" w:type="dxa"/>
            <w:tcBorders>
              <w:tl2br w:val="nil"/>
              <w:tr2bl w:val="nil"/>
            </w:tcBorders>
            <w:vAlign w:val="center"/>
          </w:tcPr>
          <w:p>
            <w:pPr>
              <w:pStyle w:val="17"/>
              <w:bidi w:val="0"/>
              <w:rPr>
                <w:rFonts w:hint="default"/>
                <w:b/>
                <w:bCs/>
                <w:color w:val="0000FF"/>
              </w:rPr>
            </w:pPr>
            <w:r>
              <w:rPr>
                <w:rFonts w:hint="default"/>
                <w:b/>
                <w:bCs/>
                <w:color w:val="0000FF"/>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1</w:t>
            </w:r>
          </w:p>
        </w:tc>
        <w:tc>
          <w:tcPr>
            <w:tcW w:w="774" w:type="dxa"/>
            <w:vMerge w:val="restart"/>
            <w:tcBorders>
              <w:tl2br w:val="nil"/>
              <w:tr2bl w:val="nil"/>
            </w:tcBorders>
            <w:vAlign w:val="center"/>
          </w:tcPr>
          <w:p>
            <w:pPr>
              <w:pStyle w:val="17"/>
              <w:bidi w:val="0"/>
              <w:rPr>
                <w:rFonts w:hint="default"/>
                <w:color w:val="0000FF"/>
              </w:rPr>
            </w:pPr>
            <w:r>
              <w:rPr>
                <w:rFonts w:hint="default"/>
                <w:color w:val="0000FF"/>
              </w:rPr>
              <w:t>企业的设立和布局</w:t>
            </w:r>
          </w:p>
        </w:tc>
        <w:tc>
          <w:tcPr>
            <w:tcW w:w="4513" w:type="dxa"/>
            <w:tcBorders>
              <w:tl2br w:val="nil"/>
              <w:tr2bl w:val="nil"/>
            </w:tcBorders>
            <w:vAlign w:val="center"/>
          </w:tcPr>
          <w:p>
            <w:pPr>
              <w:pStyle w:val="17"/>
              <w:bidi w:val="0"/>
              <w:rPr>
                <w:rFonts w:hint="default"/>
                <w:color w:val="0000FF"/>
              </w:rPr>
            </w:pPr>
            <w:r>
              <w:rPr>
                <w:rFonts w:hint="default"/>
                <w:color w:val="0000FF"/>
              </w:rPr>
              <w:t>废塑料综合利用企业是指采用物理机械法对热塑性废塑料进行再生加工的企业，企业类型主要包括PET再生瓶片类企业、废塑料破碎清洗分选类企业以及塑料再生造粒类企业。</w:t>
            </w:r>
          </w:p>
        </w:tc>
        <w:tc>
          <w:tcPr>
            <w:tcW w:w="2159" w:type="dxa"/>
            <w:vMerge w:val="restart"/>
            <w:tcBorders>
              <w:tl2br w:val="nil"/>
              <w:tr2bl w:val="nil"/>
            </w:tcBorders>
            <w:vAlign w:val="center"/>
          </w:tcPr>
          <w:p>
            <w:pPr>
              <w:pStyle w:val="17"/>
              <w:bidi w:val="0"/>
              <w:rPr>
                <w:rFonts w:hint="default"/>
                <w:color w:val="0000FF"/>
              </w:rPr>
            </w:pPr>
            <w:r>
              <w:rPr>
                <w:rFonts w:hint="default"/>
                <w:color w:val="0000FF"/>
              </w:rPr>
              <w:t>本项目回收废旧滴灌带，对其再生造粒，并利用再生颗粒生产滴灌带、</w:t>
            </w:r>
            <w:r>
              <w:rPr>
                <w:rFonts w:hint="default"/>
                <w:color w:val="0000FF"/>
                <w:lang w:eastAsia="zh-CN"/>
              </w:rPr>
              <w:t>PE管材</w:t>
            </w:r>
            <w:r>
              <w:rPr>
                <w:rFonts w:hint="default"/>
                <w:color w:val="0000FF"/>
              </w:rPr>
              <w:t>和地膜。</w:t>
            </w: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2</w:t>
            </w:r>
          </w:p>
        </w:tc>
        <w:tc>
          <w:tcPr>
            <w:tcW w:w="774" w:type="dxa"/>
            <w:vMerge w:val="continue"/>
            <w:tcBorders>
              <w:tl2br w:val="nil"/>
              <w:tr2bl w:val="nil"/>
            </w:tcBorders>
            <w:vAlign w:val="center"/>
          </w:tcPr>
          <w:p>
            <w:pPr>
              <w:pStyle w:val="17"/>
              <w:bidi w:val="0"/>
              <w:rPr>
                <w:rFonts w:hint="default"/>
                <w:color w:val="0000FF"/>
              </w:rPr>
            </w:pPr>
          </w:p>
        </w:tc>
        <w:tc>
          <w:tcPr>
            <w:tcW w:w="4513" w:type="dxa"/>
            <w:tcBorders>
              <w:tl2br w:val="nil"/>
              <w:tr2bl w:val="nil"/>
            </w:tcBorders>
            <w:vAlign w:val="center"/>
          </w:tcPr>
          <w:p>
            <w:pPr>
              <w:pStyle w:val="17"/>
              <w:bidi w:val="0"/>
              <w:rPr>
                <w:rFonts w:hint="default"/>
                <w:color w:val="0000FF"/>
              </w:rPr>
            </w:pPr>
            <w:r>
              <w:rPr>
                <w:rFonts w:hint="default"/>
                <w:color w:val="0000FF"/>
              </w:rPr>
              <w:t>废塑料综合利用企业所涉及的热塑性废塑料原料，不包括受到危险化学品、农药等污染的废弃塑料包装物、废弃一次性医疗用塑料制品等塑料类危险废物,以及氟塑料等特种工程塑料。</w:t>
            </w:r>
          </w:p>
        </w:tc>
        <w:tc>
          <w:tcPr>
            <w:tcW w:w="2159" w:type="dxa"/>
            <w:vMerge w:val="continue"/>
            <w:tcBorders>
              <w:tl2br w:val="nil"/>
              <w:tr2bl w:val="nil"/>
            </w:tcBorders>
            <w:vAlign w:val="center"/>
          </w:tcPr>
          <w:p>
            <w:pPr>
              <w:pStyle w:val="17"/>
              <w:bidi w:val="0"/>
              <w:rPr>
                <w:rFonts w:hint="default"/>
                <w:color w:val="0000FF"/>
              </w:rPr>
            </w:pP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3</w:t>
            </w:r>
          </w:p>
        </w:tc>
        <w:tc>
          <w:tcPr>
            <w:tcW w:w="774" w:type="dxa"/>
            <w:vMerge w:val="continue"/>
            <w:tcBorders>
              <w:tl2br w:val="nil"/>
              <w:tr2bl w:val="nil"/>
            </w:tcBorders>
            <w:vAlign w:val="center"/>
          </w:tcPr>
          <w:p>
            <w:pPr>
              <w:pStyle w:val="17"/>
              <w:bidi w:val="0"/>
              <w:rPr>
                <w:rFonts w:hint="default"/>
                <w:color w:val="0000FF"/>
              </w:rPr>
            </w:pPr>
          </w:p>
        </w:tc>
        <w:tc>
          <w:tcPr>
            <w:tcW w:w="4513" w:type="dxa"/>
            <w:tcBorders>
              <w:tl2br w:val="nil"/>
              <w:tr2bl w:val="nil"/>
            </w:tcBorders>
            <w:vAlign w:val="center"/>
          </w:tcPr>
          <w:p>
            <w:pPr>
              <w:pStyle w:val="17"/>
              <w:bidi w:val="0"/>
              <w:rPr>
                <w:rFonts w:hint="default"/>
                <w:color w:val="0000FF"/>
              </w:rPr>
            </w:pPr>
            <w:r>
              <w:rPr>
                <w:rFonts w:hint="default"/>
                <w:color w:val="0000FF"/>
              </w:rPr>
              <w:t>新建及改造、扩建废塑料加工企业应符合国家产业政策及所在地区土地利用总体规划、城乡建设规划、环境保护、污染防治规划。企业建设应有规范化设计要求，采用节能环保技术及生产装备。</w:t>
            </w:r>
          </w:p>
        </w:tc>
        <w:tc>
          <w:tcPr>
            <w:tcW w:w="2159" w:type="dxa"/>
            <w:vMerge w:val="restart"/>
            <w:tcBorders>
              <w:tl2br w:val="nil"/>
              <w:tr2bl w:val="nil"/>
            </w:tcBorders>
            <w:vAlign w:val="center"/>
          </w:tcPr>
          <w:p>
            <w:pPr>
              <w:pStyle w:val="17"/>
              <w:bidi w:val="0"/>
              <w:rPr>
                <w:rFonts w:hint="default"/>
                <w:color w:val="0000FF"/>
              </w:rPr>
            </w:pPr>
            <w:r>
              <w:rPr>
                <w:rFonts w:hint="default"/>
                <w:color w:val="0000FF"/>
              </w:rPr>
              <w:t>本项目为新建项目，位于</w:t>
            </w:r>
            <w:r>
              <w:rPr>
                <w:rFonts w:hint="eastAsia"/>
                <w:color w:val="0000FF"/>
                <w:lang w:val="en-US" w:eastAsia="zh-CN"/>
              </w:rPr>
              <w:t>吉木萨尔县二工镇</w:t>
            </w:r>
            <w:r>
              <w:rPr>
                <w:rFonts w:hint="default"/>
                <w:color w:val="0000FF"/>
              </w:rPr>
              <w:t>内，符合国家产业政策及所在地区土地利用总体规划、环境保护、污染防治规划。</w:t>
            </w:r>
          </w:p>
          <w:p>
            <w:pPr>
              <w:pStyle w:val="17"/>
              <w:bidi w:val="0"/>
              <w:rPr>
                <w:rFonts w:hint="default"/>
                <w:color w:val="0000FF"/>
              </w:rPr>
            </w:pPr>
            <w:r>
              <w:rPr>
                <w:rFonts w:hint="default"/>
                <w:color w:val="0000FF"/>
              </w:rPr>
              <w:t>项目建设规范，采用节能环保技术及生产装备。</w:t>
            </w: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4</w:t>
            </w:r>
          </w:p>
        </w:tc>
        <w:tc>
          <w:tcPr>
            <w:tcW w:w="774" w:type="dxa"/>
            <w:vMerge w:val="continue"/>
            <w:tcBorders>
              <w:tl2br w:val="nil"/>
              <w:tr2bl w:val="nil"/>
            </w:tcBorders>
            <w:vAlign w:val="center"/>
          </w:tcPr>
          <w:p>
            <w:pPr>
              <w:pStyle w:val="17"/>
              <w:bidi w:val="0"/>
              <w:rPr>
                <w:rFonts w:hint="default"/>
                <w:color w:val="0000FF"/>
              </w:rPr>
            </w:pPr>
          </w:p>
        </w:tc>
        <w:tc>
          <w:tcPr>
            <w:tcW w:w="4513" w:type="dxa"/>
            <w:tcBorders>
              <w:tl2br w:val="nil"/>
              <w:tr2bl w:val="nil"/>
            </w:tcBorders>
            <w:vAlign w:val="center"/>
          </w:tcPr>
          <w:p>
            <w:pPr>
              <w:pStyle w:val="17"/>
              <w:bidi w:val="0"/>
              <w:rPr>
                <w:rFonts w:hint="default"/>
                <w:color w:val="0000FF"/>
              </w:rPr>
            </w:pPr>
            <w:r>
              <w:rPr>
                <w:rFonts w:hint="default"/>
                <w:color w:val="0000FF"/>
              </w:rPr>
              <w:t>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2159" w:type="dxa"/>
            <w:vMerge w:val="continue"/>
            <w:tcBorders>
              <w:tl2br w:val="nil"/>
              <w:tr2bl w:val="nil"/>
            </w:tcBorders>
            <w:vAlign w:val="center"/>
          </w:tcPr>
          <w:p>
            <w:pPr>
              <w:pStyle w:val="17"/>
              <w:bidi w:val="0"/>
              <w:rPr>
                <w:rFonts w:hint="default"/>
                <w:color w:val="0000FF"/>
              </w:rPr>
            </w:pP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5</w:t>
            </w:r>
          </w:p>
        </w:tc>
        <w:tc>
          <w:tcPr>
            <w:tcW w:w="774" w:type="dxa"/>
            <w:vMerge w:val="restart"/>
            <w:tcBorders>
              <w:tl2br w:val="nil"/>
              <w:tr2bl w:val="nil"/>
            </w:tcBorders>
            <w:vAlign w:val="center"/>
          </w:tcPr>
          <w:p>
            <w:pPr>
              <w:pStyle w:val="17"/>
              <w:bidi w:val="0"/>
              <w:rPr>
                <w:rFonts w:hint="default"/>
                <w:color w:val="0000FF"/>
              </w:rPr>
            </w:pPr>
            <w:r>
              <w:rPr>
                <w:rFonts w:hint="default"/>
                <w:color w:val="0000FF"/>
              </w:rPr>
              <w:t>生产经营规模</w:t>
            </w:r>
          </w:p>
        </w:tc>
        <w:tc>
          <w:tcPr>
            <w:tcW w:w="4513" w:type="dxa"/>
            <w:tcBorders>
              <w:tl2br w:val="nil"/>
              <w:tr2bl w:val="nil"/>
            </w:tcBorders>
            <w:vAlign w:val="center"/>
          </w:tcPr>
          <w:p>
            <w:pPr>
              <w:pStyle w:val="17"/>
              <w:bidi w:val="0"/>
              <w:rPr>
                <w:rFonts w:hint="default"/>
                <w:color w:val="0000FF"/>
              </w:rPr>
            </w:pPr>
            <w:r>
              <w:rPr>
                <w:rFonts w:hint="default"/>
                <w:color w:val="0000FF"/>
              </w:rPr>
              <w:t>塑料再生造粒类企业：新建企业年废塑料处理能力不低于5000 t；已建企业年废塑料处理能力不低于3000 t。</w:t>
            </w:r>
          </w:p>
        </w:tc>
        <w:tc>
          <w:tcPr>
            <w:tcW w:w="2159" w:type="dxa"/>
            <w:tcBorders>
              <w:tl2br w:val="nil"/>
              <w:tr2bl w:val="nil"/>
            </w:tcBorders>
            <w:vAlign w:val="center"/>
          </w:tcPr>
          <w:p>
            <w:pPr>
              <w:pStyle w:val="17"/>
              <w:bidi w:val="0"/>
              <w:rPr>
                <w:rFonts w:hint="default"/>
                <w:color w:val="0000FF"/>
              </w:rPr>
            </w:pPr>
            <w:r>
              <w:rPr>
                <w:rFonts w:hint="default"/>
                <w:color w:val="0000FF"/>
              </w:rPr>
              <w:t>本项目年废塑料处理能力为</w:t>
            </w:r>
            <w:r>
              <w:rPr>
                <w:rFonts w:hint="eastAsia"/>
                <w:color w:val="0000FF"/>
                <w:lang w:val="en-US" w:eastAsia="zh-CN"/>
              </w:rPr>
              <w:t>0.5</w:t>
            </w:r>
            <w:r>
              <w:rPr>
                <w:rFonts w:hint="default"/>
                <w:color w:val="0000FF"/>
                <w:lang w:val="en-US" w:eastAsia="zh-CN"/>
              </w:rPr>
              <w:t>万</w:t>
            </w:r>
            <w:r>
              <w:rPr>
                <w:rFonts w:hint="default"/>
                <w:color w:val="0000FF"/>
              </w:rPr>
              <w:t>t。</w:t>
            </w: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6</w:t>
            </w:r>
          </w:p>
        </w:tc>
        <w:tc>
          <w:tcPr>
            <w:tcW w:w="774" w:type="dxa"/>
            <w:vMerge w:val="continue"/>
            <w:tcBorders>
              <w:tl2br w:val="nil"/>
              <w:tr2bl w:val="nil"/>
            </w:tcBorders>
            <w:vAlign w:val="center"/>
          </w:tcPr>
          <w:p>
            <w:pPr>
              <w:pStyle w:val="17"/>
              <w:bidi w:val="0"/>
              <w:rPr>
                <w:rFonts w:hint="default"/>
                <w:color w:val="0000FF"/>
              </w:rPr>
            </w:pPr>
          </w:p>
        </w:tc>
        <w:tc>
          <w:tcPr>
            <w:tcW w:w="4513" w:type="dxa"/>
            <w:tcBorders>
              <w:tl2br w:val="nil"/>
              <w:tr2bl w:val="nil"/>
            </w:tcBorders>
            <w:vAlign w:val="center"/>
          </w:tcPr>
          <w:p>
            <w:pPr>
              <w:pStyle w:val="17"/>
              <w:bidi w:val="0"/>
              <w:rPr>
                <w:rFonts w:hint="default"/>
                <w:color w:val="0000FF"/>
              </w:rPr>
            </w:pPr>
            <w:r>
              <w:rPr>
                <w:rFonts w:hint="default"/>
                <w:color w:val="0000FF"/>
              </w:rPr>
              <w:t>企业应具有与生产能力相匹配的厂区作业场地面积。</w:t>
            </w:r>
          </w:p>
        </w:tc>
        <w:tc>
          <w:tcPr>
            <w:tcW w:w="2159" w:type="dxa"/>
            <w:tcBorders>
              <w:tl2br w:val="nil"/>
              <w:tr2bl w:val="nil"/>
            </w:tcBorders>
            <w:vAlign w:val="center"/>
          </w:tcPr>
          <w:p>
            <w:pPr>
              <w:pStyle w:val="17"/>
              <w:bidi w:val="0"/>
              <w:rPr>
                <w:rFonts w:hint="default"/>
                <w:color w:val="0000FF"/>
              </w:rPr>
            </w:pPr>
            <w:r>
              <w:rPr>
                <w:rFonts w:hint="default"/>
                <w:color w:val="0000FF"/>
              </w:rPr>
              <w:t>本项目占地面积为</w:t>
            </w:r>
            <w:r>
              <w:rPr>
                <w:rFonts w:hint="eastAsia"/>
                <w:color w:val="0000FF"/>
                <w:lang w:val="en-US" w:eastAsia="zh-CN"/>
              </w:rPr>
              <w:t>8277.18m²</w:t>
            </w:r>
            <w:r>
              <w:rPr>
                <w:rFonts w:hint="default"/>
                <w:color w:val="0000FF"/>
              </w:rPr>
              <w:t>，设置</w:t>
            </w:r>
            <w:r>
              <w:rPr>
                <w:rFonts w:hint="eastAsia"/>
                <w:color w:val="0000FF"/>
                <w:lang w:val="en-US" w:eastAsia="zh-CN"/>
              </w:rPr>
              <w:t>造粒车间和生产车间</w:t>
            </w:r>
            <w:r>
              <w:rPr>
                <w:rFonts w:hint="default"/>
                <w:color w:val="0000FF"/>
              </w:rPr>
              <w:t>，并配套建设原料、产品库房等辅助设施。</w:t>
            </w: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7</w:t>
            </w:r>
          </w:p>
        </w:tc>
        <w:tc>
          <w:tcPr>
            <w:tcW w:w="774" w:type="dxa"/>
            <w:vMerge w:val="restart"/>
            <w:tcBorders>
              <w:tl2br w:val="nil"/>
              <w:tr2bl w:val="nil"/>
            </w:tcBorders>
            <w:vAlign w:val="center"/>
          </w:tcPr>
          <w:p>
            <w:pPr>
              <w:pStyle w:val="17"/>
              <w:bidi w:val="0"/>
              <w:rPr>
                <w:rFonts w:hint="default"/>
                <w:color w:val="0000FF"/>
              </w:rPr>
            </w:pPr>
            <w:r>
              <w:rPr>
                <w:rFonts w:hint="default"/>
                <w:color w:val="0000FF"/>
              </w:rPr>
              <w:t>资源综合利用及能耗</w:t>
            </w:r>
          </w:p>
        </w:tc>
        <w:tc>
          <w:tcPr>
            <w:tcW w:w="4513" w:type="dxa"/>
            <w:tcBorders>
              <w:tl2br w:val="nil"/>
              <w:tr2bl w:val="nil"/>
            </w:tcBorders>
            <w:vAlign w:val="center"/>
          </w:tcPr>
          <w:p>
            <w:pPr>
              <w:pStyle w:val="17"/>
              <w:bidi w:val="0"/>
              <w:rPr>
                <w:rFonts w:hint="default"/>
                <w:color w:val="0000FF"/>
              </w:rPr>
            </w:pPr>
            <w:r>
              <w:rPr>
                <w:rFonts w:hint="default"/>
                <w:color w:val="0000FF"/>
              </w:rPr>
              <w:t>企业应对收集的废塑料进行充分利用，提高资源回收利用效率，不得倾倒、焚烧与填埋。</w:t>
            </w:r>
          </w:p>
        </w:tc>
        <w:tc>
          <w:tcPr>
            <w:tcW w:w="2159" w:type="dxa"/>
            <w:vMerge w:val="restart"/>
            <w:tcBorders>
              <w:tl2br w:val="nil"/>
              <w:tr2bl w:val="nil"/>
            </w:tcBorders>
            <w:vAlign w:val="center"/>
          </w:tcPr>
          <w:p>
            <w:pPr>
              <w:pStyle w:val="17"/>
              <w:bidi w:val="0"/>
              <w:rPr>
                <w:rFonts w:hint="default"/>
                <w:color w:val="0000FF"/>
              </w:rPr>
            </w:pPr>
            <w:r>
              <w:rPr>
                <w:rFonts w:hint="default"/>
                <w:color w:val="0000FF"/>
              </w:rPr>
              <w:t>本项目对收集的废塑料进行充分利用，不倾倒、焚烧与填埋；</w:t>
            </w:r>
          </w:p>
          <w:p>
            <w:pPr>
              <w:pStyle w:val="17"/>
              <w:bidi w:val="0"/>
              <w:rPr>
                <w:rFonts w:hint="default"/>
                <w:color w:val="0000FF"/>
              </w:rPr>
            </w:pPr>
            <w:r>
              <w:rPr>
                <w:rFonts w:hint="default"/>
                <w:color w:val="0000FF"/>
              </w:rPr>
              <w:t>生产环节的综合电耗为165.53kW·h/t塑料；综合新水消耗为0.1t/t废塑料。</w:t>
            </w: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8</w:t>
            </w:r>
          </w:p>
        </w:tc>
        <w:tc>
          <w:tcPr>
            <w:tcW w:w="774" w:type="dxa"/>
            <w:vMerge w:val="continue"/>
            <w:tcBorders>
              <w:tl2br w:val="nil"/>
              <w:tr2bl w:val="nil"/>
            </w:tcBorders>
            <w:vAlign w:val="center"/>
          </w:tcPr>
          <w:p>
            <w:pPr>
              <w:pStyle w:val="17"/>
              <w:bidi w:val="0"/>
              <w:rPr>
                <w:rFonts w:hint="default"/>
                <w:color w:val="0000FF"/>
              </w:rPr>
            </w:pPr>
          </w:p>
        </w:tc>
        <w:tc>
          <w:tcPr>
            <w:tcW w:w="4513" w:type="dxa"/>
            <w:tcBorders>
              <w:tl2br w:val="nil"/>
              <w:tr2bl w:val="nil"/>
            </w:tcBorders>
            <w:vAlign w:val="center"/>
          </w:tcPr>
          <w:p>
            <w:pPr>
              <w:pStyle w:val="17"/>
              <w:bidi w:val="0"/>
              <w:rPr>
                <w:rFonts w:hint="default"/>
                <w:color w:val="0000FF"/>
              </w:rPr>
            </w:pPr>
            <w:r>
              <w:rPr>
                <w:rFonts w:hint="default"/>
                <w:color w:val="0000FF"/>
              </w:rPr>
              <w:t>塑料再生加工相关生产环节的综合电耗低于500 kW·h/t废塑料。</w:t>
            </w:r>
          </w:p>
        </w:tc>
        <w:tc>
          <w:tcPr>
            <w:tcW w:w="2159" w:type="dxa"/>
            <w:vMerge w:val="continue"/>
            <w:tcBorders>
              <w:tl2br w:val="nil"/>
              <w:tr2bl w:val="nil"/>
            </w:tcBorders>
            <w:vAlign w:val="center"/>
          </w:tcPr>
          <w:p>
            <w:pPr>
              <w:pStyle w:val="17"/>
              <w:bidi w:val="0"/>
              <w:rPr>
                <w:rFonts w:hint="default"/>
                <w:color w:val="0000FF"/>
              </w:rPr>
            </w:pP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9</w:t>
            </w:r>
          </w:p>
        </w:tc>
        <w:tc>
          <w:tcPr>
            <w:tcW w:w="774" w:type="dxa"/>
            <w:vMerge w:val="continue"/>
            <w:tcBorders>
              <w:tl2br w:val="nil"/>
              <w:tr2bl w:val="nil"/>
            </w:tcBorders>
            <w:vAlign w:val="center"/>
          </w:tcPr>
          <w:p>
            <w:pPr>
              <w:pStyle w:val="17"/>
              <w:bidi w:val="0"/>
              <w:rPr>
                <w:rFonts w:hint="default"/>
                <w:color w:val="0000FF"/>
              </w:rPr>
            </w:pPr>
          </w:p>
        </w:tc>
        <w:tc>
          <w:tcPr>
            <w:tcW w:w="4513" w:type="dxa"/>
            <w:tcBorders>
              <w:tl2br w:val="nil"/>
              <w:tr2bl w:val="nil"/>
            </w:tcBorders>
            <w:vAlign w:val="center"/>
          </w:tcPr>
          <w:p>
            <w:pPr>
              <w:pStyle w:val="17"/>
              <w:bidi w:val="0"/>
              <w:rPr>
                <w:rFonts w:hint="default"/>
                <w:color w:val="0000FF"/>
              </w:rPr>
            </w:pPr>
            <w:r>
              <w:rPr>
                <w:rFonts w:hint="default"/>
                <w:color w:val="0000FF"/>
              </w:rPr>
              <w:t>塑料再生造粒类企业的综合新水消耗低于0.2吨/吨废塑料。</w:t>
            </w:r>
          </w:p>
        </w:tc>
        <w:tc>
          <w:tcPr>
            <w:tcW w:w="2159" w:type="dxa"/>
            <w:vMerge w:val="continue"/>
            <w:tcBorders>
              <w:tl2br w:val="nil"/>
              <w:tr2bl w:val="nil"/>
            </w:tcBorders>
            <w:vAlign w:val="center"/>
          </w:tcPr>
          <w:p>
            <w:pPr>
              <w:pStyle w:val="17"/>
              <w:bidi w:val="0"/>
              <w:rPr>
                <w:rFonts w:hint="default"/>
                <w:color w:val="0000FF"/>
              </w:rPr>
            </w:pP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10</w:t>
            </w:r>
          </w:p>
        </w:tc>
        <w:tc>
          <w:tcPr>
            <w:tcW w:w="774" w:type="dxa"/>
            <w:vMerge w:val="continue"/>
            <w:tcBorders>
              <w:tl2br w:val="nil"/>
              <w:tr2bl w:val="nil"/>
            </w:tcBorders>
            <w:vAlign w:val="center"/>
          </w:tcPr>
          <w:p>
            <w:pPr>
              <w:pStyle w:val="17"/>
              <w:bidi w:val="0"/>
              <w:rPr>
                <w:rFonts w:hint="default"/>
                <w:color w:val="0000FF"/>
              </w:rPr>
            </w:pPr>
          </w:p>
        </w:tc>
        <w:tc>
          <w:tcPr>
            <w:tcW w:w="4513" w:type="dxa"/>
            <w:tcBorders>
              <w:tl2br w:val="nil"/>
              <w:tr2bl w:val="nil"/>
            </w:tcBorders>
            <w:vAlign w:val="center"/>
          </w:tcPr>
          <w:p>
            <w:pPr>
              <w:pStyle w:val="17"/>
              <w:bidi w:val="0"/>
              <w:rPr>
                <w:rFonts w:hint="default"/>
                <w:color w:val="0000FF"/>
              </w:rPr>
            </w:pPr>
            <w:r>
              <w:rPr>
                <w:rFonts w:hint="default"/>
                <w:color w:val="0000FF"/>
              </w:rPr>
              <w:t>其他生产单耗需满足国家相关标准。</w:t>
            </w:r>
          </w:p>
        </w:tc>
        <w:tc>
          <w:tcPr>
            <w:tcW w:w="2159" w:type="dxa"/>
            <w:vMerge w:val="continue"/>
            <w:tcBorders>
              <w:tl2br w:val="nil"/>
              <w:tr2bl w:val="nil"/>
            </w:tcBorders>
            <w:vAlign w:val="center"/>
          </w:tcPr>
          <w:p>
            <w:pPr>
              <w:pStyle w:val="17"/>
              <w:bidi w:val="0"/>
              <w:rPr>
                <w:rFonts w:hint="default"/>
                <w:color w:val="0000FF"/>
              </w:rPr>
            </w:pP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11</w:t>
            </w:r>
          </w:p>
        </w:tc>
        <w:tc>
          <w:tcPr>
            <w:tcW w:w="774" w:type="dxa"/>
            <w:tcBorders>
              <w:tl2br w:val="nil"/>
              <w:tr2bl w:val="nil"/>
            </w:tcBorders>
            <w:vAlign w:val="center"/>
          </w:tcPr>
          <w:p>
            <w:pPr>
              <w:pStyle w:val="17"/>
              <w:bidi w:val="0"/>
              <w:rPr>
                <w:rFonts w:hint="default"/>
                <w:color w:val="0000FF"/>
              </w:rPr>
            </w:pPr>
            <w:r>
              <w:rPr>
                <w:rFonts w:hint="default"/>
                <w:color w:val="0000FF"/>
              </w:rPr>
              <w:t>工艺与装备</w:t>
            </w:r>
          </w:p>
        </w:tc>
        <w:tc>
          <w:tcPr>
            <w:tcW w:w="4513" w:type="dxa"/>
            <w:tcBorders>
              <w:tl2br w:val="nil"/>
              <w:tr2bl w:val="nil"/>
            </w:tcBorders>
            <w:vAlign w:val="center"/>
          </w:tcPr>
          <w:p>
            <w:pPr>
              <w:pStyle w:val="17"/>
              <w:bidi w:val="0"/>
              <w:rPr>
                <w:rFonts w:hint="default"/>
                <w:color w:val="0000FF"/>
              </w:rPr>
            </w:pPr>
            <w:r>
              <w:rPr>
                <w:rFonts w:hint="default"/>
                <w:color w:val="0000FF"/>
              </w:rPr>
              <w:t>新建及改造、扩建废塑料综合利用企业应采用先进技术、工艺和装备，提高废塑料再生加工过程的自动化水平。塑料再生造粒类企业</w:t>
            </w:r>
            <w:r>
              <w:rPr>
                <w:rFonts w:hint="default"/>
                <w:color w:val="0000FF"/>
                <w:lang w:eastAsia="zh-CN"/>
              </w:rPr>
              <w:t>，</w:t>
            </w:r>
            <w:r>
              <w:rPr>
                <w:rFonts w:hint="default"/>
                <w:color w:val="0000FF"/>
              </w:rPr>
              <w:t>应具有与加工利用能力相适应的预处理设备和造粒设备。其中，造粒设备应具有强制排气系统，通过集气装置实现废气的集中处理；过滤装置的废弃过滤网应按照环境保护有关规定处理，禁止露天焚烧。</w:t>
            </w:r>
          </w:p>
        </w:tc>
        <w:tc>
          <w:tcPr>
            <w:tcW w:w="2159" w:type="dxa"/>
            <w:vMerge w:val="restart"/>
            <w:tcBorders>
              <w:tl2br w:val="nil"/>
              <w:tr2bl w:val="nil"/>
            </w:tcBorders>
            <w:vAlign w:val="center"/>
          </w:tcPr>
          <w:p>
            <w:pPr>
              <w:pStyle w:val="17"/>
              <w:bidi w:val="0"/>
              <w:rPr>
                <w:rFonts w:hint="default"/>
                <w:color w:val="0000FF"/>
              </w:rPr>
            </w:pPr>
            <w:r>
              <w:rPr>
                <w:rFonts w:hint="default"/>
                <w:color w:val="0000FF"/>
              </w:rPr>
              <w:t>本项目为新建项目，将按照《中华人民共和国环境影响评价法》要求，编制环评报告；采用较为先进技术、工艺和装备，具有与加工利用能力相适应的</w:t>
            </w:r>
            <w:r>
              <w:rPr>
                <w:rFonts w:hint="default"/>
                <w:color w:val="0000FF"/>
                <w:lang w:val="en-US" w:eastAsia="zh-CN"/>
              </w:rPr>
              <w:t>干法</w:t>
            </w:r>
            <w:r>
              <w:rPr>
                <w:rFonts w:hint="default"/>
                <w:color w:val="0000FF"/>
              </w:rPr>
              <w:t>破碎设备和造粒设备（其中，造粒设备具有强制排气系统，通过集气装置实现废气的集中处理；原料及产品存储在仓库内，地面全部硬</w:t>
            </w:r>
            <w:r>
              <w:rPr>
                <w:rFonts w:hint="default"/>
                <w:color w:val="0000FF"/>
                <w:lang w:val="en-US" w:eastAsia="zh-CN"/>
              </w:rPr>
              <w:t>化</w:t>
            </w:r>
            <w:r>
              <w:rPr>
                <w:rFonts w:hint="default"/>
                <w:color w:val="0000FF"/>
              </w:rPr>
              <w:t>；厂区管网按照</w:t>
            </w:r>
            <w:r>
              <w:rPr>
                <w:rFonts w:hint="eastAsia"/>
                <w:color w:val="0000FF"/>
                <w:lang w:eastAsia="zh-CN"/>
              </w:rPr>
              <w:t>“</w:t>
            </w:r>
            <w:r>
              <w:rPr>
                <w:rFonts w:hint="default"/>
                <w:color w:val="0000FF"/>
              </w:rPr>
              <w:t>雨污分流</w:t>
            </w:r>
            <w:r>
              <w:rPr>
                <w:rFonts w:hint="eastAsia"/>
                <w:color w:val="0000FF"/>
                <w:lang w:eastAsia="zh-CN"/>
              </w:rPr>
              <w:t>”</w:t>
            </w:r>
            <w:r>
              <w:rPr>
                <w:rFonts w:hint="default"/>
                <w:color w:val="0000FF"/>
              </w:rPr>
              <w:t>要求建设；收集的废塑料中不包含金属、橡胶、纤维、渣土、油脂、添加物等夹杂物，仅含少量泥土；生产废水经沉淀后回用原料清洗和喷淋工序，不外排；生活废水</w:t>
            </w:r>
            <w:r>
              <w:rPr>
                <w:rFonts w:hint="eastAsia"/>
                <w:color w:val="0000FF"/>
                <w:lang w:val="en-US" w:eastAsia="zh-CN"/>
              </w:rPr>
              <w:t>抽运至吉木萨尔县二工镇污水处理厂</w:t>
            </w:r>
            <w:r>
              <w:rPr>
                <w:rFonts w:hint="default"/>
                <w:color w:val="0000FF"/>
              </w:rPr>
              <w:t>；</w:t>
            </w:r>
            <w:r>
              <w:rPr>
                <w:rFonts w:hint="eastAsia"/>
                <w:color w:val="0000FF"/>
                <w:lang w:val="en-US" w:eastAsia="zh-CN"/>
              </w:rPr>
              <w:t>生产</w:t>
            </w:r>
            <w:r>
              <w:rPr>
                <w:rFonts w:hint="default"/>
                <w:color w:val="0000FF"/>
              </w:rPr>
              <w:t>车间的废气收集后经等离子光氧一体机</w:t>
            </w:r>
            <w:r>
              <w:rPr>
                <w:rFonts w:hint="eastAsia"/>
                <w:lang w:val="en-US" w:eastAsia="zh-CN"/>
              </w:rPr>
              <w:t>+活性炭吸附</w:t>
            </w:r>
            <w:r>
              <w:rPr>
                <w:rFonts w:hint="default"/>
                <w:color w:val="0000FF"/>
              </w:rPr>
              <w:t>净化处理后，通过15排气筒达标后排放；</w:t>
            </w:r>
            <w:r>
              <w:rPr>
                <w:rFonts w:hint="default"/>
                <w:color w:val="0000FF"/>
                <w:lang w:val="en-US" w:eastAsia="zh-CN"/>
              </w:rPr>
              <w:t>清洗废水经沉淀池沉淀后回用，不外排；污泥每年生产结束后统一清理，送填埋场填埋处理；</w:t>
            </w:r>
            <w:r>
              <w:rPr>
                <w:rFonts w:hint="default"/>
                <w:color w:val="0000FF"/>
              </w:rPr>
              <w:t>采取降噪和隔音措施，厂界噪声可达《工业企业厂界环境噪声排放标准》</w:t>
            </w:r>
            <w:r>
              <w:rPr>
                <w:rFonts w:hint="eastAsia"/>
                <w:color w:val="0000FF"/>
                <w:lang w:val="en-US" w:eastAsia="zh-CN"/>
              </w:rPr>
              <w:t>2</w:t>
            </w:r>
            <w:r>
              <w:rPr>
                <w:rFonts w:hint="default"/>
                <w:color w:val="0000FF"/>
              </w:rPr>
              <w:t>类标准。</w:t>
            </w: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12</w:t>
            </w:r>
          </w:p>
        </w:tc>
        <w:tc>
          <w:tcPr>
            <w:tcW w:w="774" w:type="dxa"/>
            <w:vMerge w:val="restart"/>
            <w:tcBorders>
              <w:tl2br w:val="nil"/>
              <w:tr2bl w:val="nil"/>
            </w:tcBorders>
            <w:vAlign w:val="center"/>
          </w:tcPr>
          <w:p>
            <w:pPr>
              <w:pStyle w:val="17"/>
              <w:bidi w:val="0"/>
              <w:rPr>
                <w:rFonts w:hint="default"/>
                <w:color w:val="0000FF"/>
              </w:rPr>
            </w:pPr>
            <w:r>
              <w:rPr>
                <w:rFonts w:hint="default"/>
                <w:color w:val="0000FF"/>
              </w:rPr>
              <w:t>环境保护</w:t>
            </w:r>
          </w:p>
        </w:tc>
        <w:tc>
          <w:tcPr>
            <w:tcW w:w="4513" w:type="dxa"/>
            <w:tcBorders>
              <w:tl2br w:val="nil"/>
              <w:tr2bl w:val="nil"/>
            </w:tcBorders>
            <w:vAlign w:val="center"/>
          </w:tcPr>
          <w:p>
            <w:pPr>
              <w:pStyle w:val="17"/>
              <w:bidi w:val="0"/>
              <w:rPr>
                <w:rFonts w:hint="default"/>
                <w:color w:val="0000FF"/>
              </w:rPr>
            </w:pPr>
            <w:r>
              <w:rPr>
                <w:rFonts w:hint="default"/>
                <w:color w:val="0000FF"/>
              </w:rPr>
              <w:t>废塑料综合利用企业应严格执行《中华人民共和国环境影响评价法》，按照环境保护主管部门的相关规定报批环境影响评价文件。按照环境保护</w:t>
            </w:r>
            <w:r>
              <w:rPr>
                <w:rFonts w:hint="eastAsia"/>
                <w:color w:val="0000FF"/>
                <w:lang w:eastAsia="zh-CN"/>
              </w:rPr>
              <w:t>“</w:t>
            </w:r>
            <w:r>
              <w:rPr>
                <w:rFonts w:hint="default"/>
                <w:color w:val="0000FF"/>
              </w:rPr>
              <w:t>三同时</w:t>
            </w:r>
            <w:r>
              <w:rPr>
                <w:rFonts w:hint="eastAsia"/>
                <w:color w:val="0000FF"/>
                <w:lang w:eastAsia="zh-CN"/>
              </w:rPr>
              <w:t>”</w:t>
            </w:r>
            <w:r>
              <w:rPr>
                <w:rFonts w:hint="default"/>
                <w:color w:val="0000FF"/>
              </w:rPr>
              <w:t>的要求建设配套的环境保护设施，编制环境风险应急预案，并依法申请项目竣工环境保护验收。</w:t>
            </w:r>
          </w:p>
        </w:tc>
        <w:tc>
          <w:tcPr>
            <w:tcW w:w="2159" w:type="dxa"/>
            <w:vMerge w:val="continue"/>
            <w:tcBorders>
              <w:tl2br w:val="nil"/>
              <w:tr2bl w:val="nil"/>
            </w:tcBorders>
            <w:vAlign w:val="center"/>
          </w:tcPr>
          <w:p>
            <w:pPr>
              <w:pStyle w:val="17"/>
              <w:bidi w:val="0"/>
              <w:rPr>
                <w:rFonts w:hint="default"/>
                <w:color w:val="0000FF"/>
              </w:rPr>
            </w:pP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13</w:t>
            </w:r>
          </w:p>
        </w:tc>
        <w:tc>
          <w:tcPr>
            <w:tcW w:w="774" w:type="dxa"/>
            <w:vMerge w:val="continue"/>
            <w:tcBorders>
              <w:tl2br w:val="nil"/>
              <w:tr2bl w:val="nil"/>
            </w:tcBorders>
            <w:vAlign w:val="center"/>
          </w:tcPr>
          <w:p>
            <w:pPr>
              <w:pStyle w:val="17"/>
              <w:bidi w:val="0"/>
              <w:rPr>
                <w:rFonts w:hint="default"/>
                <w:color w:val="0000FF"/>
              </w:rPr>
            </w:pPr>
          </w:p>
        </w:tc>
        <w:tc>
          <w:tcPr>
            <w:tcW w:w="4513" w:type="dxa"/>
            <w:tcBorders>
              <w:tl2br w:val="nil"/>
              <w:tr2bl w:val="nil"/>
            </w:tcBorders>
            <w:vAlign w:val="center"/>
          </w:tcPr>
          <w:p>
            <w:pPr>
              <w:pStyle w:val="17"/>
              <w:bidi w:val="0"/>
              <w:rPr>
                <w:rFonts w:hint="default"/>
                <w:color w:val="0000FF"/>
              </w:rPr>
            </w:pPr>
            <w:r>
              <w:rPr>
                <w:rFonts w:hint="default"/>
                <w:color w:val="0000FF"/>
              </w:rPr>
              <w:t>企业加工存储场地应建有围墙，在内的企业可为单独厂房，地面全部硬化且无明显破损现象。</w:t>
            </w:r>
          </w:p>
        </w:tc>
        <w:tc>
          <w:tcPr>
            <w:tcW w:w="2159" w:type="dxa"/>
            <w:vMerge w:val="continue"/>
            <w:tcBorders>
              <w:tl2br w:val="nil"/>
              <w:tr2bl w:val="nil"/>
            </w:tcBorders>
            <w:vAlign w:val="center"/>
          </w:tcPr>
          <w:p>
            <w:pPr>
              <w:pStyle w:val="17"/>
              <w:bidi w:val="0"/>
              <w:rPr>
                <w:rFonts w:hint="default"/>
                <w:color w:val="0000FF"/>
              </w:rPr>
            </w:pP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14</w:t>
            </w:r>
          </w:p>
        </w:tc>
        <w:tc>
          <w:tcPr>
            <w:tcW w:w="774" w:type="dxa"/>
            <w:vMerge w:val="continue"/>
            <w:tcBorders>
              <w:tl2br w:val="nil"/>
              <w:tr2bl w:val="nil"/>
            </w:tcBorders>
            <w:vAlign w:val="center"/>
          </w:tcPr>
          <w:p>
            <w:pPr>
              <w:pStyle w:val="17"/>
              <w:bidi w:val="0"/>
              <w:rPr>
                <w:rFonts w:hint="default"/>
                <w:color w:val="0000FF"/>
              </w:rPr>
            </w:pPr>
          </w:p>
        </w:tc>
        <w:tc>
          <w:tcPr>
            <w:tcW w:w="4513" w:type="dxa"/>
            <w:tcBorders>
              <w:tl2br w:val="nil"/>
              <w:tr2bl w:val="nil"/>
            </w:tcBorders>
            <w:vAlign w:val="center"/>
          </w:tcPr>
          <w:p>
            <w:pPr>
              <w:pStyle w:val="17"/>
              <w:bidi w:val="0"/>
              <w:rPr>
                <w:rFonts w:hint="default"/>
                <w:color w:val="0000FF"/>
              </w:rPr>
            </w:pPr>
            <w:r>
              <w:rPr>
                <w:rFonts w:hint="default"/>
                <w:color w:val="0000FF"/>
              </w:rPr>
              <w:t>企业必须配备废塑料分类存放场所。原料、产品、本企业不能利用废塑料及不可利用废物贮存在具有防雨、防风、防渗等功能的厂房或加盖雨棚的专门贮存场地内，无露天堆放现象。企业厂区管网建设应达到</w:t>
            </w:r>
            <w:r>
              <w:rPr>
                <w:rFonts w:hint="eastAsia"/>
                <w:color w:val="0000FF"/>
                <w:lang w:eastAsia="zh-CN"/>
              </w:rPr>
              <w:t>“</w:t>
            </w:r>
            <w:r>
              <w:rPr>
                <w:rFonts w:hint="default"/>
                <w:color w:val="0000FF"/>
              </w:rPr>
              <w:t>雨污分流</w:t>
            </w:r>
            <w:r>
              <w:rPr>
                <w:rFonts w:hint="eastAsia"/>
                <w:color w:val="0000FF"/>
                <w:lang w:eastAsia="zh-CN"/>
              </w:rPr>
              <w:t>”</w:t>
            </w:r>
            <w:r>
              <w:rPr>
                <w:rFonts w:hint="default"/>
                <w:color w:val="0000FF"/>
              </w:rPr>
              <w:t>要求。</w:t>
            </w:r>
          </w:p>
        </w:tc>
        <w:tc>
          <w:tcPr>
            <w:tcW w:w="2159" w:type="dxa"/>
            <w:vMerge w:val="continue"/>
            <w:tcBorders>
              <w:tl2br w:val="nil"/>
              <w:tr2bl w:val="nil"/>
            </w:tcBorders>
            <w:vAlign w:val="center"/>
          </w:tcPr>
          <w:p>
            <w:pPr>
              <w:pStyle w:val="17"/>
              <w:bidi w:val="0"/>
              <w:rPr>
                <w:rFonts w:hint="default"/>
                <w:color w:val="0000FF"/>
              </w:rPr>
            </w:pP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15</w:t>
            </w:r>
          </w:p>
        </w:tc>
        <w:tc>
          <w:tcPr>
            <w:tcW w:w="774" w:type="dxa"/>
            <w:vMerge w:val="continue"/>
            <w:tcBorders>
              <w:tl2br w:val="nil"/>
              <w:tr2bl w:val="nil"/>
            </w:tcBorders>
            <w:vAlign w:val="center"/>
          </w:tcPr>
          <w:p>
            <w:pPr>
              <w:pStyle w:val="17"/>
              <w:bidi w:val="0"/>
              <w:rPr>
                <w:rFonts w:hint="default"/>
                <w:color w:val="0000FF"/>
              </w:rPr>
            </w:pPr>
          </w:p>
        </w:tc>
        <w:tc>
          <w:tcPr>
            <w:tcW w:w="4513" w:type="dxa"/>
            <w:tcBorders>
              <w:tl2br w:val="nil"/>
              <w:tr2bl w:val="nil"/>
            </w:tcBorders>
            <w:vAlign w:val="center"/>
          </w:tcPr>
          <w:p>
            <w:pPr>
              <w:pStyle w:val="17"/>
              <w:bidi w:val="0"/>
              <w:rPr>
                <w:rFonts w:hint="default"/>
                <w:color w:val="0000FF"/>
              </w:rPr>
            </w:pPr>
            <w:r>
              <w:rPr>
                <w:rFonts w:hint="default"/>
                <w:color w:val="0000FF"/>
              </w:rPr>
              <w:t>企业对收集的废塑料中的金属、橡胶、纤维、渣土、油脂、添加物等夹杂物，应采取相应的处理措施。如企业不具备处理条件，应委托其他具有处理能力的企业处理，不得擅自丢弃、倾倒、焚烧与填埋。</w:t>
            </w:r>
          </w:p>
        </w:tc>
        <w:tc>
          <w:tcPr>
            <w:tcW w:w="2159" w:type="dxa"/>
            <w:vMerge w:val="continue"/>
            <w:tcBorders>
              <w:tl2br w:val="nil"/>
              <w:tr2bl w:val="nil"/>
            </w:tcBorders>
            <w:vAlign w:val="center"/>
          </w:tcPr>
          <w:p>
            <w:pPr>
              <w:pStyle w:val="17"/>
              <w:bidi w:val="0"/>
              <w:rPr>
                <w:rFonts w:hint="default"/>
                <w:color w:val="0000FF"/>
              </w:rPr>
            </w:pP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16</w:t>
            </w:r>
          </w:p>
        </w:tc>
        <w:tc>
          <w:tcPr>
            <w:tcW w:w="774" w:type="dxa"/>
            <w:vMerge w:val="continue"/>
            <w:tcBorders>
              <w:tl2br w:val="nil"/>
              <w:tr2bl w:val="nil"/>
            </w:tcBorders>
            <w:vAlign w:val="center"/>
          </w:tcPr>
          <w:p>
            <w:pPr>
              <w:pStyle w:val="17"/>
              <w:bidi w:val="0"/>
              <w:rPr>
                <w:rFonts w:hint="default"/>
                <w:color w:val="0000FF"/>
              </w:rPr>
            </w:pPr>
          </w:p>
        </w:tc>
        <w:tc>
          <w:tcPr>
            <w:tcW w:w="4513" w:type="dxa"/>
            <w:tcBorders>
              <w:tl2br w:val="nil"/>
              <w:tr2bl w:val="nil"/>
            </w:tcBorders>
            <w:vAlign w:val="center"/>
          </w:tcPr>
          <w:p>
            <w:pPr>
              <w:pStyle w:val="17"/>
              <w:bidi w:val="0"/>
              <w:rPr>
                <w:rFonts w:hint="default"/>
                <w:color w:val="0000FF"/>
              </w:rPr>
            </w:pPr>
            <w:r>
              <w:rPr>
                <w:rFonts w:hint="default"/>
                <w:color w:val="0000FF"/>
              </w:rPr>
              <w:t>企业应具有与加工利用能力相适应的废水处理设施，中水回用率必须符合环评文件的有关要求。废水处理后需要外排的废水，必须经处理后达标排放。企业应采用高效节能环保的污泥处理工艺,或交由具有处理资格的废物处理机构,实现污泥无害化处理。</w:t>
            </w:r>
          </w:p>
        </w:tc>
        <w:tc>
          <w:tcPr>
            <w:tcW w:w="2159" w:type="dxa"/>
            <w:vMerge w:val="continue"/>
            <w:tcBorders>
              <w:tl2br w:val="nil"/>
              <w:tr2bl w:val="nil"/>
            </w:tcBorders>
            <w:vAlign w:val="center"/>
          </w:tcPr>
          <w:p>
            <w:pPr>
              <w:pStyle w:val="17"/>
              <w:bidi w:val="0"/>
              <w:rPr>
                <w:rFonts w:hint="default"/>
                <w:color w:val="0000FF"/>
              </w:rPr>
            </w:pP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17</w:t>
            </w:r>
          </w:p>
        </w:tc>
        <w:tc>
          <w:tcPr>
            <w:tcW w:w="774" w:type="dxa"/>
            <w:vMerge w:val="continue"/>
            <w:tcBorders>
              <w:tl2br w:val="nil"/>
              <w:tr2bl w:val="nil"/>
            </w:tcBorders>
            <w:vAlign w:val="center"/>
          </w:tcPr>
          <w:p>
            <w:pPr>
              <w:pStyle w:val="17"/>
              <w:bidi w:val="0"/>
              <w:rPr>
                <w:rFonts w:hint="default"/>
                <w:color w:val="0000FF"/>
              </w:rPr>
            </w:pPr>
          </w:p>
        </w:tc>
        <w:tc>
          <w:tcPr>
            <w:tcW w:w="4513" w:type="dxa"/>
            <w:tcBorders>
              <w:tl2br w:val="nil"/>
              <w:tr2bl w:val="nil"/>
            </w:tcBorders>
            <w:vAlign w:val="center"/>
          </w:tcPr>
          <w:p>
            <w:pPr>
              <w:pStyle w:val="17"/>
              <w:bidi w:val="0"/>
              <w:rPr>
                <w:rFonts w:hint="default"/>
                <w:color w:val="0000FF"/>
              </w:rPr>
            </w:pPr>
            <w:r>
              <w:rPr>
                <w:rFonts w:hint="default"/>
                <w:color w:val="0000FF"/>
              </w:rPr>
              <w:t>再生加工过程中产生废气、粉尘的加工车间应设置废气、粉尘收集处理设施，通过净化处理，达标后排放。</w:t>
            </w:r>
          </w:p>
        </w:tc>
        <w:tc>
          <w:tcPr>
            <w:tcW w:w="2159" w:type="dxa"/>
            <w:vMerge w:val="continue"/>
            <w:tcBorders>
              <w:tl2br w:val="nil"/>
              <w:tr2bl w:val="nil"/>
            </w:tcBorders>
            <w:vAlign w:val="center"/>
          </w:tcPr>
          <w:p>
            <w:pPr>
              <w:pStyle w:val="17"/>
              <w:bidi w:val="0"/>
              <w:rPr>
                <w:rFonts w:hint="default"/>
                <w:color w:val="0000FF"/>
              </w:rPr>
            </w:pP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18</w:t>
            </w:r>
          </w:p>
        </w:tc>
        <w:tc>
          <w:tcPr>
            <w:tcW w:w="774" w:type="dxa"/>
            <w:vMerge w:val="continue"/>
            <w:tcBorders>
              <w:tl2br w:val="nil"/>
              <w:tr2bl w:val="nil"/>
            </w:tcBorders>
            <w:vAlign w:val="center"/>
          </w:tcPr>
          <w:p>
            <w:pPr>
              <w:pStyle w:val="17"/>
              <w:bidi w:val="0"/>
              <w:rPr>
                <w:rFonts w:hint="default"/>
                <w:color w:val="0000FF"/>
              </w:rPr>
            </w:pPr>
          </w:p>
        </w:tc>
        <w:tc>
          <w:tcPr>
            <w:tcW w:w="4513" w:type="dxa"/>
            <w:tcBorders>
              <w:tl2br w:val="nil"/>
              <w:tr2bl w:val="nil"/>
            </w:tcBorders>
            <w:vAlign w:val="center"/>
          </w:tcPr>
          <w:p>
            <w:pPr>
              <w:pStyle w:val="17"/>
              <w:bidi w:val="0"/>
              <w:rPr>
                <w:rFonts w:hint="default"/>
                <w:color w:val="0000FF"/>
              </w:rPr>
            </w:pPr>
            <w:r>
              <w:rPr>
                <w:rFonts w:hint="default"/>
                <w:color w:val="0000FF"/>
              </w:rPr>
              <w:t>对于加工过程中噪音污染大的设备，必须采取降噪和隔音措施，企业噪声应达到《工业企业厂界环境噪声排放标准》。</w:t>
            </w:r>
          </w:p>
        </w:tc>
        <w:tc>
          <w:tcPr>
            <w:tcW w:w="2159" w:type="dxa"/>
            <w:vMerge w:val="continue"/>
            <w:tcBorders>
              <w:tl2br w:val="nil"/>
              <w:tr2bl w:val="nil"/>
            </w:tcBorders>
            <w:vAlign w:val="center"/>
          </w:tcPr>
          <w:p>
            <w:pPr>
              <w:pStyle w:val="17"/>
              <w:bidi w:val="0"/>
              <w:rPr>
                <w:rFonts w:hint="default"/>
                <w:color w:val="0000FF"/>
              </w:rPr>
            </w:pP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19</w:t>
            </w:r>
          </w:p>
        </w:tc>
        <w:tc>
          <w:tcPr>
            <w:tcW w:w="774" w:type="dxa"/>
            <w:tcBorders>
              <w:tl2br w:val="nil"/>
              <w:tr2bl w:val="nil"/>
            </w:tcBorders>
            <w:vAlign w:val="center"/>
          </w:tcPr>
          <w:p>
            <w:pPr>
              <w:pStyle w:val="17"/>
              <w:bidi w:val="0"/>
              <w:rPr>
                <w:rFonts w:hint="default"/>
                <w:color w:val="0000FF"/>
              </w:rPr>
            </w:pPr>
            <w:r>
              <w:rPr>
                <w:rFonts w:hint="default"/>
                <w:color w:val="0000FF"/>
              </w:rPr>
              <w:t>防火安全</w:t>
            </w:r>
          </w:p>
        </w:tc>
        <w:tc>
          <w:tcPr>
            <w:tcW w:w="4513" w:type="dxa"/>
            <w:tcBorders>
              <w:tl2br w:val="nil"/>
              <w:tr2bl w:val="nil"/>
            </w:tcBorders>
            <w:vAlign w:val="center"/>
          </w:tcPr>
          <w:p>
            <w:pPr>
              <w:pStyle w:val="17"/>
              <w:bidi w:val="0"/>
              <w:rPr>
                <w:rFonts w:hint="default"/>
                <w:color w:val="0000FF"/>
              </w:rPr>
            </w:pPr>
            <w:r>
              <w:rPr>
                <w:rFonts w:hint="default"/>
                <w:color w:val="0000FF"/>
              </w:rPr>
              <w:t>企业应严格执行《中华人民共和国消防法》的各项规定生产。</w:t>
            </w:r>
          </w:p>
          <w:p>
            <w:pPr>
              <w:pStyle w:val="17"/>
              <w:bidi w:val="0"/>
              <w:rPr>
                <w:rFonts w:hint="default"/>
                <w:color w:val="0000FF"/>
              </w:rPr>
            </w:pPr>
            <w:r>
              <w:rPr>
                <w:rFonts w:hint="default"/>
                <w:color w:val="0000FF"/>
              </w:rPr>
              <w:t>生产厂房、仓库、堆场等场所内应严禁烟火，不可存放任何易燃性物质，并应设置严禁烟火标志。</w:t>
            </w:r>
          </w:p>
          <w:p>
            <w:pPr>
              <w:pStyle w:val="17"/>
              <w:bidi w:val="0"/>
              <w:rPr>
                <w:rFonts w:hint="default"/>
                <w:color w:val="0000FF"/>
              </w:rPr>
            </w:pPr>
            <w:r>
              <w:rPr>
                <w:rFonts w:hint="default"/>
                <w:color w:val="0000FF"/>
              </w:rPr>
              <w:t>生产与使用化学药剂的生产区域应符合相关防火、防爆的要求。</w:t>
            </w:r>
          </w:p>
        </w:tc>
        <w:tc>
          <w:tcPr>
            <w:tcW w:w="2159" w:type="dxa"/>
            <w:tcBorders>
              <w:tl2br w:val="nil"/>
              <w:tr2bl w:val="nil"/>
            </w:tcBorders>
            <w:vAlign w:val="center"/>
          </w:tcPr>
          <w:p>
            <w:pPr>
              <w:pStyle w:val="17"/>
              <w:bidi w:val="0"/>
              <w:rPr>
                <w:rFonts w:hint="default"/>
                <w:color w:val="0000FF"/>
              </w:rPr>
            </w:pPr>
            <w:r>
              <w:rPr>
                <w:rFonts w:hint="default"/>
                <w:color w:val="0000FF"/>
              </w:rPr>
              <w:t>本项目严格执行《中华人民共和国消防法》的各项规定。厂房、仓库、堆场等场所的防火设计、施工和验收应符合国家现行相关标准的要求，严禁烟火，不可存放任何易燃性物质，并应设置严禁烟火标志。</w:t>
            </w: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20</w:t>
            </w:r>
          </w:p>
        </w:tc>
        <w:tc>
          <w:tcPr>
            <w:tcW w:w="774" w:type="dxa"/>
            <w:tcBorders>
              <w:tl2br w:val="nil"/>
              <w:tr2bl w:val="nil"/>
            </w:tcBorders>
            <w:vAlign w:val="center"/>
          </w:tcPr>
          <w:p>
            <w:pPr>
              <w:pStyle w:val="17"/>
              <w:bidi w:val="0"/>
              <w:rPr>
                <w:rFonts w:hint="default"/>
                <w:color w:val="0000FF"/>
              </w:rPr>
            </w:pPr>
            <w:r>
              <w:rPr>
                <w:rFonts w:hint="default"/>
                <w:color w:val="0000FF"/>
              </w:rPr>
              <w:t>产品质量与职业培训</w:t>
            </w:r>
          </w:p>
          <w:p>
            <w:pPr>
              <w:pStyle w:val="17"/>
              <w:bidi w:val="0"/>
              <w:rPr>
                <w:rFonts w:hint="default"/>
                <w:color w:val="0000FF"/>
              </w:rPr>
            </w:pPr>
          </w:p>
        </w:tc>
        <w:tc>
          <w:tcPr>
            <w:tcW w:w="4513" w:type="dxa"/>
            <w:tcBorders>
              <w:tl2br w:val="nil"/>
              <w:tr2bl w:val="nil"/>
            </w:tcBorders>
            <w:vAlign w:val="center"/>
          </w:tcPr>
          <w:p>
            <w:pPr>
              <w:pStyle w:val="17"/>
              <w:bidi w:val="0"/>
              <w:rPr>
                <w:rFonts w:hint="default"/>
                <w:color w:val="0000FF"/>
              </w:rPr>
            </w:pPr>
            <w:r>
              <w:rPr>
                <w:rFonts w:hint="default"/>
                <w:color w:val="0000FF"/>
              </w:rPr>
              <w:t>企业应建立质量检验制度，制定完善工作流程和岗位操作规程；应设立独立的质量检验部门和专职检验人员，保证检验数据完整；鼓励企业通过ISO质量管理体系认证和环境管理体系认证。</w:t>
            </w:r>
          </w:p>
          <w:p>
            <w:pPr>
              <w:pStyle w:val="17"/>
              <w:bidi w:val="0"/>
              <w:rPr>
                <w:rFonts w:hint="default"/>
                <w:color w:val="0000FF"/>
              </w:rPr>
            </w:pPr>
            <w:r>
              <w:rPr>
                <w:rFonts w:hint="default"/>
                <w:color w:val="0000FF"/>
              </w:rPr>
              <w:t>废塑料综合利用再生颗粒原料符合相应塑料加工制品质量标准要求。</w:t>
            </w:r>
          </w:p>
          <w:p>
            <w:pPr>
              <w:pStyle w:val="17"/>
              <w:bidi w:val="0"/>
              <w:rPr>
                <w:rFonts w:hint="default"/>
                <w:color w:val="0000FF"/>
              </w:rPr>
            </w:pPr>
            <w:r>
              <w:rPr>
                <w:rFonts w:hint="default"/>
                <w:color w:val="0000FF"/>
              </w:rPr>
              <w:t>鼓励企业建立相应的材料、产品可追溯制度。</w:t>
            </w:r>
          </w:p>
          <w:p>
            <w:pPr>
              <w:pStyle w:val="17"/>
              <w:bidi w:val="0"/>
              <w:rPr>
                <w:rFonts w:hint="default"/>
                <w:color w:val="0000FF"/>
              </w:rPr>
            </w:pPr>
            <w:r>
              <w:rPr>
                <w:rFonts w:hint="default"/>
                <w:color w:val="0000FF"/>
              </w:rPr>
              <w:t>企业应建立职业教育培训管理制度，对企业员工进行环境保护、污染防治、资源再生与利用等领域的相关培训，提高企业人员素质。</w:t>
            </w:r>
          </w:p>
        </w:tc>
        <w:tc>
          <w:tcPr>
            <w:tcW w:w="2159" w:type="dxa"/>
            <w:tcBorders>
              <w:tl2br w:val="nil"/>
              <w:tr2bl w:val="nil"/>
            </w:tcBorders>
            <w:vAlign w:val="center"/>
          </w:tcPr>
          <w:p>
            <w:pPr>
              <w:pStyle w:val="17"/>
              <w:bidi w:val="0"/>
              <w:rPr>
                <w:rFonts w:hint="default"/>
                <w:color w:val="0000FF"/>
              </w:rPr>
            </w:pPr>
            <w:r>
              <w:rPr>
                <w:rFonts w:hint="default"/>
                <w:color w:val="0000FF"/>
              </w:rPr>
              <w:t>本项目将建立质量检验制度，制定完善工作流程和岗位操作规程；再生颗粒原料符合相应塑料加工制品质量标准要求；建立职业教育培训管理制度，对企业员工进行环境保护、污染防治、资源再生与利用等领域的相关培训，提高企业人员素质。</w:t>
            </w: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7" w:type="dxa"/>
            <w:tcBorders>
              <w:tl2br w:val="nil"/>
              <w:tr2bl w:val="nil"/>
            </w:tcBorders>
            <w:vAlign w:val="center"/>
          </w:tcPr>
          <w:p>
            <w:pPr>
              <w:pStyle w:val="17"/>
              <w:bidi w:val="0"/>
              <w:rPr>
                <w:rFonts w:hint="default"/>
                <w:color w:val="0000FF"/>
              </w:rPr>
            </w:pPr>
            <w:r>
              <w:rPr>
                <w:rFonts w:hint="default"/>
                <w:color w:val="0000FF"/>
              </w:rPr>
              <w:t>21</w:t>
            </w:r>
          </w:p>
        </w:tc>
        <w:tc>
          <w:tcPr>
            <w:tcW w:w="774" w:type="dxa"/>
            <w:tcBorders>
              <w:tl2br w:val="nil"/>
              <w:tr2bl w:val="nil"/>
            </w:tcBorders>
            <w:vAlign w:val="center"/>
          </w:tcPr>
          <w:p>
            <w:pPr>
              <w:pStyle w:val="17"/>
              <w:bidi w:val="0"/>
              <w:rPr>
                <w:rFonts w:hint="default"/>
                <w:color w:val="0000FF"/>
              </w:rPr>
            </w:pPr>
            <w:r>
              <w:rPr>
                <w:rFonts w:hint="default"/>
                <w:color w:val="0000FF"/>
              </w:rPr>
              <w:t>安全生产</w:t>
            </w:r>
          </w:p>
          <w:p>
            <w:pPr>
              <w:pStyle w:val="17"/>
              <w:bidi w:val="0"/>
              <w:rPr>
                <w:rFonts w:hint="default"/>
                <w:color w:val="0000FF"/>
              </w:rPr>
            </w:pPr>
          </w:p>
        </w:tc>
        <w:tc>
          <w:tcPr>
            <w:tcW w:w="4513" w:type="dxa"/>
            <w:tcBorders>
              <w:tl2br w:val="nil"/>
              <w:tr2bl w:val="nil"/>
            </w:tcBorders>
            <w:vAlign w:val="center"/>
          </w:tcPr>
          <w:p>
            <w:pPr>
              <w:pStyle w:val="17"/>
              <w:bidi w:val="0"/>
              <w:rPr>
                <w:rFonts w:hint="default"/>
                <w:color w:val="0000FF"/>
              </w:rPr>
            </w:pPr>
            <w:r>
              <w:rPr>
                <w:rFonts w:hint="default"/>
                <w:color w:val="0000FF"/>
              </w:rPr>
              <w:t>企业应严格遵守《中华人民共和国安全生产法》、《中华人民共和国职业病防治法》等相关法律法规规定，具备相应的安全生产、劳动保护和职业危害防治条件，建立、健全安全生产责任制，开展安全生产标准化建设，并按规定限期达标。</w:t>
            </w:r>
          </w:p>
          <w:p>
            <w:pPr>
              <w:pStyle w:val="17"/>
              <w:bidi w:val="0"/>
              <w:rPr>
                <w:rFonts w:hint="default"/>
                <w:color w:val="0000FF"/>
              </w:rPr>
            </w:pPr>
            <w:r>
              <w:rPr>
                <w:rFonts w:hint="default"/>
                <w:color w:val="0000FF"/>
              </w:rPr>
              <w:t>加工企业的安全设施和职业危害防治设施必须与主体工程同时设计、同时施工、同时投入生产和使用；企业安全设施设计、投入生产和使用前，应依法进行审查、验收。</w:t>
            </w:r>
          </w:p>
          <w:p>
            <w:pPr>
              <w:pStyle w:val="17"/>
              <w:bidi w:val="0"/>
              <w:rPr>
                <w:rFonts w:hint="default"/>
                <w:color w:val="0000FF"/>
              </w:rPr>
            </w:pPr>
            <w:r>
              <w:rPr>
                <w:rFonts w:hint="default"/>
                <w:color w:val="0000FF"/>
              </w:rPr>
              <w:t>企业应有健全的安全生产和职业卫生管理体系，应有职工安全生产、职业卫生培训制度和安全生产、职业卫生检查制度。</w:t>
            </w:r>
          </w:p>
          <w:p>
            <w:pPr>
              <w:pStyle w:val="17"/>
              <w:bidi w:val="0"/>
              <w:rPr>
                <w:rFonts w:hint="default"/>
                <w:color w:val="0000FF"/>
              </w:rPr>
            </w:pPr>
            <w:r>
              <w:rPr>
                <w:rFonts w:hint="default"/>
                <w:color w:val="0000FF"/>
              </w:rPr>
              <w:t>企业应有安全防护与防治措施，配备符合国家标准的安全防护器材与设备，避免在生产过程中造成机械伤害。对可能产生粉尘、烟气的作业区，应配备职业病防护设施，保证工作场所符合国家职业卫生标准。</w:t>
            </w:r>
          </w:p>
        </w:tc>
        <w:tc>
          <w:tcPr>
            <w:tcW w:w="2159" w:type="dxa"/>
            <w:tcBorders>
              <w:tl2br w:val="nil"/>
              <w:tr2bl w:val="nil"/>
            </w:tcBorders>
            <w:vAlign w:val="center"/>
          </w:tcPr>
          <w:p>
            <w:pPr>
              <w:pStyle w:val="17"/>
              <w:bidi w:val="0"/>
              <w:rPr>
                <w:rFonts w:hint="default"/>
                <w:color w:val="0000FF"/>
              </w:rPr>
            </w:pPr>
            <w:r>
              <w:rPr>
                <w:rFonts w:hint="default"/>
                <w:color w:val="0000FF"/>
              </w:rPr>
              <w:t>本项目将严格遵守《中华人民共和国安全生产法》、《中华人民共和国职业病防治法》等相关法律法规规定，具备相应的安全生产、劳动保护和职业危害防治条件，建立、健全安全生产责任制，开展安全生产标准化建设</w:t>
            </w:r>
          </w:p>
        </w:tc>
        <w:tc>
          <w:tcPr>
            <w:tcW w:w="908" w:type="dxa"/>
            <w:tcBorders>
              <w:tl2br w:val="nil"/>
              <w:tr2bl w:val="nil"/>
            </w:tcBorders>
            <w:vAlign w:val="center"/>
          </w:tcPr>
          <w:p>
            <w:pPr>
              <w:pStyle w:val="17"/>
              <w:bidi w:val="0"/>
              <w:rPr>
                <w:rFonts w:hint="default"/>
                <w:color w:val="0000FF"/>
              </w:rPr>
            </w:pPr>
            <w:r>
              <w:rPr>
                <w:rFonts w:hint="default"/>
                <w:color w:val="0000FF"/>
              </w:rPr>
              <w:t>符合</w:t>
            </w:r>
          </w:p>
        </w:tc>
      </w:tr>
    </w:tbl>
    <w:p>
      <w:pPr>
        <w:bidi w:val="0"/>
        <w:rPr>
          <w:rFonts w:hint="default"/>
        </w:rPr>
      </w:pPr>
      <w:r>
        <w:rPr>
          <w:rFonts w:hint="default"/>
        </w:rPr>
        <w:t>综上所述，本项目选址位于</w:t>
      </w:r>
      <w:r>
        <w:rPr>
          <w:rFonts w:hint="eastAsia"/>
          <w:lang w:val="en-US" w:eastAsia="zh-CN"/>
        </w:rPr>
        <w:t>吉木萨尔县二工镇</w:t>
      </w:r>
      <w:r>
        <w:rPr>
          <w:rFonts w:hint="default"/>
          <w:color w:val="0000FF"/>
        </w:rPr>
        <w:t>的</w:t>
      </w:r>
      <w:r>
        <w:rPr>
          <w:rFonts w:hint="default"/>
        </w:rPr>
        <w:t>规划</w:t>
      </w:r>
      <w:r>
        <w:rPr>
          <w:rFonts w:hint="eastAsia"/>
          <w:lang w:val="en-US" w:eastAsia="zh-CN"/>
        </w:rPr>
        <w:t>建设用地</w:t>
      </w:r>
      <w:r>
        <w:rPr>
          <w:rFonts w:hint="default"/>
        </w:rPr>
        <w:t>，选址合理可行；生产规模、性质和工艺路线等符合国家相关法律和技术政策和产业政策的要求。</w:t>
      </w:r>
    </w:p>
    <w:p>
      <w:pPr>
        <w:pStyle w:val="5"/>
        <w:bidi w:val="0"/>
        <w:rPr>
          <w:rFonts w:hint="default"/>
          <w:lang w:val="en-US" w:eastAsia="zh-CN"/>
        </w:rPr>
      </w:pPr>
      <w:r>
        <w:rPr>
          <w:rFonts w:hint="default"/>
        </w:rPr>
        <w:t>1.4.4</w:t>
      </w:r>
      <w:r>
        <w:rPr>
          <w:rFonts w:hint="eastAsia"/>
          <w:lang w:eastAsia="zh-CN"/>
        </w:rPr>
        <w:t>、</w:t>
      </w:r>
      <w:r>
        <w:rPr>
          <w:rFonts w:hint="default"/>
          <w:lang w:val="en-US" w:eastAsia="zh-CN"/>
        </w:rPr>
        <w:t>规划符合性</w:t>
      </w:r>
    </w:p>
    <w:p>
      <w:pPr>
        <w:bidi w:val="0"/>
        <w:rPr>
          <w:rFonts w:hint="default"/>
        </w:rPr>
      </w:pPr>
      <w:r>
        <w:rPr>
          <w:rFonts w:hint="default"/>
        </w:rPr>
        <w:t>（</w:t>
      </w:r>
      <w:r>
        <w:rPr>
          <w:rFonts w:hint="eastAsia"/>
          <w:lang w:val="en-US" w:eastAsia="zh-CN"/>
        </w:rPr>
        <w:t>1</w:t>
      </w:r>
      <w:r>
        <w:rPr>
          <w:rFonts w:hint="default"/>
        </w:rPr>
        <w:t>）与《新疆维吾尔自治区国民经济和社会发展第十三个五年规划纲要》符合性</w:t>
      </w:r>
    </w:p>
    <w:p>
      <w:pPr>
        <w:bidi w:val="0"/>
        <w:rPr>
          <w:rFonts w:hint="eastAsia" w:eastAsia="宋体"/>
          <w:lang w:eastAsia="zh-CN"/>
        </w:rPr>
      </w:pPr>
      <w:r>
        <w:rPr>
          <w:rFonts w:hint="default"/>
        </w:rPr>
        <w:t>《新疆维吾尔自治区国民经济和社会发展第十三个五年规划纲要》中</w:t>
      </w:r>
      <w:r>
        <w:rPr>
          <w:rFonts w:hint="eastAsia"/>
          <w:lang w:eastAsia="zh-CN"/>
        </w:rPr>
        <w:t>“</w:t>
      </w:r>
      <w:r>
        <w:rPr>
          <w:rFonts w:hint="default"/>
        </w:rPr>
        <w:t>第六篇 坚持绿色发展，加强生态文明建设</w:t>
      </w:r>
      <w:r>
        <w:rPr>
          <w:rFonts w:hint="eastAsia"/>
          <w:lang w:eastAsia="zh-CN"/>
        </w:rPr>
        <w:t>”“</w:t>
      </w:r>
      <w:r>
        <w:rPr>
          <w:rFonts w:hint="default"/>
        </w:rPr>
        <w:t>第四章 加大环境保护和治理力度</w:t>
      </w:r>
      <w:r>
        <w:rPr>
          <w:rFonts w:hint="eastAsia"/>
          <w:lang w:eastAsia="zh-CN"/>
        </w:rPr>
        <w:t>”</w:t>
      </w:r>
      <w:r>
        <w:rPr>
          <w:rFonts w:hint="default"/>
        </w:rPr>
        <w:t>中</w:t>
      </w:r>
      <w:r>
        <w:rPr>
          <w:rFonts w:hint="eastAsia"/>
          <w:lang w:eastAsia="zh-CN"/>
        </w:rPr>
        <w:t>“</w:t>
      </w:r>
      <w:r>
        <w:rPr>
          <w:rFonts w:hint="default"/>
        </w:rPr>
        <w:t>加强土壤污染防治。加大化肥、农药、农田残膜污染防治力度，地膜、秸秆、粪污的收集利用率达到90%以上。</w:t>
      </w:r>
      <w:r>
        <w:rPr>
          <w:rFonts w:hint="eastAsia"/>
          <w:lang w:eastAsia="zh-CN"/>
        </w:rPr>
        <w:t>”</w:t>
      </w:r>
      <w:r>
        <w:rPr>
          <w:rFonts w:hint="default"/>
        </w:rPr>
        <w:t>；</w:t>
      </w:r>
      <w:r>
        <w:rPr>
          <w:rFonts w:hint="eastAsia"/>
          <w:lang w:eastAsia="zh-CN"/>
        </w:rPr>
        <w:t>“</w:t>
      </w:r>
      <w:r>
        <w:rPr>
          <w:rFonts w:hint="default"/>
        </w:rPr>
        <w:t>第五章 推动低碳循环发展</w:t>
      </w:r>
      <w:r>
        <w:rPr>
          <w:rFonts w:hint="eastAsia"/>
          <w:lang w:eastAsia="zh-CN"/>
        </w:rPr>
        <w:t>”</w:t>
      </w:r>
      <w:r>
        <w:rPr>
          <w:rFonts w:hint="default"/>
        </w:rPr>
        <w:t>中</w:t>
      </w:r>
      <w:r>
        <w:rPr>
          <w:rFonts w:hint="eastAsia"/>
          <w:lang w:eastAsia="zh-CN"/>
        </w:rPr>
        <w:t>“</w:t>
      </w:r>
      <w:r>
        <w:rPr>
          <w:rFonts w:hint="default"/>
        </w:rPr>
        <w:t>推进工业、建筑业、农业等重点行业和城市生活垃圾的废物资源化利用，实现土地集约利用、废物交换利用、能量梯级利用、废水循环利用和污染物集中处理。</w:t>
      </w:r>
      <w:r>
        <w:rPr>
          <w:rFonts w:hint="eastAsia"/>
          <w:lang w:eastAsia="zh-CN"/>
        </w:rPr>
        <w:t>”</w:t>
      </w:r>
    </w:p>
    <w:p>
      <w:pPr>
        <w:bidi w:val="0"/>
        <w:rPr>
          <w:rFonts w:hint="default"/>
        </w:rPr>
      </w:pPr>
      <w:r>
        <w:rPr>
          <w:rFonts w:hint="default"/>
        </w:rPr>
        <w:t>本项目收集滴灌带等废旧塑料为原料，再生造粒后生产滴灌带、地膜和</w:t>
      </w:r>
      <w:r>
        <w:rPr>
          <w:rFonts w:hint="default"/>
          <w:lang w:eastAsia="zh-CN"/>
        </w:rPr>
        <w:t>PE管材</w:t>
      </w:r>
      <w:r>
        <w:rPr>
          <w:rFonts w:hint="default"/>
        </w:rPr>
        <w:t>，可实现农业废物资源化利用，符合《新疆维吾尔自治区国民经济和社会发展第十三个五年规划纲要》。</w:t>
      </w:r>
    </w:p>
    <w:p>
      <w:pPr>
        <w:bidi w:val="0"/>
        <w:rPr>
          <w:rFonts w:hint="default"/>
        </w:rPr>
      </w:pPr>
      <w:r>
        <w:rPr>
          <w:rFonts w:hint="default"/>
        </w:rPr>
        <w:t>（</w:t>
      </w:r>
      <w:r>
        <w:rPr>
          <w:rFonts w:hint="eastAsia"/>
          <w:lang w:val="en-US" w:eastAsia="zh-CN"/>
        </w:rPr>
        <w:t>2</w:t>
      </w:r>
      <w:r>
        <w:rPr>
          <w:rFonts w:hint="default"/>
        </w:rPr>
        <w:t>）与《新疆维吾尔自治区环境保护</w:t>
      </w:r>
      <w:r>
        <w:rPr>
          <w:rFonts w:hint="eastAsia"/>
          <w:lang w:eastAsia="zh-CN"/>
        </w:rPr>
        <w:t>“</w:t>
      </w:r>
      <w:r>
        <w:rPr>
          <w:rFonts w:hint="default"/>
        </w:rPr>
        <w:t>十三五</w:t>
      </w:r>
      <w:r>
        <w:rPr>
          <w:rFonts w:hint="eastAsia"/>
          <w:lang w:eastAsia="zh-CN"/>
        </w:rPr>
        <w:t>”</w:t>
      </w:r>
      <w:r>
        <w:rPr>
          <w:rFonts w:hint="default"/>
        </w:rPr>
        <w:t>规划》符合性</w:t>
      </w:r>
    </w:p>
    <w:p>
      <w:pPr>
        <w:bidi w:val="0"/>
        <w:rPr>
          <w:rFonts w:hint="default"/>
          <w:color w:val="0000FF"/>
        </w:rPr>
      </w:pPr>
      <w:r>
        <w:rPr>
          <w:rFonts w:hint="default"/>
        </w:rPr>
        <w:t>根据关于印发《新疆维吾尔自治区环境保护</w:t>
      </w:r>
      <w:r>
        <w:rPr>
          <w:rFonts w:hint="eastAsia"/>
          <w:lang w:eastAsia="zh-CN"/>
        </w:rPr>
        <w:t>“</w:t>
      </w:r>
      <w:r>
        <w:rPr>
          <w:rFonts w:hint="default"/>
        </w:rPr>
        <w:t>十三五</w:t>
      </w:r>
      <w:r>
        <w:rPr>
          <w:rFonts w:hint="eastAsia"/>
          <w:lang w:eastAsia="zh-CN"/>
        </w:rPr>
        <w:t>”</w:t>
      </w:r>
      <w:r>
        <w:rPr>
          <w:rFonts w:hint="default"/>
        </w:rPr>
        <w:t>规划》的通知，三、主要任务和重点工程</w:t>
      </w:r>
      <w:r>
        <w:rPr>
          <w:rFonts w:hint="eastAsia"/>
          <w:lang w:eastAsia="zh-CN"/>
        </w:rPr>
        <w:t>”</w:t>
      </w:r>
      <w:r>
        <w:rPr>
          <w:rFonts w:hint="default"/>
        </w:rPr>
        <w:t>中</w:t>
      </w:r>
      <w:r>
        <w:rPr>
          <w:rFonts w:hint="eastAsia"/>
          <w:lang w:eastAsia="zh-CN"/>
        </w:rPr>
        <w:t>“</w:t>
      </w:r>
      <w:r>
        <w:rPr>
          <w:rFonts w:hint="default"/>
        </w:rPr>
        <w:t>（七）强化法制及能力建设，提升环保基础水平</w:t>
      </w:r>
      <w:r>
        <w:rPr>
          <w:rFonts w:hint="eastAsia"/>
          <w:lang w:eastAsia="zh-CN"/>
        </w:rPr>
        <w:t>”“</w:t>
      </w:r>
      <w:r>
        <w:rPr>
          <w:rFonts w:hint="default"/>
        </w:rPr>
        <w:t>鼓励发展节能环保产业</w:t>
      </w:r>
      <w:r>
        <w:rPr>
          <w:rFonts w:hint="eastAsia"/>
          <w:lang w:eastAsia="zh-CN"/>
        </w:rPr>
        <w:t>”“</w:t>
      </w:r>
      <w:r>
        <w:rPr>
          <w:rFonts w:hint="default"/>
        </w:rPr>
        <w:t>加大先进节能环保技术、工艺和装备的研发力度，加快制造业绿色改造升级。根据绿色经济、低碳经济、循环经济发展要求，重点加快节能产业、环境治理产业、资源综合利用产业、节能与环保服务产业发展</w:t>
      </w:r>
      <w:r>
        <w:rPr>
          <w:rFonts w:hint="eastAsia"/>
          <w:lang w:eastAsia="zh-CN"/>
        </w:rPr>
        <w:t>”</w:t>
      </w:r>
      <w:r>
        <w:rPr>
          <w:rFonts w:hint="default"/>
        </w:rPr>
        <w:t>。本项目作为资源综合利用项目，属于循环经济生产企业，建成后可实现年回收废旧滴灌带</w:t>
      </w:r>
      <w:r>
        <w:rPr>
          <w:rFonts w:hint="eastAsia"/>
          <w:lang w:val="en-US" w:eastAsia="zh-CN"/>
        </w:rPr>
        <w:t>0.5</w:t>
      </w:r>
      <w:r>
        <w:rPr>
          <w:rFonts w:hint="default"/>
          <w:lang w:val="en-US" w:eastAsia="zh-CN"/>
        </w:rPr>
        <w:t>万</w:t>
      </w:r>
      <w:r>
        <w:rPr>
          <w:rFonts w:hint="default"/>
        </w:rPr>
        <w:t>t，有利于持续控制农业污染源，符合《新疆维吾尔自治区环境保护</w:t>
      </w:r>
      <w:r>
        <w:rPr>
          <w:rFonts w:hint="eastAsia"/>
          <w:lang w:eastAsia="zh-CN"/>
        </w:rPr>
        <w:t>“</w:t>
      </w:r>
      <w:r>
        <w:rPr>
          <w:rFonts w:hint="default"/>
        </w:rPr>
        <w:t>十三五</w:t>
      </w:r>
      <w:r>
        <w:rPr>
          <w:rFonts w:hint="eastAsia"/>
          <w:lang w:eastAsia="zh-CN"/>
        </w:rPr>
        <w:t>”</w:t>
      </w:r>
      <w:r>
        <w:rPr>
          <w:rFonts w:hint="default"/>
        </w:rPr>
        <w:t>规划》要求。</w:t>
      </w:r>
    </w:p>
    <w:p>
      <w:pPr>
        <w:bidi w:val="0"/>
        <w:rPr>
          <w:rFonts w:hint="default"/>
        </w:rPr>
      </w:pPr>
      <w:r>
        <w:rPr>
          <w:rFonts w:hint="default"/>
        </w:rPr>
        <w:t>（</w:t>
      </w:r>
      <w:r>
        <w:rPr>
          <w:rFonts w:hint="eastAsia"/>
          <w:lang w:val="en-US" w:eastAsia="zh-CN"/>
        </w:rPr>
        <w:t>3</w:t>
      </w:r>
      <w:r>
        <w:rPr>
          <w:rFonts w:hint="default"/>
        </w:rPr>
        <w:t>）与《新疆维吾尔自治区主体功能区规划》的符合性</w:t>
      </w:r>
    </w:p>
    <w:p>
      <w:pPr>
        <w:bidi w:val="0"/>
        <w:rPr>
          <w:rFonts w:hint="default"/>
        </w:rPr>
      </w:pPr>
      <w:r>
        <w:rPr>
          <w:rFonts w:hint="default"/>
        </w:rPr>
        <w:t>本项目的建设与《新疆维吾尔自治区主体功能区规划》的符合性分析见表1.4-2。</w:t>
      </w:r>
    </w:p>
    <w:p>
      <w:pPr>
        <w:pStyle w:val="17"/>
        <w:bidi w:val="0"/>
        <w:rPr>
          <w:rFonts w:hint="default"/>
          <w:b/>
          <w:bCs/>
        </w:rPr>
      </w:pPr>
      <w:r>
        <w:rPr>
          <w:rFonts w:hint="default"/>
          <w:b/>
          <w:bCs/>
        </w:rPr>
        <w:t xml:space="preserve">表1.4-2 </w:t>
      </w:r>
      <w:r>
        <w:rPr>
          <w:rFonts w:hint="default"/>
          <w:b/>
          <w:bCs/>
          <w:lang w:val="en-US" w:eastAsia="zh-CN"/>
        </w:rPr>
        <w:t xml:space="preserve"> </w:t>
      </w:r>
      <w:r>
        <w:rPr>
          <w:rFonts w:hint="default"/>
          <w:b/>
          <w:bCs/>
        </w:rPr>
        <w:t xml:space="preserve"> 本工程与全国及新疆主体功能区规划的相符性</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8"/>
        <w:gridCol w:w="772"/>
        <w:gridCol w:w="5068"/>
        <w:gridCol w:w="1439"/>
        <w:gridCol w:w="13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8" w:type="dxa"/>
            <w:tcBorders>
              <w:bottom w:val="single" w:color="auto" w:sz="12" w:space="0"/>
            </w:tcBorders>
            <w:vAlign w:val="center"/>
          </w:tcPr>
          <w:p>
            <w:pPr>
              <w:pStyle w:val="17"/>
              <w:bidi w:val="0"/>
              <w:rPr>
                <w:rFonts w:hint="default"/>
                <w:b/>
                <w:bCs/>
              </w:rPr>
            </w:pPr>
            <w:r>
              <w:rPr>
                <w:rFonts w:hint="default"/>
                <w:b/>
                <w:bCs/>
              </w:rPr>
              <w:t>序号</w:t>
            </w:r>
          </w:p>
        </w:tc>
        <w:tc>
          <w:tcPr>
            <w:tcW w:w="772" w:type="dxa"/>
            <w:tcBorders>
              <w:bottom w:val="single" w:color="auto" w:sz="12" w:space="0"/>
            </w:tcBorders>
            <w:vAlign w:val="center"/>
          </w:tcPr>
          <w:p>
            <w:pPr>
              <w:pStyle w:val="17"/>
              <w:bidi w:val="0"/>
              <w:rPr>
                <w:rFonts w:hint="default"/>
                <w:b/>
                <w:bCs/>
              </w:rPr>
            </w:pPr>
            <w:r>
              <w:rPr>
                <w:rFonts w:hint="default"/>
                <w:b/>
                <w:bCs/>
              </w:rPr>
              <w:t>规划名称</w:t>
            </w:r>
          </w:p>
        </w:tc>
        <w:tc>
          <w:tcPr>
            <w:tcW w:w="5068" w:type="dxa"/>
            <w:tcBorders>
              <w:bottom w:val="single" w:color="auto" w:sz="12" w:space="0"/>
            </w:tcBorders>
            <w:vAlign w:val="center"/>
          </w:tcPr>
          <w:p>
            <w:pPr>
              <w:pStyle w:val="17"/>
              <w:bidi w:val="0"/>
              <w:rPr>
                <w:rFonts w:hint="default"/>
                <w:b/>
                <w:bCs/>
              </w:rPr>
            </w:pPr>
            <w:r>
              <w:rPr>
                <w:rFonts w:hint="default"/>
                <w:b/>
                <w:bCs/>
              </w:rPr>
              <w:t>规划内容</w:t>
            </w:r>
          </w:p>
        </w:tc>
        <w:tc>
          <w:tcPr>
            <w:tcW w:w="1439" w:type="dxa"/>
            <w:tcBorders>
              <w:bottom w:val="single" w:color="auto" w:sz="12" w:space="0"/>
            </w:tcBorders>
            <w:vAlign w:val="center"/>
          </w:tcPr>
          <w:p>
            <w:pPr>
              <w:pStyle w:val="17"/>
              <w:bidi w:val="0"/>
              <w:rPr>
                <w:rFonts w:hint="default"/>
                <w:b/>
                <w:bCs/>
              </w:rPr>
            </w:pPr>
            <w:r>
              <w:rPr>
                <w:rFonts w:hint="default"/>
                <w:b/>
                <w:bCs/>
              </w:rPr>
              <w:t>工程相符性</w:t>
            </w:r>
          </w:p>
        </w:tc>
        <w:tc>
          <w:tcPr>
            <w:tcW w:w="1344" w:type="dxa"/>
            <w:tcBorders>
              <w:bottom w:val="single" w:color="auto" w:sz="12" w:space="0"/>
            </w:tcBorders>
            <w:vAlign w:val="center"/>
          </w:tcPr>
          <w:p>
            <w:pPr>
              <w:pStyle w:val="17"/>
              <w:bidi w:val="0"/>
              <w:rPr>
                <w:rFonts w:hint="default"/>
                <w:b/>
                <w:bCs/>
              </w:rPr>
            </w:pPr>
            <w:r>
              <w:rPr>
                <w:rFonts w:hint="default"/>
                <w:b/>
                <w:bCs/>
              </w:rPr>
              <w:t>发布时间、审批情况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8" w:type="dxa"/>
            <w:tcBorders>
              <w:top w:val="single" w:color="auto" w:sz="12" w:space="0"/>
              <w:tl2br w:val="nil"/>
              <w:tr2bl w:val="nil"/>
            </w:tcBorders>
            <w:vAlign w:val="center"/>
          </w:tcPr>
          <w:p>
            <w:pPr>
              <w:pStyle w:val="17"/>
              <w:bidi w:val="0"/>
              <w:rPr>
                <w:rFonts w:hint="default"/>
              </w:rPr>
            </w:pPr>
            <w:r>
              <w:rPr>
                <w:rFonts w:hint="default"/>
              </w:rPr>
              <w:t>1</w:t>
            </w:r>
          </w:p>
        </w:tc>
        <w:tc>
          <w:tcPr>
            <w:tcW w:w="772" w:type="dxa"/>
            <w:tcBorders>
              <w:top w:val="single" w:color="auto" w:sz="12" w:space="0"/>
              <w:tl2br w:val="nil"/>
              <w:tr2bl w:val="nil"/>
            </w:tcBorders>
            <w:vAlign w:val="center"/>
          </w:tcPr>
          <w:p>
            <w:pPr>
              <w:pStyle w:val="17"/>
              <w:bidi w:val="0"/>
              <w:rPr>
                <w:rFonts w:hint="default"/>
              </w:rPr>
            </w:pPr>
            <w:r>
              <w:rPr>
                <w:rFonts w:hint="default"/>
              </w:rPr>
              <w:t>新疆维吾尔自治区主体功能区规划</w:t>
            </w:r>
          </w:p>
        </w:tc>
        <w:tc>
          <w:tcPr>
            <w:tcW w:w="5068" w:type="dxa"/>
            <w:tcBorders>
              <w:top w:val="single" w:color="auto" w:sz="12" w:space="0"/>
              <w:tl2br w:val="nil"/>
              <w:tr2bl w:val="nil"/>
            </w:tcBorders>
            <w:vAlign w:val="center"/>
          </w:tcPr>
          <w:p>
            <w:pPr>
              <w:pStyle w:val="17"/>
              <w:bidi w:val="0"/>
              <w:rPr>
                <w:rFonts w:hint="default"/>
              </w:rPr>
            </w:pPr>
            <w:r>
              <w:rPr>
                <w:rFonts w:hint="default"/>
              </w:rPr>
              <w:t>新疆维吾尔自治区主体功能区规划将新疆国土空间划分为重点开发、限制开发和禁止开发区域；按开发内容，分为城市化地区、农产品主产区和重点生态功能区；按层级，包括国家和自治区两个层面（其中：国家层面主体功能区是《全国主体功能区规划》从我国战略全局出发划定的，自治区层面主体功能区是按要求在国家层面以外的区域划定的）。兵团各团场的主体功能定位遵照所在县（市）的主体功能执行。</w:t>
            </w:r>
          </w:p>
          <w:p>
            <w:pPr>
              <w:pStyle w:val="17"/>
              <w:bidi w:val="0"/>
              <w:rPr>
                <w:rFonts w:hint="default"/>
              </w:rPr>
            </w:pPr>
            <w:r>
              <w:rPr>
                <w:rFonts w:hint="default"/>
              </w:rPr>
              <w:t>新疆重点开发区域包括：自治区层面重点开发区域主要指内点状分布的承载绿洲经济发展的县市城关镇和重要工业，涉及36个县市，总面积3800.38</w:t>
            </w:r>
            <w:r>
              <w:rPr>
                <w:rFonts w:hint="eastAsia"/>
                <w:lang w:eastAsia="zh-CN"/>
              </w:rPr>
              <w:t>km²</w:t>
            </w:r>
            <w:r>
              <w:rPr>
                <w:rFonts w:hint="default"/>
              </w:rPr>
              <w:t>，占全国总面积的0.23%。</w:t>
            </w:r>
          </w:p>
        </w:tc>
        <w:tc>
          <w:tcPr>
            <w:tcW w:w="1439" w:type="dxa"/>
            <w:tcBorders>
              <w:top w:val="single" w:color="auto" w:sz="12" w:space="0"/>
              <w:tl2br w:val="nil"/>
              <w:tr2bl w:val="nil"/>
            </w:tcBorders>
            <w:vAlign w:val="center"/>
          </w:tcPr>
          <w:p>
            <w:pPr>
              <w:pStyle w:val="17"/>
              <w:bidi w:val="0"/>
              <w:rPr>
                <w:rFonts w:hint="default"/>
              </w:rPr>
            </w:pPr>
            <w:r>
              <w:rPr>
                <w:rFonts w:hint="default"/>
              </w:rPr>
              <w:t>本项目选址属于新疆重点开发区域范围内的自治区级点状开发城镇：</w:t>
            </w:r>
          </w:p>
          <w:p>
            <w:pPr>
              <w:pStyle w:val="17"/>
              <w:bidi w:val="0"/>
              <w:rPr>
                <w:rFonts w:hint="default"/>
              </w:rPr>
            </w:pPr>
            <w:r>
              <w:rPr>
                <w:rFonts w:hint="eastAsia"/>
                <w:lang w:eastAsia="zh-CN"/>
              </w:rPr>
              <w:t>吉木萨尔县</w:t>
            </w:r>
            <w:r>
              <w:rPr>
                <w:rFonts w:hint="default"/>
              </w:rPr>
              <w:t>（</w:t>
            </w:r>
            <w:r>
              <w:rPr>
                <w:rFonts w:hint="eastAsia"/>
                <w:lang w:val="en-US" w:eastAsia="zh-CN"/>
              </w:rPr>
              <w:t>吉木萨尔</w:t>
            </w:r>
            <w:r>
              <w:rPr>
                <w:rFonts w:hint="default"/>
                <w:lang w:val="en-US" w:eastAsia="zh-CN"/>
              </w:rPr>
              <w:t>镇</w:t>
            </w:r>
            <w:r>
              <w:rPr>
                <w:rFonts w:hint="default"/>
              </w:rPr>
              <w:t>）</w:t>
            </w:r>
          </w:p>
        </w:tc>
        <w:tc>
          <w:tcPr>
            <w:tcW w:w="1344" w:type="dxa"/>
            <w:tcBorders>
              <w:top w:val="single" w:color="auto" w:sz="12" w:space="0"/>
              <w:tl2br w:val="nil"/>
              <w:tr2bl w:val="nil"/>
            </w:tcBorders>
            <w:vAlign w:val="center"/>
          </w:tcPr>
          <w:p>
            <w:pPr>
              <w:pStyle w:val="17"/>
              <w:bidi w:val="0"/>
              <w:rPr>
                <w:rFonts w:hint="default"/>
              </w:rPr>
            </w:pPr>
            <w:r>
              <w:rPr>
                <w:rFonts w:hint="default"/>
              </w:rPr>
              <w:t>2012年12月27日，《新疆维吾尔自治区主体功能区规划》正式发布</w:t>
            </w:r>
          </w:p>
        </w:tc>
      </w:tr>
    </w:tbl>
    <w:p>
      <w:pPr>
        <w:pStyle w:val="5"/>
        <w:bidi w:val="0"/>
        <w:rPr>
          <w:rFonts w:hint="default"/>
        </w:rPr>
      </w:pPr>
      <w:r>
        <w:rPr>
          <w:rFonts w:hint="default"/>
        </w:rPr>
        <w:t>1.4.5</w:t>
      </w:r>
      <w:r>
        <w:rPr>
          <w:rFonts w:hint="eastAsia"/>
          <w:lang w:eastAsia="zh-CN"/>
        </w:rPr>
        <w:t>、</w:t>
      </w:r>
      <w:r>
        <w:rPr>
          <w:rFonts w:hint="default"/>
        </w:rPr>
        <w:t>环境准入符合性</w:t>
      </w:r>
    </w:p>
    <w:p>
      <w:pPr>
        <w:bidi w:val="0"/>
        <w:rPr>
          <w:rFonts w:hint="default"/>
        </w:rPr>
      </w:pPr>
      <w:r>
        <w:rPr>
          <w:rFonts w:hint="default"/>
        </w:rPr>
        <w:t>（1）与国发〔2013〕37号文的符合性</w:t>
      </w:r>
    </w:p>
    <w:p>
      <w:pPr>
        <w:bidi w:val="0"/>
        <w:rPr>
          <w:rFonts w:hint="default"/>
        </w:rPr>
      </w:pPr>
      <w:r>
        <w:rPr>
          <w:rFonts w:hint="default"/>
        </w:rPr>
        <w:t>根据《国务院关于印发大气污染防治行动计划的通知》（国发〔2013〕37号），分析本项目的符合性，详见</w:t>
      </w:r>
      <w:r>
        <w:rPr>
          <w:rFonts w:hint="default"/>
        </w:rPr>
        <w:fldChar w:fldCharType="begin"/>
      </w:r>
      <w:r>
        <w:rPr>
          <w:rFonts w:hint="default"/>
        </w:rPr>
        <w:instrText xml:space="preserve"> REF _Ref498528758 \h  \* MERGEFORMAT </w:instrText>
      </w:r>
      <w:r>
        <w:rPr>
          <w:rFonts w:hint="default"/>
        </w:rPr>
        <w:fldChar w:fldCharType="separate"/>
      </w:r>
      <w:r>
        <w:rPr>
          <w:rFonts w:hint="default"/>
        </w:rPr>
        <w:t>表</w:t>
      </w:r>
      <w:r>
        <w:rPr>
          <w:rFonts w:hint="default"/>
        </w:rPr>
        <w:fldChar w:fldCharType="end"/>
      </w:r>
      <w:r>
        <w:rPr>
          <w:rFonts w:hint="default"/>
        </w:rPr>
        <w:t>1.4-3。</w:t>
      </w:r>
    </w:p>
    <w:p>
      <w:pPr>
        <w:pStyle w:val="17"/>
        <w:bidi w:val="0"/>
        <w:rPr>
          <w:rFonts w:hint="default"/>
          <w:b/>
          <w:bCs/>
        </w:rPr>
      </w:pPr>
      <w:bookmarkStart w:id="26" w:name="_Ref498528758"/>
      <w:r>
        <w:rPr>
          <w:rFonts w:hint="default"/>
          <w:b/>
          <w:bCs/>
        </w:rPr>
        <w:t>表</w:t>
      </w:r>
      <w:bookmarkEnd w:id="26"/>
      <w:r>
        <w:rPr>
          <w:rFonts w:hint="default"/>
          <w:b/>
          <w:bCs/>
        </w:rPr>
        <w:t>1.4-3</w:t>
      </w:r>
      <w:r>
        <w:rPr>
          <w:rFonts w:hint="default"/>
          <w:b/>
          <w:bCs/>
          <w:lang w:val="en-US" w:eastAsia="zh-CN"/>
        </w:rPr>
        <w:t xml:space="preserve"> </w:t>
      </w:r>
      <w:r>
        <w:rPr>
          <w:rFonts w:hint="default"/>
          <w:b/>
          <w:bCs/>
        </w:rPr>
        <w:t xml:space="preserve">  本项目与国发〔2013〕37号符合性分析一览表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2"/>
        <w:gridCol w:w="5384"/>
        <w:gridCol w:w="2746"/>
        <w:gridCol w:w="4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2" w:type="dxa"/>
            <w:tcBorders>
              <w:bottom w:val="single" w:color="auto" w:sz="12" w:space="0"/>
            </w:tcBorders>
            <w:vAlign w:val="center"/>
          </w:tcPr>
          <w:p>
            <w:pPr>
              <w:pStyle w:val="17"/>
              <w:bidi w:val="0"/>
              <w:rPr>
                <w:rFonts w:hint="default"/>
                <w:b/>
                <w:bCs/>
              </w:rPr>
            </w:pPr>
            <w:r>
              <w:rPr>
                <w:rFonts w:hint="default"/>
                <w:b/>
                <w:bCs/>
              </w:rPr>
              <w:t>序号</w:t>
            </w:r>
          </w:p>
        </w:tc>
        <w:tc>
          <w:tcPr>
            <w:tcW w:w="5384" w:type="dxa"/>
            <w:tcBorders>
              <w:bottom w:val="single" w:color="auto" w:sz="12" w:space="0"/>
            </w:tcBorders>
            <w:vAlign w:val="center"/>
          </w:tcPr>
          <w:p>
            <w:pPr>
              <w:pStyle w:val="17"/>
              <w:bidi w:val="0"/>
              <w:rPr>
                <w:rFonts w:hint="default"/>
                <w:b/>
                <w:bCs/>
              </w:rPr>
            </w:pPr>
            <w:r>
              <w:rPr>
                <w:rFonts w:hint="default"/>
                <w:b/>
                <w:bCs/>
              </w:rPr>
              <w:t>国发〔2013〕37号文件要求</w:t>
            </w:r>
          </w:p>
        </w:tc>
        <w:tc>
          <w:tcPr>
            <w:tcW w:w="2746" w:type="dxa"/>
            <w:tcBorders>
              <w:bottom w:val="single" w:color="auto" w:sz="12" w:space="0"/>
            </w:tcBorders>
            <w:vAlign w:val="center"/>
          </w:tcPr>
          <w:p>
            <w:pPr>
              <w:pStyle w:val="17"/>
              <w:bidi w:val="0"/>
              <w:rPr>
                <w:rFonts w:hint="default"/>
                <w:b/>
                <w:bCs/>
              </w:rPr>
            </w:pPr>
            <w:r>
              <w:rPr>
                <w:rFonts w:hint="default"/>
                <w:b/>
                <w:bCs/>
              </w:rPr>
              <w:t>项目情况</w:t>
            </w:r>
          </w:p>
        </w:tc>
        <w:tc>
          <w:tcPr>
            <w:tcW w:w="489" w:type="dxa"/>
            <w:tcBorders>
              <w:bottom w:val="single" w:color="auto" w:sz="12" w:space="0"/>
            </w:tcBorders>
            <w:vAlign w:val="center"/>
          </w:tcPr>
          <w:p>
            <w:pPr>
              <w:pStyle w:val="17"/>
              <w:bidi w:val="0"/>
              <w:rPr>
                <w:rFonts w:hint="default"/>
                <w:b/>
                <w:bCs/>
              </w:rPr>
            </w:pPr>
            <w:r>
              <w:rPr>
                <w:rFonts w:hint="default"/>
                <w:b/>
                <w:bC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2" w:type="dxa"/>
            <w:tcBorders>
              <w:top w:val="single" w:color="auto" w:sz="12" w:space="0"/>
              <w:tl2br w:val="nil"/>
              <w:tr2bl w:val="nil"/>
            </w:tcBorders>
            <w:vAlign w:val="center"/>
          </w:tcPr>
          <w:p>
            <w:pPr>
              <w:pStyle w:val="17"/>
              <w:bidi w:val="0"/>
              <w:rPr>
                <w:rFonts w:hint="default"/>
              </w:rPr>
            </w:pPr>
            <w:r>
              <w:rPr>
                <w:rFonts w:hint="default"/>
              </w:rPr>
              <w:t>1</w:t>
            </w:r>
          </w:p>
        </w:tc>
        <w:tc>
          <w:tcPr>
            <w:tcW w:w="5384" w:type="dxa"/>
            <w:tcBorders>
              <w:top w:val="single" w:color="auto" w:sz="12" w:space="0"/>
              <w:tl2br w:val="nil"/>
              <w:tr2bl w:val="nil"/>
            </w:tcBorders>
            <w:vAlign w:val="center"/>
          </w:tcPr>
          <w:p>
            <w:pPr>
              <w:pStyle w:val="17"/>
              <w:bidi w:val="0"/>
              <w:rPr>
                <w:rFonts w:hint="default"/>
              </w:rPr>
            </w:pPr>
            <w:r>
              <w:rPr>
                <w:rFonts w:hint="default"/>
              </w:rPr>
              <w:t>全面整治燃煤小锅炉。加快推进集中供热、</w:t>
            </w:r>
            <w:r>
              <w:rPr>
                <w:rFonts w:hint="eastAsia"/>
                <w:lang w:eastAsia="zh-CN"/>
              </w:rPr>
              <w:t>“</w:t>
            </w:r>
            <w:r>
              <w:rPr>
                <w:rFonts w:hint="default"/>
              </w:rPr>
              <w:t>煤改气</w:t>
            </w:r>
            <w:r>
              <w:rPr>
                <w:rFonts w:hint="eastAsia"/>
                <w:lang w:eastAsia="zh-CN"/>
              </w:rPr>
              <w:t>”</w:t>
            </w:r>
            <w:r>
              <w:rPr>
                <w:rFonts w:hint="default"/>
              </w:rPr>
              <w:t>、</w:t>
            </w:r>
            <w:r>
              <w:rPr>
                <w:rFonts w:hint="eastAsia"/>
                <w:lang w:eastAsia="zh-CN"/>
              </w:rPr>
              <w:t>“</w:t>
            </w:r>
            <w:r>
              <w:rPr>
                <w:rFonts w:hint="default"/>
              </w:rPr>
              <w:t>煤改电</w:t>
            </w:r>
            <w:r>
              <w:rPr>
                <w:rFonts w:hint="eastAsia"/>
                <w:lang w:eastAsia="zh-CN"/>
              </w:rPr>
              <w:t>”</w:t>
            </w:r>
            <w:r>
              <w:rPr>
                <w:rFonts w:hint="default"/>
              </w:rPr>
              <w:t>工程建设，到2017年，除必要保留的以外，地级及以上城市建成区基本淘汰每小时10蒸吨及以下的燃煤锅炉，禁止新建每小时20蒸吨以下的燃煤锅炉；其他地区原则上不再新建每小时10蒸吨以下的燃煤锅炉。</w:t>
            </w:r>
          </w:p>
        </w:tc>
        <w:tc>
          <w:tcPr>
            <w:tcW w:w="2746" w:type="dxa"/>
            <w:tcBorders>
              <w:top w:val="single" w:color="auto" w:sz="12" w:space="0"/>
              <w:tl2br w:val="nil"/>
              <w:tr2bl w:val="nil"/>
            </w:tcBorders>
            <w:vAlign w:val="center"/>
          </w:tcPr>
          <w:p>
            <w:pPr>
              <w:pStyle w:val="17"/>
              <w:bidi w:val="0"/>
              <w:rPr>
                <w:rFonts w:hint="default"/>
              </w:rPr>
            </w:pPr>
            <w:r>
              <w:rPr>
                <w:rFonts w:hint="default"/>
              </w:rPr>
              <w:t>本项目不建设燃煤锅炉。装置采用电加热方式。</w:t>
            </w:r>
          </w:p>
        </w:tc>
        <w:tc>
          <w:tcPr>
            <w:tcW w:w="489" w:type="dxa"/>
            <w:tcBorders>
              <w:top w:val="single" w:color="auto" w:sz="12" w:space="0"/>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2" w:type="dxa"/>
            <w:tcBorders>
              <w:tl2br w:val="nil"/>
              <w:tr2bl w:val="nil"/>
            </w:tcBorders>
            <w:vAlign w:val="center"/>
          </w:tcPr>
          <w:p>
            <w:pPr>
              <w:pStyle w:val="17"/>
              <w:bidi w:val="0"/>
              <w:rPr>
                <w:rFonts w:hint="default"/>
              </w:rPr>
            </w:pPr>
            <w:r>
              <w:rPr>
                <w:rFonts w:hint="default"/>
              </w:rPr>
              <w:t>2</w:t>
            </w:r>
          </w:p>
        </w:tc>
        <w:tc>
          <w:tcPr>
            <w:tcW w:w="5384" w:type="dxa"/>
            <w:tcBorders>
              <w:tl2br w:val="nil"/>
              <w:tr2bl w:val="nil"/>
            </w:tcBorders>
            <w:vAlign w:val="center"/>
          </w:tcPr>
          <w:p>
            <w:pPr>
              <w:pStyle w:val="17"/>
              <w:bidi w:val="0"/>
              <w:rPr>
                <w:rFonts w:hint="default"/>
              </w:rPr>
            </w:pPr>
            <w:r>
              <w:rPr>
                <w:rFonts w:hint="default"/>
              </w:rPr>
              <w:t>加强施工扬尘监管，积极推进绿色施工，建设工程施工现场应全封闭设置围挡墙，严禁敞开式作业，施工现场道路应进行地面硬化。渣土运输车辆应采取密闭措施，并逐步安装卫星定位系统。</w:t>
            </w:r>
          </w:p>
        </w:tc>
        <w:tc>
          <w:tcPr>
            <w:tcW w:w="2746" w:type="dxa"/>
            <w:tcBorders>
              <w:tl2br w:val="nil"/>
              <w:tr2bl w:val="nil"/>
            </w:tcBorders>
            <w:vAlign w:val="center"/>
          </w:tcPr>
          <w:p>
            <w:pPr>
              <w:pStyle w:val="17"/>
              <w:bidi w:val="0"/>
              <w:rPr>
                <w:rFonts w:hint="default"/>
              </w:rPr>
            </w:pPr>
            <w:r>
              <w:rPr>
                <w:rFonts w:hint="default"/>
              </w:rPr>
              <w:t>本项目将按要求进行土建施工。</w:t>
            </w:r>
          </w:p>
        </w:tc>
        <w:tc>
          <w:tcPr>
            <w:tcW w:w="489"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2" w:type="dxa"/>
            <w:tcBorders>
              <w:tl2br w:val="nil"/>
              <w:tr2bl w:val="nil"/>
            </w:tcBorders>
            <w:vAlign w:val="center"/>
          </w:tcPr>
          <w:p>
            <w:pPr>
              <w:pStyle w:val="17"/>
              <w:bidi w:val="0"/>
              <w:rPr>
                <w:rFonts w:hint="default"/>
              </w:rPr>
            </w:pPr>
            <w:r>
              <w:rPr>
                <w:rFonts w:hint="default"/>
              </w:rPr>
              <w:t>3</w:t>
            </w:r>
          </w:p>
        </w:tc>
        <w:tc>
          <w:tcPr>
            <w:tcW w:w="5384" w:type="dxa"/>
            <w:tcBorders>
              <w:tl2br w:val="nil"/>
              <w:tr2bl w:val="nil"/>
            </w:tcBorders>
            <w:vAlign w:val="center"/>
          </w:tcPr>
          <w:p>
            <w:pPr>
              <w:pStyle w:val="17"/>
              <w:bidi w:val="0"/>
              <w:rPr>
                <w:rFonts w:hint="default"/>
              </w:rPr>
            </w:pPr>
            <w:r>
              <w:rPr>
                <w:rFonts w:hint="default"/>
              </w:rPr>
              <w:t>严格控制</w:t>
            </w:r>
            <w:r>
              <w:rPr>
                <w:rFonts w:hint="eastAsia"/>
                <w:lang w:eastAsia="zh-CN"/>
              </w:rPr>
              <w:t>“</w:t>
            </w:r>
            <w:r>
              <w:rPr>
                <w:rFonts w:hint="default"/>
              </w:rPr>
              <w:t>两高</w:t>
            </w:r>
            <w:r>
              <w:rPr>
                <w:rFonts w:hint="eastAsia"/>
                <w:lang w:eastAsia="zh-CN"/>
              </w:rPr>
              <w:t>”</w:t>
            </w:r>
            <w:r>
              <w:rPr>
                <w:rFonts w:hint="default"/>
              </w:rPr>
              <w:t>行业新增产能，新、改、扩建项目要实行产能等量或减量置换。</w:t>
            </w:r>
          </w:p>
        </w:tc>
        <w:tc>
          <w:tcPr>
            <w:tcW w:w="2746" w:type="dxa"/>
            <w:tcBorders>
              <w:tl2br w:val="nil"/>
              <w:tr2bl w:val="nil"/>
            </w:tcBorders>
            <w:vAlign w:val="center"/>
          </w:tcPr>
          <w:p>
            <w:pPr>
              <w:pStyle w:val="17"/>
              <w:bidi w:val="0"/>
              <w:rPr>
                <w:rFonts w:hint="default"/>
              </w:rPr>
            </w:pPr>
            <w:r>
              <w:rPr>
                <w:rFonts w:hint="default"/>
              </w:rPr>
              <w:t>本项目不属于</w:t>
            </w:r>
            <w:r>
              <w:rPr>
                <w:rFonts w:hint="eastAsia"/>
                <w:lang w:eastAsia="zh-CN"/>
              </w:rPr>
              <w:t>“</w:t>
            </w:r>
            <w:r>
              <w:rPr>
                <w:rFonts w:hint="default"/>
              </w:rPr>
              <w:t>两高</w:t>
            </w:r>
            <w:r>
              <w:rPr>
                <w:rFonts w:hint="eastAsia"/>
                <w:lang w:eastAsia="zh-CN"/>
              </w:rPr>
              <w:t>”</w:t>
            </w:r>
            <w:r>
              <w:rPr>
                <w:rFonts w:hint="default"/>
              </w:rPr>
              <w:t>行业。</w:t>
            </w:r>
          </w:p>
        </w:tc>
        <w:tc>
          <w:tcPr>
            <w:tcW w:w="489"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2" w:type="dxa"/>
            <w:tcBorders>
              <w:tl2br w:val="nil"/>
              <w:tr2bl w:val="nil"/>
            </w:tcBorders>
            <w:vAlign w:val="center"/>
          </w:tcPr>
          <w:p>
            <w:pPr>
              <w:pStyle w:val="17"/>
              <w:bidi w:val="0"/>
              <w:rPr>
                <w:rFonts w:hint="default"/>
              </w:rPr>
            </w:pPr>
            <w:r>
              <w:rPr>
                <w:rFonts w:hint="default"/>
              </w:rPr>
              <w:t>4</w:t>
            </w:r>
          </w:p>
        </w:tc>
        <w:tc>
          <w:tcPr>
            <w:tcW w:w="5384" w:type="dxa"/>
            <w:tcBorders>
              <w:tl2br w:val="nil"/>
              <w:tr2bl w:val="nil"/>
            </w:tcBorders>
            <w:vAlign w:val="center"/>
          </w:tcPr>
          <w:p>
            <w:pPr>
              <w:pStyle w:val="17"/>
              <w:bidi w:val="0"/>
              <w:rPr>
                <w:rFonts w:hint="default"/>
              </w:rPr>
            </w:pPr>
            <w:r>
              <w:rPr>
                <w:rFonts w:hint="default"/>
              </w:rPr>
              <w:t>按照《部分工业行业淘汰落后生产工艺装备和产品指导目录（2010年本）》、《产业结构调整指导目录（2011年本）（修正）》的要求，采取经济、技术、法律和必要的行政手段，提前一年完成钢铁、水泥、电解铝、平板玻璃等21个重点行业的</w:t>
            </w:r>
            <w:r>
              <w:rPr>
                <w:rFonts w:hint="eastAsia"/>
                <w:lang w:eastAsia="zh-CN"/>
              </w:rPr>
              <w:t>“</w:t>
            </w:r>
            <w:r>
              <w:rPr>
                <w:rFonts w:hint="default"/>
              </w:rPr>
              <w:t>十二五</w:t>
            </w:r>
            <w:r>
              <w:rPr>
                <w:rFonts w:hint="eastAsia"/>
                <w:lang w:eastAsia="zh-CN"/>
              </w:rPr>
              <w:t>”</w:t>
            </w:r>
            <w:r>
              <w:rPr>
                <w:rFonts w:hint="default"/>
              </w:rPr>
              <w:t>落后产能淘汰任务。</w:t>
            </w:r>
          </w:p>
        </w:tc>
        <w:tc>
          <w:tcPr>
            <w:tcW w:w="2746" w:type="dxa"/>
            <w:tcBorders>
              <w:tl2br w:val="nil"/>
              <w:tr2bl w:val="nil"/>
            </w:tcBorders>
            <w:vAlign w:val="center"/>
          </w:tcPr>
          <w:p>
            <w:pPr>
              <w:pStyle w:val="17"/>
              <w:bidi w:val="0"/>
              <w:rPr>
                <w:rFonts w:hint="default"/>
              </w:rPr>
            </w:pPr>
            <w:r>
              <w:rPr>
                <w:rFonts w:hint="default"/>
              </w:rPr>
              <w:t>本项目属于鼓励类，符合国家产业政策，不属于21个重点行业的</w:t>
            </w:r>
            <w:r>
              <w:rPr>
                <w:rFonts w:hint="eastAsia"/>
                <w:lang w:eastAsia="zh-CN"/>
              </w:rPr>
              <w:t>“</w:t>
            </w:r>
            <w:r>
              <w:rPr>
                <w:rFonts w:hint="default"/>
              </w:rPr>
              <w:t>十二五</w:t>
            </w:r>
            <w:r>
              <w:rPr>
                <w:rFonts w:hint="eastAsia"/>
                <w:lang w:eastAsia="zh-CN"/>
              </w:rPr>
              <w:t>”</w:t>
            </w:r>
            <w:r>
              <w:rPr>
                <w:rFonts w:hint="default"/>
              </w:rPr>
              <w:t>落后产能。</w:t>
            </w:r>
          </w:p>
        </w:tc>
        <w:tc>
          <w:tcPr>
            <w:tcW w:w="489"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2" w:type="dxa"/>
            <w:tcBorders>
              <w:tl2br w:val="nil"/>
              <w:tr2bl w:val="nil"/>
            </w:tcBorders>
            <w:vAlign w:val="center"/>
          </w:tcPr>
          <w:p>
            <w:pPr>
              <w:pStyle w:val="17"/>
              <w:bidi w:val="0"/>
              <w:rPr>
                <w:rFonts w:hint="default"/>
              </w:rPr>
            </w:pPr>
            <w:r>
              <w:rPr>
                <w:rFonts w:hint="default"/>
              </w:rPr>
              <w:t>5</w:t>
            </w:r>
          </w:p>
        </w:tc>
        <w:tc>
          <w:tcPr>
            <w:tcW w:w="5384" w:type="dxa"/>
            <w:tcBorders>
              <w:tl2br w:val="nil"/>
              <w:tr2bl w:val="nil"/>
            </w:tcBorders>
          </w:tcPr>
          <w:p>
            <w:pPr>
              <w:pStyle w:val="17"/>
              <w:bidi w:val="0"/>
              <w:rPr>
                <w:rFonts w:hint="default"/>
              </w:rPr>
            </w:pPr>
            <w:r>
              <w:rPr>
                <w:rFonts w:hint="default"/>
              </w:rPr>
              <w:t>优化能源结构，加快发展天然气与可再生能源，实现清洁能源供应和消费多元化。</w:t>
            </w:r>
          </w:p>
        </w:tc>
        <w:tc>
          <w:tcPr>
            <w:tcW w:w="2746" w:type="dxa"/>
            <w:tcBorders>
              <w:tl2br w:val="nil"/>
              <w:tr2bl w:val="nil"/>
            </w:tcBorders>
          </w:tcPr>
          <w:p>
            <w:pPr>
              <w:pStyle w:val="17"/>
              <w:bidi w:val="0"/>
              <w:rPr>
                <w:rFonts w:hint="default"/>
              </w:rPr>
            </w:pPr>
            <w:r>
              <w:rPr>
                <w:rFonts w:hint="default"/>
              </w:rPr>
              <w:t>本项目采用电能，属于清洁能源。</w:t>
            </w:r>
          </w:p>
        </w:tc>
        <w:tc>
          <w:tcPr>
            <w:tcW w:w="489"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2" w:type="dxa"/>
            <w:tcBorders>
              <w:tl2br w:val="nil"/>
              <w:tr2bl w:val="nil"/>
            </w:tcBorders>
            <w:vAlign w:val="center"/>
          </w:tcPr>
          <w:p>
            <w:pPr>
              <w:pStyle w:val="17"/>
              <w:bidi w:val="0"/>
              <w:rPr>
                <w:rFonts w:hint="default"/>
              </w:rPr>
            </w:pPr>
            <w:r>
              <w:rPr>
                <w:rFonts w:hint="default"/>
              </w:rPr>
              <w:t>6</w:t>
            </w:r>
          </w:p>
        </w:tc>
        <w:tc>
          <w:tcPr>
            <w:tcW w:w="5384" w:type="dxa"/>
            <w:tcBorders>
              <w:tl2br w:val="nil"/>
              <w:tr2bl w:val="nil"/>
            </w:tcBorders>
            <w:vAlign w:val="center"/>
          </w:tcPr>
          <w:p>
            <w:pPr>
              <w:pStyle w:val="17"/>
              <w:bidi w:val="0"/>
              <w:rPr>
                <w:rFonts w:hint="default"/>
              </w:rPr>
            </w:pPr>
            <w:r>
              <w:rPr>
                <w:rFonts w:hint="default"/>
              </w:rPr>
              <w:t>企业是大气污染治理的责任主体，要按照环保规范要求，加强内部管理，增加资金投入，采用先进的生产工艺和治理技术，确保达标排放，甚至达到</w:t>
            </w:r>
            <w:r>
              <w:rPr>
                <w:rFonts w:hint="eastAsia"/>
                <w:lang w:eastAsia="zh-CN"/>
              </w:rPr>
              <w:t>“</w:t>
            </w:r>
            <w:r>
              <w:rPr>
                <w:rFonts w:hint="default"/>
              </w:rPr>
              <w:t>零排放</w:t>
            </w:r>
            <w:r>
              <w:rPr>
                <w:rFonts w:hint="eastAsia"/>
                <w:lang w:eastAsia="zh-CN"/>
              </w:rPr>
              <w:t>”</w:t>
            </w:r>
            <w:r>
              <w:rPr>
                <w:rFonts w:hint="default"/>
              </w:rPr>
              <w:t>；要自觉履行环境保护的社会责任，接受社会监督。</w:t>
            </w:r>
          </w:p>
        </w:tc>
        <w:tc>
          <w:tcPr>
            <w:tcW w:w="2746" w:type="dxa"/>
            <w:tcBorders>
              <w:tl2br w:val="nil"/>
              <w:tr2bl w:val="nil"/>
            </w:tcBorders>
            <w:vAlign w:val="center"/>
          </w:tcPr>
          <w:p>
            <w:pPr>
              <w:pStyle w:val="17"/>
              <w:bidi w:val="0"/>
              <w:rPr>
                <w:rFonts w:hint="default"/>
              </w:rPr>
            </w:pPr>
            <w:r>
              <w:rPr>
                <w:rFonts w:hint="default"/>
              </w:rPr>
              <w:t>本项目采用先进的生产工艺和符合规范的环保设施，确保污染物稳定达标排放。</w:t>
            </w:r>
          </w:p>
        </w:tc>
        <w:tc>
          <w:tcPr>
            <w:tcW w:w="489" w:type="dxa"/>
            <w:tcBorders>
              <w:tl2br w:val="nil"/>
              <w:tr2bl w:val="nil"/>
            </w:tcBorders>
            <w:vAlign w:val="center"/>
          </w:tcPr>
          <w:p>
            <w:pPr>
              <w:pStyle w:val="17"/>
              <w:bidi w:val="0"/>
              <w:rPr>
                <w:rFonts w:hint="default"/>
              </w:rPr>
            </w:pPr>
            <w:r>
              <w:rPr>
                <w:rFonts w:hint="default"/>
              </w:rPr>
              <w:t>符合</w:t>
            </w:r>
          </w:p>
        </w:tc>
      </w:tr>
    </w:tbl>
    <w:p>
      <w:pPr>
        <w:bidi w:val="0"/>
        <w:rPr>
          <w:rFonts w:hint="default"/>
        </w:rPr>
      </w:pPr>
      <w:r>
        <w:rPr>
          <w:rFonts w:hint="default"/>
        </w:rPr>
        <w:t>（2）与国发〔2015〕17号文的符合性</w:t>
      </w:r>
    </w:p>
    <w:p>
      <w:pPr>
        <w:bidi w:val="0"/>
        <w:rPr>
          <w:rFonts w:hint="default"/>
        </w:rPr>
      </w:pPr>
      <w:r>
        <w:rPr>
          <w:rFonts w:hint="default"/>
        </w:rPr>
        <w:t>根据《国务院关于印发水污染防治行动计划的通知》（国发〔2015〕17号），分析本项目的符合性，详见</w:t>
      </w:r>
      <w:r>
        <w:rPr>
          <w:rFonts w:hint="default"/>
        </w:rPr>
        <w:fldChar w:fldCharType="begin"/>
      </w:r>
      <w:r>
        <w:rPr>
          <w:rFonts w:hint="default"/>
        </w:rPr>
        <w:instrText xml:space="preserve"> REF _Ref498528763 \h  \* MERGEFORMAT </w:instrText>
      </w:r>
      <w:r>
        <w:rPr>
          <w:rFonts w:hint="default"/>
        </w:rPr>
        <w:fldChar w:fldCharType="separate"/>
      </w:r>
      <w:r>
        <w:rPr>
          <w:rFonts w:hint="default"/>
        </w:rPr>
        <w:t>表</w:t>
      </w:r>
      <w:r>
        <w:rPr>
          <w:rFonts w:hint="default"/>
        </w:rPr>
        <w:fldChar w:fldCharType="end"/>
      </w:r>
      <w:r>
        <w:rPr>
          <w:rFonts w:hint="default"/>
        </w:rPr>
        <w:t>1.4-4。</w:t>
      </w:r>
    </w:p>
    <w:p>
      <w:pPr>
        <w:pStyle w:val="17"/>
        <w:bidi w:val="0"/>
        <w:rPr>
          <w:rFonts w:hint="default"/>
          <w:b/>
          <w:bCs/>
        </w:rPr>
      </w:pPr>
      <w:bookmarkStart w:id="27" w:name="_Ref498528763"/>
      <w:r>
        <w:rPr>
          <w:rFonts w:hint="default"/>
          <w:b/>
          <w:bCs/>
        </w:rPr>
        <w:t>表</w:t>
      </w:r>
      <w:bookmarkEnd w:id="27"/>
      <w:r>
        <w:rPr>
          <w:rFonts w:hint="default"/>
          <w:b/>
          <w:bCs/>
        </w:rPr>
        <w:t xml:space="preserve">1.4-4 </w:t>
      </w:r>
      <w:r>
        <w:rPr>
          <w:rFonts w:hint="default"/>
          <w:b/>
          <w:bCs/>
          <w:lang w:val="en-US" w:eastAsia="zh-CN"/>
        </w:rPr>
        <w:t xml:space="preserve">  </w:t>
      </w:r>
      <w:r>
        <w:rPr>
          <w:rFonts w:hint="default"/>
          <w:b/>
          <w:bCs/>
        </w:rPr>
        <w:t>本项目与国发〔2015〕17号符合性分析一览表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842"/>
        <w:gridCol w:w="2249"/>
        <w:gridCol w:w="5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5" w:type="dxa"/>
            <w:tcBorders>
              <w:bottom w:val="single" w:color="auto" w:sz="12" w:space="0"/>
            </w:tcBorders>
            <w:vAlign w:val="center"/>
          </w:tcPr>
          <w:p>
            <w:pPr>
              <w:pStyle w:val="17"/>
              <w:bidi w:val="0"/>
              <w:rPr>
                <w:rFonts w:hint="default"/>
                <w:b/>
                <w:bCs/>
              </w:rPr>
            </w:pPr>
            <w:r>
              <w:rPr>
                <w:rFonts w:hint="default"/>
                <w:b/>
                <w:bCs/>
              </w:rPr>
              <w:t>序号</w:t>
            </w:r>
          </w:p>
        </w:tc>
        <w:tc>
          <w:tcPr>
            <w:tcW w:w="5842" w:type="dxa"/>
            <w:tcBorders>
              <w:bottom w:val="single" w:color="auto" w:sz="12" w:space="0"/>
            </w:tcBorders>
            <w:vAlign w:val="center"/>
          </w:tcPr>
          <w:p>
            <w:pPr>
              <w:pStyle w:val="17"/>
              <w:bidi w:val="0"/>
              <w:rPr>
                <w:rFonts w:hint="default"/>
                <w:b/>
                <w:bCs/>
              </w:rPr>
            </w:pPr>
            <w:r>
              <w:rPr>
                <w:rFonts w:hint="default"/>
                <w:b/>
                <w:bCs/>
              </w:rPr>
              <w:t>国发〔2015〕17号文件要求</w:t>
            </w:r>
          </w:p>
        </w:tc>
        <w:tc>
          <w:tcPr>
            <w:tcW w:w="2249" w:type="dxa"/>
            <w:tcBorders>
              <w:bottom w:val="single" w:color="auto" w:sz="12" w:space="0"/>
            </w:tcBorders>
            <w:vAlign w:val="center"/>
          </w:tcPr>
          <w:p>
            <w:pPr>
              <w:pStyle w:val="17"/>
              <w:bidi w:val="0"/>
              <w:rPr>
                <w:rFonts w:hint="default"/>
                <w:b/>
                <w:bCs/>
              </w:rPr>
            </w:pPr>
            <w:r>
              <w:rPr>
                <w:rFonts w:hint="default"/>
                <w:b/>
                <w:bCs/>
              </w:rPr>
              <w:t>项目情况</w:t>
            </w:r>
          </w:p>
        </w:tc>
        <w:tc>
          <w:tcPr>
            <w:tcW w:w="515" w:type="dxa"/>
            <w:tcBorders>
              <w:bottom w:val="single" w:color="auto" w:sz="12" w:space="0"/>
            </w:tcBorders>
            <w:vAlign w:val="center"/>
          </w:tcPr>
          <w:p>
            <w:pPr>
              <w:pStyle w:val="17"/>
              <w:bidi w:val="0"/>
              <w:rPr>
                <w:rFonts w:hint="default"/>
                <w:b/>
                <w:bCs/>
              </w:rPr>
            </w:pPr>
            <w:r>
              <w:rPr>
                <w:rFonts w:hint="default"/>
                <w:b/>
                <w:bC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5" w:type="dxa"/>
            <w:tcBorders>
              <w:top w:val="single" w:color="auto" w:sz="12" w:space="0"/>
              <w:tl2br w:val="nil"/>
              <w:tr2bl w:val="nil"/>
            </w:tcBorders>
            <w:vAlign w:val="center"/>
          </w:tcPr>
          <w:p>
            <w:pPr>
              <w:pStyle w:val="17"/>
              <w:bidi w:val="0"/>
              <w:rPr>
                <w:rFonts w:hint="default"/>
              </w:rPr>
            </w:pPr>
            <w:r>
              <w:rPr>
                <w:rFonts w:hint="default"/>
              </w:rPr>
              <w:t>1</w:t>
            </w:r>
          </w:p>
        </w:tc>
        <w:tc>
          <w:tcPr>
            <w:tcW w:w="5842" w:type="dxa"/>
            <w:tcBorders>
              <w:top w:val="single" w:color="auto" w:sz="12" w:space="0"/>
              <w:tl2br w:val="nil"/>
              <w:tr2bl w:val="nil"/>
            </w:tcBorders>
            <w:vAlign w:val="center"/>
          </w:tcPr>
          <w:p>
            <w:pPr>
              <w:pStyle w:val="17"/>
              <w:bidi w:val="0"/>
              <w:rPr>
                <w:rFonts w:hint="default"/>
              </w:rPr>
            </w:pPr>
            <w:r>
              <w:rPr>
                <w:rFonts w:hint="default"/>
              </w:rPr>
              <w:t>2016年底前，按照水污染防治法律法规要求，全部取缔不符合国家产业政策的小型造纸、制革、印染、染料、炼焦、炼硫、炼砷、炼油、电镀、农药等严重污染水环境的生产项目。</w:t>
            </w:r>
          </w:p>
        </w:tc>
        <w:tc>
          <w:tcPr>
            <w:tcW w:w="2249" w:type="dxa"/>
            <w:tcBorders>
              <w:top w:val="single" w:color="auto" w:sz="12" w:space="0"/>
              <w:tl2br w:val="nil"/>
              <w:tr2bl w:val="nil"/>
            </w:tcBorders>
            <w:vAlign w:val="center"/>
          </w:tcPr>
          <w:p>
            <w:pPr>
              <w:pStyle w:val="17"/>
              <w:bidi w:val="0"/>
              <w:rPr>
                <w:rFonts w:hint="default"/>
              </w:rPr>
            </w:pPr>
            <w:r>
              <w:rPr>
                <w:rFonts w:hint="default"/>
              </w:rPr>
              <w:t>本项目不属于严重污染水环境的生产项目。</w:t>
            </w:r>
          </w:p>
        </w:tc>
        <w:tc>
          <w:tcPr>
            <w:tcW w:w="515" w:type="dxa"/>
            <w:tcBorders>
              <w:top w:val="single" w:color="auto" w:sz="12" w:space="0"/>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5" w:type="dxa"/>
            <w:tcBorders>
              <w:tl2br w:val="nil"/>
              <w:tr2bl w:val="nil"/>
            </w:tcBorders>
            <w:vAlign w:val="center"/>
          </w:tcPr>
          <w:p>
            <w:pPr>
              <w:pStyle w:val="17"/>
              <w:bidi w:val="0"/>
              <w:rPr>
                <w:rFonts w:hint="default"/>
              </w:rPr>
            </w:pPr>
            <w:r>
              <w:rPr>
                <w:rFonts w:hint="default"/>
              </w:rPr>
              <w:t>2</w:t>
            </w:r>
          </w:p>
        </w:tc>
        <w:tc>
          <w:tcPr>
            <w:tcW w:w="5842" w:type="dxa"/>
            <w:tcBorders>
              <w:tl2br w:val="nil"/>
              <w:tr2bl w:val="nil"/>
            </w:tcBorders>
            <w:vAlign w:val="center"/>
          </w:tcPr>
          <w:p>
            <w:pPr>
              <w:pStyle w:val="17"/>
              <w:bidi w:val="0"/>
              <w:rPr>
                <w:rFonts w:hint="default"/>
              </w:rPr>
            </w:pPr>
            <w:r>
              <w:rPr>
                <w:rFonts w:hint="default"/>
              </w:rPr>
              <w:t>专项整治十大重点行业。制定造纸、焦化、氮肥、有色金属、印染、农副食品加工、原料药制造、制革、农药、电镀等行业专项治理方案，实施清洁化改造。</w:t>
            </w:r>
          </w:p>
        </w:tc>
        <w:tc>
          <w:tcPr>
            <w:tcW w:w="2249" w:type="dxa"/>
            <w:tcBorders>
              <w:tl2br w:val="nil"/>
              <w:tr2bl w:val="nil"/>
            </w:tcBorders>
            <w:vAlign w:val="center"/>
          </w:tcPr>
          <w:p>
            <w:pPr>
              <w:pStyle w:val="17"/>
              <w:bidi w:val="0"/>
              <w:rPr>
                <w:rFonts w:hint="default"/>
              </w:rPr>
            </w:pPr>
            <w:r>
              <w:rPr>
                <w:rFonts w:hint="default"/>
              </w:rPr>
              <w:t>本项目不属于专项整治十大重点行业。</w:t>
            </w:r>
          </w:p>
        </w:tc>
        <w:tc>
          <w:tcPr>
            <w:tcW w:w="515"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5" w:type="dxa"/>
            <w:tcBorders>
              <w:tl2br w:val="nil"/>
              <w:tr2bl w:val="nil"/>
            </w:tcBorders>
            <w:vAlign w:val="center"/>
          </w:tcPr>
          <w:p>
            <w:pPr>
              <w:pStyle w:val="17"/>
              <w:bidi w:val="0"/>
              <w:rPr>
                <w:rFonts w:hint="default"/>
              </w:rPr>
            </w:pPr>
            <w:r>
              <w:rPr>
                <w:rFonts w:hint="default"/>
              </w:rPr>
              <w:t>3</w:t>
            </w:r>
          </w:p>
        </w:tc>
        <w:tc>
          <w:tcPr>
            <w:tcW w:w="5842" w:type="dxa"/>
            <w:tcBorders>
              <w:tl2br w:val="nil"/>
              <w:tr2bl w:val="nil"/>
            </w:tcBorders>
            <w:vAlign w:val="center"/>
          </w:tcPr>
          <w:p>
            <w:pPr>
              <w:pStyle w:val="17"/>
              <w:bidi w:val="0"/>
              <w:rPr>
                <w:rFonts w:hint="default"/>
              </w:rPr>
            </w:pPr>
            <w:r>
              <w:rPr>
                <w:rFonts w:hint="default"/>
              </w:rPr>
              <w:t>集中治理工业集聚区水污染。强化经济技术开发区、高新技术产业开发区、出口加工区等工业集聚区污染治理。集聚区内工业废水必须经预处理达到集中处理要求，方可进入污水集中处理设施。</w:t>
            </w:r>
          </w:p>
        </w:tc>
        <w:tc>
          <w:tcPr>
            <w:tcW w:w="2249" w:type="dxa"/>
            <w:tcBorders>
              <w:tl2br w:val="nil"/>
              <w:tr2bl w:val="nil"/>
            </w:tcBorders>
            <w:vAlign w:val="center"/>
          </w:tcPr>
          <w:p>
            <w:pPr>
              <w:pStyle w:val="17"/>
              <w:bidi w:val="0"/>
              <w:rPr>
                <w:rFonts w:hint="default"/>
              </w:rPr>
            </w:pPr>
            <w:r>
              <w:rPr>
                <w:rFonts w:hint="default"/>
              </w:rPr>
              <w:t>本项目清洗废水收集处理后循环使用。</w:t>
            </w:r>
          </w:p>
        </w:tc>
        <w:tc>
          <w:tcPr>
            <w:tcW w:w="515"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5" w:type="dxa"/>
            <w:tcBorders>
              <w:tl2br w:val="nil"/>
              <w:tr2bl w:val="nil"/>
            </w:tcBorders>
            <w:vAlign w:val="center"/>
          </w:tcPr>
          <w:p>
            <w:pPr>
              <w:pStyle w:val="17"/>
              <w:bidi w:val="0"/>
              <w:rPr>
                <w:rFonts w:hint="default"/>
              </w:rPr>
            </w:pPr>
            <w:r>
              <w:rPr>
                <w:rFonts w:hint="default"/>
              </w:rPr>
              <w:t>4</w:t>
            </w:r>
          </w:p>
        </w:tc>
        <w:tc>
          <w:tcPr>
            <w:tcW w:w="5842" w:type="dxa"/>
            <w:tcBorders>
              <w:tl2br w:val="nil"/>
              <w:tr2bl w:val="nil"/>
            </w:tcBorders>
            <w:vAlign w:val="center"/>
          </w:tcPr>
          <w:p>
            <w:pPr>
              <w:pStyle w:val="17"/>
              <w:bidi w:val="0"/>
              <w:rPr>
                <w:rFonts w:hint="default"/>
              </w:rPr>
            </w:pPr>
            <w:r>
              <w:rPr>
                <w:rFonts w:hint="default"/>
              </w:rPr>
              <w:t>依法淘汰落后产能。自2015年起，各地要依据部分工业行业淘汰落后生产工艺装备和产品指导目录、产业结构调整指导目录及相关行业污染物排放标准，结合水质改善要求及产业发展情况，制定并实施分年度的落后产能淘汰方案。</w:t>
            </w:r>
          </w:p>
        </w:tc>
        <w:tc>
          <w:tcPr>
            <w:tcW w:w="2249" w:type="dxa"/>
            <w:tcBorders>
              <w:tl2br w:val="nil"/>
              <w:tr2bl w:val="nil"/>
            </w:tcBorders>
            <w:vAlign w:val="center"/>
          </w:tcPr>
          <w:p>
            <w:pPr>
              <w:pStyle w:val="17"/>
              <w:bidi w:val="0"/>
              <w:rPr>
                <w:rFonts w:hint="default"/>
              </w:rPr>
            </w:pPr>
            <w:r>
              <w:rPr>
                <w:rFonts w:hint="default"/>
              </w:rPr>
              <w:t>本项目属于鼓励类产业，符合国家产业政策，不涉及落后产能和落后工艺装备。</w:t>
            </w:r>
          </w:p>
        </w:tc>
        <w:tc>
          <w:tcPr>
            <w:tcW w:w="515"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5" w:type="dxa"/>
            <w:tcBorders>
              <w:tl2br w:val="nil"/>
              <w:tr2bl w:val="nil"/>
            </w:tcBorders>
            <w:vAlign w:val="center"/>
          </w:tcPr>
          <w:p>
            <w:pPr>
              <w:pStyle w:val="17"/>
              <w:bidi w:val="0"/>
              <w:rPr>
                <w:rFonts w:hint="default"/>
              </w:rPr>
            </w:pPr>
            <w:r>
              <w:rPr>
                <w:rFonts w:hint="default"/>
              </w:rPr>
              <w:t>5</w:t>
            </w:r>
          </w:p>
        </w:tc>
        <w:tc>
          <w:tcPr>
            <w:tcW w:w="5842" w:type="dxa"/>
            <w:tcBorders>
              <w:tl2br w:val="nil"/>
              <w:tr2bl w:val="nil"/>
            </w:tcBorders>
            <w:vAlign w:val="center"/>
          </w:tcPr>
          <w:p>
            <w:pPr>
              <w:pStyle w:val="17"/>
              <w:bidi w:val="0"/>
              <w:rPr>
                <w:rFonts w:hint="default"/>
              </w:rPr>
            </w:pPr>
            <w:r>
              <w:rPr>
                <w:rFonts w:hint="default"/>
              </w:rPr>
              <w:t>推动污染企业退出。城市建成区内现有钢铁、有色金属、造纸、印染、原料药制造、化工等污染较重的企业应有序搬迁改造或依法关闭。</w:t>
            </w:r>
          </w:p>
        </w:tc>
        <w:tc>
          <w:tcPr>
            <w:tcW w:w="2249" w:type="dxa"/>
            <w:tcBorders>
              <w:tl2br w:val="nil"/>
              <w:tr2bl w:val="nil"/>
            </w:tcBorders>
            <w:vAlign w:val="center"/>
          </w:tcPr>
          <w:p>
            <w:pPr>
              <w:pStyle w:val="17"/>
              <w:bidi w:val="0"/>
              <w:rPr>
                <w:rFonts w:hint="default"/>
              </w:rPr>
            </w:pPr>
            <w:r>
              <w:rPr>
                <w:rFonts w:hint="default"/>
              </w:rPr>
              <w:t>本项目位于</w:t>
            </w:r>
            <w:r>
              <w:rPr>
                <w:rFonts w:hint="eastAsia"/>
                <w:lang w:val="en-US" w:eastAsia="zh-CN"/>
              </w:rPr>
              <w:t>吉木萨尔县二工镇</w:t>
            </w:r>
            <w:r>
              <w:rPr>
                <w:rFonts w:hint="default"/>
              </w:rPr>
              <w:t>，不位于城市建成区内。</w:t>
            </w:r>
          </w:p>
        </w:tc>
        <w:tc>
          <w:tcPr>
            <w:tcW w:w="515" w:type="dxa"/>
            <w:tcBorders>
              <w:tl2br w:val="nil"/>
              <w:tr2bl w:val="nil"/>
            </w:tcBorders>
            <w:vAlign w:val="center"/>
          </w:tcPr>
          <w:p>
            <w:pPr>
              <w:pStyle w:val="17"/>
              <w:bidi w:val="0"/>
              <w:rPr>
                <w:rFonts w:hint="default"/>
              </w:rPr>
            </w:pPr>
            <w:r>
              <w:rPr>
                <w:rFonts w:hint="default"/>
              </w:rPr>
              <w:t>符合</w:t>
            </w:r>
          </w:p>
        </w:tc>
      </w:tr>
    </w:tbl>
    <w:p>
      <w:pPr>
        <w:bidi w:val="0"/>
        <w:rPr>
          <w:rFonts w:hint="default"/>
        </w:rPr>
      </w:pPr>
      <w:r>
        <w:rPr>
          <w:rFonts w:hint="default"/>
        </w:rPr>
        <w:t>（3）与国发〔2016〕31号文的符合性</w:t>
      </w:r>
    </w:p>
    <w:p>
      <w:pPr>
        <w:bidi w:val="0"/>
        <w:rPr>
          <w:rFonts w:hint="default"/>
        </w:rPr>
      </w:pPr>
      <w:r>
        <w:rPr>
          <w:rFonts w:hint="default"/>
        </w:rPr>
        <w:t>根据《国务院关于印发土壤污染防治行动计划的通知》（国发〔2016〕31号），分析本项目的符合性，详见</w:t>
      </w:r>
      <w:r>
        <w:rPr>
          <w:rFonts w:hint="default"/>
        </w:rPr>
        <w:fldChar w:fldCharType="begin"/>
      </w:r>
      <w:r>
        <w:rPr>
          <w:rFonts w:hint="default"/>
        </w:rPr>
        <w:instrText xml:space="preserve"> REF _Ref498528768 \h  \* MERGEFORMAT </w:instrText>
      </w:r>
      <w:r>
        <w:rPr>
          <w:rFonts w:hint="default"/>
        </w:rPr>
        <w:fldChar w:fldCharType="separate"/>
      </w:r>
      <w:r>
        <w:rPr>
          <w:rFonts w:hint="default"/>
        </w:rPr>
        <w:t>表</w:t>
      </w:r>
      <w:r>
        <w:rPr>
          <w:rFonts w:hint="default"/>
        </w:rPr>
        <w:fldChar w:fldCharType="end"/>
      </w:r>
      <w:r>
        <w:rPr>
          <w:rFonts w:hint="default"/>
        </w:rPr>
        <w:t>1.4-5。</w:t>
      </w:r>
    </w:p>
    <w:p>
      <w:pPr>
        <w:pStyle w:val="17"/>
        <w:bidi w:val="0"/>
        <w:rPr>
          <w:rFonts w:hint="default"/>
          <w:b/>
          <w:bCs/>
        </w:rPr>
      </w:pPr>
      <w:bookmarkStart w:id="28" w:name="_Ref498528768"/>
      <w:r>
        <w:rPr>
          <w:rFonts w:hint="default"/>
          <w:b/>
          <w:bCs/>
        </w:rPr>
        <w:t>表</w:t>
      </w:r>
      <w:bookmarkEnd w:id="28"/>
      <w:r>
        <w:rPr>
          <w:rFonts w:hint="default"/>
          <w:b/>
          <w:bCs/>
        </w:rPr>
        <w:t>1.4-5   本项目与国发〔2016〕31号符合性分析一览表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9"/>
        <w:gridCol w:w="5023"/>
        <w:gridCol w:w="3086"/>
        <w:gridCol w:w="5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9" w:type="dxa"/>
            <w:tcBorders>
              <w:bottom w:val="single" w:color="auto" w:sz="12" w:space="0"/>
            </w:tcBorders>
            <w:vAlign w:val="center"/>
          </w:tcPr>
          <w:p>
            <w:pPr>
              <w:pStyle w:val="17"/>
              <w:bidi w:val="0"/>
              <w:rPr>
                <w:rFonts w:hint="default"/>
                <w:b/>
                <w:bCs/>
              </w:rPr>
            </w:pPr>
            <w:r>
              <w:rPr>
                <w:rFonts w:hint="default"/>
                <w:b/>
                <w:bCs/>
              </w:rPr>
              <w:t>序号</w:t>
            </w:r>
          </w:p>
        </w:tc>
        <w:tc>
          <w:tcPr>
            <w:tcW w:w="5023" w:type="dxa"/>
            <w:tcBorders>
              <w:bottom w:val="single" w:color="auto" w:sz="12" w:space="0"/>
            </w:tcBorders>
            <w:vAlign w:val="center"/>
          </w:tcPr>
          <w:p>
            <w:pPr>
              <w:pStyle w:val="17"/>
              <w:bidi w:val="0"/>
              <w:rPr>
                <w:rFonts w:hint="default"/>
                <w:b/>
                <w:bCs/>
              </w:rPr>
            </w:pPr>
            <w:r>
              <w:rPr>
                <w:rFonts w:hint="default"/>
                <w:b/>
                <w:bCs/>
              </w:rPr>
              <w:t>国发〔2016〕31号文件要求</w:t>
            </w:r>
          </w:p>
        </w:tc>
        <w:tc>
          <w:tcPr>
            <w:tcW w:w="3086" w:type="dxa"/>
            <w:tcBorders>
              <w:bottom w:val="single" w:color="auto" w:sz="12" w:space="0"/>
            </w:tcBorders>
            <w:vAlign w:val="center"/>
          </w:tcPr>
          <w:p>
            <w:pPr>
              <w:pStyle w:val="17"/>
              <w:bidi w:val="0"/>
              <w:rPr>
                <w:rFonts w:hint="default"/>
                <w:b/>
                <w:bCs/>
              </w:rPr>
            </w:pPr>
            <w:r>
              <w:rPr>
                <w:rFonts w:hint="default"/>
                <w:b/>
                <w:bCs/>
              </w:rPr>
              <w:t>项目情况</w:t>
            </w:r>
          </w:p>
        </w:tc>
        <w:tc>
          <w:tcPr>
            <w:tcW w:w="503" w:type="dxa"/>
            <w:tcBorders>
              <w:bottom w:val="single" w:color="auto" w:sz="12" w:space="0"/>
            </w:tcBorders>
            <w:vAlign w:val="center"/>
          </w:tcPr>
          <w:p>
            <w:pPr>
              <w:pStyle w:val="17"/>
              <w:bidi w:val="0"/>
              <w:rPr>
                <w:rFonts w:hint="default"/>
                <w:b/>
                <w:bCs/>
              </w:rPr>
            </w:pPr>
            <w:r>
              <w:rPr>
                <w:rFonts w:hint="default"/>
                <w:b/>
                <w:bC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9" w:type="dxa"/>
            <w:tcBorders>
              <w:top w:val="single" w:color="auto" w:sz="12" w:space="0"/>
              <w:tl2br w:val="nil"/>
              <w:tr2bl w:val="nil"/>
            </w:tcBorders>
            <w:vAlign w:val="center"/>
          </w:tcPr>
          <w:p>
            <w:pPr>
              <w:pStyle w:val="17"/>
              <w:bidi w:val="0"/>
              <w:rPr>
                <w:rFonts w:hint="default"/>
              </w:rPr>
            </w:pPr>
            <w:r>
              <w:rPr>
                <w:rFonts w:hint="default"/>
              </w:rPr>
              <w:t>1</w:t>
            </w:r>
          </w:p>
        </w:tc>
        <w:tc>
          <w:tcPr>
            <w:tcW w:w="5023" w:type="dxa"/>
            <w:tcBorders>
              <w:top w:val="single" w:color="auto" w:sz="12" w:space="0"/>
              <w:tl2br w:val="nil"/>
              <w:tr2bl w:val="nil"/>
            </w:tcBorders>
            <w:vAlign w:val="center"/>
          </w:tcPr>
          <w:p>
            <w:pPr>
              <w:pStyle w:val="17"/>
              <w:bidi w:val="0"/>
              <w:rPr>
                <w:rFonts w:hint="default"/>
              </w:rPr>
            </w:pPr>
            <w:r>
              <w:rPr>
                <w:rFonts w:hint="default"/>
              </w:rPr>
              <w:t>防控企业污染。严格控制在优先保护类耕地集中区域新建有色金属冶炼、石油加工、化工、焦化、电镀、制革等行业企业，现有相关行业企业要采用新技术、新工艺，加快提标升级改造步伐。</w:t>
            </w:r>
          </w:p>
        </w:tc>
        <w:tc>
          <w:tcPr>
            <w:tcW w:w="3086" w:type="dxa"/>
            <w:tcBorders>
              <w:top w:val="single" w:color="auto" w:sz="12" w:space="0"/>
              <w:tl2br w:val="nil"/>
              <w:tr2bl w:val="nil"/>
            </w:tcBorders>
            <w:vAlign w:val="center"/>
          </w:tcPr>
          <w:p>
            <w:pPr>
              <w:pStyle w:val="17"/>
              <w:bidi w:val="0"/>
              <w:rPr>
                <w:rFonts w:hint="default"/>
              </w:rPr>
            </w:pPr>
            <w:r>
              <w:rPr>
                <w:rFonts w:hint="default"/>
              </w:rPr>
              <w:t>本项目位于</w:t>
            </w:r>
            <w:r>
              <w:rPr>
                <w:rFonts w:hint="eastAsia"/>
                <w:lang w:val="en-US" w:eastAsia="zh-CN"/>
              </w:rPr>
              <w:t>吉木萨尔县二工镇</w:t>
            </w:r>
            <w:r>
              <w:rPr>
                <w:rFonts w:hint="default"/>
              </w:rPr>
              <w:t>，不属于优先保护类耕地集中区域。</w:t>
            </w:r>
          </w:p>
        </w:tc>
        <w:tc>
          <w:tcPr>
            <w:tcW w:w="503" w:type="dxa"/>
            <w:tcBorders>
              <w:top w:val="single" w:color="auto" w:sz="12" w:space="0"/>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9" w:type="dxa"/>
            <w:tcBorders>
              <w:tl2br w:val="nil"/>
              <w:tr2bl w:val="nil"/>
            </w:tcBorders>
            <w:vAlign w:val="center"/>
          </w:tcPr>
          <w:p>
            <w:pPr>
              <w:pStyle w:val="17"/>
              <w:bidi w:val="0"/>
              <w:rPr>
                <w:rFonts w:hint="default"/>
              </w:rPr>
            </w:pPr>
            <w:r>
              <w:rPr>
                <w:rFonts w:hint="default"/>
              </w:rPr>
              <w:t>2</w:t>
            </w:r>
          </w:p>
        </w:tc>
        <w:tc>
          <w:tcPr>
            <w:tcW w:w="5023" w:type="dxa"/>
            <w:tcBorders>
              <w:tl2br w:val="nil"/>
              <w:tr2bl w:val="nil"/>
            </w:tcBorders>
            <w:vAlign w:val="center"/>
          </w:tcPr>
          <w:p>
            <w:pPr>
              <w:pStyle w:val="17"/>
              <w:bidi w:val="0"/>
              <w:rPr>
                <w:rFonts w:hint="default"/>
              </w:rPr>
            </w:pPr>
            <w:r>
              <w:rPr>
                <w:rFonts w:hint="default"/>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3086" w:type="dxa"/>
            <w:tcBorders>
              <w:tl2br w:val="nil"/>
              <w:tr2bl w:val="nil"/>
            </w:tcBorders>
            <w:vAlign w:val="center"/>
          </w:tcPr>
          <w:p>
            <w:pPr>
              <w:pStyle w:val="17"/>
              <w:bidi w:val="0"/>
              <w:rPr>
                <w:rFonts w:hint="default"/>
              </w:rPr>
            </w:pPr>
            <w:r>
              <w:rPr>
                <w:rFonts w:hint="default"/>
              </w:rPr>
              <w:t>本次环评已包含对土壤环境影响的评价内容，项目拟同步落实土壤污染防治措施。</w:t>
            </w:r>
          </w:p>
        </w:tc>
        <w:tc>
          <w:tcPr>
            <w:tcW w:w="503"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9" w:type="dxa"/>
            <w:tcBorders>
              <w:tl2br w:val="nil"/>
              <w:tr2bl w:val="nil"/>
            </w:tcBorders>
            <w:vAlign w:val="center"/>
          </w:tcPr>
          <w:p>
            <w:pPr>
              <w:pStyle w:val="17"/>
              <w:bidi w:val="0"/>
              <w:rPr>
                <w:rFonts w:hint="default"/>
              </w:rPr>
            </w:pPr>
            <w:r>
              <w:rPr>
                <w:rFonts w:hint="default"/>
              </w:rPr>
              <w:t>3</w:t>
            </w:r>
          </w:p>
        </w:tc>
        <w:tc>
          <w:tcPr>
            <w:tcW w:w="5023" w:type="dxa"/>
            <w:tcBorders>
              <w:tl2br w:val="nil"/>
              <w:tr2bl w:val="nil"/>
            </w:tcBorders>
            <w:vAlign w:val="center"/>
          </w:tcPr>
          <w:p>
            <w:pPr>
              <w:pStyle w:val="17"/>
              <w:bidi w:val="0"/>
              <w:rPr>
                <w:rFonts w:hint="default"/>
              </w:rPr>
            </w:pPr>
            <w:r>
              <w:rPr>
                <w:rFonts w:hint="default"/>
              </w:rPr>
              <w:t>强化空间布局管控。严格执行相关行业企业布局选址要求，禁止在居民区、学校、医疗和养老机构等周边新建有色金属冶炼、焦化等行业企业。</w:t>
            </w:r>
          </w:p>
        </w:tc>
        <w:tc>
          <w:tcPr>
            <w:tcW w:w="3086" w:type="dxa"/>
            <w:tcBorders>
              <w:tl2br w:val="nil"/>
              <w:tr2bl w:val="nil"/>
            </w:tcBorders>
            <w:vAlign w:val="center"/>
          </w:tcPr>
          <w:p>
            <w:pPr>
              <w:pStyle w:val="17"/>
              <w:bidi w:val="0"/>
              <w:rPr>
                <w:rFonts w:hint="default"/>
              </w:rPr>
            </w:pPr>
            <w:r>
              <w:rPr>
                <w:rFonts w:hint="default"/>
              </w:rPr>
              <w:t>本项目位于</w:t>
            </w:r>
            <w:r>
              <w:rPr>
                <w:rFonts w:hint="eastAsia"/>
                <w:lang w:val="en-US" w:eastAsia="zh-CN"/>
              </w:rPr>
              <w:t>吉木萨尔县二工镇</w:t>
            </w:r>
            <w:r>
              <w:rPr>
                <w:rFonts w:hint="default"/>
              </w:rPr>
              <w:t>，周边无居民区、学校、医疗和养老机构等。</w:t>
            </w:r>
          </w:p>
        </w:tc>
        <w:tc>
          <w:tcPr>
            <w:tcW w:w="503"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9" w:type="dxa"/>
            <w:tcBorders>
              <w:tl2br w:val="nil"/>
              <w:tr2bl w:val="nil"/>
            </w:tcBorders>
            <w:vAlign w:val="center"/>
          </w:tcPr>
          <w:p>
            <w:pPr>
              <w:pStyle w:val="17"/>
              <w:bidi w:val="0"/>
              <w:rPr>
                <w:rFonts w:hint="default"/>
              </w:rPr>
            </w:pPr>
            <w:r>
              <w:rPr>
                <w:rFonts w:hint="default"/>
              </w:rPr>
              <w:t>4</w:t>
            </w:r>
          </w:p>
        </w:tc>
        <w:tc>
          <w:tcPr>
            <w:tcW w:w="5023" w:type="dxa"/>
            <w:tcBorders>
              <w:tl2br w:val="nil"/>
              <w:tr2bl w:val="nil"/>
            </w:tcBorders>
            <w:vAlign w:val="center"/>
          </w:tcPr>
          <w:p>
            <w:pPr>
              <w:pStyle w:val="17"/>
              <w:bidi w:val="0"/>
              <w:rPr>
                <w:rFonts w:hint="default"/>
              </w:rPr>
            </w:pPr>
            <w:r>
              <w:rPr>
                <w:rFonts w:hint="default"/>
              </w:rPr>
              <w:t>加强工业废物处理处置。全面整治产生固体废物的堆存场所，完善防扬散、防流失、防渗漏等设施，制定整治方案并有序实施。</w:t>
            </w:r>
          </w:p>
        </w:tc>
        <w:tc>
          <w:tcPr>
            <w:tcW w:w="3086" w:type="dxa"/>
            <w:tcBorders>
              <w:tl2br w:val="nil"/>
              <w:tr2bl w:val="nil"/>
            </w:tcBorders>
            <w:vAlign w:val="center"/>
          </w:tcPr>
          <w:p>
            <w:pPr>
              <w:pStyle w:val="17"/>
              <w:bidi w:val="0"/>
              <w:rPr>
                <w:rFonts w:hint="default"/>
              </w:rPr>
            </w:pPr>
            <w:r>
              <w:rPr>
                <w:rFonts w:hint="default"/>
              </w:rPr>
              <w:t>本项目固体废物临时堆存场所按相关标准要求设置，设施具备防扬散、防流失、防渗漏等功能。</w:t>
            </w:r>
          </w:p>
        </w:tc>
        <w:tc>
          <w:tcPr>
            <w:tcW w:w="503" w:type="dxa"/>
            <w:tcBorders>
              <w:tl2br w:val="nil"/>
              <w:tr2bl w:val="nil"/>
            </w:tcBorders>
            <w:vAlign w:val="center"/>
          </w:tcPr>
          <w:p>
            <w:pPr>
              <w:pStyle w:val="17"/>
              <w:bidi w:val="0"/>
              <w:rPr>
                <w:rFonts w:hint="default"/>
              </w:rPr>
            </w:pPr>
            <w:r>
              <w:rPr>
                <w:rFonts w:hint="default"/>
              </w:rPr>
              <w:t>符合</w:t>
            </w:r>
          </w:p>
        </w:tc>
      </w:tr>
    </w:tbl>
    <w:p>
      <w:pPr>
        <w:bidi w:val="0"/>
        <w:rPr>
          <w:rFonts w:hint="default"/>
        </w:rPr>
      </w:pPr>
      <w:r>
        <w:rPr>
          <w:rFonts w:hint="default"/>
        </w:rPr>
        <w:t>（4）与环发〔2012〕77号文的符合性</w:t>
      </w:r>
    </w:p>
    <w:p>
      <w:pPr>
        <w:bidi w:val="0"/>
        <w:rPr>
          <w:rFonts w:hint="default"/>
        </w:rPr>
      </w:pPr>
      <w:r>
        <w:rPr>
          <w:rFonts w:hint="default"/>
        </w:rPr>
        <w:t>根据《关于进一步加强环境影响评价管理防范环境风险的通知》（环发〔2012〕77号），分析本项目的符合性，详见</w:t>
      </w:r>
      <w:r>
        <w:rPr>
          <w:rFonts w:hint="default"/>
        </w:rPr>
        <w:fldChar w:fldCharType="begin"/>
      </w:r>
      <w:r>
        <w:rPr>
          <w:rFonts w:hint="default"/>
        </w:rPr>
        <w:instrText xml:space="preserve"> REF _Ref498528774 \h  \* MERGEFORMAT </w:instrText>
      </w:r>
      <w:r>
        <w:rPr>
          <w:rFonts w:hint="default"/>
        </w:rPr>
        <w:fldChar w:fldCharType="separate"/>
      </w:r>
      <w:r>
        <w:rPr>
          <w:rFonts w:hint="default"/>
        </w:rPr>
        <w:t>表</w:t>
      </w:r>
      <w:r>
        <w:rPr>
          <w:rFonts w:hint="default"/>
        </w:rPr>
        <w:fldChar w:fldCharType="end"/>
      </w:r>
      <w:r>
        <w:rPr>
          <w:rFonts w:hint="default"/>
        </w:rPr>
        <w:t>1.4-6。</w:t>
      </w:r>
    </w:p>
    <w:p>
      <w:pPr>
        <w:pStyle w:val="17"/>
        <w:bidi w:val="0"/>
        <w:rPr>
          <w:rFonts w:hint="default"/>
          <w:b/>
          <w:bCs/>
        </w:rPr>
      </w:pPr>
      <w:bookmarkStart w:id="29" w:name="_Ref498528774"/>
      <w:r>
        <w:rPr>
          <w:rFonts w:hint="default"/>
          <w:b/>
          <w:bCs/>
        </w:rPr>
        <w:t>表</w:t>
      </w:r>
      <w:bookmarkEnd w:id="29"/>
      <w:r>
        <w:rPr>
          <w:rFonts w:hint="default"/>
          <w:b/>
          <w:bCs/>
        </w:rPr>
        <w:t xml:space="preserve">1.4-6 </w:t>
      </w:r>
      <w:r>
        <w:rPr>
          <w:rFonts w:hint="eastAsia"/>
          <w:b/>
          <w:bCs/>
          <w:lang w:val="en-US" w:eastAsia="zh-CN"/>
        </w:rPr>
        <w:t xml:space="preserve"> </w:t>
      </w:r>
      <w:r>
        <w:rPr>
          <w:rFonts w:hint="default"/>
          <w:b/>
          <w:bCs/>
        </w:rPr>
        <w:t xml:space="preserve"> 本项目与环发〔2012〕77号符合性分析一览表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16"/>
        <w:gridCol w:w="3275"/>
        <w:gridCol w:w="4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16" w:type="dxa"/>
            <w:tcBorders>
              <w:bottom w:val="single" w:color="auto" w:sz="12" w:space="0"/>
            </w:tcBorders>
            <w:vAlign w:val="center"/>
          </w:tcPr>
          <w:p>
            <w:pPr>
              <w:pStyle w:val="17"/>
              <w:bidi w:val="0"/>
              <w:rPr>
                <w:rFonts w:hint="default"/>
                <w:b/>
                <w:bCs/>
              </w:rPr>
            </w:pPr>
            <w:r>
              <w:rPr>
                <w:rFonts w:hint="default"/>
                <w:b/>
                <w:bCs/>
              </w:rPr>
              <w:t>环发〔2012〕77号文件要求</w:t>
            </w:r>
          </w:p>
        </w:tc>
        <w:tc>
          <w:tcPr>
            <w:tcW w:w="3275" w:type="dxa"/>
            <w:tcBorders>
              <w:bottom w:val="single" w:color="auto" w:sz="12" w:space="0"/>
            </w:tcBorders>
            <w:vAlign w:val="center"/>
          </w:tcPr>
          <w:p>
            <w:pPr>
              <w:pStyle w:val="17"/>
              <w:bidi w:val="0"/>
              <w:rPr>
                <w:rFonts w:hint="default"/>
                <w:b/>
                <w:bCs/>
              </w:rPr>
            </w:pPr>
            <w:r>
              <w:rPr>
                <w:rFonts w:hint="default"/>
                <w:b/>
                <w:bCs/>
              </w:rPr>
              <w:t>项目情况</w:t>
            </w:r>
          </w:p>
        </w:tc>
        <w:tc>
          <w:tcPr>
            <w:tcW w:w="480" w:type="dxa"/>
            <w:tcBorders>
              <w:bottom w:val="single" w:color="auto" w:sz="12" w:space="0"/>
            </w:tcBorders>
            <w:vAlign w:val="center"/>
          </w:tcPr>
          <w:p>
            <w:pPr>
              <w:pStyle w:val="17"/>
              <w:bidi w:val="0"/>
              <w:rPr>
                <w:rFonts w:hint="default"/>
                <w:b/>
                <w:bCs/>
              </w:rPr>
            </w:pPr>
            <w:r>
              <w:rPr>
                <w:rFonts w:hint="default"/>
                <w:b/>
                <w:bC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16" w:type="dxa"/>
            <w:tcBorders>
              <w:top w:val="single" w:color="auto" w:sz="12" w:space="0"/>
              <w:tl2br w:val="nil"/>
              <w:tr2bl w:val="nil"/>
            </w:tcBorders>
            <w:vAlign w:val="center"/>
          </w:tcPr>
          <w:p>
            <w:pPr>
              <w:pStyle w:val="17"/>
              <w:bidi w:val="0"/>
              <w:rPr>
                <w:rFonts w:hint="default"/>
              </w:rPr>
            </w:pPr>
            <w:r>
              <w:rPr>
                <w:rFonts w:hint="default"/>
              </w:rPr>
              <w:t>从环境风险源、扩散途径、保护目标三方面识别环境风险。环境风险识别应包括生产设施和危险物质的识别，有毒有害物质扩散途径的识别（如大气环境、水环境、土壤等）以及可能受影响的环境保护目标的识别。</w:t>
            </w:r>
          </w:p>
        </w:tc>
        <w:tc>
          <w:tcPr>
            <w:tcW w:w="3275" w:type="dxa"/>
            <w:tcBorders>
              <w:top w:val="single" w:color="auto" w:sz="12" w:space="0"/>
              <w:tl2br w:val="nil"/>
              <w:tr2bl w:val="nil"/>
            </w:tcBorders>
            <w:vAlign w:val="center"/>
          </w:tcPr>
          <w:p>
            <w:pPr>
              <w:pStyle w:val="17"/>
              <w:bidi w:val="0"/>
              <w:rPr>
                <w:rFonts w:hint="default"/>
              </w:rPr>
            </w:pPr>
            <w:r>
              <w:rPr>
                <w:rFonts w:hint="default"/>
              </w:rPr>
              <w:t>本次环评已按此要求编制。</w:t>
            </w:r>
          </w:p>
        </w:tc>
        <w:tc>
          <w:tcPr>
            <w:tcW w:w="480" w:type="dxa"/>
            <w:tcBorders>
              <w:top w:val="single" w:color="auto" w:sz="12" w:space="0"/>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16" w:type="dxa"/>
            <w:tcBorders>
              <w:tl2br w:val="nil"/>
              <w:tr2bl w:val="nil"/>
            </w:tcBorders>
            <w:vAlign w:val="center"/>
          </w:tcPr>
          <w:p>
            <w:pPr>
              <w:pStyle w:val="17"/>
              <w:bidi w:val="0"/>
              <w:rPr>
                <w:rFonts w:hint="default"/>
              </w:rPr>
            </w:pPr>
            <w:r>
              <w:rPr>
                <w:rFonts w:hint="default"/>
              </w:rPr>
              <w:t>科学开展环境风险预测。环境风险预测设定的最大可信事故应包括项目施工、营运等过程中生产设施发生火灾、爆炸，危险物质发生泄漏等事故，并充分考虑伴生/次生的危险物质等，从大气、地表水、海洋、地下水、土壤等环境方面考虑并预测评价突发环境事件对环境的影响范围和程度。</w:t>
            </w:r>
          </w:p>
        </w:tc>
        <w:tc>
          <w:tcPr>
            <w:tcW w:w="3275" w:type="dxa"/>
            <w:tcBorders>
              <w:tl2br w:val="nil"/>
              <w:tr2bl w:val="nil"/>
            </w:tcBorders>
            <w:vAlign w:val="center"/>
          </w:tcPr>
          <w:p>
            <w:pPr>
              <w:pStyle w:val="17"/>
              <w:bidi w:val="0"/>
              <w:rPr>
                <w:rFonts w:hint="default"/>
              </w:rPr>
            </w:pPr>
            <w:r>
              <w:rPr>
                <w:rFonts w:hint="default"/>
              </w:rPr>
              <w:t>本次环评已按此要求编制。</w:t>
            </w:r>
          </w:p>
        </w:tc>
        <w:tc>
          <w:tcPr>
            <w:tcW w:w="480"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16" w:type="dxa"/>
            <w:tcBorders>
              <w:tl2br w:val="nil"/>
              <w:tr2bl w:val="nil"/>
            </w:tcBorders>
            <w:vAlign w:val="center"/>
          </w:tcPr>
          <w:p>
            <w:pPr>
              <w:pStyle w:val="17"/>
              <w:bidi w:val="0"/>
              <w:rPr>
                <w:rFonts w:hint="default"/>
              </w:rPr>
            </w:pPr>
            <w:r>
              <w:rPr>
                <w:rFonts w:hint="default"/>
              </w:rPr>
              <w:t>提出合理有效的环境风险防范和应急措施。结合风险预测结论，有针对性地提出环境风险防范和应急措施，并对措施的合理性和有效性进行充分论证。</w:t>
            </w:r>
          </w:p>
        </w:tc>
        <w:tc>
          <w:tcPr>
            <w:tcW w:w="3275" w:type="dxa"/>
            <w:tcBorders>
              <w:tl2br w:val="nil"/>
              <w:tr2bl w:val="nil"/>
            </w:tcBorders>
            <w:vAlign w:val="center"/>
          </w:tcPr>
          <w:p>
            <w:pPr>
              <w:pStyle w:val="17"/>
              <w:bidi w:val="0"/>
              <w:rPr>
                <w:rFonts w:hint="default"/>
              </w:rPr>
            </w:pPr>
            <w:r>
              <w:rPr>
                <w:rFonts w:hint="default"/>
              </w:rPr>
              <w:t>本次环评已按此要求编制。</w:t>
            </w:r>
          </w:p>
        </w:tc>
        <w:tc>
          <w:tcPr>
            <w:tcW w:w="480"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16" w:type="dxa"/>
            <w:tcBorders>
              <w:tl2br w:val="nil"/>
              <w:tr2bl w:val="nil"/>
            </w:tcBorders>
            <w:vAlign w:val="center"/>
          </w:tcPr>
          <w:p>
            <w:pPr>
              <w:pStyle w:val="17"/>
              <w:bidi w:val="0"/>
              <w:rPr>
                <w:rFonts w:hint="default"/>
              </w:rPr>
            </w:pPr>
            <w:r>
              <w:rPr>
                <w:rFonts w:hint="default"/>
              </w:rPr>
              <w:t>改、扩建相关建设项目应按照现行环境风险防范和管理要求，对现有工程的环境风险进行全面梳理和评价，针对可能存在的环境风险隐患，提出相应的补救或完善措施，并纳入改、扩建项目</w:t>
            </w:r>
            <w:r>
              <w:rPr>
                <w:rFonts w:hint="eastAsia"/>
                <w:lang w:eastAsia="zh-CN"/>
              </w:rPr>
              <w:t>“</w:t>
            </w:r>
            <w:r>
              <w:rPr>
                <w:rFonts w:hint="default"/>
              </w:rPr>
              <w:t>三同时</w:t>
            </w:r>
            <w:r>
              <w:rPr>
                <w:rFonts w:hint="eastAsia"/>
                <w:lang w:eastAsia="zh-CN"/>
              </w:rPr>
              <w:t>”</w:t>
            </w:r>
            <w:r>
              <w:rPr>
                <w:rFonts w:hint="default"/>
              </w:rPr>
              <w:t>验收内容。</w:t>
            </w:r>
          </w:p>
        </w:tc>
        <w:tc>
          <w:tcPr>
            <w:tcW w:w="3275" w:type="dxa"/>
            <w:tcBorders>
              <w:tl2br w:val="nil"/>
              <w:tr2bl w:val="nil"/>
            </w:tcBorders>
            <w:vAlign w:val="center"/>
          </w:tcPr>
          <w:p>
            <w:pPr>
              <w:pStyle w:val="17"/>
              <w:bidi w:val="0"/>
              <w:rPr>
                <w:rFonts w:hint="default"/>
              </w:rPr>
            </w:pPr>
            <w:r>
              <w:rPr>
                <w:rFonts w:hint="default"/>
              </w:rPr>
              <w:t>本项目属于新建项目。</w:t>
            </w:r>
          </w:p>
        </w:tc>
        <w:tc>
          <w:tcPr>
            <w:tcW w:w="480" w:type="dxa"/>
            <w:tcBorders>
              <w:tl2br w:val="nil"/>
              <w:tr2bl w:val="nil"/>
            </w:tcBorders>
            <w:vAlign w:val="center"/>
          </w:tcPr>
          <w:p>
            <w:pPr>
              <w:pStyle w:val="17"/>
              <w:bidi w:val="0"/>
              <w:rPr>
                <w:rFonts w:hint="default"/>
              </w:rPr>
            </w:pPr>
            <w:r>
              <w:rPr>
                <w:rFonts w:hint="default"/>
              </w:rPr>
              <w:t>符合</w:t>
            </w:r>
          </w:p>
        </w:tc>
      </w:tr>
    </w:tbl>
    <w:p>
      <w:pPr>
        <w:bidi w:val="0"/>
        <w:rPr>
          <w:rFonts w:hint="default"/>
        </w:rPr>
      </w:pPr>
      <w:r>
        <w:rPr>
          <w:rFonts w:hint="default"/>
        </w:rPr>
        <w:t>（5）与新环发〔2018〕74号文的符合性</w:t>
      </w:r>
    </w:p>
    <w:p>
      <w:pPr>
        <w:bidi w:val="0"/>
        <w:rPr>
          <w:rFonts w:hint="default"/>
        </w:rPr>
      </w:pPr>
      <w:r>
        <w:rPr>
          <w:rFonts w:hint="default"/>
        </w:rPr>
        <w:t>根据《关于印发新疆维吾尔自治区</w:t>
      </w:r>
      <w:r>
        <w:rPr>
          <w:rFonts w:hint="eastAsia"/>
          <w:lang w:eastAsia="zh-CN"/>
        </w:rPr>
        <w:t>“</w:t>
      </w:r>
      <w:r>
        <w:rPr>
          <w:rFonts w:hint="default"/>
        </w:rPr>
        <w:t>十三五</w:t>
      </w:r>
      <w:r>
        <w:rPr>
          <w:rFonts w:hint="eastAsia"/>
          <w:lang w:eastAsia="zh-CN"/>
        </w:rPr>
        <w:t>”</w:t>
      </w:r>
      <w:r>
        <w:rPr>
          <w:rFonts w:hint="default"/>
        </w:rPr>
        <w:t>挥发性有机物污染防治实施方案的通知》（新环发〔2018〕74 号），分析本项目的符合性，详见表1.4-7。</w:t>
      </w:r>
    </w:p>
    <w:p>
      <w:pPr>
        <w:pStyle w:val="17"/>
        <w:bidi w:val="0"/>
        <w:rPr>
          <w:rFonts w:hint="default"/>
          <w:b/>
          <w:bCs/>
        </w:rPr>
      </w:pPr>
      <w:bookmarkStart w:id="30" w:name="_Ref498528835"/>
      <w:r>
        <w:rPr>
          <w:rFonts w:hint="default"/>
          <w:b/>
          <w:bCs/>
        </w:rPr>
        <w:t>表</w:t>
      </w:r>
      <w:bookmarkEnd w:id="30"/>
      <w:r>
        <w:rPr>
          <w:rFonts w:hint="default"/>
          <w:b/>
          <w:bCs/>
        </w:rPr>
        <w:t>1.4-7</w:t>
      </w:r>
      <w:r>
        <w:rPr>
          <w:rFonts w:hint="eastAsia"/>
          <w:b/>
          <w:bCs/>
          <w:lang w:val="en-US" w:eastAsia="zh-CN"/>
        </w:rPr>
        <w:t xml:space="preserve"> </w:t>
      </w:r>
      <w:r>
        <w:rPr>
          <w:rFonts w:hint="default"/>
          <w:b/>
          <w:bCs/>
        </w:rPr>
        <w:t xml:space="preserve">  本项目与新环发〔2018〕74号符合性分析一览表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47"/>
        <w:gridCol w:w="2754"/>
        <w:gridCol w:w="4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47" w:type="dxa"/>
            <w:tcBorders>
              <w:bottom w:val="single" w:color="auto" w:sz="12" w:space="0"/>
            </w:tcBorders>
            <w:vAlign w:val="center"/>
          </w:tcPr>
          <w:p>
            <w:pPr>
              <w:pStyle w:val="17"/>
              <w:bidi w:val="0"/>
              <w:rPr>
                <w:rFonts w:hint="default"/>
                <w:b/>
                <w:bCs/>
              </w:rPr>
            </w:pPr>
            <w:r>
              <w:rPr>
                <w:rFonts w:hint="default"/>
                <w:b/>
                <w:bCs/>
              </w:rPr>
              <w:t>环发〔2014〕177号文件要求</w:t>
            </w:r>
          </w:p>
        </w:tc>
        <w:tc>
          <w:tcPr>
            <w:tcW w:w="2754" w:type="dxa"/>
            <w:tcBorders>
              <w:bottom w:val="single" w:color="auto" w:sz="12" w:space="0"/>
            </w:tcBorders>
            <w:vAlign w:val="center"/>
          </w:tcPr>
          <w:p>
            <w:pPr>
              <w:pStyle w:val="17"/>
              <w:bidi w:val="0"/>
              <w:rPr>
                <w:rFonts w:hint="default"/>
                <w:b/>
                <w:bCs/>
              </w:rPr>
            </w:pPr>
            <w:r>
              <w:rPr>
                <w:rFonts w:hint="default"/>
                <w:b/>
                <w:bCs/>
              </w:rPr>
              <w:t>项目情况</w:t>
            </w:r>
          </w:p>
        </w:tc>
        <w:tc>
          <w:tcPr>
            <w:tcW w:w="470" w:type="dxa"/>
            <w:tcBorders>
              <w:bottom w:val="single" w:color="auto" w:sz="12" w:space="0"/>
            </w:tcBorders>
            <w:vAlign w:val="center"/>
          </w:tcPr>
          <w:p>
            <w:pPr>
              <w:pStyle w:val="17"/>
              <w:bidi w:val="0"/>
              <w:rPr>
                <w:rFonts w:hint="default"/>
                <w:b/>
                <w:bCs/>
              </w:rPr>
            </w:pPr>
            <w:r>
              <w:rPr>
                <w:rFonts w:hint="default"/>
                <w:b/>
                <w:bC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47" w:type="dxa"/>
            <w:tcBorders>
              <w:top w:val="single" w:color="auto" w:sz="12" w:space="0"/>
              <w:tl2br w:val="nil"/>
              <w:tr2bl w:val="nil"/>
            </w:tcBorders>
            <w:vAlign w:val="center"/>
          </w:tcPr>
          <w:p>
            <w:pPr>
              <w:pStyle w:val="17"/>
              <w:bidi w:val="0"/>
              <w:rPr>
                <w:rFonts w:hint="default"/>
              </w:rPr>
            </w:pPr>
            <w:r>
              <w:rPr>
                <w:rFonts w:hint="default"/>
              </w:rPr>
              <w:t>治理重点：</w:t>
            </w:r>
          </w:p>
          <w:p>
            <w:pPr>
              <w:pStyle w:val="17"/>
              <w:bidi w:val="0"/>
              <w:rPr>
                <w:rFonts w:hint="default"/>
              </w:rPr>
            </w:pPr>
            <w:r>
              <w:rPr>
                <w:rFonts w:hint="default"/>
              </w:rPr>
              <w:t>（一）重点地区。</w:t>
            </w:r>
            <w:r>
              <w:rPr>
                <w:rFonts w:hint="eastAsia"/>
                <w:lang w:eastAsia="zh-CN"/>
              </w:rPr>
              <w:t>“</w:t>
            </w:r>
            <w:r>
              <w:rPr>
                <w:rFonts w:hint="default"/>
              </w:rPr>
              <w:t>乌一昌一石</w:t>
            </w:r>
            <w:r>
              <w:rPr>
                <w:rFonts w:hint="eastAsia"/>
                <w:lang w:eastAsia="zh-CN"/>
              </w:rPr>
              <w:t>”“</w:t>
            </w:r>
            <w:r>
              <w:rPr>
                <w:rFonts w:hint="default"/>
              </w:rPr>
              <w:t>奎一独一乌</w:t>
            </w:r>
            <w:r>
              <w:rPr>
                <w:rFonts w:hint="eastAsia"/>
                <w:lang w:eastAsia="zh-CN"/>
              </w:rPr>
              <w:t>”</w:t>
            </w:r>
            <w:r>
              <w:rPr>
                <w:rFonts w:hint="default"/>
              </w:rPr>
              <w:t>区域，O</w:t>
            </w:r>
            <w:r>
              <w:rPr>
                <w:rFonts w:hint="default"/>
                <w:vertAlign w:val="subscript"/>
              </w:rPr>
              <w:t>3</w:t>
            </w:r>
            <w:r>
              <w:rPr>
                <w:rFonts w:hint="default"/>
              </w:rPr>
              <w:t>浓度超标地区。</w:t>
            </w:r>
          </w:p>
          <w:p>
            <w:pPr>
              <w:pStyle w:val="17"/>
              <w:bidi w:val="0"/>
              <w:rPr>
                <w:rFonts w:hint="default"/>
              </w:rPr>
            </w:pPr>
            <w:r>
              <w:rPr>
                <w:rFonts w:hint="default"/>
              </w:rPr>
              <w:t>（二）重点行业。重点推进石化、化工、包装印刷、工业涂装等重点行业以及机动车、油品储运销等交通源VOCs污染防治。</w:t>
            </w:r>
          </w:p>
        </w:tc>
        <w:tc>
          <w:tcPr>
            <w:tcW w:w="2754" w:type="dxa"/>
            <w:tcBorders>
              <w:top w:val="single" w:color="auto" w:sz="12" w:space="0"/>
              <w:tl2br w:val="nil"/>
              <w:tr2bl w:val="nil"/>
            </w:tcBorders>
            <w:vAlign w:val="center"/>
          </w:tcPr>
          <w:p>
            <w:pPr>
              <w:pStyle w:val="17"/>
              <w:bidi w:val="0"/>
              <w:rPr>
                <w:rFonts w:hint="default"/>
              </w:rPr>
            </w:pPr>
            <w:r>
              <w:rPr>
                <w:rFonts w:hint="default"/>
              </w:rPr>
              <w:t>本项目位于</w:t>
            </w:r>
            <w:r>
              <w:rPr>
                <w:rFonts w:hint="eastAsia"/>
                <w:lang w:val="en-US" w:eastAsia="zh-CN"/>
              </w:rPr>
              <w:t>吉木萨尔县二工镇</w:t>
            </w:r>
            <w:r>
              <w:rPr>
                <w:rFonts w:hint="default"/>
              </w:rPr>
              <w:t>，不属于重点地区，亦不属于重点行业。</w:t>
            </w:r>
          </w:p>
        </w:tc>
        <w:tc>
          <w:tcPr>
            <w:tcW w:w="470" w:type="dxa"/>
            <w:tcBorders>
              <w:top w:val="single" w:color="auto" w:sz="12" w:space="0"/>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47" w:type="dxa"/>
            <w:tcBorders>
              <w:tl2br w:val="nil"/>
              <w:tr2bl w:val="nil"/>
            </w:tcBorders>
            <w:vAlign w:val="center"/>
          </w:tcPr>
          <w:p>
            <w:pPr>
              <w:pStyle w:val="17"/>
              <w:bidi w:val="0"/>
              <w:rPr>
                <w:rFonts w:hint="default"/>
              </w:rPr>
            </w:pPr>
            <w:r>
              <w:rPr>
                <w:rFonts w:hint="default"/>
              </w:rPr>
              <w:t>主要任务：</w:t>
            </w:r>
          </w:p>
          <w:p>
            <w:pPr>
              <w:pStyle w:val="17"/>
              <w:bidi w:val="0"/>
              <w:rPr>
                <w:rFonts w:hint="default"/>
              </w:rPr>
            </w:pPr>
            <w:r>
              <w:rPr>
                <w:rFonts w:hint="default"/>
              </w:rPr>
              <w:t>（一）加大产业结构调整力度。</w:t>
            </w:r>
          </w:p>
          <w:p>
            <w:pPr>
              <w:pStyle w:val="17"/>
              <w:bidi w:val="0"/>
              <w:rPr>
                <w:rFonts w:hint="default"/>
              </w:rPr>
            </w:pPr>
            <w:r>
              <w:rPr>
                <w:rFonts w:hint="default"/>
              </w:rPr>
              <w:t>1.加快推进</w:t>
            </w:r>
            <w:r>
              <w:rPr>
                <w:rFonts w:hint="eastAsia"/>
                <w:lang w:eastAsia="zh-CN"/>
              </w:rPr>
              <w:t>“</w:t>
            </w:r>
            <w:r>
              <w:rPr>
                <w:rFonts w:hint="default"/>
              </w:rPr>
              <w:t>散乱污</w:t>
            </w:r>
            <w:r>
              <w:rPr>
                <w:rFonts w:hint="eastAsia"/>
                <w:lang w:eastAsia="zh-CN"/>
              </w:rPr>
              <w:t>”</w:t>
            </w:r>
            <w:r>
              <w:rPr>
                <w:rFonts w:hint="default"/>
              </w:rPr>
              <w:t>企业综合整治。结合第二次全国污染源普查，继续推进</w:t>
            </w:r>
            <w:r>
              <w:rPr>
                <w:rFonts w:hint="eastAsia"/>
                <w:lang w:eastAsia="zh-CN"/>
              </w:rPr>
              <w:t>“</w:t>
            </w:r>
            <w:r>
              <w:rPr>
                <w:rFonts w:hint="default"/>
              </w:rPr>
              <w:t>散乱污</w:t>
            </w:r>
            <w:r>
              <w:rPr>
                <w:rFonts w:hint="eastAsia"/>
                <w:lang w:eastAsia="zh-CN"/>
              </w:rPr>
              <w:t>”</w:t>
            </w:r>
            <w:r>
              <w:rPr>
                <w:rFonts w:hint="default"/>
              </w:rPr>
              <w:t>企业排查、整治工作，建立涉VOCs排放的企业管理台账，实施分类处置。</w:t>
            </w:r>
          </w:p>
          <w:p>
            <w:pPr>
              <w:pStyle w:val="17"/>
              <w:bidi w:val="0"/>
              <w:rPr>
                <w:rFonts w:hint="default"/>
              </w:rPr>
            </w:pPr>
            <w:r>
              <w:rPr>
                <w:rFonts w:hint="default"/>
              </w:rPr>
              <w:t>2.严格建设项目环境准入。提高VOCs排放重点行业环保准入门槛，严格控制新增污染物排放量。</w:t>
            </w:r>
            <w:r>
              <w:rPr>
                <w:rFonts w:hint="eastAsia"/>
                <w:lang w:eastAsia="zh-CN"/>
              </w:rPr>
              <w:t>“</w:t>
            </w:r>
            <w:r>
              <w:rPr>
                <w:rFonts w:hint="default"/>
              </w:rPr>
              <w:t>乌一昌一石</w:t>
            </w:r>
            <w:r>
              <w:rPr>
                <w:rFonts w:hint="eastAsia"/>
                <w:lang w:eastAsia="zh-CN"/>
              </w:rPr>
              <w:t>”“</w:t>
            </w:r>
            <w:r>
              <w:rPr>
                <w:rFonts w:hint="default"/>
              </w:rPr>
              <w:t>奎一独一乌</w:t>
            </w:r>
            <w:r>
              <w:rPr>
                <w:rFonts w:hint="eastAsia"/>
                <w:lang w:eastAsia="zh-CN"/>
              </w:rPr>
              <w:t>”</w:t>
            </w:r>
            <w:r>
              <w:rPr>
                <w:rFonts w:hint="default"/>
              </w:rPr>
              <w:t>区域及O</w:t>
            </w:r>
            <w:r>
              <w:rPr>
                <w:rFonts w:hint="default"/>
                <w:vertAlign w:val="subscript"/>
              </w:rPr>
              <w:t>3</w:t>
            </w:r>
            <w:r>
              <w:rPr>
                <w:rFonts w:hint="default"/>
              </w:rPr>
              <w:t>浓度超标地区严格限制石化、化工等高VOCs排放建设项目。新建涉VOCs排放的工业企业要入。未纳入《石化产业规划布局方案》的新建炼化项目一律不得建设。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tc>
        <w:tc>
          <w:tcPr>
            <w:tcW w:w="2754" w:type="dxa"/>
            <w:tcBorders>
              <w:tl2br w:val="nil"/>
              <w:tr2bl w:val="nil"/>
            </w:tcBorders>
            <w:vAlign w:val="center"/>
          </w:tcPr>
          <w:p>
            <w:pPr>
              <w:pStyle w:val="17"/>
              <w:bidi w:val="0"/>
              <w:rPr>
                <w:rFonts w:hint="default"/>
              </w:rPr>
            </w:pPr>
            <w:r>
              <w:rPr>
                <w:rFonts w:hint="default"/>
              </w:rPr>
              <w:t>本项目位于</w:t>
            </w:r>
            <w:r>
              <w:rPr>
                <w:rFonts w:hint="eastAsia"/>
                <w:lang w:val="en-US" w:eastAsia="zh-CN"/>
              </w:rPr>
              <w:t>吉木萨尔县二工镇</w:t>
            </w:r>
            <w:r>
              <w:rPr>
                <w:rFonts w:hint="default"/>
              </w:rPr>
              <w:t>，符合</w:t>
            </w:r>
            <w:r>
              <w:rPr>
                <w:rFonts w:hint="eastAsia"/>
                <w:lang w:eastAsia="zh-CN"/>
              </w:rPr>
              <w:t>“</w:t>
            </w:r>
            <w:r>
              <w:rPr>
                <w:rFonts w:hint="default"/>
              </w:rPr>
              <w:t>严格建设项目环境准入</w:t>
            </w:r>
            <w:r>
              <w:rPr>
                <w:rFonts w:hint="eastAsia"/>
                <w:lang w:eastAsia="zh-CN"/>
              </w:rPr>
              <w:t>”</w:t>
            </w:r>
            <w:r>
              <w:rPr>
                <w:rFonts w:hint="default"/>
              </w:rPr>
              <w:t>的要求；本项目为废旧塑料加工再生，不仅解决塑料垃圾污染，保护环境，又可以节约能源，且对产生的废气收集后采用高效的等离子光氧一体机</w:t>
            </w:r>
            <w:r>
              <w:rPr>
                <w:rFonts w:hint="eastAsia"/>
                <w:lang w:val="en-US" w:eastAsia="zh-CN"/>
              </w:rPr>
              <w:t>+活性炭吸附</w:t>
            </w:r>
            <w:r>
              <w:rPr>
                <w:rFonts w:hint="default"/>
              </w:rPr>
              <w:t>处理后达标排放。</w:t>
            </w:r>
          </w:p>
        </w:tc>
        <w:tc>
          <w:tcPr>
            <w:tcW w:w="470"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47" w:type="dxa"/>
            <w:tcBorders>
              <w:tl2br w:val="nil"/>
              <w:tr2bl w:val="nil"/>
            </w:tcBorders>
            <w:vAlign w:val="center"/>
          </w:tcPr>
          <w:p>
            <w:pPr>
              <w:pStyle w:val="17"/>
              <w:bidi w:val="0"/>
              <w:rPr>
                <w:rFonts w:hint="default"/>
              </w:rPr>
            </w:pPr>
            <w:r>
              <w:rPr>
                <w:rFonts w:hint="default"/>
              </w:rPr>
              <w:t>主要任务：</w:t>
            </w:r>
          </w:p>
          <w:p>
            <w:pPr>
              <w:pStyle w:val="17"/>
              <w:bidi w:val="0"/>
              <w:rPr>
                <w:rFonts w:hint="default"/>
              </w:rPr>
            </w:pPr>
            <w:r>
              <w:rPr>
                <w:rFonts w:hint="default"/>
              </w:rPr>
              <w:t>（二）</w:t>
            </w:r>
            <w:r>
              <w:rPr>
                <w:rFonts w:hint="eastAsia"/>
                <w:lang w:val="en-US" w:eastAsia="zh-CN"/>
              </w:rPr>
              <w:t>1</w:t>
            </w:r>
            <w:r>
              <w:rPr>
                <w:rFonts w:hint="default"/>
              </w:rPr>
              <w:t>加快实施工业源VOCs污染防治</w:t>
            </w:r>
          </w:p>
          <w:p>
            <w:pPr>
              <w:pStyle w:val="17"/>
              <w:bidi w:val="0"/>
              <w:rPr>
                <w:rFonts w:hint="default"/>
              </w:rPr>
            </w:pPr>
            <w:r>
              <w:rPr>
                <w:rFonts w:hint="default"/>
              </w:rPr>
              <w:t xml:space="preserve">    2．加快推进化工行业VOCs综合治理……</w:t>
            </w:r>
            <w:r>
              <w:rPr>
                <w:rFonts w:hint="eastAsia"/>
                <w:lang w:val="en-US" w:eastAsia="zh-CN"/>
              </w:rPr>
              <w:t>3</w:t>
            </w:r>
            <w:r>
              <w:rPr>
                <w:rFonts w:hint="default"/>
              </w:rPr>
              <w:t>推广使用低（无）VOCs含量、低反应活性的原辅材料和产品……</w:t>
            </w:r>
            <w:r>
              <w:rPr>
                <w:rFonts w:hint="eastAsia"/>
                <w:lang w:val="en-US" w:eastAsia="zh-CN"/>
              </w:rPr>
              <w:t>4</w:t>
            </w:r>
            <w:r>
              <w:rPr>
                <w:rFonts w:hint="default"/>
              </w:rPr>
              <w:t>参照石化行业VOCs治理任务要求，全面推进化工企业设备动静密封点、储存、装卸、废水系统、有组织工艺废气和非正常工况等源项整治……</w:t>
            </w:r>
            <w:r>
              <w:rPr>
                <w:rFonts w:hint="eastAsia"/>
                <w:lang w:val="en-US" w:eastAsia="zh-CN"/>
              </w:rPr>
              <w:t>5</w:t>
            </w:r>
            <w:r>
              <w:rPr>
                <w:rFonts w:hint="default"/>
              </w:rPr>
              <w:t>加强无组织废气排放控制，含VOCs物料的储存、输送、投料、卸料，涉及VOCs物料的生产及含VOCs产品分装等过程应密闭操作。反应尾气、蒸馏装置不凝尾气等工艺排气，工艺容器的置换气、吹扫气、抽真空排气等应进行收集治理。</w:t>
            </w:r>
          </w:p>
        </w:tc>
        <w:tc>
          <w:tcPr>
            <w:tcW w:w="2754" w:type="dxa"/>
            <w:tcBorders>
              <w:tl2br w:val="nil"/>
              <w:tr2bl w:val="nil"/>
            </w:tcBorders>
            <w:vAlign w:val="center"/>
          </w:tcPr>
          <w:p>
            <w:pPr>
              <w:pStyle w:val="17"/>
              <w:bidi w:val="0"/>
              <w:rPr>
                <w:rFonts w:hint="default"/>
              </w:rPr>
            </w:pPr>
            <w:r>
              <w:rPr>
                <w:rFonts w:hint="default"/>
              </w:rPr>
              <w:t>本项目原材料为废旧塑料，再生聚乙烯颗粒后主要生产滴灌带、地膜和</w:t>
            </w:r>
            <w:r>
              <w:rPr>
                <w:rFonts w:hint="default"/>
                <w:lang w:eastAsia="zh-CN"/>
              </w:rPr>
              <w:t>PE管材</w:t>
            </w:r>
            <w:r>
              <w:rPr>
                <w:rFonts w:hint="default"/>
              </w:rPr>
              <w:t>，原辅材料及产品的主要成分均为聚乙烯，低反应活性。</w:t>
            </w:r>
          </w:p>
          <w:p>
            <w:pPr>
              <w:pStyle w:val="17"/>
              <w:bidi w:val="0"/>
              <w:rPr>
                <w:rFonts w:hint="default"/>
              </w:rPr>
            </w:pPr>
            <w:r>
              <w:rPr>
                <w:rFonts w:hint="default"/>
              </w:rPr>
              <w:t>本项目仅生产过程涉及VOCs排放，且涉及VOCs物料的生产过程处于密闭操作状态，且对产生的废气收集后采用高效的等离子光氧一体机</w:t>
            </w:r>
            <w:r>
              <w:rPr>
                <w:rFonts w:hint="eastAsia"/>
                <w:lang w:val="en-US" w:eastAsia="zh-CN"/>
              </w:rPr>
              <w:t>+活性炭吸附</w:t>
            </w:r>
            <w:r>
              <w:rPr>
                <w:rFonts w:hint="default"/>
              </w:rPr>
              <w:t>处理后达标排放。</w:t>
            </w:r>
          </w:p>
        </w:tc>
        <w:tc>
          <w:tcPr>
            <w:tcW w:w="470"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47" w:type="dxa"/>
            <w:tcBorders>
              <w:tl2br w:val="nil"/>
              <w:tr2bl w:val="nil"/>
            </w:tcBorders>
            <w:vAlign w:val="center"/>
          </w:tcPr>
          <w:p>
            <w:pPr>
              <w:pStyle w:val="17"/>
              <w:bidi w:val="0"/>
              <w:rPr>
                <w:rFonts w:hint="default"/>
                <w:lang w:val="en-US"/>
              </w:rPr>
            </w:pPr>
            <w:r>
              <w:rPr>
                <w:rFonts w:hint="default"/>
              </w:rPr>
              <w:t>建立健全</w:t>
            </w:r>
            <w:r>
              <w:rPr>
                <w:rFonts w:hint="default"/>
                <w:lang w:val="en-US"/>
              </w:rPr>
              <w:t>VOCs</w:t>
            </w:r>
            <w:r>
              <w:rPr>
                <w:rFonts w:hint="default"/>
              </w:rPr>
              <w:t>管理体系</w:t>
            </w:r>
            <w:r>
              <w:rPr>
                <w:rFonts w:hint="default"/>
                <w:lang w:val="en-US"/>
              </w:rPr>
              <w:t>：</w:t>
            </w:r>
          </w:p>
          <w:p>
            <w:pPr>
              <w:pStyle w:val="17"/>
              <w:bidi w:val="0"/>
              <w:rPr>
                <w:rFonts w:hint="default"/>
              </w:rPr>
            </w:pPr>
            <w:r>
              <w:rPr>
                <w:rFonts w:hint="default"/>
              </w:rPr>
              <w:t>1.建立健全监测监控体系。加强环境质量和污染源排放VOCs自动监测工作，强化VOCs执法能力建设，全面提升VOCs环保监管能力。O</w:t>
            </w:r>
            <w:r>
              <w:rPr>
                <w:rFonts w:hint="default"/>
                <w:vertAlign w:val="subscript"/>
              </w:rPr>
              <w:t>3</w:t>
            </w:r>
            <w:r>
              <w:rPr>
                <w:rFonts w:hint="default"/>
              </w:rPr>
              <w:t>超标地区建设一套VOCs组分自动监测系统。将石化、化工、包装印刷、工业涂装等VOCs排放重点源纳入重点排污单位名录，石化、煤化工（含现代煤化工、炼焦、合成氨）主要排污口要安装VOCs污染物排放自动监测设备，并与环保部门联网，开展厂界VOCs监测；其他企业配备便携式VOCs检测仪。工业应结合排放特征，配置VOCs连续自动采样体系或符合排放特征的VOCs监测监控体系。</w:t>
            </w:r>
          </w:p>
          <w:p>
            <w:pPr>
              <w:pStyle w:val="17"/>
              <w:bidi w:val="0"/>
              <w:rPr>
                <w:rFonts w:hint="default"/>
              </w:rPr>
            </w:pPr>
            <w:r>
              <w:rPr>
                <w:rFonts w:hint="default"/>
              </w:rPr>
              <w:t>2.实施排污许可制度。加快石化、制药行业VOCs排污许可工作，到2018年底前，完成排污许可证核发。到</w:t>
            </w:r>
            <w:r>
              <w:rPr>
                <w:rFonts w:hint="eastAsia"/>
                <w:lang w:eastAsia="zh-CN"/>
              </w:rPr>
              <w:t>2021</w:t>
            </w:r>
            <w:r>
              <w:rPr>
                <w:rFonts w:hint="default"/>
              </w:rPr>
              <w:t>年底前，在包装印刷、汽车制造等VOCs排放重点行业全面推行排污许可制度。通过排污许可管理，落实企业VOCs源头削减、过程控制和末端治理措施要求，逐步规范涉VOCs工业企业自行监测、台账记录和定期报告的具体规定，推进企业持证、按证排污，严厉处罚无证和不按证排污行为。</w:t>
            </w:r>
          </w:p>
        </w:tc>
        <w:tc>
          <w:tcPr>
            <w:tcW w:w="2754" w:type="dxa"/>
            <w:tcBorders>
              <w:tl2br w:val="nil"/>
              <w:tr2bl w:val="nil"/>
            </w:tcBorders>
            <w:vAlign w:val="center"/>
          </w:tcPr>
          <w:p>
            <w:pPr>
              <w:pStyle w:val="17"/>
              <w:bidi w:val="0"/>
              <w:rPr>
                <w:rFonts w:hint="default"/>
              </w:rPr>
            </w:pPr>
            <w:r>
              <w:rPr>
                <w:rFonts w:hint="default"/>
              </w:rPr>
              <w:t>本项目属于塑料加工，不属于重点行业；企业应配备便携式VOCs检测仪。</w:t>
            </w:r>
          </w:p>
        </w:tc>
        <w:tc>
          <w:tcPr>
            <w:tcW w:w="470" w:type="dxa"/>
            <w:tcBorders>
              <w:tl2br w:val="nil"/>
              <w:tr2bl w:val="nil"/>
            </w:tcBorders>
            <w:vAlign w:val="center"/>
          </w:tcPr>
          <w:p>
            <w:pPr>
              <w:pStyle w:val="17"/>
              <w:bidi w:val="0"/>
              <w:rPr>
                <w:rFonts w:hint="default"/>
              </w:rPr>
            </w:pPr>
            <w:r>
              <w:rPr>
                <w:rFonts w:hint="default"/>
              </w:rPr>
              <w:t>符合</w:t>
            </w:r>
          </w:p>
        </w:tc>
      </w:tr>
    </w:tbl>
    <w:p>
      <w:pPr>
        <w:bidi w:val="0"/>
        <w:rPr>
          <w:rFonts w:hint="default"/>
        </w:rPr>
      </w:pPr>
      <w:r>
        <w:rPr>
          <w:rFonts w:hint="default"/>
        </w:rPr>
        <w:t>（6）与新政发〔2016〕21号文的符合性</w:t>
      </w:r>
    </w:p>
    <w:p>
      <w:pPr>
        <w:bidi w:val="0"/>
        <w:rPr>
          <w:rFonts w:hint="default"/>
        </w:rPr>
      </w:pPr>
      <w:r>
        <w:rPr>
          <w:rFonts w:hint="default"/>
        </w:rPr>
        <w:t>根据《关于印发新疆维吾尔自治区水污染防治工作方案的通知》（新政发〔2016〕21号），分析本项目的符合性，详见</w:t>
      </w:r>
      <w:r>
        <w:rPr>
          <w:rFonts w:hint="default"/>
        </w:rPr>
        <w:fldChar w:fldCharType="begin"/>
      </w:r>
      <w:r>
        <w:rPr>
          <w:rFonts w:hint="default"/>
        </w:rPr>
        <w:instrText xml:space="preserve"> REF _Ref498528927 \h  \* MERGEFORMAT </w:instrText>
      </w:r>
      <w:r>
        <w:rPr>
          <w:rFonts w:hint="default"/>
        </w:rPr>
        <w:fldChar w:fldCharType="separate"/>
      </w:r>
      <w:r>
        <w:rPr>
          <w:rFonts w:hint="default"/>
        </w:rPr>
        <w:t>表</w:t>
      </w:r>
      <w:r>
        <w:rPr>
          <w:rFonts w:hint="default"/>
        </w:rPr>
        <w:fldChar w:fldCharType="end"/>
      </w:r>
      <w:r>
        <w:rPr>
          <w:rFonts w:hint="default"/>
        </w:rPr>
        <w:t>1.4-8。</w:t>
      </w:r>
    </w:p>
    <w:p>
      <w:pPr>
        <w:pStyle w:val="17"/>
        <w:bidi w:val="0"/>
        <w:rPr>
          <w:rFonts w:hint="default"/>
          <w:b/>
          <w:bCs/>
        </w:rPr>
      </w:pPr>
      <w:bookmarkStart w:id="31" w:name="_Ref498528927"/>
      <w:r>
        <w:rPr>
          <w:rFonts w:hint="default"/>
          <w:b/>
          <w:bCs/>
        </w:rPr>
        <w:t>表</w:t>
      </w:r>
      <w:bookmarkEnd w:id="31"/>
      <w:r>
        <w:rPr>
          <w:rFonts w:hint="default"/>
          <w:b/>
          <w:bCs/>
        </w:rPr>
        <w:t xml:space="preserve">1.4-8  </w:t>
      </w:r>
      <w:r>
        <w:rPr>
          <w:rFonts w:hint="eastAsia"/>
          <w:b/>
          <w:bCs/>
          <w:lang w:val="en-US" w:eastAsia="zh-CN"/>
        </w:rPr>
        <w:t xml:space="preserve"> </w:t>
      </w:r>
      <w:r>
        <w:rPr>
          <w:rFonts w:hint="default"/>
          <w:b/>
          <w:bCs/>
        </w:rPr>
        <w:t>本项目与新政发〔2016〕21号符合性分析一览表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716"/>
        <w:gridCol w:w="3878"/>
        <w:gridCol w:w="4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jc w:val="center"/>
        </w:trPr>
        <w:tc>
          <w:tcPr>
            <w:tcW w:w="4716" w:type="dxa"/>
            <w:tcBorders>
              <w:tl2br w:val="nil"/>
              <w:tr2bl w:val="nil"/>
            </w:tcBorders>
            <w:vAlign w:val="center"/>
          </w:tcPr>
          <w:p>
            <w:pPr>
              <w:pStyle w:val="17"/>
              <w:bidi w:val="0"/>
              <w:rPr>
                <w:rFonts w:hint="default"/>
                <w:b/>
                <w:bCs/>
              </w:rPr>
            </w:pPr>
            <w:r>
              <w:rPr>
                <w:rFonts w:hint="default"/>
                <w:b/>
                <w:bCs/>
              </w:rPr>
              <w:t>新政发〔2016〕21号文件要求</w:t>
            </w:r>
          </w:p>
        </w:tc>
        <w:tc>
          <w:tcPr>
            <w:tcW w:w="3878" w:type="dxa"/>
            <w:tcBorders>
              <w:tl2br w:val="nil"/>
              <w:tr2bl w:val="nil"/>
            </w:tcBorders>
            <w:vAlign w:val="center"/>
          </w:tcPr>
          <w:p>
            <w:pPr>
              <w:pStyle w:val="17"/>
              <w:bidi w:val="0"/>
              <w:rPr>
                <w:rFonts w:hint="default"/>
                <w:b/>
                <w:bCs/>
              </w:rPr>
            </w:pPr>
            <w:r>
              <w:rPr>
                <w:rFonts w:hint="default"/>
                <w:b/>
                <w:bCs/>
              </w:rPr>
              <w:t>本项目情况</w:t>
            </w:r>
          </w:p>
        </w:tc>
        <w:tc>
          <w:tcPr>
            <w:tcW w:w="477" w:type="dxa"/>
            <w:tcBorders>
              <w:tl2br w:val="nil"/>
              <w:tr2bl w:val="nil"/>
            </w:tcBorders>
            <w:vAlign w:val="center"/>
          </w:tcPr>
          <w:p>
            <w:pPr>
              <w:pStyle w:val="17"/>
              <w:bidi w:val="0"/>
              <w:rPr>
                <w:rFonts w:hint="default"/>
                <w:b/>
                <w:bCs/>
              </w:rPr>
            </w:pPr>
            <w:r>
              <w:rPr>
                <w:rFonts w:hint="default"/>
                <w:b/>
                <w:bCs/>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jc w:val="center"/>
        </w:trPr>
        <w:tc>
          <w:tcPr>
            <w:tcW w:w="9071" w:type="dxa"/>
            <w:gridSpan w:val="3"/>
            <w:tcBorders>
              <w:tl2br w:val="nil"/>
              <w:tr2bl w:val="nil"/>
            </w:tcBorders>
            <w:vAlign w:val="center"/>
          </w:tcPr>
          <w:p>
            <w:pPr>
              <w:pStyle w:val="17"/>
              <w:bidi w:val="0"/>
              <w:rPr>
                <w:rFonts w:hint="default"/>
              </w:rPr>
            </w:pPr>
            <w:r>
              <w:rPr>
                <w:rFonts w:hint="default"/>
              </w:rPr>
              <w:t>一、严格控制污染物排放。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jc w:val="center"/>
        </w:trPr>
        <w:tc>
          <w:tcPr>
            <w:tcW w:w="4716" w:type="dxa"/>
            <w:tcBorders>
              <w:tl2br w:val="nil"/>
              <w:tr2bl w:val="nil"/>
            </w:tcBorders>
            <w:vAlign w:val="center"/>
          </w:tcPr>
          <w:p>
            <w:pPr>
              <w:pStyle w:val="17"/>
              <w:bidi w:val="0"/>
              <w:rPr>
                <w:rFonts w:hint="default"/>
              </w:rPr>
            </w:pPr>
            <w:r>
              <w:rPr>
                <w:rFonts w:hint="default"/>
              </w:rPr>
              <w:t>（一）狠抓工业污染防治。集中治理工业集聚区水污染。新建污染企业应进入相应的工业集聚区。工业集聚区内工业废水必须经预处理达到集中处理要求，方可进入污水集中处理设施。各类工业集聚区对于现有不符合环保要求的晾晒池、蒸发塘等应立即清理整顿。</w:t>
            </w:r>
          </w:p>
        </w:tc>
        <w:tc>
          <w:tcPr>
            <w:tcW w:w="3878" w:type="dxa"/>
            <w:tcBorders>
              <w:tl2br w:val="nil"/>
              <w:tr2bl w:val="nil"/>
            </w:tcBorders>
            <w:vAlign w:val="center"/>
          </w:tcPr>
          <w:p>
            <w:pPr>
              <w:pStyle w:val="17"/>
              <w:bidi w:val="0"/>
              <w:rPr>
                <w:rFonts w:hint="default"/>
              </w:rPr>
            </w:pPr>
            <w:r>
              <w:rPr>
                <w:rFonts w:hint="default"/>
              </w:rPr>
              <w:t>本项目位于</w:t>
            </w:r>
            <w:r>
              <w:rPr>
                <w:rFonts w:hint="eastAsia"/>
                <w:lang w:val="en-US" w:eastAsia="zh-CN"/>
              </w:rPr>
              <w:t>吉木萨尔县二工镇</w:t>
            </w:r>
            <w:r>
              <w:rPr>
                <w:rFonts w:hint="default"/>
              </w:rPr>
              <w:t>；不涉及晾晒池、蒸发塘。</w:t>
            </w:r>
          </w:p>
        </w:tc>
        <w:tc>
          <w:tcPr>
            <w:tcW w:w="477"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jc w:val="center"/>
        </w:trPr>
        <w:tc>
          <w:tcPr>
            <w:tcW w:w="9071" w:type="dxa"/>
            <w:gridSpan w:val="3"/>
            <w:tcBorders>
              <w:tl2br w:val="nil"/>
              <w:tr2bl w:val="nil"/>
            </w:tcBorders>
            <w:vAlign w:val="center"/>
          </w:tcPr>
          <w:p>
            <w:pPr>
              <w:pStyle w:val="17"/>
              <w:bidi w:val="0"/>
              <w:rPr>
                <w:rFonts w:hint="default"/>
              </w:rPr>
            </w:pPr>
            <w:r>
              <w:rPr>
                <w:rFonts w:hint="default"/>
              </w:rPr>
              <w:t>二、推动经济结构转型升级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jc w:val="center"/>
        </w:trPr>
        <w:tc>
          <w:tcPr>
            <w:tcW w:w="4716" w:type="dxa"/>
            <w:tcBorders>
              <w:tl2br w:val="nil"/>
              <w:tr2bl w:val="nil"/>
            </w:tcBorders>
            <w:vAlign w:val="center"/>
          </w:tcPr>
          <w:p>
            <w:pPr>
              <w:pStyle w:val="17"/>
              <w:bidi w:val="0"/>
              <w:rPr>
                <w:rFonts w:hint="default"/>
              </w:rPr>
            </w:pPr>
            <w:r>
              <w:rPr>
                <w:rFonts w:hint="default"/>
              </w:rPr>
              <w:t>（四）调整产业结构。严格环境准入。严格执行建设项目环评审批与区域环境质量、污染减排绩效挂钩制度，实行主要污染物总量平衡和替代削减政策。</w:t>
            </w:r>
          </w:p>
        </w:tc>
        <w:tc>
          <w:tcPr>
            <w:tcW w:w="3878" w:type="dxa"/>
            <w:tcBorders>
              <w:tl2br w:val="nil"/>
              <w:tr2bl w:val="nil"/>
            </w:tcBorders>
            <w:vAlign w:val="center"/>
          </w:tcPr>
          <w:p>
            <w:pPr>
              <w:pStyle w:val="17"/>
              <w:bidi w:val="0"/>
              <w:rPr>
                <w:rFonts w:hint="default"/>
              </w:rPr>
            </w:pPr>
            <w:r>
              <w:rPr>
                <w:rFonts w:hint="default"/>
              </w:rPr>
              <w:t>本项目实行主要污染物总量平衡和替代消减政策。</w:t>
            </w:r>
          </w:p>
        </w:tc>
        <w:tc>
          <w:tcPr>
            <w:tcW w:w="477"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jc w:val="center"/>
        </w:trPr>
        <w:tc>
          <w:tcPr>
            <w:tcW w:w="4716" w:type="dxa"/>
            <w:tcBorders>
              <w:tl2br w:val="nil"/>
              <w:tr2bl w:val="nil"/>
            </w:tcBorders>
            <w:vAlign w:val="center"/>
          </w:tcPr>
          <w:p>
            <w:pPr>
              <w:pStyle w:val="17"/>
              <w:bidi w:val="0"/>
              <w:rPr>
                <w:rFonts w:hint="default"/>
              </w:rPr>
            </w:pPr>
            <w:r>
              <w:rPr>
                <w:rFonts w:hint="default"/>
              </w:rPr>
              <w:t>（五）优化空间布局。重大项目原则上布局在重点开发区，并符合城乡规划和土地利用总体规划。</w:t>
            </w:r>
          </w:p>
        </w:tc>
        <w:tc>
          <w:tcPr>
            <w:tcW w:w="3878" w:type="dxa"/>
            <w:tcBorders>
              <w:tl2br w:val="nil"/>
              <w:tr2bl w:val="nil"/>
            </w:tcBorders>
            <w:vAlign w:val="center"/>
          </w:tcPr>
          <w:p>
            <w:pPr>
              <w:pStyle w:val="17"/>
              <w:bidi w:val="0"/>
              <w:rPr>
                <w:rFonts w:hint="default"/>
              </w:rPr>
            </w:pPr>
            <w:r>
              <w:rPr>
                <w:rFonts w:hint="default"/>
              </w:rPr>
              <w:t>本项目位于</w:t>
            </w:r>
            <w:r>
              <w:rPr>
                <w:rFonts w:hint="eastAsia"/>
                <w:lang w:val="en-US" w:eastAsia="zh-CN"/>
              </w:rPr>
              <w:t>吉木萨尔县二工镇</w:t>
            </w:r>
            <w:r>
              <w:rPr>
                <w:rFonts w:hint="default"/>
              </w:rPr>
              <w:t>，项目性质属于废塑料综合利用行业，符合</w:t>
            </w:r>
            <w:r>
              <w:rPr>
                <w:rFonts w:hint="default"/>
                <w:lang w:val="en-US" w:eastAsia="zh-CN"/>
              </w:rPr>
              <w:t>城乡建设</w:t>
            </w:r>
            <w:r>
              <w:rPr>
                <w:rFonts w:hint="default"/>
              </w:rPr>
              <w:t>规划要求。</w:t>
            </w:r>
          </w:p>
        </w:tc>
        <w:tc>
          <w:tcPr>
            <w:tcW w:w="477"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jc w:val="center"/>
        </w:trPr>
        <w:tc>
          <w:tcPr>
            <w:tcW w:w="9071" w:type="dxa"/>
            <w:gridSpan w:val="3"/>
            <w:tcBorders>
              <w:tl2br w:val="nil"/>
              <w:tr2bl w:val="nil"/>
            </w:tcBorders>
            <w:vAlign w:val="center"/>
          </w:tcPr>
          <w:p>
            <w:pPr>
              <w:pStyle w:val="17"/>
              <w:bidi w:val="0"/>
              <w:rPr>
                <w:rFonts w:hint="default"/>
              </w:rPr>
            </w:pPr>
            <w:r>
              <w:rPr>
                <w:rFonts w:hint="default"/>
              </w:rPr>
              <w:t>三、着力节约保护水资源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jc w:val="center"/>
        </w:trPr>
        <w:tc>
          <w:tcPr>
            <w:tcW w:w="4716" w:type="dxa"/>
            <w:tcBorders>
              <w:tl2br w:val="nil"/>
              <w:tr2bl w:val="nil"/>
            </w:tcBorders>
            <w:vAlign w:val="center"/>
          </w:tcPr>
          <w:p>
            <w:pPr>
              <w:pStyle w:val="17"/>
              <w:bidi w:val="0"/>
              <w:rPr>
                <w:rFonts w:hint="default"/>
              </w:rPr>
            </w:pPr>
            <w:r>
              <w:rPr>
                <w:rFonts w:hint="default"/>
              </w:rPr>
              <w:t>（八）严控地下水超采。</w:t>
            </w:r>
          </w:p>
        </w:tc>
        <w:tc>
          <w:tcPr>
            <w:tcW w:w="3878" w:type="dxa"/>
            <w:tcBorders>
              <w:tl2br w:val="nil"/>
              <w:tr2bl w:val="nil"/>
            </w:tcBorders>
            <w:vAlign w:val="center"/>
          </w:tcPr>
          <w:p>
            <w:pPr>
              <w:pStyle w:val="17"/>
              <w:bidi w:val="0"/>
              <w:rPr>
                <w:rFonts w:hint="default"/>
              </w:rPr>
            </w:pPr>
            <w:r>
              <w:rPr>
                <w:rFonts w:hint="default"/>
              </w:rPr>
              <w:t>本项目不开采地下水。</w:t>
            </w:r>
          </w:p>
        </w:tc>
        <w:tc>
          <w:tcPr>
            <w:tcW w:w="477" w:type="dxa"/>
            <w:tcBorders>
              <w:tl2br w:val="nil"/>
              <w:tr2bl w:val="nil"/>
            </w:tcBorders>
            <w:vAlign w:val="center"/>
          </w:tcPr>
          <w:p>
            <w:pPr>
              <w:pStyle w:val="17"/>
              <w:bidi w:val="0"/>
              <w:rPr>
                <w:rFonts w:hint="default"/>
              </w:rPr>
            </w:pPr>
            <w:r>
              <w:rPr>
                <w:rFonts w:hint="default"/>
              </w:rPr>
              <w:t>符合</w:t>
            </w:r>
          </w:p>
        </w:tc>
      </w:tr>
    </w:tbl>
    <w:p>
      <w:pPr>
        <w:bidi w:val="0"/>
        <w:rPr>
          <w:rFonts w:hint="default"/>
        </w:rPr>
      </w:pPr>
      <w:r>
        <w:rPr>
          <w:rFonts w:hint="default"/>
        </w:rPr>
        <w:t>（7）与新政发〔2017〕25号文的符合性</w:t>
      </w:r>
    </w:p>
    <w:p>
      <w:pPr>
        <w:bidi w:val="0"/>
        <w:rPr>
          <w:rFonts w:hint="default"/>
        </w:rPr>
      </w:pPr>
      <w:r>
        <w:rPr>
          <w:rFonts w:hint="default"/>
        </w:rPr>
        <w:t>根据《关于印发新疆维吾尔自治区土壤污染防治工作方案的通知》（新政发〔2017〕25号），分析本项目的符合性，详见</w:t>
      </w:r>
      <w:r>
        <w:rPr>
          <w:rFonts w:hint="default"/>
        </w:rPr>
        <w:fldChar w:fldCharType="begin"/>
      </w:r>
      <w:r>
        <w:rPr>
          <w:rFonts w:hint="default"/>
        </w:rPr>
        <w:instrText xml:space="preserve"> REF _Ref498528932 \h  \* MERGEFORMAT </w:instrText>
      </w:r>
      <w:r>
        <w:rPr>
          <w:rFonts w:hint="default"/>
        </w:rPr>
        <w:fldChar w:fldCharType="separate"/>
      </w:r>
      <w:r>
        <w:rPr>
          <w:rFonts w:hint="default"/>
        </w:rPr>
        <w:t>表</w:t>
      </w:r>
      <w:r>
        <w:rPr>
          <w:rFonts w:hint="default"/>
        </w:rPr>
        <w:fldChar w:fldCharType="end"/>
      </w:r>
      <w:r>
        <w:rPr>
          <w:rFonts w:hint="default"/>
        </w:rPr>
        <w:t>1.4-9。</w:t>
      </w:r>
    </w:p>
    <w:p>
      <w:pPr>
        <w:pStyle w:val="17"/>
        <w:bidi w:val="0"/>
        <w:rPr>
          <w:rFonts w:hint="default"/>
          <w:b/>
          <w:bCs/>
        </w:rPr>
      </w:pPr>
      <w:bookmarkStart w:id="32" w:name="_Ref498528932"/>
      <w:r>
        <w:rPr>
          <w:rFonts w:hint="default"/>
          <w:b/>
          <w:bCs/>
        </w:rPr>
        <w:t>表</w:t>
      </w:r>
      <w:bookmarkEnd w:id="32"/>
      <w:r>
        <w:rPr>
          <w:rFonts w:hint="default"/>
          <w:b/>
          <w:bCs/>
        </w:rPr>
        <w:t xml:space="preserve">1.4-9 </w:t>
      </w:r>
      <w:r>
        <w:rPr>
          <w:rFonts w:hint="eastAsia"/>
          <w:b/>
          <w:bCs/>
          <w:lang w:val="en-US" w:eastAsia="zh-CN"/>
        </w:rPr>
        <w:t xml:space="preserve"> </w:t>
      </w:r>
      <w:r>
        <w:rPr>
          <w:rFonts w:hint="default"/>
          <w:b/>
          <w:bCs/>
        </w:rPr>
        <w:t xml:space="preserve"> 本项目与新政发〔2017〕25号符合性分析一览表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424"/>
        <w:gridCol w:w="3143"/>
        <w:gridCol w:w="5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424" w:type="dxa"/>
            <w:tcBorders>
              <w:bottom w:val="single" w:color="auto" w:sz="12" w:space="0"/>
            </w:tcBorders>
            <w:vAlign w:val="center"/>
          </w:tcPr>
          <w:p>
            <w:pPr>
              <w:pStyle w:val="17"/>
              <w:bidi w:val="0"/>
              <w:rPr>
                <w:rFonts w:hint="default"/>
                <w:b/>
                <w:bCs/>
              </w:rPr>
            </w:pPr>
            <w:r>
              <w:rPr>
                <w:rFonts w:hint="default"/>
                <w:b/>
                <w:bCs/>
              </w:rPr>
              <w:t>新政发〔2017〕25号文件要求</w:t>
            </w:r>
          </w:p>
        </w:tc>
        <w:tc>
          <w:tcPr>
            <w:tcW w:w="3143" w:type="dxa"/>
            <w:tcBorders>
              <w:bottom w:val="single" w:color="auto" w:sz="12" w:space="0"/>
            </w:tcBorders>
            <w:vAlign w:val="center"/>
          </w:tcPr>
          <w:p>
            <w:pPr>
              <w:pStyle w:val="17"/>
              <w:bidi w:val="0"/>
              <w:rPr>
                <w:rFonts w:hint="default"/>
                <w:b/>
                <w:bCs/>
              </w:rPr>
            </w:pPr>
            <w:r>
              <w:rPr>
                <w:rFonts w:hint="default"/>
                <w:b/>
                <w:bCs/>
              </w:rPr>
              <w:t>本项目情况</w:t>
            </w:r>
          </w:p>
        </w:tc>
        <w:tc>
          <w:tcPr>
            <w:tcW w:w="504" w:type="dxa"/>
            <w:tcBorders>
              <w:bottom w:val="single" w:color="auto" w:sz="12" w:space="0"/>
            </w:tcBorders>
            <w:vAlign w:val="center"/>
          </w:tcPr>
          <w:p>
            <w:pPr>
              <w:pStyle w:val="17"/>
              <w:bidi w:val="0"/>
              <w:rPr>
                <w:rFonts w:hint="default"/>
                <w:b/>
                <w:bCs/>
              </w:rPr>
            </w:pPr>
            <w:r>
              <w:rPr>
                <w:rFonts w:hint="default"/>
                <w:b/>
                <w:bCs/>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071" w:type="dxa"/>
            <w:gridSpan w:val="3"/>
            <w:tcBorders>
              <w:top w:val="single" w:color="auto" w:sz="12" w:space="0"/>
              <w:tl2br w:val="nil"/>
              <w:tr2bl w:val="nil"/>
            </w:tcBorders>
            <w:vAlign w:val="center"/>
          </w:tcPr>
          <w:p>
            <w:pPr>
              <w:pStyle w:val="17"/>
              <w:bidi w:val="0"/>
              <w:rPr>
                <w:rFonts w:hint="default"/>
              </w:rPr>
            </w:pPr>
            <w:r>
              <w:rPr>
                <w:rFonts w:hint="default"/>
              </w:rPr>
              <w:t>五、强化未污染土壤保护，严控新增土壤污染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424" w:type="dxa"/>
            <w:tcBorders>
              <w:tl2br w:val="nil"/>
              <w:tr2bl w:val="nil"/>
            </w:tcBorders>
            <w:vAlign w:val="center"/>
          </w:tcPr>
          <w:p>
            <w:pPr>
              <w:pStyle w:val="17"/>
              <w:bidi w:val="0"/>
              <w:rPr>
                <w:rFonts w:hint="default"/>
              </w:rPr>
            </w:pPr>
            <w:r>
              <w:rPr>
                <w:rFonts w:hint="default"/>
              </w:rPr>
              <w:t>（十四）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3143" w:type="dxa"/>
            <w:tcBorders>
              <w:tl2br w:val="nil"/>
              <w:tr2bl w:val="nil"/>
            </w:tcBorders>
            <w:vAlign w:val="center"/>
          </w:tcPr>
          <w:p>
            <w:pPr>
              <w:pStyle w:val="17"/>
              <w:bidi w:val="0"/>
              <w:rPr>
                <w:rFonts w:hint="default"/>
              </w:rPr>
            </w:pPr>
            <w:r>
              <w:rPr>
                <w:rFonts w:hint="default"/>
              </w:rPr>
              <w:t>本次环评已包含对土壤环境影响的评价内容，并提出防范土壤污染的具体措施，本项目拟同步落实土壤污染防治措施。</w:t>
            </w:r>
          </w:p>
        </w:tc>
        <w:tc>
          <w:tcPr>
            <w:tcW w:w="504"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424" w:type="dxa"/>
            <w:tcBorders>
              <w:tl2br w:val="nil"/>
              <w:tr2bl w:val="nil"/>
            </w:tcBorders>
            <w:vAlign w:val="center"/>
          </w:tcPr>
          <w:p>
            <w:pPr>
              <w:pStyle w:val="17"/>
              <w:bidi w:val="0"/>
              <w:rPr>
                <w:rFonts w:hint="default"/>
              </w:rPr>
            </w:pPr>
            <w:r>
              <w:rPr>
                <w:rFonts w:hint="default"/>
              </w:rPr>
              <w:t>（十五）强化空间布局管控。严格执行相关行业企业布局选址要求，禁止在居民区、学校、医疗和养老机构等周边新建土壤环境重点监管行业企业。</w:t>
            </w:r>
          </w:p>
        </w:tc>
        <w:tc>
          <w:tcPr>
            <w:tcW w:w="3143" w:type="dxa"/>
            <w:tcBorders>
              <w:tl2br w:val="nil"/>
              <w:tr2bl w:val="nil"/>
            </w:tcBorders>
            <w:vAlign w:val="center"/>
          </w:tcPr>
          <w:p>
            <w:pPr>
              <w:pStyle w:val="17"/>
              <w:bidi w:val="0"/>
              <w:rPr>
                <w:rFonts w:hint="default"/>
              </w:rPr>
            </w:pPr>
            <w:r>
              <w:rPr>
                <w:rFonts w:hint="default"/>
              </w:rPr>
              <w:t>本项目不属于有色金属冶炼、焦化等行业企业，位于</w:t>
            </w:r>
            <w:r>
              <w:rPr>
                <w:rFonts w:hint="eastAsia"/>
                <w:lang w:val="en-US" w:eastAsia="zh-CN"/>
              </w:rPr>
              <w:t>吉木萨尔县二工镇</w:t>
            </w:r>
            <w:r>
              <w:rPr>
                <w:rFonts w:hint="default"/>
              </w:rPr>
              <w:t>，周边无居民区、学校、医疗和养老机构等。</w:t>
            </w:r>
          </w:p>
        </w:tc>
        <w:tc>
          <w:tcPr>
            <w:tcW w:w="504"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071" w:type="dxa"/>
            <w:gridSpan w:val="3"/>
            <w:tcBorders>
              <w:tl2br w:val="nil"/>
              <w:tr2bl w:val="nil"/>
            </w:tcBorders>
            <w:vAlign w:val="center"/>
          </w:tcPr>
          <w:p>
            <w:pPr>
              <w:pStyle w:val="17"/>
              <w:bidi w:val="0"/>
              <w:rPr>
                <w:rFonts w:hint="default"/>
              </w:rPr>
            </w:pPr>
            <w:r>
              <w:rPr>
                <w:rFonts w:hint="default"/>
              </w:rPr>
              <w:t>六、加强污染源监管，做好土壤污染预防工作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424" w:type="dxa"/>
            <w:tcBorders>
              <w:tl2br w:val="nil"/>
              <w:tr2bl w:val="nil"/>
            </w:tcBorders>
            <w:vAlign w:val="center"/>
          </w:tcPr>
          <w:p>
            <w:pPr>
              <w:pStyle w:val="17"/>
              <w:bidi w:val="0"/>
              <w:rPr>
                <w:rFonts w:hint="default"/>
              </w:rPr>
            </w:pPr>
            <w:r>
              <w:rPr>
                <w:rFonts w:hint="default"/>
              </w:rPr>
              <w:t>（十六）严控工矿业污染源。加强工业废物处理处置。完善防扬散、防流失、防渗漏等设施，制定整治方案并有序实施。</w:t>
            </w:r>
          </w:p>
        </w:tc>
        <w:tc>
          <w:tcPr>
            <w:tcW w:w="3143" w:type="dxa"/>
            <w:tcBorders>
              <w:tl2br w:val="nil"/>
              <w:tr2bl w:val="nil"/>
            </w:tcBorders>
            <w:vAlign w:val="center"/>
          </w:tcPr>
          <w:p>
            <w:pPr>
              <w:pStyle w:val="17"/>
              <w:bidi w:val="0"/>
              <w:rPr>
                <w:rFonts w:hint="default"/>
              </w:rPr>
            </w:pPr>
            <w:r>
              <w:rPr>
                <w:rFonts w:hint="default"/>
              </w:rPr>
              <w:t>本项目固体废物临时堆存场所满足相关标准要求，设施符合防扬散、防流失、防渗漏要求。</w:t>
            </w:r>
          </w:p>
        </w:tc>
        <w:tc>
          <w:tcPr>
            <w:tcW w:w="504" w:type="dxa"/>
            <w:tcBorders>
              <w:tl2br w:val="nil"/>
              <w:tr2bl w:val="nil"/>
            </w:tcBorders>
            <w:vAlign w:val="center"/>
          </w:tcPr>
          <w:p>
            <w:pPr>
              <w:pStyle w:val="17"/>
              <w:bidi w:val="0"/>
              <w:rPr>
                <w:rFonts w:hint="default"/>
              </w:rPr>
            </w:pPr>
            <w:r>
              <w:rPr>
                <w:rFonts w:hint="default"/>
              </w:rPr>
              <w:t>符合</w:t>
            </w:r>
          </w:p>
        </w:tc>
      </w:tr>
    </w:tbl>
    <w:p>
      <w:pPr>
        <w:bidi w:val="0"/>
        <w:rPr>
          <w:rFonts w:hint="default"/>
        </w:rPr>
      </w:pPr>
      <w:r>
        <w:rPr>
          <w:rFonts w:hint="default"/>
        </w:rPr>
        <w:t>（</w:t>
      </w:r>
      <w:r>
        <w:rPr>
          <w:rFonts w:hint="eastAsia"/>
          <w:lang w:val="en-US" w:eastAsia="zh-CN"/>
        </w:rPr>
        <w:t>8</w:t>
      </w:r>
      <w:r>
        <w:rPr>
          <w:rFonts w:hint="default"/>
        </w:rPr>
        <w:t>）与《自治区关于严禁</w:t>
      </w:r>
      <w:r>
        <w:rPr>
          <w:rFonts w:hint="eastAsia"/>
          <w:lang w:eastAsia="zh-CN"/>
        </w:rPr>
        <w:t>“</w:t>
      </w:r>
      <w:r>
        <w:rPr>
          <w:rFonts w:hint="default"/>
        </w:rPr>
        <w:t>三高</w:t>
      </w:r>
      <w:r>
        <w:rPr>
          <w:rFonts w:hint="eastAsia"/>
          <w:lang w:eastAsia="zh-CN"/>
        </w:rPr>
        <w:t>”</w:t>
      </w:r>
      <w:r>
        <w:rPr>
          <w:rFonts w:hint="default"/>
        </w:rPr>
        <w:t>项目进新疆，推动经济高质量发展的实施方案》符合性</w:t>
      </w:r>
    </w:p>
    <w:p>
      <w:pPr>
        <w:bidi w:val="0"/>
        <w:rPr>
          <w:rFonts w:hint="default"/>
        </w:rPr>
      </w:pPr>
      <w:r>
        <w:rPr>
          <w:rFonts w:hint="default"/>
        </w:rPr>
        <w:t>根据2018年9月，自治区党委办公厅、自治区人民政府办公厅印发的《自治区关于严禁</w:t>
      </w:r>
      <w:r>
        <w:rPr>
          <w:rFonts w:hint="eastAsia"/>
          <w:lang w:eastAsia="zh-CN"/>
        </w:rPr>
        <w:t>“</w:t>
      </w:r>
      <w:r>
        <w:rPr>
          <w:rFonts w:hint="default"/>
        </w:rPr>
        <w:t>三高</w:t>
      </w:r>
      <w:r>
        <w:rPr>
          <w:rFonts w:hint="eastAsia"/>
          <w:lang w:eastAsia="zh-CN"/>
        </w:rPr>
        <w:t>”</w:t>
      </w:r>
      <w:r>
        <w:rPr>
          <w:rFonts w:hint="default"/>
        </w:rPr>
        <w:t>项目进新疆，推动经济高质量发展的实施方案》的要求，本项目与文件的符合性见表1.4-</w:t>
      </w:r>
      <w:r>
        <w:rPr>
          <w:rFonts w:hint="eastAsia"/>
          <w:lang w:val="en-US" w:eastAsia="zh-CN"/>
        </w:rPr>
        <w:t>10</w:t>
      </w:r>
      <w:r>
        <w:rPr>
          <w:rFonts w:hint="default"/>
        </w:rPr>
        <w:t>。</w:t>
      </w:r>
    </w:p>
    <w:p>
      <w:pPr>
        <w:pStyle w:val="17"/>
        <w:bidi w:val="0"/>
        <w:rPr>
          <w:rFonts w:hint="default"/>
          <w:b/>
          <w:bCs/>
        </w:rPr>
      </w:pPr>
      <w:r>
        <w:rPr>
          <w:rFonts w:hint="default"/>
          <w:b/>
          <w:bCs/>
        </w:rPr>
        <w:t>表1.4-</w:t>
      </w:r>
      <w:r>
        <w:rPr>
          <w:rFonts w:hint="eastAsia"/>
          <w:b/>
          <w:bCs/>
          <w:lang w:val="en-US" w:eastAsia="zh-CN"/>
        </w:rPr>
        <w:t>10</w:t>
      </w:r>
      <w:r>
        <w:rPr>
          <w:rFonts w:hint="default"/>
          <w:b/>
          <w:bCs/>
        </w:rPr>
        <w:t xml:space="preserve"> </w:t>
      </w:r>
      <w:r>
        <w:rPr>
          <w:rFonts w:hint="eastAsia"/>
          <w:b/>
          <w:bCs/>
          <w:lang w:val="en-US" w:eastAsia="zh-CN"/>
        </w:rPr>
        <w:t xml:space="preserve"> </w:t>
      </w:r>
      <w:r>
        <w:rPr>
          <w:rFonts w:hint="default"/>
          <w:b/>
          <w:bCs/>
        </w:rPr>
        <w:t xml:space="preserve"> 与新环函〔2017〕1451号环境准入的符合性</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5"/>
        <w:gridCol w:w="4510"/>
        <w:gridCol w:w="3427"/>
        <w:gridCol w:w="7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tcBorders>
              <w:tl2br w:val="nil"/>
              <w:tr2bl w:val="nil"/>
            </w:tcBorders>
            <w:vAlign w:val="center"/>
          </w:tcPr>
          <w:p>
            <w:pPr>
              <w:pStyle w:val="17"/>
              <w:bidi w:val="0"/>
              <w:rPr>
                <w:rFonts w:hint="default"/>
                <w:b/>
                <w:bCs/>
              </w:rPr>
            </w:pPr>
            <w:r>
              <w:rPr>
                <w:rFonts w:hint="default"/>
                <w:b/>
                <w:bCs/>
              </w:rPr>
              <w:t>序号</w:t>
            </w:r>
          </w:p>
        </w:tc>
        <w:tc>
          <w:tcPr>
            <w:tcW w:w="4510" w:type="dxa"/>
            <w:tcBorders>
              <w:tl2br w:val="nil"/>
              <w:tr2bl w:val="nil"/>
            </w:tcBorders>
            <w:vAlign w:val="center"/>
          </w:tcPr>
          <w:p>
            <w:pPr>
              <w:pStyle w:val="17"/>
              <w:bidi w:val="0"/>
              <w:rPr>
                <w:rFonts w:hint="default"/>
                <w:b/>
                <w:bCs/>
              </w:rPr>
            </w:pPr>
            <w:r>
              <w:rPr>
                <w:rFonts w:hint="default"/>
                <w:b/>
                <w:bCs/>
              </w:rPr>
              <w:t>文件要求</w:t>
            </w:r>
          </w:p>
        </w:tc>
        <w:tc>
          <w:tcPr>
            <w:tcW w:w="3427" w:type="dxa"/>
            <w:tcBorders>
              <w:tl2br w:val="nil"/>
              <w:tr2bl w:val="nil"/>
            </w:tcBorders>
            <w:vAlign w:val="center"/>
          </w:tcPr>
          <w:p>
            <w:pPr>
              <w:pStyle w:val="17"/>
              <w:bidi w:val="0"/>
              <w:rPr>
                <w:rFonts w:hint="default"/>
                <w:b/>
                <w:bCs/>
              </w:rPr>
            </w:pPr>
            <w:r>
              <w:rPr>
                <w:rFonts w:hint="default"/>
                <w:b/>
                <w:bCs/>
              </w:rPr>
              <w:t>项目情况</w:t>
            </w:r>
          </w:p>
        </w:tc>
        <w:tc>
          <w:tcPr>
            <w:tcW w:w="739" w:type="dxa"/>
            <w:tcBorders>
              <w:tl2br w:val="nil"/>
              <w:tr2bl w:val="nil"/>
            </w:tcBorders>
            <w:vAlign w:val="center"/>
          </w:tcPr>
          <w:p>
            <w:pPr>
              <w:pStyle w:val="17"/>
              <w:bidi w:val="0"/>
              <w:rPr>
                <w:rFonts w:hint="default"/>
                <w:b/>
                <w:bCs/>
              </w:rPr>
            </w:pPr>
            <w:r>
              <w:rPr>
                <w:rFonts w:hint="default"/>
                <w:b/>
                <w:bC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tcBorders>
              <w:tl2br w:val="nil"/>
              <w:tr2bl w:val="nil"/>
            </w:tcBorders>
            <w:vAlign w:val="center"/>
          </w:tcPr>
          <w:p>
            <w:pPr>
              <w:pStyle w:val="17"/>
              <w:bidi w:val="0"/>
              <w:rPr>
                <w:rFonts w:hint="default"/>
              </w:rPr>
            </w:pPr>
            <w:r>
              <w:rPr>
                <w:rFonts w:hint="default"/>
              </w:rPr>
              <w:t>1</w:t>
            </w:r>
          </w:p>
        </w:tc>
        <w:tc>
          <w:tcPr>
            <w:tcW w:w="4510" w:type="dxa"/>
            <w:tcBorders>
              <w:tl2br w:val="nil"/>
              <w:tr2bl w:val="nil"/>
            </w:tcBorders>
            <w:vAlign w:val="center"/>
          </w:tcPr>
          <w:p>
            <w:pPr>
              <w:pStyle w:val="17"/>
              <w:bidi w:val="0"/>
              <w:rPr>
                <w:rFonts w:hint="default"/>
              </w:rPr>
            </w:pPr>
            <w:r>
              <w:rPr>
                <w:rFonts w:hint="default"/>
              </w:rPr>
              <w:t>本方案</w:t>
            </w:r>
            <w:r>
              <w:rPr>
                <w:rFonts w:hint="eastAsia"/>
                <w:lang w:eastAsia="zh-CN"/>
              </w:rPr>
              <w:t>“</w:t>
            </w:r>
            <w:r>
              <w:rPr>
                <w:rFonts w:hint="default"/>
              </w:rPr>
              <w:t>三高</w:t>
            </w:r>
            <w:r>
              <w:rPr>
                <w:rFonts w:hint="eastAsia"/>
                <w:lang w:eastAsia="zh-CN"/>
              </w:rPr>
              <w:t>”</w:t>
            </w:r>
            <w:r>
              <w:rPr>
                <w:rFonts w:hint="default"/>
              </w:rPr>
              <w:t>是指能（水）耗不符合相关国家标准中准入值要求且污染物排放和环境风险防控不符合国家（地方）标准及有关产业准入条件的高污染（排放）、高能（水）耗、高环境风险的工业项目。</w:t>
            </w:r>
          </w:p>
        </w:tc>
        <w:tc>
          <w:tcPr>
            <w:tcW w:w="3427" w:type="dxa"/>
            <w:tcBorders>
              <w:tl2br w:val="nil"/>
              <w:tr2bl w:val="nil"/>
            </w:tcBorders>
            <w:vAlign w:val="center"/>
          </w:tcPr>
          <w:p>
            <w:pPr>
              <w:pStyle w:val="17"/>
              <w:bidi w:val="0"/>
              <w:rPr>
                <w:rFonts w:hint="default"/>
              </w:rPr>
            </w:pPr>
            <w:r>
              <w:rPr>
                <w:rFonts w:hint="default"/>
              </w:rPr>
              <w:t>本项目不属于</w:t>
            </w:r>
            <w:r>
              <w:rPr>
                <w:rFonts w:hint="eastAsia"/>
                <w:lang w:eastAsia="zh-CN"/>
              </w:rPr>
              <w:t>“</w:t>
            </w:r>
            <w:r>
              <w:rPr>
                <w:rFonts w:hint="default"/>
              </w:rPr>
              <w:t>三高</w:t>
            </w:r>
            <w:r>
              <w:rPr>
                <w:rFonts w:hint="eastAsia"/>
                <w:lang w:eastAsia="zh-CN"/>
              </w:rPr>
              <w:t>”</w:t>
            </w:r>
            <w:r>
              <w:rPr>
                <w:rFonts w:hint="default"/>
              </w:rPr>
              <w:t>项目</w:t>
            </w:r>
          </w:p>
        </w:tc>
        <w:tc>
          <w:tcPr>
            <w:tcW w:w="739"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tcBorders>
              <w:tl2br w:val="nil"/>
              <w:tr2bl w:val="nil"/>
            </w:tcBorders>
            <w:vAlign w:val="center"/>
          </w:tcPr>
          <w:p>
            <w:pPr>
              <w:pStyle w:val="17"/>
              <w:bidi w:val="0"/>
              <w:rPr>
                <w:rFonts w:hint="default"/>
              </w:rPr>
            </w:pPr>
            <w:r>
              <w:rPr>
                <w:rFonts w:hint="default"/>
              </w:rPr>
              <w:t>2</w:t>
            </w:r>
          </w:p>
        </w:tc>
        <w:tc>
          <w:tcPr>
            <w:tcW w:w="4510" w:type="dxa"/>
            <w:tcBorders>
              <w:tl2br w:val="nil"/>
              <w:tr2bl w:val="nil"/>
            </w:tcBorders>
            <w:vAlign w:val="center"/>
          </w:tcPr>
          <w:p>
            <w:pPr>
              <w:pStyle w:val="17"/>
              <w:bidi w:val="0"/>
              <w:rPr>
                <w:rFonts w:hint="default"/>
              </w:rPr>
            </w:pPr>
            <w:r>
              <w:rPr>
                <w:rFonts w:hint="default"/>
              </w:rPr>
              <w:t>重点控制区主要大气污染物排放须进行</w:t>
            </w:r>
            <w:r>
              <w:rPr>
                <w:rFonts w:hint="eastAsia"/>
                <w:lang w:eastAsia="zh-CN"/>
              </w:rPr>
              <w:t>“</w:t>
            </w:r>
            <w:r>
              <w:rPr>
                <w:rFonts w:hint="default"/>
              </w:rPr>
              <w:t>倍量替代</w:t>
            </w:r>
            <w:r>
              <w:rPr>
                <w:rFonts w:hint="eastAsia"/>
                <w:lang w:eastAsia="zh-CN"/>
              </w:rPr>
              <w:t>”</w:t>
            </w:r>
            <w:r>
              <w:rPr>
                <w:rFonts w:hint="default"/>
              </w:rPr>
              <w:t>，执行大气污染物特别排放限值，新增大气污染物排放量须在项目所在区域内实施总量替代，不得接受其他区域主要大气污染物可替代总量指标</w:t>
            </w:r>
          </w:p>
        </w:tc>
        <w:tc>
          <w:tcPr>
            <w:tcW w:w="3427" w:type="dxa"/>
            <w:tcBorders>
              <w:tl2br w:val="nil"/>
              <w:tr2bl w:val="nil"/>
            </w:tcBorders>
            <w:vAlign w:val="center"/>
          </w:tcPr>
          <w:p>
            <w:pPr>
              <w:pStyle w:val="17"/>
              <w:bidi w:val="0"/>
              <w:rPr>
                <w:rFonts w:hint="default"/>
              </w:rPr>
            </w:pPr>
            <w:r>
              <w:rPr>
                <w:rFonts w:hint="default"/>
              </w:rPr>
              <w:t>本项目不属于重点控制区，</w:t>
            </w:r>
            <w:r>
              <w:rPr>
                <w:rFonts w:hint="eastAsia"/>
                <w:lang w:val="en-US" w:eastAsia="zh-CN"/>
              </w:rPr>
              <w:t>不受相关限制，故</w:t>
            </w:r>
            <w:r>
              <w:rPr>
                <w:rFonts w:hint="default"/>
              </w:rPr>
              <w:t>执行新建项目大气污染物排放限值</w:t>
            </w:r>
          </w:p>
        </w:tc>
        <w:tc>
          <w:tcPr>
            <w:tcW w:w="739" w:type="dxa"/>
            <w:tcBorders>
              <w:tl2br w:val="nil"/>
              <w:tr2bl w:val="nil"/>
            </w:tcBorders>
            <w:vAlign w:val="center"/>
          </w:tcPr>
          <w:p>
            <w:pPr>
              <w:pStyle w:val="17"/>
              <w:bidi w:val="0"/>
              <w:rPr>
                <w:rFonts w:hint="default"/>
              </w:rPr>
            </w:pPr>
            <w:r>
              <w:rPr>
                <w:rFonts w:hint="default"/>
              </w:rPr>
              <w:t>符合</w:t>
            </w:r>
          </w:p>
        </w:tc>
      </w:tr>
    </w:tbl>
    <w:p>
      <w:pPr>
        <w:bidi w:val="0"/>
        <w:rPr>
          <w:rFonts w:hint="default"/>
          <w:color w:val="0000FF"/>
        </w:rPr>
      </w:pPr>
      <w:r>
        <w:rPr>
          <w:rFonts w:hint="default"/>
          <w:color w:val="0000FF"/>
        </w:rPr>
        <w:t>（</w:t>
      </w:r>
      <w:r>
        <w:rPr>
          <w:rFonts w:hint="eastAsia"/>
          <w:color w:val="0000FF"/>
          <w:lang w:val="en-US" w:eastAsia="zh-CN"/>
        </w:rPr>
        <w:t>9</w:t>
      </w:r>
      <w:r>
        <w:rPr>
          <w:rFonts w:hint="default"/>
          <w:color w:val="0000FF"/>
        </w:rPr>
        <w:t>）与《自治区打赢蓝天保卫战三年行动计划（2018-</w:t>
      </w:r>
      <w:r>
        <w:rPr>
          <w:rFonts w:hint="eastAsia"/>
          <w:color w:val="0000FF"/>
          <w:lang w:eastAsia="zh-CN"/>
        </w:rPr>
        <w:t>2021</w:t>
      </w:r>
      <w:r>
        <w:rPr>
          <w:rFonts w:hint="default"/>
          <w:color w:val="0000FF"/>
        </w:rPr>
        <w:t>年）》符合性</w:t>
      </w:r>
    </w:p>
    <w:p>
      <w:pPr>
        <w:bidi w:val="0"/>
        <w:rPr>
          <w:rFonts w:hint="default"/>
          <w:color w:val="0000FF"/>
        </w:rPr>
      </w:pPr>
      <w:r>
        <w:rPr>
          <w:rFonts w:hint="default"/>
          <w:color w:val="0000FF"/>
        </w:rPr>
        <w:t>根据</w:t>
      </w:r>
      <w:r>
        <w:rPr>
          <w:rFonts w:hint="eastAsia"/>
          <w:color w:val="0000FF"/>
          <w:lang w:eastAsia="zh-CN"/>
        </w:rPr>
        <w:t>“</w:t>
      </w:r>
      <w:r>
        <w:rPr>
          <w:rFonts w:hint="default"/>
          <w:color w:val="0000FF"/>
        </w:rPr>
        <w:t>行动计划</w:t>
      </w:r>
      <w:r>
        <w:rPr>
          <w:rFonts w:hint="eastAsia"/>
          <w:color w:val="0000FF"/>
          <w:lang w:eastAsia="zh-CN"/>
        </w:rPr>
        <w:t>”</w:t>
      </w:r>
      <w:r>
        <w:rPr>
          <w:rFonts w:hint="default"/>
          <w:color w:val="0000FF"/>
        </w:rPr>
        <w:t>要求，应严格产业准入门槛，积极推行区域、规划环境影响评价，新、改、扩建钢铁、石化、化工、焦化、建材、有色等项目环境影响评级，应满足区域、规划环评要求。优化产业布局，淘汰落后产能，压减过剩产能，综合整治</w:t>
      </w:r>
      <w:r>
        <w:rPr>
          <w:rFonts w:hint="eastAsia"/>
          <w:color w:val="0000FF"/>
          <w:lang w:eastAsia="zh-CN"/>
        </w:rPr>
        <w:t>“</w:t>
      </w:r>
      <w:r>
        <w:rPr>
          <w:rFonts w:hint="default"/>
          <w:color w:val="0000FF"/>
        </w:rPr>
        <w:t>散乱污</w:t>
      </w:r>
      <w:r>
        <w:rPr>
          <w:rFonts w:hint="eastAsia"/>
          <w:color w:val="0000FF"/>
          <w:lang w:eastAsia="zh-CN"/>
        </w:rPr>
        <w:t>”</w:t>
      </w:r>
      <w:r>
        <w:rPr>
          <w:rFonts w:hint="default"/>
          <w:color w:val="0000FF"/>
        </w:rPr>
        <w:t>企业，推进涉气工业污染源全面达标排放。积极推进污染物排放许可制，推进重点行业污染治理升级改造，大力培育绿色环保产业。</w:t>
      </w:r>
    </w:p>
    <w:p>
      <w:pPr>
        <w:bidi w:val="0"/>
        <w:rPr>
          <w:rFonts w:hint="default"/>
          <w:color w:val="0000FF"/>
        </w:rPr>
      </w:pPr>
      <w:r>
        <w:rPr>
          <w:rFonts w:hint="default"/>
          <w:color w:val="0000FF"/>
        </w:rPr>
        <w:t>本项目运营期塑料熔融由电加热设备提供，冬季车间及办公区取暖均由电加热设备供给，不新增锅炉，大气污染物颗粒物、非甲烷总烃均有成熟有效的措施进行达标控制，不会对环境空气改善目标造成明显影响。通过采取一系列环保措施，工业污染源可全面达标排放。因此符合《自治区打赢蓝天保卫战三年行动计划（2018-</w:t>
      </w:r>
      <w:r>
        <w:rPr>
          <w:rFonts w:hint="eastAsia"/>
          <w:color w:val="0000FF"/>
          <w:lang w:eastAsia="zh-CN"/>
        </w:rPr>
        <w:t>2021</w:t>
      </w:r>
      <w:r>
        <w:rPr>
          <w:rFonts w:hint="default"/>
          <w:color w:val="0000FF"/>
        </w:rPr>
        <w:t>年）》的相关要求。</w:t>
      </w:r>
    </w:p>
    <w:p>
      <w:pPr>
        <w:bidi w:val="0"/>
        <w:rPr>
          <w:rFonts w:hint="eastAsia" w:cs="Times New Roman"/>
          <w:color w:val="0000FF"/>
          <w:lang w:val="en-US" w:eastAsia="zh-CN"/>
        </w:rPr>
      </w:pPr>
      <w:r>
        <w:rPr>
          <w:rFonts w:hint="eastAsia"/>
          <w:color w:val="0000FF"/>
          <w:lang w:eastAsia="zh-CN"/>
        </w:rPr>
        <w:t>（</w:t>
      </w:r>
      <w:r>
        <w:rPr>
          <w:rFonts w:hint="eastAsia"/>
          <w:color w:val="0000FF"/>
          <w:lang w:val="en-US" w:eastAsia="zh-CN"/>
        </w:rPr>
        <w:t>10</w:t>
      </w:r>
      <w:r>
        <w:rPr>
          <w:rFonts w:hint="eastAsia"/>
          <w:color w:val="0000FF"/>
          <w:lang w:eastAsia="zh-CN"/>
        </w:rPr>
        <w:t>）</w:t>
      </w:r>
      <w:r>
        <w:rPr>
          <w:rFonts w:hint="eastAsia"/>
          <w:color w:val="0000FF"/>
          <w:lang w:val="en-US" w:eastAsia="zh-CN"/>
        </w:rPr>
        <w:t>与《</w:t>
      </w:r>
      <w:r>
        <w:rPr>
          <w:rFonts w:hint="eastAsia"/>
          <w:color w:val="0000FF"/>
        </w:rPr>
        <w:t>关于促</w:t>
      </w:r>
      <w:r>
        <w:rPr>
          <w:rFonts w:hint="default" w:ascii="Times New Roman" w:hAnsi="Times New Roman" w:cs="Times New Roman"/>
          <w:color w:val="0000FF"/>
        </w:rPr>
        <w:t>进全区废旧塑料再生利用行业有序发展的指导意见</w:t>
      </w:r>
      <w:r>
        <w:rPr>
          <w:rFonts w:hint="default" w:ascii="Times New Roman" w:hAnsi="Times New Roman" w:cs="Times New Roman"/>
          <w:color w:val="0000FF"/>
          <w:lang w:val="en-US" w:eastAsia="zh-CN"/>
        </w:rPr>
        <w:t>》新环环评发</w:t>
      </w:r>
      <w:r>
        <w:rPr>
          <w:rFonts w:hint="default" w:ascii="Times New Roman" w:hAnsi="Times New Roman" w:eastAsia="宋体" w:cs="Times New Roman"/>
          <w:color w:val="0000FF"/>
          <w:lang w:val="en-US" w:eastAsia="zh-CN"/>
        </w:rPr>
        <w:t>〔</w:t>
      </w:r>
      <w:r>
        <w:rPr>
          <w:rFonts w:hint="eastAsia" w:cs="Times New Roman"/>
          <w:color w:val="0000FF"/>
          <w:lang w:val="en-US" w:eastAsia="zh-CN"/>
        </w:rPr>
        <w:t>2020</w:t>
      </w:r>
      <w:r>
        <w:rPr>
          <w:rFonts w:hint="default" w:ascii="Times New Roman" w:hAnsi="Times New Roman" w:eastAsia="宋体" w:cs="Times New Roman"/>
          <w:color w:val="0000FF"/>
          <w:lang w:val="en-US" w:eastAsia="zh-CN"/>
        </w:rPr>
        <w:t>〕</w:t>
      </w:r>
      <w:r>
        <w:rPr>
          <w:rFonts w:hint="default" w:ascii="Times New Roman" w:hAnsi="Times New Roman" w:cs="Times New Roman"/>
          <w:color w:val="0000FF"/>
          <w:lang w:val="en-US" w:eastAsia="zh-CN"/>
        </w:rPr>
        <w:t>5号</w:t>
      </w:r>
      <w:r>
        <w:rPr>
          <w:rFonts w:hint="eastAsia" w:cs="Times New Roman"/>
          <w:color w:val="0000FF"/>
          <w:lang w:val="en-US" w:eastAsia="zh-CN"/>
        </w:rPr>
        <w:t>符合性</w:t>
      </w:r>
    </w:p>
    <w:p>
      <w:pPr>
        <w:bidi w:val="0"/>
        <w:rPr>
          <w:rFonts w:hint="eastAsia"/>
          <w:color w:val="0000FF"/>
          <w:lang w:eastAsia="zh-CN"/>
        </w:rPr>
      </w:pPr>
      <w:r>
        <w:rPr>
          <w:rFonts w:hint="eastAsia"/>
          <w:color w:val="0000FF"/>
          <w:lang w:val="en-US" w:eastAsia="zh-CN"/>
        </w:rPr>
        <w:t>《</w:t>
      </w:r>
      <w:r>
        <w:rPr>
          <w:rFonts w:hint="eastAsia"/>
          <w:color w:val="0000FF"/>
        </w:rPr>
        <w:t>关于促</w:t>
      </w:r>
      <w:r>
        <w:rPr>
          <w:rFonts w:hint="default"/>
          <w:color w:val="0000FF"/>
        </w:rPr>
        <w:t>进全区废旧塑料再生利用行业有序发展的指导意见</w:t>
      </w:r>
      <w:r>
        <w:rPr>
          <w:rFonts w:hint="default"/>
          <w:color w:val="0000FF"/>
          <w:lang w:val="en-US" w:eastAsia="zh-CN"/>
        </w:rPr>
        <w:t>》</w:t>
      </w:r>
      <w:r>
        <w:rPr>
          <w:rFonts w:hint="eastAsia"/>
          <w:color w:val="0000FF"/>
          <w:lang w:val="en-US" w:eastAsia="zh-CN"/>
        </w:rPr>
        <w:t>中产业政策要求：</w:t>
      </w:r>
      <w:r>
        <w:rPr>
          <w:color w:val="0000FF"/>
        </w:rPr>
        <w:t>废旧塑料再生利用项目须满足《废塑料综合利用行业规范条件》</w:t>
      </w:r>
      <w:r>
        <w:rPr>
          <w:rFonts w:hint="eastAsia"/>
          <w:color w:val="0000FF"/>
          <w:lang w:eastAsia="zh-CN"/>
        </w:rPr>
        <w:t>。</w:t>
      </w:r>
    </w:p>
    <w:p>
      <w:pPr>
        <w:bidi w:val="0"/>
        <w:rPr>
          <w:color w:val="0000FF"/>
        </w:rPr>
      </w:pPr>
      <w:r>
        <w:rPr>
          <w:rFonts w:hint="eastAsia"/>
          <w:color w:val="0000FF"/>
          <w:lang w:val="en-US" w:eastAsia="zh-CN"/>
        </w:rPr>
        <w:t>选址要求：</w:t>
      </w:r>
      <w:r>
        <w:rPr>
          <w:rFonts w:hint="eastAsia"/>
          <w:color w:val="0000FF"/>
        </w:rPr>
        <w:t>（一）新建和改扩建废塑料再生利用项目必须严格执行生态环境保护法律法规和环境影响评价制度，未经有审批权生态环境行政主管部门审批，不得建设和组织生产。</w:t>
      </w:r>
    </w:p>
    <w:p>
      <w:pPr>
        <w:bidi w:val="0"/>
        <w:rPr>
          <w:rFonts w:hint="eastAsia"/>
          <w:color w:val="0000FF"/>
        </w:rPr>
      </w:pPr>
      <w:r>
        <w:rPr>
          <w:rFonts w:hint="eastAsia"/>
          <w:color w:val="0000FF"/>
        </w:rPr>
        <w:t>（二）新建和改扩建废塑料再生利用项目，厂址宜靠近废塑料集散地，应符合县级（含）以上人民政府制定的环境保护规划或废塑料行业发展规划。</w:t>
      </w:r>
    </w:p>
    <w:p>
      <w:pPr>
        <w:bidi w:val="0"/>
        <w:rPr>
          <w:rFonts w:hint="eastAsia"/>
          <w:color w:val="0000FF"/>
        </w:rPr>
      </w:pPr>
      <w:r>
        <w:rPr>
          <w:rFonts w:hint="eastAsia"/>
          <w:color w:val="0000FF"/>
        </w:rPr>
        <w:t>（三）在各级人民政府依法设立的工业区以外进行项目建设的，不得占用农用地，且不得在城乡规划区边界外5公里以内，区控重点河流两岸、高速公路、铁路干线及重要地下管网及其他需严防污染的食品、药品等企业周边1000米以内建设；禁止在生态保护红线内新建废塑料再生利用企业。已在上述区域内开工建设、投产运营的废塑料再生利用项目和企业，要通过搬迁、转产等方式逐步退出。</w:t>
      </w:r>
    </w:p>
    <w:p>
      <w:pPr>
        <w:bidi w:val="0"/>
        <w:rPr>
          <w:color w:val="0000FF"/>
        </w:rPr>
      </w:pPr>
      <w:r>
        <w:rPr>
          <w:rFonts w:hint="eastAsia"/>
          <w:color w:val="0000FF"/>
          <w:lang w:val="en-US" w:eastAsia="zh-CN"/>
        </w:rPr>
        <w:t>污染防治要求：</w:t>
      </w:r>
      <w:r>
        <w:rPr>
          <w:rFonts w:hint="eastAsia"/>
          <w:color w:val="0000FF"/>
        </w:rPr>
        <w:t>（一）废塑料再生利用项目和生产企业必须建有围墙并按功能划分厂区，包括管理区、原料贮存区、生产区、产品贮存区、污染控制区(包括不可利用的废物的贮存和处理区)。所有功能区必须有封闭或半封闭设施，必须设置防风、防雨、防渗、防火措施，并符合消防安全要求。</w:t>
      </w:r>
    </w:p>
    <w:p>
      <w:pPr>
        <w:bidi w:val="0"/>
        <w:rPr>
          <w:rFonts w:hint="eastAsia"/>
          <w:color w:val="0000FF"/>
        </w:rPr>
      </w:pPr>
      <w:r>
        <w:rPr>
          <w:rFonts w:hint="eastAsia"/>
          <w:color w:val="0000FF"/>
        </w:rPr>
        <w:t>（二）废塑料再生利用项目应按照《废塑料回收与再生利用污染控制技术规范（试行）》进行污染控制，各污染物排放须达到《合成树脂工业污染物排放标准》（GB31572）。如国家或自治区出台新的废塑料回收与再生利用方面的相关标准，从其规定。</w:t>
      </w:r>
    </w:p>
    <w:p>
      <w:pPr>
        <w:bidi w:val="0"/>
        <w:rPr>
          <w:rFonts w:hint="eastAsia"/>
          <w:color w:val="0000FF"/>
          <w:lang w:val="en-US" w:eastAsia="zh-CN"/>
        </w:rPr>
      </w:pPr>
      <w:r>
        <w:rPr>
          <w:rFonts w:hint="eastAsia"/>
          <w:color w:val="0000FF"/>
          <w:lang w:val="en-US" w:eastAsia="zh-CN"/>
        </w:rPr>
        <w:t>本项目首先符合</w:t>
      </w:r>
      <w:r>
        <w:rPr>
          <w:color w:val="0000FF"/>
        </w:rPr>
        <w:t>《废塑料综合利用行业规范条件》</w:t>
      </w:r>
      <w:r>
        <w:rPr>
          <w:rFonts w:hint="eastAsia"/>
          <w:color w:val="0000FF"/>
          <w:lang w:eastAsia="zh-CN"/>
        </w:rPr>
        <w:t>，</w:t>
      </w:r>
      <w:r>
        <w:rPr>
          <w:rFonts w:hint="eastAsia"/>
          <w:color w:val="0000FF"/>
          <w:lang w:val="en-US" w:eastAsia="zh-CN"/>
        </w:rPr>
        <w:t>选址位于吉木萨尔县二工镇，选址不涉及生态红线，周边无需要严防污染的食品、药品等企业，周边5km范围内无区控重点河流、高速公路、铁路干线及重要地下管网。项目四周有围墙分隔，并建有管理区、原料储存区、生产区、产品储存区和污染控制区（污水处理设施），其所有生产单元均为全封闭生产单元，配套设置有相应的消防措施。各项污染物，经过处理后，均可满足</w:t>
      </w:r>
      <w:r>
        <w:rPr>
          <w:rFonts w:hint="eastAsia"/>
          <w:color w:val="0000FF"/>
        </w:rPr>
        <w:t>《合成树脂工业污染物排放标准》（GB31572</w:t>
      </w:r>
      <w:r>
        <w:rPr>
          <w:rFonts w:hint="eastAsia"/>
          <w:color w:val="0000FF"/>
          <w:lang w:val="en-US" w:eastAsia="zh-CN"/>
        </w:rPr>
        <w:t>-2015</w:t>
      </w:r>
      <w:r>
        <w:rPr>
          <w:rFonts w:hint="eastAsia"/>
          <w:color w:val="0000FF"/>
        </w:rPr>
        <w:t>）</w:t>
      </w:r>
      <w:r>
        <w:rPr>
          <w:rFonts w:hint="eastAsia"/>
          <w:color w:val="0000FF"/>
          <w:lang w:val="en-US" w:eastAsia="zh-CN"/>
        </w:rPr>
        <w:t>表5中的大气污染物特别排放限值。综上，项目的建设，在严格执行环境保护“三同时”的前提下，项目的建设是符合《</w:t>
      </w:r>
      <w:r>
        <w:rPr>
          <w:rFonts w:hint="eastAsia"/>
          <w:color w:val="0000FF"/>
        </w:rPr>
        <w:t>关于促</w:t>
      </w:r>
      <w:r>
        <w:rPr>
          <w:rFonts w:hint="default"/>
          <w:color w:val="0000FF"/>
        </w:rPr>
        <w:t>进全区废旧塑料再生利用行业有序发展的指导意见</w:t>
      </w:r>
      <w:r>
        <w:rPr>
          <w:rFonts w:hint="default"/>
          <w:color w:val="0000FF"/>
          <w:lang w:val="en-US" w:eastAsia="zh-CN"/>
        </w:rPr>
        <w:t>》新环环评发〔</w:t>
      </w:r>
      <w:r>
        <w:rPr>
          <w:rFonts w:hint="eastAsia"/>
          <w:color w:val="0000FF"/>
          <w:lang w:val="en-US" w:eastAsia="zh-CN"/>
        </w:rPr>
        <w:t>2021</w:t>
      </w:r>
      <w:r>
        <w:rPr>
          <w:rFonts w:hint="default"/>
          <w:color w:val="0000FF"/>
          <w:lang w:val="en-US" w:eastAsia="zh-CN"/>
        </w:rPr>
        <w:t>〕5号</w:t>
      </w:r>
      <w:r>
        <w:rPr>
          <w:rFonts w:hint="eastAsia"/>
          <w:color w:val="0000FF"/>
          <w:lang w:val="en-US" w:eastAsia="zh-CN"/>
        </w:rPr>
        <w:t>的。</w:t>
      </w:r>
    </w:p>
    <w:p>
      <w:pPr>
        <w:bidi w:val="0"/>
        <w:rPr>
          <w:rFonts w:hint="eastAsia"/>
          <w:color w:val="0000FF"/>
          <w:lang w:val="en-US" w:eastAsia="zh-CN"/>
        </w:rPr>
      </w:pPr>
      <w:r>
        <w:rPr>
          <w:rFonts w:hint="eastAsia"/>
          <w:color w:val="0000FF"/>
          <w:lang w:val="en-US" w:eastAsia="zh-CN"/>
        </w:rPr>
        <w:t>（11）与《</w:t>
      </w:r>
      <w:r>
        <w:rPr>
          <w:color w:val="0000FF"/>
          <w:lang w:val="zh-CN"/>
        </w:rPr>
        <w:t>关于加强乌鲁木齐、昌吉、石河子、五家渠区域环境同防同治的意见</w:t>
      </w:r>
      <w:r>
        <w:rPr>
          <w:rFonts w:hint="eastAsia"/>
          <w:color w:val="0000FF"/>
          <w:lang w:val="en-US" w:eastAsia="zh-CN"/>
        </w:rPr>
        <w:t>》新政发〔2016〕140号文符合性分析</w:t>
      </w:r>
    </w:p>
    <w:p>
      <w:pPr>
        <w:bidi w:val="0"/>
        <w:rPr>
          <w:rFonts w:hint="default"/>
          <w:color w:val="0000FF"/>
          <w:lang w:val="en-US" w:eastAsia="zh-CN"/>
        </w:rPr>
      </w:pPr>
      <w:r>
        <w:rPr>
          <w:rFonts w:hint="eastAsia"/>
          <w:color w:val="0000FF"/>
          <w:lang w:val="en-US" w:eastAsia="zh-CN"/>
        </w:rPr>
        <w:t>《</w:t>
      </w:r>
      <w:r>
        <w:rPr>
          <w:color w:val="0000FF"/>
          <w:lang w:val="zh-CN"/>
        </w:rPr>
        <w:t>关于加强乌鲁木齐、昌吉、石河子、五家渠区域环境同防同治的意见</w:t>
      </w:r>
      <w:r>
        <w:rPr>
          <w:rFonts w:hint="eastAsia"/>
          <w:color w:val="0000FF"/>
          <w:lang w:val="en-US" w:eastAsia="zh-CN"/>
        </w:rPr>
        <w:t>》中提出的主要任务包括：（一）优化产业结构和布局（1）提高环境准入标准，重点区域内不再布局建设煤化工、电解铝、燃煤纯发电机组、金属硅、碳化硅、聚氯乙烯（电石法）、焦炭（含半焦）等行业的新增产能项目。（2）促进清洁生产。（3）严格污染物排放标准。（4）加快淘汰落后产生。（二）强化大气污染物综合治理（5）实施煤炭消费总量控制。（6）深入开展电力行业节能环保工作。（7）大力推广清洁能源。（8）加强机动车污染治理。（9）大力发展绿色交通。（10）开展挥发性有机物和有毒有害废气防治。建立重点行业挥发性有机物重点监管企业名录，加强重点区域内挥发性有机物治理，推进征收挥发性有机物排污费。加强有毒有害废气排放企业环境监测监管，推进其工艺技术和污染治理技术改造。（11）加大扬尘治理力度。（12）加强重污染天气应急管理。（三）深入开展水环境治理（13）加强水污染防治。（14）节约保护水资源。（15）保证水生态环境安全。（四）加强土壤环境管理（16）夯实土壤环境管理基础。（17）加强土壤环境保护。（五）加强重点区域、流域污染防治和生态环境保护工作（18）加强甘泉堡经济开发区环境保护工作，实现可持续发展。（19）加强重点河湖治理。（20）做好生态脆弱区域生态保护。（加强环境监管）（21）创新环境监管机制。（22）严厉惩处环境违法范围行为。（23）加强监测能力建设。</w:t>
      </w:r>
    </w:p>
    <w:p>
      <w:pPr>
        <w:bidi w:val="0"/>
        <w:rPr>
          <w:rFonts w:hint="default"/>
          <w:color w:val="0000FF"/>
          <w:lang w:val="en-US" w:eastAsia="zh-CN"/>
        </w:rPr>
      </w:pPr>
      <w:r>
        <w:rPr>
          <w:rFonts w:hint="eastAsia"/>
          <w:color w:val="0000FF"/>
          <w:lang w:val="en-US" w:eastAsia="zh-CN"/>
        </w:rPr>
        <w:t>项目符合产业政策，符合规划，符合准入条件，清洁生产水平处先进水平。项目属于服务农业发展的项目，不属于落后产生，运营过程执行相对严格的特别限值。项目生产过程中不使用煤炭等燃料，无燃烧废气产生。</w:t>
      </w:r>
    </w:p>
    <w:p>
      <w:pPr>
        <w:bidi w:val="0"/>
        <w:rPr>
          <w:rFonts w:hint="default"/>
          <w:color w:val="0000FF"/>
          <w:lang w:val="en-US" w:eastAsia="zh-CN"/>
        </w:rPr>
      </w:pPr>
      <w:r>
        <w:rPr>
          <w:rFonts w:hint="eastAsia"/>
          <w:color w:val="0000FF"/>
          <w:lang w:val="en-US" w:eastAsia="zh-CN"/>
        </w:rPr>
        <w:t>本项目生产过程中，生产废水通过沉淀剂及其配套得污水处理设施处置达标后全部循环使用不外排，生产过程中产生的尽量选择封闭式生产，及产生的颗粒物废气和挥发性有机废气均收集处置净化后通过配套的15m高排气筒外排。</w:t>
      </w:r>
    </w:p>
    <w:p>
      <w:pPr>
        <w:bidi w:val="0"/>
        <w:rPr>
          <w:rFonts w:hint="eastAsia"/>
          <w:color w:val="0000FF"/>
          <w:lang w:val="en-US" w:eastAsia="zh-CN"/>
        </w:rPr>
      </w:pPr>
      <w:r>
        <w:rPr>
          <w:rFonts w:hint="eastAsia"/>
          <w:lang w:val="en-US" w:eastAsia="zh-CN"/>
        </w:rPr>
        <w:t>项目的在严格落实环境保护“三同时”的前提下，是符合</w:t>
      </w:r>
      <w:r>
        <w:rPr>
          <w:rFonts w:hint="eastAsia"/>
          <w:color w:val="0000FF"/>
          <w:lang w:val="en-US" w:eastAsia="zh-CN"/>
        </w:rPr>
        <w:t>《</w:t>
      </w:r>
      <w:r>
        <w:rPr>
          <w:color w:val="0000FF"/>
          <w:lang w:val="zh-CN"/>
        </w:rPr>
        <w:t>关于加强乌鲁木齐、昌吉、石河子、五家渠区域环境同防同治的意见</w:t>
      </w:r>
      <w:r>
        <w:rPr>
          <w:rFonts w:hint="eastAsia"/>
          <w:color w:val="0000FF"/>
          <w:lang w:val="en-US" w:eastAsia="zh-CN"/>
        </w:rPr>
        <w:t>》的。</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12</w:t>
      </w:r>
      <w:r>
        <w:rPr>
          <w:rFonts w:hint="default" w:ascii="Times New Roman" w:hAnsi="Times New Roman" w:eastAsia="宋体" w:cs="Times New Roman"/>
          <w:color w:val="auto"/>
          <w:kern w:val="2"/>
          <w:sz w:val="24"/>
          <w:szCs w:val="24"/>
          <w:lang w:val="en-US" w:eastAsia="zh-CN" w:bidi="ar-SA"/>
        </w:rPr>
        <w:t>）与《2020年挥发性有机物治理攻坚方案》(环大气[2020]33号)符合性分析</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本项目与《2020年挥发性有机物治理攻坚方案》(环大气[2020]33号)符合性分析见表</w:t>
      </w:r>
      <w:r>
        <w:rPr>
          <w:rFonts w:hint="eastAsia" w:ascii="Times New Roman" w:hAnsi="Times New Roman" w:cs="Times New Roman"/>
          <w:color w:val="auto"/>
          <w:kern w:val="2"/>
          <w:sz w:val="24"/>
          <w:szCs w:val="24"/>
          <w:lang w:val="en-US" w:eastAsia="zh-CN" w:bidi="ar-SA"/>
        </w:rPr>
        <w:t>1.4-11</w:t>
      </w:r>
      <w:r>
        <w:rPr>
          <w:rFonts w:hint="default" w:ascii="Times New Roman" w:hAnsi="Times New Roman" w:eastAsia="宋体" w:cs="Times New Roman"/>
          <w:color w:val="auto"/>
          <w:kern w:val="2"/>
          <w:sz w:val="24"/>
          <w:szCs w:val="24"/>
          <w:lang w:val="en-US" w:eastAsia="zh-CN" w:bidi="ar-SA"/>
        </w:rPr>
        <w:t>。</w:t>
      </w:r>
    </w:p>
    <w:p>
      <w:pPr>
        <w:pStyle w:val="17"/>
        <w:bidi w:val="0"/>
        <w:rPr>
          <w:rFonts w:hint="default"/>
          <w:b/>
          <w:bCs/>
          <w:lang w:val="en-US" w:eastAsia="zh-CN"/>
        </w:rPr>
      </w:pPr>
      <w:r>
        <w:rPr>
          <w:rFonts w:hint="default"/>
          <w:b/>
          <w:bCs/>
          <w:lang w:val="en-US" w:eastAsia="zh-CN"/>
        </w:rPr>
        <w:t>表</w:t>
      </w:r>
      <w:r>
        <w:rPr>
          <w:rFonts w:hint="eastAsia"/>
          <w:b/>
          <w:bCs/>
          <w:lang w:val="en-US" w:eastAsia="zh-CN"/>
        </w:rPr>
        <w:t>1.4-11</w:t>
      </w:r>
      <w:r>
        <w:rPr>
          <w:rFonts w:hint="default"/>
          <w:b/>
          <w:bCs/>
          <w:lang w:val="en-US" w:eastAsia="zh-CN"/>
        </w:rPr>
        <w:t xml:space="preserve">   与《2020年挥发性有机物治理攻坚方案》符合性分析</w:t>
      </w:r>
    </w:p>
    <w:tbl>
      <w:tblPr>
        <w:tblStyle w:val="12"/>
        <w:tblW w:w="85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211"/>
        <w:gridCol w:w="3713"/>
        <w:gridCol w:w="2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648" w:type="dxa"/>
            <w:noWrap w:val="0"/>
            <w:vAlign w:val="center"/>
          </w:tcPr>
          <w:p>
            <w:pPr>
              <w:pStyle w:val="17"/>
              <w:bidi w:val="0"/>
              <w:rPr>
                <w:rFonts w:hint="default"/>
                <w:b/>
                <w:bCs/>
                <w:lang w:eastAsia="zh-CN"/>
              </w:rPr>
            </w:pPr>
            <w:r>
              <w:rPr>
                <w:rFonts w:hint="default"/>
                <w:b/>
                <w:bCs/>
                <w:lang w:eastAsia="zh-CN"/>
              </w:rPr>
              <w:t>序号</w:t>
            </w:r>
          </w:p>
        </w:tc>
        <w:tc>
          <w:tcPr>
            <w:tcW w:w="1211" w:type="dxa"/>
            <w:noWrap w:val="0"/>
            <w:vAlign w:val="center"/>
          </w:tcPr>
          <w:p>
            <w:pPr>
              <w:pStyle w:val="17"/>
              <w:bidi w:val="0"/>
              <w:rPr>
                <w:rFonts w:hint="default"/>
                <w:b/>
                <w:bCs/>
                <w:lang w:eastAsia="zh-CN"/>
              </w:rPr>
            </w:pPr>
            <w:r>
              <w:rPr>
                <w:rFonts w:hint="default"/>
                <w:b/>
                <w:bCs/>
                <w:lang w:eastAsia="zh-CN"/>
              </w:rPr>
              <w:t>要求</w:t>
            </w:r>
          </w:p>
        </w:tc>
        <w:tc>
          <w:tcPr>
            <w:tcW w:w="3713" w:type="dxa"/>
            <w:noWrap w:val="0"/>
            <w:vAlign w:val="center"/>
          </w:tcPr>
          <w:p>
            <w:pPr>
              <w:pStyle w:val="17"/>
              <w:bidi w:val="0"/>
              <w:rPr>
                <w:rFonts w:hint="default"/>
                <w:b/>
                <w:bCs/>
                <w:lang w:eastAsia="zh-CN"/>
              </w:rPr>
            </w:pPr>
            <w:r>
              <w:rPr>
                <w:rFonts w:hint="default"/>
                <w:b/>
                <w:bCs/>
                <w:lang w:eastAsia="zh-CN"/>
              </w:rPr>
              <w:t>内容</w:t>
            </w:r>
          </w:p>
        </w:tc>
        <w:tc>
          <w:tcPr>
            <w:tcW w:w="2953" w:type="dxa"/>
            <w:noWrap w:val="0"/>
            <w:vAlign w:val="center"/>
          </w:tcPr>
          <w:p>
            <w:pPr>
              <w:pStyle w:val="17"/>
              <w:bidi w:val="0"/>
              <w:rPr>
                <w:rFonts w:hint="default"/>
                <w:b/>
                <w:bCs/>
                <w:lang w:eastAsia="zh-CN"/>
              </w:rPr>
            </w:pPr>
            <w:r>
              <w:rPr>
                <w:rFonts w:hint="default"/>
                <w:b/>
                <w:bCs/>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648" w:type="dxa"/>
            <w:noWrap w:val="0"/>
            <w:vAlign w:val="center"/>
          </w:tcPr>
          <w:p>
            <w:pPr>
              <w:pStyle w:val="17"/>
              <w:bidi w:val="0"/>
              <w:rPr>
                <w:rFonts w:hint="default"/>
                <w:lang w:val="en-US" w:eastAsia="zh-CN"/>
              </w:rPr>
            </w:pPr>
            <w:r>
              <w:rPr>
                <w:rFonts w:hint="default"/>
                <w:lang w:val="en-US" w:eastAsia="zh-CN"/>
              </w:rPr>
              <w:t>1</w:t>
            </w:r>
          </w:p>
        </w:tc>
        <w:tc>
          <w:tcPr>
            <w:tcW w:w="1211" w:type="dxa"/>
            <w:noWrap w:val="0"/>
            <w:vAlign w:val="center"/>
          </w:tcPr>
          <w:p>
            <w:pPr>
              <w:pStyle w:val="17"/>
              <w:bidi w:val="0"/>
              <w:rPr>
                <w:rFonts w:hint="default"/>
              </w:rPr>
            </w:pPr>
            <w:r>
              <w:rPr>
                <w:rFonts w:hint="default"/>
                <w:lang w:val="en-US" w:eastAsia="zh-CN"/>
              </w:rPr>
              <w:t>二、全面落实标准要求，强化无组织排放控制</w:t>
            </w:r>
          </w:p>
        </w:tc>
        <w:tc>
          <w:tcPr>
            <w:tcW w:w="3713" w:type="dxa"/>
            <w:noWrap w:val="0"/>
            <w:vAlign w:val="center"/>
          </w:tcPr>
          <w:p>
            <w:pPr>
              <w:pStyle w:val="17"/>
              <w:bidi w:val="0"/>
              <w:rPr>
                <w:rFonts w:hint="default"/>
              </w:rPr>
            </w:pPr>
            <w:r>
              <w:rPr>
                <w:rFonts w:hint="default"/>
                <w:lang w:val="en-US" w:eastAsia="zh-CN"/>
              </w:rPr>
              <w:t>生产和使用环节应采用密闭设备，或在密闭空间中操作并有效收集废气，或进行局部气体收集</w:t>
            </w:r>
          </w:p>
        </w:tc>
        <w:tc>
          <w:tcPr>
            <w:tcW w:w="2953" w:type="dxa"/>
            <w:noWrap w:val="0"/>
            <w:vAlign w:val="center"/>
          </w:tcPr>
          <w:p>
            <w:pPr>
              <w:pStyle w:val="17"/>
              <w:bidi w:val="0"/>
              <w:rPr>
                <w:rFonts w:hint="default"/>
              </w:rPr>
            </w:pPr>
            <w:r>
              <w:rPr>
                <w:rFonts w:hint="default"/>
                <w:lang w:val="en-US" w:eastAsia="zh-CN"/>
              </w:rPr>
              <w:t>本项目生产设备均位于车间内部，各个产气设施上方分别安装集气罩收集有机废气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648" w:type="dxa"/>
            <w:noWrap w:val="0"/>
            <w:vAlign w:val="center"/>
          </w:tcPr>
          <w:p>
            <w:pPr>
              <w:pStyle w:val="17"/>
              <w:bidi w:val="0"/>
              <w:rPr>
                <w:rFonts w:hint="default"/>
                <w:lang w:val="en-US" w:eastAsia="zh-CN"/>
              </w:rPr>
            </w:pPr>
            <w:r>
              <w:rPr>
                <w:rFonts w:hint="default"/>
                <w:lang w:val="en-US" w:eastAsia="zh-CN"/>
              </w:rPr>
              <w:t>2</w:t>
            </w:r>
          </w:p>
        </w:tc>
        <w:tc>
          <w:tcPr>
            <w:tcW w:w="1211" w:type="dxa"/>
            <w:vMerge w:val="restart"/>
            <w:noWrap w:val="0"/>
            <w:vAlign w:val="center"/>
          </w:tcPr>
          <w:p>
            <w:pPr>
              <w:pStyle w:val="17"/>
              <w:bidi w:val="0"/>
              <w:rPr>
                <w:rFonts w:hint="default"/>
              </w:rPr>
            </w:pPr>
            <w:r>
              <w:rPr>
                <w:rFonts w:hint="default"/>
                <w:lang w:val="en-US" w:eastAsia="zh-CN"/>
              </w:rPr>
              <w:t>三、聚焦治污设施“三率”，提升综合治理效率</w:t>
            </w:r>
          </w:p>
        </w:tc>
        <w:tc>
          <w:tcPr>
            <w:tcW w:w="3713" w:type="dxa"/>
            <w:noWrap w:val="0"/>
            <w:vAlign w:val="center"/>
          </w:tcPr>
          <w:p>
            <w:pPr>
              <w:pStyle w:val="17"/>
              <w:bidi w:val="0"/>
              <w:rPr>
                <w:rFonts w:hint="default"/>
              </w:rPr>
            </w:pPr>
            <w:r>
              <w:rPr>
                <w:rFonts w:hint="default"/>
                <w:lang w:val="en-US" w:eastAsia="zh-CN"/>
              </w:rPr>
              <w:t>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m/s</w:t>
            </w:r>
          </w:p>
        </w:tc>
        <w:tc>
          <w:tcPr>
            <w:tcW w:w="2953" w:type="dxa"/>
            <w:noWrap w:val="0"/>
            <w:vAlign w:val="center"/>
          </w:tcPr>
          <w:p>
            <w:pPr>
              <w:pStyle w:val="17"/>
              <w:bidi w:val="0"/>
              <w:rPr>
                <w:rFonts w:hint="default"/>
                <w:lang w:val="en-US" w:eastAsia="zh-CN"/>
              </w:rPr>
            </w:pPr>
            <w:r>
              <w:rPr>
                <w:rFonts w:hint="default"/>
                <w:lang w:val="en-US" w:eastAsia="zh-CN"/>
              </w:rPr>
              <w:t>本项目造粒、滴灌带和PE软带生产车间每条生产线设备上方分别安装集气罩进行VOCs收集（（风速</w:t>
            </w:r>
            <w:r>
              <w:rPr>
                <w:rFonts w:hint="eastAsia"/>
                <w:lang w:val="en-US" w:eastAsia="zh-CN"/>
              </w:rPr>
              <w:t>&gt;</w:t>
            </w:r>
            <w:r>
              <w:rPr>
                <w:rFonts w:hint="default"/>
                <w:lang w:val="en-US" w:eastAsia="zh-CN"/>
              </w:rPr>
              <w:t>0.</w:t>
            </w:r>
            <w:r>
              <w:rPr>
                <w:rFonts w:hint="eastAsia"/>
                <w:lang w:val="en-US" w:eastAsia="zh-CN"/>
              </w:rPr>
              <w:t>3</w:t>
            </w:r>
            <w:r>
              <w:rPr>
                <w:rFonts w:hint="default"/>
                <w:lang w:val="en-US" w:eastAsia="zh-CN"/>
              </w:rPr>
              <w:t>m/s），经收集的废气经过通风管道进入各自配套的</w:t>
            </w:r>
            <w:r>
              <w:rPr>
                <w:rFonts w:hint="default"/>
              </w:rPr>
              <w:t>“</w:t>
            </w:r>
            <w:r>
              <w:rPr>
                <w:rFonts w:hint="eastAsia"/>
                <w:lang w:eastAsia="zh-CN"/>
              </w:rPr>
              <w:t>等离子光氧一体机净化装置</w:t>
            </w:r>
            <w:r>
              <w:rPr>
                <w:rFonts w:hint="default"/>
              </w:rPr>
              <w:t>+活性炭吸附装置”</w:t>
            </w:r>
            <w:r>
              <w:rPr>
                <w:rFonts w:hint="default"/>
                <w:lang w:val="en-US" w:eastAsia="zh-CN"/>
              </w:rPr>
              <w:t>处理后通过15m高排气筒排放。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648" w:type="dxa"/>
            <w:noWrap w:val="0"/>
            <w:vAlign w:val="center"/>
          </w:tcPr>
          <w:p>
            <w:pPr>
              <w:pStyle w:val="17"/>
              <w:bidi w:val="0"/>
              <w:rPr>
                <w:rFonts w:hint="default"/>
                <w:lang w:val="en-US" w:eastAsia="zh-CN"/>
              </w:rPr>
            </w:pPr>
            <w:r>
              <w:rPr>
                <w:rFonts w:hint="default"/>
                <w:lang w:val="en-US" w:eastAsia="zh-CN"/>
              </w:rPr>
              <w:t>3</w:t>
            </w:r>
          </w:p>
        </w:tc>
        <w:tc>
          <w:tcPr>
            <w:tcW w:w="1211" w:type="dxa"/>
            <w:vMerge w:val="continue"/>
            <w:noWrap w:val="0"/>
            <w:vAlign w:val="center"/>
          </w:tcPr>
          <w:p>
            <w:pPr>
              <w:pStyle w:val="17"/>
              <w:bidi w:val="0"/>
              <w:rPr>
                <w:rFonts w:hint="default"/>
                <w:lang w:val="en-US" w:eastAsia="zh-CN"/>
              </w:rPr>
            </w:pPr>
          </w:p>
        </w:tc>
        <w:tc>
          <w:tcPr>
            <w:tcW w:w="3713" w:type="dxa"/>
            <w:noWrap w:val="0"/>
            <w:vAlign w:val="center"/>
          </w:tcPr>
          <w:p>
            <w:pPr>
              <w:pStyle w:val="17"/>
              <w:bidi w:val="0"/>
              <w:rPr>
                <w:rFonts w:hint="default"/>
                <w:lang w:val="en-US" w:eastAsia="zh-CN"/>
              </w:rPr>
            </w:pPr>
            <w:r>
              <w:rPr>
                <w:rFonts w:hint="default"/>
                <w:lang w:val="en-US" w:eastAsia="zh-CN"/>
              </w:rPr>
              <w:t>按照与生产设备“同启同停”的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w:t>
            </w:r>
          </w:p>
        </w:tc>
        <w:tc>
          <w:tcPr>
            <w:tcW w:w="2953" w:type="dxa"/>
            <w:noWrap w:val="0"/>
            <w:vAlign w:val="center"/>
          </w:tcPr>
          <w:p>
            <w:pPr>
              <w:pStyle w:val="17"/>
              <w:bidi w:val="0"/>
              <w:rPr>
                <w:rFonts w:hint="default"/>
                <w:lang w:val="en-US" w:eastAsia="zh-CN"/>
              </w:rPr>
            </w:pPr>
            <w:r>
              <w:rPr>
                <w:rFonts w:hint="default"/>
                <w:lang w:val="en-US" w:eastAsia="zh-CN"/>
              </w:rPr>
              <w:t>建设单位应严格按照“同启同停”的原则进行生产。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jc w:val="center"/>
        </w:trPr>
        <w:tc>
          <w:tcPr>
            <w:tcW w:w="648" w:type="dxa"/>
            <w:noWrap w:val="0"/>
            <w:vAlign w:val="center"/>
          </w:tcPr>
          <w:p>
            <w:pPr>
              <w:pStyle w:val="17"/>
              <w:bidi w:val="0"/>
              <w:rPr>
                <w:rFonts w:hint="default"/>
                <w:lang w:val="en-US" w:eastAsia="zh-CN"/>
              </w:rPr>
            </w:pPr>
            <w:r>
              <w:rPr>
                <w:rFonts w:hint="default"/>
                <w:lang w:val="en-US" w:eastAsia="zh-CN"/>
              </w:rPr>
              <w:t>4</w:t>
            </w:r>
          </w:p>
        </w:tc>
        <w:tc>
          <w:tcPr>
            <w:tcW w:w="1211" w:type="dxa"/>
            <w:vMerge w:val="continue"/>
            <w:noWrap w:val="0"/>
            <w:vAlign w:val="center"/>
          </w:tcPr>
          <w:p>
            <w:pPr>
              <w:pStyle w:val="17"/>
              <w:bidi w:val="0"/>
              <w:rPr>
                <w:rFonts w:hint="default"/>
              </w:rPr>
            </w:pPr>
          </w:p>
        </w:tc>
        <w:tc>
          <w:tcPr>
            <w:tcW w:w="3713" w:type="dxa"/>
            <w:noWrap w:val="0"/>
            <w:vAlign w:val="center"/>
          </w:tcPr>
          <w:p>
            <w:pPr>
              <w:pStyle w:val="17"/>
              <w:bidi w:val="0"/>
              <w:rPr>
                <w:rFonts w:hint="default"/>
              </w:rPr>
            </w:pPr>
            <w:r>
              <w:rPr>
                <w:rFonts w:hint="default"/>
                <w:lang w:val="en-US" w:eastAsia="zh-CN"/>
              </w:rPr>
              <w:t>采用活性炭吸附技术的，应选择碘值不低于800mg/g的活性炭，并按设计要求足量添加、及时更换</w:t>
            </w:r>
          </w:p>
        </w:tc>
        <w:tc>
          <w:tcPr>
            <w:tcW w:w="2953" w:type="dxa"/>
            <w:noWrap w:val="0"/>
            <w:vAlign w:val="center"/>
          </w:tcPr>
          <w:p>
            <w:pPr>
              <w:pStyle w:val="17"/>
              <w:bidi w:val="0"/>
              <w:rPr>
                <w:rFonts w:hint="default"/>
              </w:rPr>
            </w:pPr>
            <w:r>
              <w:rPr>
                <w:rFonts w:hint="default"/>
                <w:lang w:val="en-US" w:eastAsia="zh-CN"/>
              </w:rPr>
              <w:t>本项目选用大于碘值800mg/g的活性炭，并及时更换</w:t>
            </w:r>
          </w:p>
        </w:tc>
      </w:tr>
    </w:tbl>
    <w:p>
      <w:pPr>
        <w:pStyle w:val="5"/>
        <w:bidi w:val="0"/>
        <w:rPr>
          <w:rFonts w:hint="default" w:eastAsia="宋体"/>
          <w:lang w:val="en-US" w:eastAsia="zh-CN"/>
        </w:rPr>
      </w:pPr>
      <w:r>
        <w:rPr>
          <w:rFonts w:hint="default"/>
        </w:rPr>
        <w:t>1.4.6</w:t>
      </w:r>
      <w:r>
        <w:rPr>
          <w:rFonts w:hint="eastAsia"/>
          <w:lang w:eastAsia="zh-CN"/>
        </w:rPr>
        <w:t>、</w:t>
      </w:r>
      <w:r>
        <w:rPr>
          <w:rFonts w:hint="eastAsia"/>
          <w:lang w:val="en-US" w:eastAsia="zh-CN"/>
        </w:rPr>
        <w:t>与</w:t>
      </w:r>
      <w:r>
        <w:rPr>
          <w:rFonts w:hint="eastAsia"/>
          <w:lang w:eastAsia="zh-CN"/>
        </w:rPr>
        <w:t>“</w:t>
      </w:r>
      <w:r>
        <w:rPr>
          <w:rFonts w:hint="eastAsia"/>
          <w:lang w:val="en-US" w:eastAsia="zh-CN"/>
        </w:rPr>
        <w:t>三线一单</w:t>
      </w:r>
      <w:r>
        <w:rPr>
          <w:rFonts w:hint="eastAsia"/>
          <w:lang w:eastAsia="zh-CN"/>
        </w:rPr>
        <w:t>”</w:t>
      </w:r>
      <w:r>
        <w:rPr>
          <w:rFonts w:hint="eastAsia"/>
          <w:lang w:val="en-US" w:eastAsia="zh-CN"/>
        </w:rPr>
        <w:t>符合性分析</w:t>
      </w:r>
    </w:p>
    <w:p>
      <w:pPr>
        <w:keepNext w:val="0"/>
        <w:keepLines w:val="0"/>
        <w:suppressLineNumbers w:val="0"/>
        <w:spacing w:before="0" w:beforeAutospacing="0" w:after="0" w:afterAutospacing="0"/>
        <w:ind w:left="0" w:right="0" w:firstLine="480"/>
        <w:rPr>
          <w:rFonts w:hint="eastAsia"/>
          <w:color w:val="auto"/>
        </w:rPr>
      </w:pPr>
      <w:r>
        <w:rPr>
          <w:rFonts w:hint="eastAsia"/>
          <w:color w:val="auto"/>
        </w:rPr>
        <w:t>根据《新疆维吾尔自治区“三线一单”生态环境分区管控方案》（新政发〔2021〕18号），“三线一单”生态环境分区管控基本原则为：（一）坚持底线思维：落实最严格的环境保护制度，坚持生态环境质量只能改善、不能变差，生产生活不突破生态保护红线，开发建设不突破资源环境承载力，确保生态环境安全。（二）坚持分类管控：以改善环境质量为核心，建立以环境管控单元为基础的生态环境分区管控体系；针对不同环境管控单元特征，分别提出管控要求，实施差异化环境准入，促进环境管理精准化。（三）坚持统筹实施：按照自治区统筹，上下联动、区域协同的原则，与区域发展和国土空间规划等相衔接，统筹推进落实“三线一单”管控要求；结合经济社会发展和生态环境改善的新形势新任务新要求，定期评估、动态更新调整。</w:t>
      </w:r>
    </w:p>
    <w:p>
      <w:pPr>
        <w:bidi w:val="0"/>
        <w:rPr>
          <w:rFonts w:hint="default"/>
        </w:rPr>
      </w:pPr>
      <w:r>
        <w:rPr>
          <w:rFonts w:hint="default"/>
        </w:rPr>
        <w:t>（1）生态保护红线</w:t>
      </w:r>
    </w:p>
    <w:p>
      <w:pPr>
        <w:keepNext w:val="0"/>
        <w:keepLines w:val="0"/>
        <w:suppressLineNumbers w:val="0"/>
        <w:spacing w:before="0" w:beforeAutospacing="0" w:after="0" w:afterAutospacing="0"/>
        <w:ind w:left="0" w:right="0" w:firstLine="480"/>
        <w:rPr>
          <w:rFonts w:hint="eastAsia"/>
          <w:color w:val="auto"/>
        </w:rPr>
      </w:pPr>
      <w:r>
        <w:rPr>
          <w:rFonts w:hint="eastAsia"/>
          <w:color w:val="auto"/>
        </w:rPr>
        <w:t>生态保护红线，按照“生态功能不降低、面积不减少、性质不改变”的基本要求，对划定的生态保护红线实施严格管控，保障和维护国家生态安全的底线和生命线。</w:t>
      </w:r>
    </w:p>
    <w:p>
      <w:pPr>
        <w:bidi w:val="0"/>
        <w:rPr>
          <w:rFonts w:hint="default"/>
        </w:rPr>
      </w:pPr>
      <w:r>
        <w:rPr>
          <w:rFonts w:hint="default"/>
        </w:rPr>
        <w:t>项目所在地属工业内</w:t>
      </w:r>
      <w:r>
        <w:rPr>
          <w:rFonts w:hint="eastAsia"/>
          <w:lang w:val="en-US" w:eastAsia="zh-CN"/>
        </w:rPr>
        <w:t>建设用地</w:t>
      </w:r>
      <w:r>
        <w:rPr>
          <w:rFonts w:hint="default"/>
        </w:rPr>
        <w:t>，区域生态服务功能主要是</w:t>
      </w:r>
      <w:r>
        <w:rPr>
          <w:rFonts w:hint="eastAsia"/>
        </w:rPr>
        <w:t>工农畜产品生产、人居环境、荒漠化控制</w:t>
      </w:r>
      <w:r>
        <w:rPr>
          <w:rFonts w:hint="default"/>
        </w:rPr>
        <w:t>。根据《建设项目环境影响评价分类管理名录》中关于环境敏感因素的界定，经调查建设项目选址不属于特殊保护地区、社会关注区和特殊地貌景观区，也无重点保护生态品种及濒危生物物种，文物古迹等，区域环境敏感因素较少。本项目不涉及生态保护红线。</w:t>
      </w:r>
    </w:p>
    <w:p>
      <w:pPr>
        <w:bidi w:val="0"/>
        <w:rPr>
          <w:rFonts w:hint="default"/>
        </w:rPr>
      </w:pPr>
      <w:r>
        <w:rPr>
          <w:rFonts w:hint="default"/>
        </w:rPr>
        <w:t>（2）环境质量底线</w:t>
      </w:r>
    </w:p>
    <w:p>
      <w:pPr>
        <w:keepNext w:val="0"/>
        <w:keepLines w:val="0"/>
        <w:suppressLineNumbers w:val="0"/>
        <w:spacing w:before="0" w:beforeAutospacing="0" w:after="0" w:afterAutospacing="0"/>
        <w:ind w:left="0" w:right="0" w:firstLine="480"/>
        <w:rPr>
          <w:rFonts w:hint="default"/>
        </w:rPr>
      </w:pPr>
      <w:r>
        <w:rPr>
          <w:rFonts w:hint="eastAsia"/>
          <w:color w:val="auto"/>
        </w:rPr>
        <w:t>环境质量底线，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p>
      <w:pPr>
        <w:bidi w:val="0"/>
        <w:rPr>
          <w:rFonts w:hint="default"/>
        </w:rPr>
      </w:pPr>
      <w:r>
        <w:rPr>
          <w:rFonts w:hint="default"/>
        </w:rPr>
        <w:t>根据</w:t>
      </w:r>
      <w:r>
        <w:rPr>
          <w:rFonts w:hint="eastAsia"/>
          <w:lang w:val="en-US" w:eastAsia="zh-CN"/>
        </w:rPr>
        <w:t>主管部门发布的</w:t>
      </w:r>
      <w:r>
        <w:rPr>
          <w:rFonts w:hint="default"/>
        </w:rPr>
        <w:t>区域内大气历史监测数据，本项目选址区域SO</w:t>
      </w:r>
      <w:r>
        <w:rPr>
          <w:rFonts w:hint="default"/>
          <w:vertAlign w:val="subscript"/>
        </w:rPr>
        <w:t>2</w:t>
      </w:r>
      <w:r>
        <w:rPr>
          <w:rFonts w:hint="default"/>
        </w:rPr>
        <w:t>、NO</w:t>
      </w:r>
      <w:r>
        <w:rPr>
          <w:rFonts w:hint="default"/>
          <w:vertAlign w:val="subscript"/>
        </w:rPr>
        <w:t>2</w:t>
      </w:r>
      <w:r>
        <w:rPr>
          <w:rFonts w:hint="default"/>
        </w:rPr>
        <w:t>、CO和O</w:t>
      </w:r>
      <w:r>
        <w:rPr>
          <w:rFonts w:hint="default"/>
          <w:vertAlign w:val="subscript"/>
        </w:rPr>
        <w:t>3</w:t>
      </w:r>
      <w:r>
        <w:rPr>
          <w:rFonts w:hint="default"/>
        </w:rPr>
        <w:t>达到《环境空气质量标准》（GB3095-2012）二级标准，但PM</w:t>
      </w:r>
      <w:r>
        <w:rPr>
          <w:rFonts w:hint="default"/>
          <w:vertAlign w:val="subscript"/>
        </w:rPr>
        <w:t>10</w:t>
      </w:r>
      <w:r>
        <w:rPr>
          <w:rFonts w:hint="default"/>
        </w:rPr>
        <w:t>、</w:t>
      </w:r>
      <w:r>
        <w:rPr>
          <w:rFonts w:hint="eastAsia"/>
          <w:lang w:eastAsia="zh-CN"/>
        </w:rPr>
        <w:t>PM</w:t>
      </w:r>
      <w:r>
        <w:rPr>
          <w:rFonts w:hint="eastAsia"/>
          <w:vertAlign w:val="subscript"/>
          <w:lang w:eastAsia="zh-CN"/>
        </w:rPr>
        <w:t>2</w:t>
      </w:r>
      <w:r>
        <w:rPr>
          <w:rFonts w:hint="default"/>
          <w:vertAlign w:val="subscript"/>
        </w:rPr>
        <w:t>.5</w:t>
      </w:r>
      <w:r>
        <w:rPr>
          <w:rFonts w:hint="default"/>
        </w:rPr>
        <w:t>均有不同程度超标，项目所在区域环境空气质量判定为不达标区；根据引用区域内地下水历史监测数据，由监测结果可知，项目周围地下水监测因子质量均达到《地下水质量标准》（GB/T14848-2017）中Ⅲ类标准；根据</w:t>
      </w:r>
      <w:r>
        <w:rPr>
          <w:rFonts w:hint="eastAsia"/>
          <w:lang w:val="en-US" w:eastAsia="zh-CN"/>
        </w:rPr>
        <w:t>新疆正则环宇检测科技有限公司</w:t>
      </w:r>
      <w:r>
        <w:rPr>
          <w:rFonts w:hint="default"/>
        </w:rPr>
        <w:t>对本项目拟建场址四周进行的声环境质量监测，监测结果</w:t>
      </w:r>
      <w:r>
        <w:rPr>
          <w:rFonts w:hint="default"/>
          <w:lang w:val="en-US"/>
        </w:rPr>
        <w:t>表明</w:t>
      </w:r>
      <w:r>
        <w:rPr>
          <w:rFonts w:hint="default"/>
        </w:rPr>
        <w:t>场址所在地声环境质量达到《声环境质量标准》（GB3096-2008）中</w:t>
      </w:r>
      <w:r>
        <w:rPr>
          <w:rFonts w:hint="eastAsia"/>
          <w:lang w:val="en-US" w:eastAsia="zh-CN"/>
        </w:rPr>
        <w:t>2</w:t>
      </w:r>
      <w:r>
        <w:rPr>
          <w:rFonts w:hint="default"/>
        </w:rPr>
        <w:t>类标准。因此，根据环境质量现状监测结果可知，项目区域尚有一定的环境容量。</w:t>
      </w:r>
    </w:p>
    <w:p>
      <w:pPr>
        <w:bidi w:val="0"/>
        <w:rPr>
          <w:rFonts w:hint="default"/>
        </w:rPr>
      </w:pPr>
      <w:r>
        <w:rPr>
          <w:rFonts w:hint="default"/>
        </w:rPr>
        <w:t>本项目采用电</w:t>
      </w:r>
      <w:r>
        <w:rPr>
          <w:rFonts w:hint="eastAsia"/>
          <w:lang w:val="en-US" w:eastAsia="zh-CN"/>
        </w:rPr>
        <w:t>能加热</w:t>
      </w:r>
      <w:r>
        <w:rPr>
          <w:rFonts w:hint="default"/>
        </w:rPr>
        <w:t>作为热源，最大限度减少SO</w:t>
      </w:r>
      <w:r>
        <w:rPr>
          <w:rFonts w:hint="default"/>
          <w:vertAlign w:val="subscript"/>
        </w:rPr>
        <w:t>2</w:t>
      </w:r>
      <w:r>
        <w:rPr>
          <w:rFonts w:hint="default"/>
        </w:rPr>
        <w:t>、NO</w:t>
      </w:r>
      <w:r>
        <w:rPr>
          <w:rFonts w:hint="default"/>
          <w:vertAlign w:val="subscript"/>
        </w:rPr>
        <w:t>x</w:t>
      </w:r>
      <w:r>
        <w:rPr>
          <w:rFonts w:hint="default"/>
        </w:rPr>
        <w:t>、烟尘等常规污染物的产生量，项目排放的大气污染物主要为非甲烷总烃和粉尘，有组织废气和无组织废气均采用了成熟可行的措施进行收集。项目生产废水经沉淀池沉淀过滤处理后回用于原料清洗、喷淋和冷却，不外排；生活污水</w:t>
      </w:r>
      <w:r>
        <w:rPr>
          <w:rFonts w:hint="eastAsia"/>
          <w:lang w:val="en-US" w:eastAsia="zh-CN"/>
        </w:rPr>
        <w:t>抽运至吉木萨尔县二工镇污水处理厂</w:t>
      </w:r>
      <w:r>
        <w:rPr>
          <w:rFonts w:hint="default"/>
        </w:rPr>
        <w:t>，不会对周围水环境造成影响。设备运行产生的噪声采用优先选用低噪声设备、隔声减振、厂房隔声、合理布局等措施，可有效降低噪声产生；固废定期清运至</w:t>
      </w:r>
      <w:r>
        <w:rPr>
          <w:rFonts w:hint="eastAsia"/>
          <w:lang w:eastAsia="zh-CN"/>
        </w:rPr>
        <w:t>吉木萨尔县</w:t>
      </w:r>
      <w:r>
        <w:rPr>
          <w:rFonts w:hint="eastAsia"/>
          <w:lang w:val="en-US" w:eastAsia="zh-CN"/>
        </w:rPr>
        <w:t>生活垃圾填埋场卫生</w:t>
      </w:r>
      <w:r>
        <w:rPr>
          <w:rFonts w:hint="default"/>
        </w:rPr>
        <w:t>填埋，生活垃圾委托环卫部门定期清运，所有固体废物均有明确去向，规范处置。采取本环评提出的相关环保措施后，本项目污染物排放不会明显影响区域环境质量底线。</w:t>
      </w:r>
    </w:p>
    <w:p>
      <w:pPr>
        <w:bidi w:val="0"/>
        <w:rPr>
          <w:rFonts w:hint="default"/>
        </w:rPr>
      </w:pPr>
      <w:r>
        <w:rPr>
          <w:rFonts w:hint="default"/>
        </w:rPr>
        <w:t>（3）资源利用上线</w:t>
      </w:r>
    </w:p>
    <w:p>
      <w:pPr>
        <w:keepNext w:val="0"/>
        <w:keepLines w:val="0"/>
        <w:suppressLineNumbers w:val="0"/>
        <w:spacing w:before="0" w:beforeAutospacing="0" w:after="0" w:afterAutospacing="0"/>
        <w:ind w:left="0" w:right="0" w:firstLine="480"/>
        <w:rPr>
          <w:rFonts w:hint="default"/>
        </w:rPr>
      </w:pPr>
      <w:r>
        <w:rPr>
          <w:rFonts w:hint="eastAsia"/>
          <w:color w:val="auto"/>
        </w:rPr>
        <w:t>资源利用上线，强化节约集约利用，持续提升资源能源利用效率，水资源、土地资源、能源消耗等达到国家、自治区下达的总量和强度控制目标。加快区域低碳发展，积极推动乌鲁木齐市、昌吉市、伊宁市、和田市等4个国家级低碳试点城市发挥低碳试点示范和引领作用。</w:t>
      </w:r>
    </w:p>
    <w:p>
      <w:pPr>
        <w:bidi w:val="0"/>
        <w:rPr>
          <w:rFonts w:hint="default"/>
        </w:rPr>
      </w:pPr>
      <w:r>
        <w:rPr>
          <w:rFonts w:hint="default"/>
        </w:rPr>
        <w:t>本项目运营过程中所用的资源主要为水，废塑料，原料来源广。项目运营期产品由收集的废塑料再生造粒，生产</w:t>
      </w:r>
      <w:r>
        <w:rPr>
          <w:rFonts w:hint="eastAsia"/>
          <w:lang w:val="en-US" w:eastAsia="zh-CN"/>
        </w:rPr>
        <w:t>农用</w:t>
      </w:r>
      <w:r>
        <w:rPr>
          <w:rFonts w:hint="default"/>
        </w:rPr>
        <w:t>滴灌带、地膜和</w:t>
      </w:r>
      <w:r>
        <w:rPr>
          <w:rFonts w:hint="default"/>
          <w:lang w:eastAsia="zh-CN"/>
        </w:rPr>
        <w:t>PE管材</w:t>
      </w:r>
      <w:r>
        <w:rPr>
          <w:rFonts w:hint="default"/>
        </w:rPr>
        <w:t>，废塑料得以有效利用，符合资源利用上线要求。</w:t>
      </w:r>
    </w:p>
    <w:p>
      <w:pPr>
        <w:bidi w:val="0"/>
        <w:rPr>
          <w:rFonts w:hint="default" w:eastAsia="宋体"/>
          <w:lang w:val="en-US" w:eastAsia="zh-CN"/>
        </w:rPr>
      </w:pPr>
      <w:r>
        <w:rPr>
          <w:rFonts w:hint="default"/>
        </w:rPr>
        <w:t>（4）</w:t>
      </w:r>
      <w:r>
        <w:rPr>
          <w:rFonts w:hint="eastAsia"/>
          <w:lang w:val="en-US" w:eastAsia="zh-CN"/>
        </w:rPr>
        <w:t>生态环境准入清单</w:t>
      </w:r>
    </w:p>
    <w:p>
      <w:pPr>
        <w:keepNext w:val="0"/>
        <w:keepLines w:val="0"/>
        <w:suppressLineNumbers w:val="0"/>
        <w:spacing w:before="0" w:beforeAutospacing="0" w:after="0" w:afterAutospacing="0"/>
        <w:ind w:left="0" w:right="0" w:firstLine="480"/>
        <w:rPr>
          <w:rFonts w:hint="eastAsia"/>
          <w:color w:val="auto"/>
        </w:rPr>
      </w:pPr>
      <w:r>
        <w:rPr>
          <w:rFonts w:hint="eastAsia"/>
          <w:color w:val="auto"/>
        </w:rPr>
        <w:t>项目符合产业政策，且项目所在地不属于《新疆维吾尔自治区28个国家重点生态功能区县（市）产业准入负面清单（试行）》和《新疆维吾尔自治区17个新增纳入国家重点生态功能区县（市）产业准入负面清单（试行）》；同时项目不属于园区规划内的环境准入负面清单内，故可认定，项目符合生态环境准入清单。</w:t>
      </w:r>
    </w:p>
    <w:p>
      <w:pPr>
        <w:bidi w:val="0"/>
        <w:rPr>
          <w:rFonts w:hint="default" w:eastAsia="宋体"/>
          <w:lang w:val="en-US" w:eastAsia="zh-CN"/>
        </w:rPr>
      </w:pPr>
      <w:r>
        <w:rPr>
          <w:rFonts w:hint="eastAsia"/>
          <w:lang w:eastAsia="zh-CN"/>
        </w:rPr>
        <w:t>（</w:t>
      </w:r>
      <w:r>
        <w:rPr>
          <w:rFonts w:hint="eastAsia"/>
          <w:lang w:val="en-US" w:eastAsia="zh-CN"/>
        </w:rPr>
        <w:t>5</w:t>
      </w:r>
      <w:r>
        <w:rPr>
          <w:rFonts w:hint="eastAsia"/>
          <w:lang w:eastAsia="zh-CN"/>
        </w:rPr>
        <w:t>）</w:t>
      </w:r>
      <w:r>
        <w:rPr>
          <w:rFonts w:hint="default" w:ascii="Times New Roman" w:hAnsi="Times New Roman" w:eastAsia="宋体" w:cs="Times New Roman"/>
          <w:color w:val="auto"/>
          <w:lang w:val="en-US" w:eastAsia="zh-CN"/>
        </w:rPr>
        <w:t>《昌吉回族自治州“三线一单”生态环境分区管控方案》</w:t>
      </w:r>
      <w:r>
        <w:rPr>
          <w:rFonts w:hint="eastAsia" w:cs="Times New Roman"/>
          <w:color w:val="auto"/>
          <w:lang w:val="en-US" w:eastAsia="zh-CN"/>
        </w:rPr>
        <w:t>生态环境分区管控划分与落实</w:t>
      </w:r>
    </w:p>
    <w:p>
      <w:pPr>
        <w:pStyle w:val="34"/>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w:t>
      </w:r>
      <w:r>
        <w:rPr>
          <w:rFonts w:hint="default" w:ascii="Times New Roman" w:hAnsi="Times New Roman" w:eastAsia="宋体" w:cs="Times New Roman"/>
          <w:color w:val="auto"/>
          <w:lang w:val="en-US" w:eastAsia="zh-CN"/>
        </w:rPr>
        <w:t>昌吉州吉木萨尔县环境管控单元生态环境准入清单</w:t>
      </w:r>
      <w:r>
        <w:rPr>
          <w:rFonts w:hint="eastAsia" w:ascii="Times New Roman" w:hAnsi="Times New Roman" w:eastAsia="宋体" w:cs="Times New Roman"/>
          <w:color w:val="auto"/>
          <w:lang w:val="en-US" w:eastAsia="zh-CN"/>
        </w:rPr>
        <w:t>，本项目</w:t>
      </w:r>
      <w:r>
        <w:rPr>
          <w:rFonts w:hint="default" w:ascii="Times New Roman" w:hAnsi="Times New Roman" w:eastAsia="宋体" w:cs="Times New Roman"/>
          <w:color w:val="auto"/>
          <w:lang w:val="en-US" w:eastAsia="zh-CN"/>
        </w:rPr>
        <w:t>属重点管控单元</w:t>
      </w:r>
      <w:r>
        <w:rPr>
          <w:rFonts w:hint="eastAsia" w:ascii="Times New Roman" w:hAnsi="Times New Roman" w:eastAsia="宋体" w:cs="Times New Roman"/>
          <w:color w:val="auto"/>
          <w:lang w:val="en-US" w:eastAsia="zh-CN"/>
        </w:rPr>
        <w:t>，所在区域</w:t>
      </w:r>
      <w:r>
        <w:rPr>
          <w:rFonts w:hint="default" w:ascii="Times New Roman" w:hAnsi="Times New Roman" w:eastAsia="宋体" w:cs="Times New Roman"/>
          <w:color w:val="auto"/>
          <w:lang w:val="en-US" w:eastAsia="zh-CN"/>
        </w:rPr>
        <w:t>的准入要求</w:t>
      </w:r>
      <w:r>
        <w:rPr>
          <w:rFonts w:hint="eastAsia" w:ascii="Times New Roman" w:hAnsi="Times New Roman" w:eastAsia="宋体" w:cs="Times New Roman"/>
          <w:color w:val="auto"/>
          <w:lang w:val="en-US" w:eastAsia="zh-CN"/>
        </w:rPr>
        <w:t>包括：</w:t>
      </w:r>
    </w:p>
    <w:p>
      <w:pPr>
        <w:pStyle w:val="34"/>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1）空间布局约束：</w:t>
      </w:r>
    </w:p>
    <w:p>
      <w:pPr>
        <w:pStyle w:val="34"/>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仿宋" w:hAnsi="仿宋" w:eastAsia="仿宋" w:cs="仿宋"/>
          <w:color w:val="auto"/>
          <w:lang w:val="en-US" w:eastAsia="zh-CN"/>
        </w:rPr>
        <w:t>①</w:t>
      </w:r>
      <w:r>
        <w:rPr>
          <w:rFonts w:hint="default" w:ascii="Times New Roman" w:hAnsi="Times New Roman" w:eastAsia="宋体" w:cs="Times New Roman"/>
          <w:color w:val="auto"/>
          <w:lang w:val="en-US" w:eastAsia="zh-CN"/>
        </w:rPr>
        <w:t>执行自治区总体准入要求中关于重点管控单元空间布局约束的准入要求（表2-3A6.1）。</w:t>
      </w:r>
    </w:p>
    <w:p>
      <w:pPr>
        <w:pStyle w:val="34"/>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仿宋" w:hAnsi="仿宋" w:eastAsia="仿宋" w:cs="仿宋"/>
          <w:color w:val="auto"/>
          <w:lang w:val="en-US" w:eastAsia="zh-CN"/>
        </w:rPr>
        <w:t>②</w:t>
      </w:r>
      <w:r>
        <w:rPr>
          <w:rFonts w:hint="default" w:ascii="Times New Roman" w:hAnsi="Times New Roman" w:eastAsia="宋体" w:cs="Times New Roman"/>
          <w:color w:val="auto"/>
          <w:lang w:val="en-US" w:eastAsia="zh-CN"/>
        </w:rPr>
        <w:t>城市建成区原则上不再新建每小时35蒸吨以下燃煤锅炉。</w:t>
      </w:r>
    </w:p>
    <w:p>
      <w:pPr>
        <w:pStyle w:val="34"/>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仿宋" w:hAnsi="仿宋" w:eastAsia="仿宋" w:cs="仿宋"/>
          <w:color w:val="auto"/>
          <w:lang w:val="en-US" w:eastAsia="zh-CN"/>
        </w:rPr>
        <w:t>③</w:t>
      </w:r>
      <w:r>
        <w:rPr>
          <w:rFonts w:hint="default" w:ascii="Times New Roman" w:hAnsi="Times New Roman" w:eastAsia="宋体" w:cs="Times New Roman"/>
          <w:color w:val="auto"/>
          <w:lang w:val="en-US" w:eastAsia="zh-CN"/>
        </w:rPr>
        <w:t>禁止在居民住宅区等人口密集区域和机关、医院、学校、幼儿园、养老院等其他需要特殊保护的区域及其周边，新建、改建和扩建易产生恶臭气体的生产项目，或者从事其他产生恶臭气体的生产经营活动。</w:t>
      </w:r>
    </w:p>
    <w:p>
      <w:pPr>
        <w:pStyle w:val="34"/>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仿宋" w:hAnsi="仿宋" w:eastAsia="仿宋" w:cs="仿宋"/>
          <w:color w:val="auto"/>
          <w:lang w:val="en-US" w:eastAsia="zh-CN"/>
        </w:rPr>
        <w:t>④</w:t>
      </w:r>
      <w:r>
        <w:rPr>
          <w:rFonts w:hint="default" w:ascii="Times New Roman" w:hAnsi="Times New Roman" w:eastAsia="宋体" w:cs="Times New Roman"/>
          <w:color w:val="auto"/>
          <w:lang w:val="en-US" w:eastAsia="zh-CN"/>
        </w:rPr>
        <w:t>禁止在集中供热管网覆盖地区新建、扩建分散燃煤供热锅炉。</w:t>
      </w:r>
    </w:p>
    <w:p>
      <w:pPr>
        <w:pStyle w:val="34"/>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2）污染物排放管控：</w:t>
      </w:r>
    </w:p>
    <w:p>
      <w:pPr>
        <w:pStyle w:val="34"/>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仿宋" w:hAnsi="仿宋" w:eastAsia="仿宋" w:cs="仿宋"/>
          <w:color w:val="auto"/>
          <w:lang w:val="en-US" w:eastAsia="zh-CN"/>
        </w:rPr>
        <w:t>①</w:t>
      </w:r>
      <w:r>
        <w:rPr>
          <w:rFonts w:hint="default" w:ascii="Times New Roman" w:hAnsi="Times New Roman" w:eastAsia="宋体" w:cs="Times New Roman"/>
          <w:color w:val="auto"/>
          <w:lang w:val="en-US" w:eastAsia="zh-CN"/>
        </w:rPr>
        <w:t>执行自治区总体准入要求中关于重点管控单元污染物排放管控的准入要求（表2-3 A6.2）。</w:t>
      </w:r>
    </w:p>
    <w:p>
      <w:pPr>
        <w:pStyle w:val="34"/>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仿宋" w:hAnsi="仿宋" w:eastAsia="仿宋" w:cs="仿宋"/>
          <w:color w:val="auto"/>
          <w:lang w:val="en-US" w:eastAsia="zh-CN"/>
        </w:rPr>
        <w:t>②</w:t>
      </w:r>
      <w:r>
        <w:rPr>
          <w:rFonts w:hint="default" w:ascii="Times New Roman" w:hAnsi="Times New Roman" w:eastAsia="宋体" w:cs="Times New Roman"/>
          <w:color w:val="auto"/>
          <w:lang w:val="en-US" w:eastAsia="zh-CN"/>
        </w:rPr>
        <w:t>PM</w:t>
      </w:r>
      <w:r>
        <w:rPr>
          <w:rFonts w:hint="default" w:ascii="Times New Roman" w:hAnsi="Times New Roman" w:eastAsia="宋体" w:cs="Times New Roman"/>
          <w:color w:val="auto"/>
          <w:vertAlign w:val="subscript"/>
          <w:lang w:val="en-US" w:eastAsia="zh-CN"/>
        </w:rPr>
        <w:t>2.5</w:t>
      </w:r>
      <w:r>
        <w:rPr>
          <w:rFonts w:hint="default" w:ascii="Times New Roman" w:hAnsi="Times New Roman" w:eastAsia="宋体" w:cs="Times New Roman"/>
          <w:color w:val="auto"/>
          <w:lang w:val="en-US" w:eastAsia="zh-CN"/>
        </w:rPr>
        <w:t>年平均浓度不达标县市（园区），禁止新（改、扩）建未落实SO</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、NOx、烟粉尘、挥发性有机物（VOCs）等四项大气污染物总量指标昌吉州区域内倍量替代的项目。</w:t>
      </w:r>
    </w:p>
    <w:p>
      <w:pPr>
        <w:bidi w:val="0"/>
        <w:rPr>
          <w:rFonts w:hint="default"/>
        </w:rPr>
      </w:pPr>
      <w:r>
        <w:rPr>
          <w:rFonts w:hint="eastAsia" w:ascii="仿宋" w:hAnsi="仿宋" w:eastAsia="仿宋" w:cs="仿宋"/>
          <w:color w:val="auto"/>
          <w:lang w:val="en-US" w:eastAsia="zh-CN"/>
        </w:rPr>
        <w:t>③</w:t>
      </w:r>
      <w:r>
        <w:rPr>
          <w:rFonts w:hint="default" w:ascii="Times New Roman" w:hAnsi="Times New Roman" w:eastAsia="宋体" w:cs="Times New Roman"/>
          <w:color w:val="auto"/>
          <w:lang w:val="en-US" w:eastAsia="zh-CN"/>
        </w:rPr>
        <w:t>施工工地全面落实“六个百分之百”（施工工地周边围挡、物料堆放覆盖、出入车辆冲洗、施工现场地面硬化、拆迁工地湿法作业、渣土车辆密闭运输）。</w:t>
      </w:r>
    </w:p>
    <w:p>
      <w:pPr>
        <w:bidi w:val="0"/>
        <w:rPr>
          <w:rFonts w:hint="default" w:eastAsia="宋体"/>
          <w:lang w:val="en-US" w:eastAsia="zh-CN"/>
        </w:rPr>
      </w:pPr>
      <w:r>
        <w:rPr>
          <w:rFonts w:hint="eastAsia"/>
          <w:lang w:val="en-US" w:eastAsia="zh-CN"/>
        </w:rPr>
        <w:t>项目选址位于吉木萨尔县二工镇大泉湖村，</w:t>
      </w:r>
      <w:r>
        <w:rPr>
          <w:rFonts w:hint="eastAsia" w:ascii="Times New Roman" w:hAnsi="Times New Roman" w:eastAsia="宋体" w:cs="Times New Roman"/>
          <w:color w:val="auto"/>
          <w:lang w:val="en-US" w:eastAsia="zh-CN"/>
        </w:rPr>
        <w:t>项目生产不设燃煤锅炉，生产采用电加热，生活均采用电采暖，</w:t>
      </w:r>
      <w:r>
        <w:rPr>
          <w:rFonts w:hint="default" w:ascii="Times New Roman" w:hAnsi="Times New Roman" w:eastAsia="宋体" w:cs="Times New Roman"/>
          <w:color w:val="auto"/>
          <w:lang w:val="en-US" w:eastAsia="zh-CN"/>
        </w:rPr>
        <w:t>施工工地全面落实“六个百分之百”</w:t>
      </w:r>
      <w:r>
        <w:rPr>
          <w:rFonts w:hint="eastAsia" w:ascii="Times New Roman" w:hAnsi="Times New Roman" w:eastAsia="宋体" w:cs="Times New Roman"/>
          <w:color w:val="auto"/>
          <w:lang w:val="en-US" w:eastAsia="zh-CN"/>
        </w:rPr>
        <w:t>。</w:t>
      </w:r>
    </w:p>
    <w:p>
      <w:pPr>
        <w:bidi w:val="0"/>
        <w:rPr>
          <w:rFonts w:hint="default"/>
        </w:rPr>
      </w:pPr>
      <w:r>
        <w:rPr>
          <w:rFonts w:hint="default"/>
        </w:rPr>
        <w:t>综上所述，本项目属于允许类项目，其建设不违背地方生态保护、环境质量、资源利用和相关环境准入的要求，达到开展环境影响评价的基本工作要求。</w:t>
      </w:r>
      <w:r>
        <w:rPr>
          <w:rFonts w:hint="default" w:ascii="Times New Roman" w:hAnsi="Times New Roman" w:eastAsia="宋体" w:cs="Times New Roman"/>
          <w:color w:val="auto"/>
        </w:rPr>
        <w:t>项目的建设符合“三线一单”的管控要求。</w:t>
      </w:r>
    </w:p>
    <w:p>
      <w:pPr>
        <w:pStyle w:val="4"/>
        <w:bidi w:val="0"/>
        <w:rPr>
          <w:rFonts w:hint="default"/>
        </w:rPr>
      </w:pPr>
      <w:bookmarkStart w:id="33" w:name="_Toc341867030"/>
      <w:bookmarkStart w:id="34" w:name="_Toc332975137"/>
      <w:bookmarkStart w:id="35" w:name="_Toc7961"/>
      <w:bookmarkStart w:id="36" w:name="_Toc2021"/>
      <w:r>
        <w:rPr>
          <w:rFonts w:hint="default"/>
        </w:rPr>
        <w:t>1.</w:t>
      </w:r>
      <w:bookmarkEnd w:id="33"/>
      <w:bookmarkEnd w:id="34"/>
      <w:r>
        <w:rPr>
          <w:rFonts w:hint="default"/>
        </w:rPr>
        <w:t>5</w:t>
      </w:r>
      <w:r>
        <w:rPr>
          <w:rFonts w:hint="eastAsia"/>
          <w:lang w:eastAsia="zh-CN"/>
        </w:rPr>
        <w:t>、</w:t>
      </w:r>
      <w:r>
        <w:rPr>
          <w:rFonts w:hint="default"/>
        </w:rPr>
        <w:t>主要关注的环境问题及环境影响</w:t>
      </w:r>
      <w:bookmarkEnd w:id="35"/>
      <w:bookmarkEnd w:id="36"/>
    </w:p>
    <w:p>
      <w:pPr>
        <w:bidi w:val="0"/>
        <w:rPr>
          <w:rFonts w:hint="default"/>
        </w:rPr>
      </w:pPr>
      <w:r>
        <w:rPr>
          <w:rFonts w:hint="default"/>
        </w:rPr>
        <w:t>本项目为废旧滴灌带回收再生项目，生产中产生的主要污染物为清洗废水，热熔、造粒、热熔定型过程中产生的有机废气，破碎粉尘以及噪声。根据项目的工程特点，结合周围环境保护目标及区域环境管理要求，本次评价主要关注以下几方面环境问题：</w:t>
      </w:r>
    </w:p>
    <w:p>
      <w:pPr>
        <w:bidi w:val="0"/>
        <w:rPr>
          <w:rFonts w:hint="default"/>
        </w:rPr>
      </w:pPr>
      <w:r>
        <w:rPr>
          <w:rFonts w:hint="default"/>
        </w:rPr>
        <w:t>（1）工艺废气的产生、收集与治理情况及可行性分析。</w:t>
      </w:r>
    </w:p>
    <w:p>
      <w:pPr>
        <w:bidi w:val="0"/>
        <w:rPr>
          <w:rFonts w:hint="default"/>
        </w:rPr>
      </w:pPr>
      <w:r>
        <w:rPr>
          <w:rFonts w:hint="default"/>
        </w:rPr>
        <w:t>（2）项目工艺废水源强、处理措施及可行性分析。</w:t>
      </w:r>
    </w:p>
    <w:p>
      <w:pPr>
        <w:bidi w:val="0"/>
        <w:rPr>
          <w:rFonts w:hint="default"/>
        </w:rPr>
      </w:pPr>
      <w:r>
        <w:rPr>
          <w:rFonts w:hint="default"/>
        </w:rPr>
        <w:t>（3）分析项目废气、废水可能造成的环境影响，明确其环境影响是否在可接受范围内。</w:t>
      </w:r>
    </w:p>
    <w:p>
      <w:pPr>
        <w:pStyle w:val="4"/>
        <w:bidi w:val="0"/>
        <w:rPr>
          <w:rFonts w:hint="default"/>
        </w:rPr>
      </w:pPr>
      <w:bookmarkStart w:id="37" w:name="_Toc9072"/>
      <w:bookmarkStart w:id="38" w:name="_Toc17977"/>
      <w:r>
        <w:rPr>
          <w:rFonts w:hint="default"/>
        </w:rPr>
        <w:t>1.6</w:t>
      </w:r>
      <w:r>
        <w:rPr>
          <w:rFonts w:hint="eastAsia"/>
          <w:lang w:eastAsia="zh-CN"/>
        </w:rPr>
        <w:t>、</w:t>
      </w:r>
      <w:r>
        <w:rPr>
          <w:rFonts w:hint="default"/>
        </w:rPr>
        <w:t>环境影响评价的主要结论</w:t>
      </w:r>
      <w:bookmarkEnd w:id="37"/>
      <w:bookmarkEnd w:id="38"/>
    </w:p>
    <w:p>
      <w:pPr>
        <w:bidi w:val="0"/>
        <w:rPr>
          <w:rFonts w:hint="default"/>
        </w:rPr>
      </w:pPr>
      <w:r>
        <w:rPr>
          <w:rFonts w:hint="eastAsia"/>
          <w:lang w:eastAsia="zh-CN"/>
        </w:rPr>
        <w:t>吉木萨尔县天雨滴灌带地膜加工建设项目</w:t>
      </w:r>
      <w:r>
        <w:rPr>
          <w:rFonts w:hint="default"/>
        </w:rPr>
        <w:t>属于政策鼓励类项目，符合国家及地方发展规划和现行的环保政策。</w:t>
      </w:r>
    </w:p>
    <w:p>
      <w:pPr>
        <w:bidi w:val="0"/>
        <w:rPr>
          <w:rFonts w:hint="default"/>
        </w:rPr>
      </w:pPr>
      <w:r>
        <w:rPr>
          <w:rFonts w:hint="default"/>
        </w:rPr>
        <w:t>从环境质量现状调查和环境影响预测评价结果看，在严格执行国家和自治区的环保要求，切实落实报告书中提出的各项环保措施的前提下，项目所在区域的环境质量不会因本工程的建设和实施而有明显改变。正常工况下，项目实施过程排放的各种污染物对周围环境造成的影响不大。项目运营期环境空气质量、水环境质量、声环境质量均可以符合相应的环境功能区划的要求，固废可以得到合理处置，去向明确。</w:t>
      </w:r>
    </w:p>
    <w:p>
      <w:pPr>
        <w:bidi w:val="0"/>
        <w:rPr>
          <w:rFonts w:hint="default"/>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r>
        <w:rPr>
          <w:rFonts w:hint="default"/>
        </w:rPr>
        <w:t>建设项目的生产符合清洁生产的相关要求，采用的环境保护措施、环境风险防范及应急处置措施可行，项目实施后，总体上对评价区域环境影响较小，环境风险在可控的范围。因此，本报告书认为，在认真落实环评报告和设计提出的各项环保措施，切实执行</w:t>
      </w:r>
      <w:r>
        <w:rPr>
          <w:rFonts w:hint="eastAsia"/>
          <w:lang w:eastAsia="zh-CN"/>
        </w:rPr>
        <w:t>“</w:t>
      </w:r>
      <w:r>
        <w:rPr>
          <w:rFonts w:hint="default"/>
        </w:rPr>
        <w:t>三同时</w:t>
      </w:r>
      <w:r>
        <w:rPr>
          <w:rFonts w:hint="eastAsia"/>
          <w:lang w:eastAsia="zh-CN"/>
        </w:rPr>
        <w:t>”</w:t>
      </w:r>
      <w:r>
        <w:rPr>
          <w:rFonts w:hint="default"/>
        </w:rPr>
        <w:t>的前提下，从环保角度分析，本项目的建设是可行的。</w:t>
      </w:r>
      <w:bookmarkEnd w:id="5"/>
      <w:bookmarkEnd w:id="6"/>
    </w:p>
    <w:p>
      <w:pPr>
        <w:pStyle w:val="3"/>
        <w:bidi w:val="0"/>
        <w:rPr>
          <w:rFonts w:hint="eastAsia"/>
          <w:lang w:eastAsia="zh-CN"/>
        </w:rPr>
      </w:pPr>
      <w:bookmarkStart w:id="39" w:name="_Toc25419"/>
      <w:r>
        <w:rPr>
          <w:rFonts w:hint="eastAsia"/>
          <w:lang w:val="en-US" w:eastAsia="zh-CN"/>
        </w:rPr>
        <w:t>2总则</w:t>
      </w:r>
      <w:bookmarkEnd w:id="39"/>
    </w:p>
    <w:p>
      <w:pPr>
        <w:pStyle w:val="4"/>
        <w:bidi w:val="0"/>
        <w:rPr>
          <w:rFonts w:hint="default"/>
        </w:rPr>
      </w:pPr>
      <w:bookmarkStart w:id="40" w:name="_Toc25672"/>
      <w:bookmarkStart w:id="41" w:name="_Toc24826"/>
      <w:bookmarkStart w:id="42" w:name="_Toc332975139"/>
      <w:bookmarkStart w:id="43" w:name="_Toc341867032"/>
      <w:bookmarkStart w:id="44" w:name="_Toc3376"/>
      <w:r>
        <w:rPr>
          <w:rFonts w:hint="default"/>
        </w:rPr>
        <w:t>2.1</w:t>
      </w:r>
      <w:r>
        <w:rPr>
          <w:rFonts w:hint="eastAsia"/>
          <w:lang w:eastAsia="zh-CN"/>
        </w:rPr>
        <w:t>、</w:t>
      </w:r>
      <w:r>
        <w:rPr>
          <w:rFonts w:hint="default"/>
        </w:rPr>
        <w:t>评价原则</w:t>
      </w:r>
      <w:bookmarkEnd w:id="40"/>
      <w:bookmarkEnd w:id="41"/>
    </w:p>
    <w:p>
      <w:pPr>
        <w:bidi w:val="0"/>
        <w:rPr>
          <w:rFonts w:hint="default"/>
        </w:rPr>
      </w:pPr>
      <w:r>
        <w:rPr>
          <w:rFonts w:hint="default"/>
        </w:rPr>
        <w:t>突出环境影响评价的源头预防作用，坚持保护和改善环境质量。</w:t>
      </w:r>
    </w:p>
    <w:p>
      <w:pPr>
        <w:bidi w:val="0"/>
        <w:rPr>
          <w:rFonts w:hint="default"/>
        </w:rPr>
      </w:pPr>
      <w:r>
        <w:rPr>
          <w:rFonts w:hint="default"/>
        </w:rPr>
        <w:t>（1）依法评价</w:t>
      </w:r>
    </w:p>
    <w:p>
      <w:pPr>
        <w:bidi w:val="0"/>
        <w:rPr>
          <w:rFonts w:hint="default"/>
        </w:rPr>
      </w:pPr>
      <w:r>
        <w:rPr>
          <w:rFonts w:hint="default"/>
        </w:rPr>
        <w:t>贯彻执行我国环境保护相关法律法规、标准、政策和规划等，优化项目建设，服务环境管理。</w:t>
      </w:r>
    </w:p>
    <w:p>
      <w:pPr>
        <w:bidi w:val="0"/>
        <w:rPr>
          <w:rFonts w:hint="default"/>
        </w:rPr>
      </w:pPr>
      <w:r>
        <w:rPr>
          <w:rFonts w:hint="default"/>
        </w:rPr>
        <w:t>（2）科学评价</w:t>
      </w:r>
    </w:p>
    <w:p>
      <w:pPr>
        <w:bidi w:val="0"/>
        <w:rPr>
          <w:rFonts w:hint="default"/>
        </w:rPr>
      </w:pPr>
      <w:r>
        <w:rPr>
          <w:rFonts w:hint="default"/>
        </w:rPr>
        <w:t>规范环境影响评价方法，科学分析项目建设对环境质量的影响。</w:t>
      </w:r>
    </w:p>
    <w:p>
      <w:pPr>
        <w:bidi w:val="0"/>
        <w:rPr>
          <w:rFonts w:hint="default"/>
        </w:rPr>
      </w:pPr>
      <w:r>
        <w:rPr>
          <w:rFonts w:hint="default"/>
        </w:rPr>
        <w:t>（3）突出重点</w:t>
      </w:r>
    </w:p>
    <w:p>
      <w:pPr>
        <w:bidi w:val="0"/>
        <w:rPr>
          <w:rFonts w:hint="default"/>
        </w:rPr>
      </w:pPr>
      <w:r>
        <w:rPr>
          <w:rFonts w:hint="default"/>
        </w:rPr>
        <w:t>根据建设项目的工程内容及其特点，明确环境要素间的作用效应关系，根据规划环境影响评价结论和审查意见，充分利用符合时效的数据资料及成果，对建设项目主要环境影响予以分析和评价。</w:t>
      </w:r>
    </w:p>
    <w:p>
      <w:pPr>
        <w:bidi w:val="0"/>
        <w:rPr>
          <w:rFonts w:hint="default"/>
        </w:rPr>
      </w:pPr>
      <w:r>
        <w:rPr>
          <w:rFonts w:hint="default"/>
        </w:rPr>
        <w:t>（4）从环境保护角度论证该项目建设的可行性。</w:t>
      </w:r>
    </w:p>
    <w:p>
      <w:pPr>
        <w:pStyle w:val="4"/>
        <w:bidi w:val="0"/>
        <w:rPr>
          <w:rFonts w:hint="default"/>
        </w:rPr>
      </w:pPr>
      <w:bookmarkStart w:id="45" w:name="_Toc27155"/>
      <w:bookmarkStart w:id="46" w:name="_Toc31981"/>
      <w:r>
        <w:rPr>
          <w:rFonts w:hint="default"/>
        </w:rPr>
        <w:t>2.2</w:t>
      </w:r>
      <w:r>
        <w:rPr>
          <w:rFonts w:hint="eastAsia"/>
          <w:lang w:eastAsia="zh-CN"/>
        </w:rPr>
        <w:t>、</w:t>
      </w:r>
      <w:r>
        <w:rPr>
          <w:rFonts w:hint="default"/>
        </w:rPr>
        <w:t>编制依据</w:t>
      </w:r>
      <w:bookmarkEnd w:id="42"/>
      <w:bookmarkEnd w:id="43"/>
      <w:bookmarkEnd w:id="44"/>
      <w:bookmarkEnd w:id="45"/>
      <w:bookmarkEnd w:id="46"/>
    </w:p>
    <w:p>
      <w:pPr>
        <w:pStyle w:val="5"/>
        <w:bidi w:val="0"/>
        <w:rPr>
          <w:rFonts w:hint="default"/>
        </w:rPr>
      </w:pPr>
      <w:bookmarkStart w:id="47" w:name="_Toc294274752"/>
      <w:r>
        <w:rPr>
          <w:rFonts w:hint="default"/>
        </w:rPr>
        <w:t>2.2.1</w:t>
      </w:r>
      <w:r>
        <w:rPr>
          <w:rFonts w:hint="eastAsia"/>
          <w:lang w:eastAsia="zh-CN"/>
        </w:rPr>
        <w:t>、</w:t>
      </w:r>
      <w:r>
        <w:rPr>
          <w:rFonts w:hint="default"/>
        </w:rPr>
        <w:t>国家法律</w:t>
      </w:r>
    </w:p>
    <w:p>
      <w:pPr>
        <w:bidi w:val="0"/>
        <w:rPr>
          <w:rFonts w:hint="default"/>
        </w:rPr>
      </w:pPr>
      <w:r>
        <w:rPr>
          <w:rFonts w:hint="default"/>
        </w:rPr>
        <w:t>（1）《中华人民共和国环境保护法》，2014年4月24日第十二届全国人民代表大会常务委员会第八次会议修订，自2015年1月1日起施行；</w:t>
      </w:r>
    </w:p>
    <w:p>
      <w:pPr>
        <w:bidi w:val="0"/>
        <w:rPr>
          <w:rFonts w:hint="default"/>
        </w:rPr>
      </w:pPr>
      <w:r>
        <w:rPr>
          <w:rFonts w:hint="default"/>
        </w:rPr>
        <w:t>（2）《中华人民共和国环境影响评价法》，自2018年12月29日第十三届全国人民代表大会常务委员会第七次会议修订并施行；</w:t>
      </w:r>
    </w:p>
    <w:p>
      <w:pPr>
        <w:bidi w:val="0"/>
        <w:rPr>
          <w:rFonts w:hint="default"/>
        </w:rPr>
      </w:pPr>
      <w:r>
        <w:rPr>
          <w:rFonts w:hint="default"/>
        </w:rPr>
        <w:t>（3）《中华人民共和国大气污染防治法》，2018年10月26日修订并施行；</w:t>
      </w:r>
    </w:p>
    <w:p>
      <w:pPr>
        <w:bidi w:val="0"/>
        <w:rPr>
          <w:rFonts w:hint="default"/>
        </w:rPr>
      </w:pPr>
      <w:r>
        <w:rPr>
          <w:rFonts w:hint="default"/>
        </w:rPr>
        <w:t>（4）《中华人民共和国水污染防治法》，2017年6月27日第二次修订，自2018年1月1日起施行；</w:t>
      </w:r>
    </w:p>
    <w:p>
      <w:pPr>
        <w:bidi w:val="0"/>
        <w:rPr>
          <w:rFonts w:hint="default"/>
        </w:rPr>
      </w:pPr>
      <w:r>
        <w:rPr>
          <w:rFonts w:hint="default"/>
        </w:rPr>
        <w:t>（5）《中华人民共和国环境噪声污染防治法》，自2018年12月29日修订并施行；</w:t>
      </w:r>
    </w:p>
    <w:p>
      <w:pPr>
        <w:bidi w:val="0"/>
        <w:rPr>
          <w:rFonts w:hint="default"/>
        </w:rPr>
      </w:pPr>
      <w:r>
        <w:rPr>
          <w:rFonts w:hint="default"/>
        </w:rPr>
        <w:t>（6）《中华人民共和国固体废物污染环境防治法》，自20</w:t>
      </w:r>
      <w:r>
        <w:rPr>
          <w:rFonts w:hint="eastAsia"/>
          <w:lang w:val="en-US" w:eastAsia="zh-CN"/>
        </w:rPr>
        <w:t>20</w:t>
      </w:r>
      <w:r>
        <w:rPr>
          <w:rFonts w:hint="default"/>
        </w:rPr>
        <w:t>年</w:t>
      </w:r>
      <w:r>
        <w:rPr>
          <w:rFonts w:hint="eastAsia"/>
          <w:lang w:val="en-US" w:eastAsia="zh-CN"/>
        </w:rPr>
        <w:t>9</w:t>
      </w:r>
      <w:r>
        <w:rPr>
          <w:rFonts w:hint="default"/>
        </w:rPr>
        <w:t>月</w:t>
      </w:r>
      <w:r>
        <w:rPr>
          <w:rFonts w:hint="eastAsia"/>
          <w:lang w:val="en-US" w:eastAsia="zh-CN"/>
        </w:rPr>
        <w:t>1</w:t>
      </w:r>
      <w:r>
        <w:rPr>
          <w:rFonts w:hint="default"/>
        </w:rPr>
        <w:t>日修订；</w:t>
      </w:r>
    </w:p>
    <w:p>
      <w:pPr>
        <w:bidi w:val="0"/>
        <w:rPr>
          <w:rFonts w:hint="default"/>
        </w:rPr>
      </w:pPr>
      <w:r>
        <w:rPr>
          <w:rFonts w:hint="default"/>
        </w:rPr>
        <w:t>（7）《中华人民共和国土地管理法》，自2004年8月28日起施行；</w:t>
      </w:r>
    </w:p>
    <w:p>
      <w:pPr>
        <w:bidi w:val="0"/>
        <w:rPr>
          <w:rFonts w:hint="default"/>
        </w:rPr>
      </w:pPr>
      <w:r>
        <w:rPr>
          <w:rFonts w:hint="default"/>
        </w:rPr>
        <w:t>（8）《中华人民共和国水法》，根据2016年7月2日第十二届全国人民代表大会常务委员会第二十一次会议通过的《全国人民代表大会常务委员会关于修改&lt;中华人民共和国节约能源法&gt;等六部法律的决定》修改，自2016年9月1日起施行；</w:t>
      </w:r>
    </w:p>
    <w:p>
      <w:pPr>
        <w:bidi w:val="0"/>
        <w:rPr>
          <w:rFonts w:hint="default"/>
        </w:rPr>
      </w:pPr>
      <w:r>
        <w:rPr>
          <w:rFonts w:hint="default"/>
        </w:rPr>
        <w:t>（9）《中华人民共和国清洁生产促进法》，自2012年7月1日起施行；</w:t>
      </w:r>
    </w:p>
    <w:p>
      <w:pPr>
        <w:bidi w:val="0"/>
        <w:rPr>
          <w:rFonts w:hint="default"/>
        </w:rPr>
      </w:pPr>
      <w:r>
        <w:rPr>
          <w:rFonts w:hint="default"/>
        </w:rPr>
        <w:t>（10）《中华人民共和国循环经济促进法》，自2018年10月26日修订并施行；</w:t>
      </w:r>
    </w:p>
    <w:p>
      <w:pPr>
        <w:bidi w:val="0"/>
        <w:rPr>
          <w:rFonts w:hint="default"/>
        </w:rPr>
      </w:pPr>
      <w:r>
        <w:rPr>
          <w:rFonts w:hint="default"/>
        </w:rPr>
        <w:t>（11）《中华人民共和国节约能源法》，自2018年10月26日修订并施行；</w:t>
      </w:r>
    </w:p>
    <w:p>
      <w:pPr>
        <w:bidi w:val="0"/>
        <w:rPr>
          <w:rFonts w:hint="default"/>
        </w:rPr>
      </w:pPr>
      <w:r>
        <w:rPr>
          <w:rFonts w:hint="default"/>
        </w:rPr>
        <w:t>（12）《中华人民共和国土壤污染防治法》，自2018年8月31日审议通过，2019年1月1日起施行；</w:t>
      </w:r>
    </w:p>
    <w:p>
      <w:pPr>
        <w:bidi w:val="0"/>
        <w:rPr>
          <w:rFonts w:hint="default"/>
        </w:rPr>
      </w:pPr>
      <w:r>
        <w:rPr>
          <w:rFonts w:hint="default"/>
        </w:rPr>
        <w:t>（13）《中华人民共和国安全生产法（修订）》，自2014年12月1日起施行；</w:t>
      </w:r>
    </w:p>
    <w:p>
      <w:pPr>
        <w:bidi w:val="0"/>
        <w:rPr>
          <w:rFonts w:hint="default"/>
        </w:rPr>
      </w:pPr>
      <w:r>
        <w:rPr>
          <w:rFonts w:hint="default"/>
        </w:rPr>
        <w:t>（14）《中华人民共和国突发事件应对法》，自2007年11月1日起施行；</w:t>
      </w:r>
    </w:p>
    <w:p>
      <w:pPr>
        <w:bidi w:val="0"/>
        <w:rPr>
          <w:rFonts w:hint="default"/>
        </w:rPr>
      </w:pPr>
      <w:r>
        <w:rPr>
          <w:rFonts w:hint="default"/>
        </w:rPr>
        <w:t>（1</w:t>
      </w:r>
      <w:r>
        <w:rPr>
          <w:rFonts w:hint="eastAsia"/>
          <w:lang w:val="en-US" w:eastAsia="zh-CN"/>
        </w:rPr>
        <w:t>5</w:t>
      </w:r>
      <w:r>
        <w:rPr>
          <w:rFonts w:hint="default"/>
        </w:rPr>
        <w:t>）《中华人民共和国野生动物保护法》，2018年10月26日修订。</w:t>
      </w:r>
    </w:p>
    <w:p>
      <w:pPr>
        <w:pStyle w:val="5"/>
        <w:bidi w:val="0"/>
        <w:rPr>
          <w:rFonts w:hint="default"/>
        </w:rPr>
      </w:pPr>
      <w:r>
        <w:rPr>
          <w:rFonts w:hint="default"/>
        </w:rPr>
        <w:t>2.2.2</w:t>
      </w:r>
      <w:r>
        <w:rPr>
          <w:rFonts w:hint="eastAsia"/>
          <w:lang w:eastAsia="zh-CN"/>
        </w:rPr>
        <w:t>、</w:t>
      </w:r>
      <w:r>
        <w:rPr>
          <w:rFonts w:hint="default"/>
        </w:rPr>
        <w:t>国家法规</w:t>
      </w:r>
      <w:r>
        <w:rPr>
          <w:rFonts w:hint="default"/>
          <w:lang w:eastAsia="zh-CN"/>
        </w:rPr>
        <w:t>、</w:t>
      </w:r>
      <w:r>
        <w:rPr>
          <w:rFonts w:hint="default"/>
        </w:rPr>
        <w:t>部门规章</w:t>
      </w:r>
    </w:p>
    <w:p>
      <w:pPr>
        <w:bidi w:val="0"/>
        <w:rPr>
          <w:rFonts w:hint="default"/>
        </w:rPr>
      </w:pPr>
      <w:r>
        <w:rPr>
          <w:rFonts w:hint="default"/>
        </w:rPr>
        <w:t>（1）《建设项目环境保护管理条例》（2017年修订），中华人民共和国国务院令第682号，2017年6月21日国务院第177次常务会议通过修订，自2017年10月1日起施行；</w:t>
      </w:r>
    </w:p>
    <w:p>
      <w:pPr>
        <w:bidi w:val="0"/>
        <w:rPr>
          <w:rFonts w:hint="default"/>
        </w:rPr>
      </w:pPr>
      <w:r>
        <w:rPr>
          <w:rFonts w:hint="default"/>
        </w:rPr>
        <w:t>（</w:t>
      </w:r>
      <w:r>
        <w:rPr>
          <w:rFonts w:hint="eastAsia"/>
          <w:lang w:val="en-US" w:eastAsia="zh-CN"/>
        </w:rPr>
        <w:t>2</w:t>
      </w:r>
      <w:r>
        <w:rPr>
          <w:rFonts w:hint="default"/>
        </w:rPr>
        <w:t>）《国务院关于印发水污染防治行动计划的通知》，国发〔2015〕17号，2015年4月2日发布；</w:t>
      </w:r>
    </w:p>
    <w:p>
      <w:pPr>
        <w:bidi w:val="0"/>
        <w:rPr>
          <w:rFonts w:hint="default"/>
        </w:rPr>
      </w:pPr>
      <w:r>
        <w:rPr>
          <w:rFonts w:hint="default"/>
        </w:rPr>
        <w:t>（</w:t>
      </w:r>
      <w:r>
        <w:rPr>
          <w:rFonts w:hint="eastAsia"/>
          <w:lang w:val="en-US" w:eastAsia="zh-CN"/>
        </w:rPr>
        <w:t>3</w:t>
      </w:r>
      <w:r>
        <w:rPr>
          <w:rFonts w:hint="default"/>
        </w:rPr>
        <w:t>）《国务院关于印发大气污染防治行动计划的通知》，国发〔2013〕37号，2013年9月10日发布；</w:t>
      </w:r>
    </w:p>
    <w:p>
      <w:pPr>
        <w:bidi w:val="0"/>
        <w:rPr>
          <w:rFonts w:hint="default"/>
        </w:rPr>
      </w:pPr>
      <w:r>
        <w:rPr>
          <w:rFonts w:hint="default"/>
        </w:rPr>
        <w:t>（</w:t>
      </w:r>
      <w:r>
        <w:rPr>
          <w:rFonts w:hint="eastAsia"/>
          <w:lang w:val="en-US" w:eastAsia="zh-CN"/>
        </w:rPr>
        <w:t>4</w:t>
      </w:r>
      <w:r>
        <w:rPr>
          <w:rFonts w:hint="default"/>
        </w:rPr>
        <w:t>）《国务院关于印发土壤污染防治行动计划的通知》，国发〔2015〕31号，2016年5月28日发布；</w:t>
      </w:r>
    </w:p>
    <w:p>
      <w:pPr>
        <w:bidi w:val="0"/>
        <w:rPr>
          <w:rFonts w:hint="default"/>
        </w:rPr>
      </w:pPr>
      <w:r>
        <w:rPr>
          <w:rFonts w:hint="default"/>
        </w:rPr>
        <w:t>（</w:t>
      </w:r>
      <w:r>
        <w:rPr>
          <w:rFonts w:hint="eastAsia"/>
          <w:lang w:val="en-US" w:eastAsia="zh-CN"/>
        </w:rPr>
        <w:t>5</w:t>
      </w:r>
      <w:r>
        <w:rPr>
          <w:rFonts w:hint="default"/>
        </w:rPr>
        <w:t>）《国务院关于印发打赢蓝天保卫战三年行动计划的通知》，国发2018〔22〕号，2018年6月27日公布并实施；</w:t>
      </w:r>
    </w:p>
    <w:p>
      <w:pPr>
        <w:bidi w:val="0"/>
        <w:rPr>
          <w:rFonts w:hint="default"/>
        </w:rPr>
      </w:pPr>
      <w:r>
        <w:rPr>
          <w:rFonts w:hint="default"/>
        </w:rPr>
        <w:t>（</w:t>
      </w:r>
      <w:r>
        <w:rPr>
          <w:rFonts w:hint="eastAsia"/>
          <w:lang w:val="en-US" w:eastAsia="zh-CN"/>
        </w:rPr>
        <w:t>6</w:t>
      </w:r>
      <w:r>
        <w:rPr>
          <w:rFonts w:hint="default"/>
        </w:rPr>
        <w:t>）《国务院关于加强环境保护重点工作的意见》，自2011年11月17日起施行；</w:t>
      </w:r>
    </w:p>
    <w:p>
      <w:pPr>
        <w:bidi w:val="0"/>
        <w:rPr>
          <w:rFonts w:hint="default"/>
        </w:rPr>
      </w:pPr>
      <w:r>
        <w:rPr>
          <w:rFonts w:hint="default"/>
        </w:rPr>
        <w:t>（</w:t>
      </w:r>
      <w:r>
        <w:rPr>
          <w:rFonts w:hint="eastAsia"/>
          <w:lang w:val="en-US" w:eastAsia="zh-CN"/>
        </w:rPr>
        <w:t>7</w:t>
      </w:r>
      <w:r>
        <w:rPr>
          <w:rFonts w:hint="default"/>
        </w:rPr>
        <w:t>）《国务院办公厅关于印发控制污染物排放许可制实施方案的通知》，国办发〔2016〕81号，自2016年11月10日施行；</w:t>
      </w:r>
    </w:p>
    <w:p>
      <w:pPr>
        <w:bidi w:val="0"/>
        <w:rPr>
          <w:rFonts w:hint="default"/>
          <w:lang w:eastAsia="zh-CN"/>
        </w:rPr>
      </w:pPr>
      <w:r>
        <w:rPr>
          <w:rFonts w:hint="default"/>
        </w:rPr>
        <w:t>（</w:t>
      </w:r>
      <w:r>
        <w:rPr>
          <w:rFonts w:hint="eastAsia"/>
          <w:lang w:val="en-US" w:eastAsia="zh-CN"/>
        </w:rPr>
        <w:t>8</w:t>
      </w:r>
      <w:r>
        <w:rPr>
          <w:rFonts w:hint="default"/>
        </w:rPr>
        <w:t>）《国务院办公厅关于建立完整的先进的废旧商品回收体系的意见》，国办发〔2011〕49号，自2014年10月31日起施行</w:t>
      </w:r>
      <w:r>
        <w:rPr>
          <w:rFonts w:hint="default"/>
          <w:lang w:eastAsia="zh-CN"/>
        </w:rPr>
        <w:t>；</w:t>
      </w:r>
    </w:p>
    <w:p>
      <w:pPr>
        <w:bidi w:val="0"/>
        <w:rPr>
          <w:rFonts w:hint="default"/>
        </w:rPr>
      </w:pPr>
      <w:r>
        <w:rPr>
          <w:rFonts w:hint="default"/>
        </w:rPr>
        <w:t>（</w:t>
      </w:r>
      <w:r>
        <w:rPr>
          <w:rFonts w:hint="eastAsia"/>
          <w:lang w:val="en-US" w:eastAsia="zh-CN"/>
        </w:rPr>
        <w:t>9</w:t>
      </w:r>
      <w:r>
        <w:rPr>
          <w:rFonts w:hint="default"/>
        </w:rPr>
        <w:t>）《建设项目环境影响评价分类管理名录》，</w:t>
      </w:r>
      <w:r>
        <w:rPr>
          <w:rFonts w:hint="eastAsia"/>
          <w:lang w:eastAsia="zh-CN"/>
        </w:rPr>
        <w:t>（</w:t>
      </w:r>
      <w:r>
        <w:rPr>
          <w:rFonts w:hint="eastAsia"/>
          <w:lang w:val="en-US" w:eastAsia="zh-CN"/>
        </w:rPr>
        <w:t>2021年版</w:t>
      </w:r>
      <w:r>
        <w:rPr>
          <w:rFonts w:hint="eastAsia"/>
          <w:lang w:eastAsia="zh-CN"/>
        </w:rPr>
        <w:t>）</w:t>
      </w:r>
      <w:r>
        <w:rPr>
          <w:rFonts w:hint="default"/>
        </w:rPr>
        <w:t>；</w:t>
      </w:r>
    </w:p>
    <w:p>
      <w:pPr>
        <w:bidi w:val="0"/>
        <w:rPr>
          <w:rFonts w:hint="default"/>
        </w:rPr>
      </w:pPr>
      <w:r>
        <w:rPr>
          <w:rFonts w:hint="default"/>
        </w:rPr>
        <w:t>（</w:t>
      </w:r>
      <w:r>
        <w:rPr>
          <w:rFonts w:hint="eastAsia"/>
          <w:lang w:val="en-US" w:eastAsia="zh-CN"/>
        </w:rPr>
        <w:t>10</w:t>
      </w:r>
      <w:r>
        <w:rPr>
          <w:rFonts w:hint="default"/>
        </w:rPr>
        <w:t>）《排污许可管理办法（试行）》，原环境保护部令第48号，自2018年1月10日起施行；</w:t>
      </w:r>
    </w:p>
    <w:p>
      <w:pPr>
        <w:bidi w:val="0"/>
        <w:rPr>
          <w:rFonts w:hint="default"/>
        </w:rPr>
      </w:pPr>
      <w:r>
        <w:rPr>
          <w:rFonts w:hint="default"/>
        </w:rPr>
        <w:t>（</w:t>
      </w:r>
      <w:r>
        <w:rPr>
          <w:rFonts w:hint="eastAsia"/>
          <w:lang w:val="en-US" w:eastAsia="zh-CN"/>
        </w:rPr>
        <w:t>11</w:t>
      </w:r>
      <w:r>
        <w:rPr>
          <w:rFonts w:hint="default"/>
        </w:rPr>
        <w:t>）《关于切实加强环境影响评价管理防范环境风险的通知》，环发〔2012〕77号，自2012年7月3日起施行；</w:t>
      </w:r>
    </w:p>
    <w:p>
      <w:pPr>
        <w:bidi w:val="0"/>
        <w:rPr>
          <w:rFonts w:hint="default"/>
        </w:rPr>
      </w:pPr>
      <w:r>
        <w:rPr>
          <w:rFonts w:hint="default"/>
        </w:rPr>
        <w:t>（</w:t>
      </w:r>
      <w:r>
        <w:rPr>
          <w:rFonts w:hint="default"/>
          <w:lang w:val="en-US" w:eastAsia="zh-CN"/>
        </w:rPr>
        <w:t>1</w:t>
      </w:r>
      <w:r>
        <w:rPr>
          <w:rFonts w:hint="eastAsia"/>
          <w:lang w:val="en-US" w:eastAsia="zh-CN"/>
        </w:rPr>
        <w:t>2</w:t>
      </w:r>
      <w:r>
        <w:rPr>
          <w:rFonts w:hint="default"/>
        </w:rPr>
        <w:t>）《突发环境事件应急管理办法》，原环境保护部部令第34号，自2015年6月5日起施行；</w:t>
      </w:r>
    </w:p>
    <w:p>
      <w:pPr>
        <w:bidi w:val="0"/>
        <w:rPr>
          <w:rFonts w:hint="default"/>
        </w:rPr>
      </w:pPr>
      <w:r>
        <w:rPr>
          <w:rFonts w:hint="default"/>
        </w:rPr>
        <w:t>（</w:t>
      </w:r>
      <w:r>
        <w:rPr>
          <w:rFonts w:hint="eastAsia"/>
          <w:lang w:val="en-US" w:eastAsia="zh-CN"/>
        </w:rPr>
        <w:t>13</w:t>
      </w:r>
      <w:r>
        <w:rPr>
          <w:rFonts w:hint="default"/>
        </w:rPr>
        <w:t>）《关于强化建设项目环境影响评价事中事后监管的实施意见》，环环评〔2018〕11号，自2018年1月25日起施行；</w:t>
      </w:r>
    </w:p>
    <w:p>
      <w:pPr>
        <w:bidi w:val="0"/>
        <w:rPr>
          <w:rFonts w:hint="default"/>
        </w:rPr>
      </w:pPr>
      <w:r>
        <w:rPr>
          <w:rFonts w:hint="default"/>
        </w:rPr>
        <w:t>（</w:t>
      </w:r>
      <w:r>
        <w:rPr>
          <w:rFonts w:hint="eastAsia"/>
          <w:lang w:val="en-US" w:eastAsia="zh-CN"/>
        </w:rPr>
        <w:t>14</w:t>
      </w:r>
      <w:r>
        <w:rPr>
          <w:rFonts w:hint="default"/>
        </w:rPr>
        <w:t>）《环境影响评价公众参与办法》，生态环境部令第4号，自2018年7月16日发布，2019年1月1日起施行；</w:t>
      </w:r>
    </w:p>
    <w:p>
      <w:pPr>
        <w:bidi w:val="0"/>
        <w:rPr>
          <w:rFonts w:hint="default"/>
        </w:rPr>
      </w:pPr>
      <w:r>
        <w:rPr>
          <w:rFonts w:hint="default"/>
        </w:rPr>
        <w:t>（</w:t>
      </w:r>
      <w:r>
        <w:rPr>
          <w:rFonts w:hint="eastAsia"/>
          <w:lang w:val="en-US" w:eastAsia="zh-CN"/>
        </w:rPr>
        <w:t>15</w:t>
      </w:r>
      <w:r>
        <w:rPr>
          <w:rFonts w:hint="default"/>
        </w:rPr>
        <w:t>）《关于以改善环境质量为核心加强环境影响评价管理的通知》，环环评〔2016〕150号，环境保护部办公厅2016年10月27日印发；</w:t>
      </w:r>
    </w:p>
    <w:p>
      <w:pPr>
        <w:bidi w:val="0"/>
        <w:rPr>
          <w:rFonts w:hint="default"/>
        </w:rPr>
      </w:pPr>
      <w:r>
        <w:rPr>
          <w:rFonts w:hint="default"/>
        </w:rPr>
        <w:t>（</w:t>
      </w:r>
      <w:r>
        <w:rPr>
          <w:rFonts w:hint="eastAsia"/>
          <w:lang w:val="en-US" w:eastAsia="zh-CN"/>
        </w:rPr>
        <w:t>16</w:t>
      </w:r>
      <w:r>
        <w:rPr>
          <w:rFonts w:hint="default"/>
        </w:rPr>
        <w:t>）《企业事业单位环境信息公开办法》，原环境保护部部令第31号，自2015年1月1日起施行；</w:t>
      </w:r>
    </w:p>
    <w:p>
      <w:pPr>
        <w:bidi w:val="0"/>
        <w:rPr>
          <w:rFonts w:hint="default"/>
        </w:rPr>
      </w:pPr>
      <w:r>
        <w:rPr>
          <w:rFonts w:hint="default"/>
        </w:rPr>
        <w:t>（</w:t>
      </w:r>
      <w:r>
        <w:rPr>
          <w:rFonts w:hint="eastAsia"/>
          <w:lang w:val="en-US" w:eastAsia="zh-CN"/>
        </w:rPr>
        <w:t>17</w:t>
      </w:r>
      <w:r>
        <w:rPr>
          <w:rFonts w:hint="default"/>
        </w:rPr>
        <w:t>）《</w:t>
      </w:r>
      <w:r>
        <w:rPr>
          <w:rFonts w:hint="eastAsia"/>
          <w:lang w:eastAsia="zh-CN"/>
        </w:rPr>
        <w:t>“</w:t>
      </w:r>
      <w:r>
        <w:rPr>
          <w:rFonts w:hint="default"/>
        </w:rPr>
        <w:t>十三五</w:t>
      </w:r>
      <w:r>
        <w:rPr>
          <w:rFonts w:hint="eastAsia"/>
          <w:lang w:eastAsia="zh-CN"/>
        </w:rPr>
        <w:t>”</w:t>
      </w:r>
      <w:r>
        <w:rPr>
          <w:rFonts w:hint="default"/>
        </w:rPr>
        <w:t>挥发性有机物污染防治工作方案》，环大气〔2017〕121号，自2017年9月13日起施行；</w:t>
      </w:r>
    </w:p>
    <w:p>
      <w:pPr>
        <w:bidi w:val="0"/>
        <w:rPr>
          <w:rFonts w:hint="default"/>
        </w:rPr>
      </w:pPr>
      <w:r>
        <w:rPr>
          <w:rFonts w:hint="default"/>
        </w:rPr>
        <w:t>（</w:t>
      </w:r>
      <w:r>
        <w:rPr>
          <w:rFonts w:hint="eastAsia"/>
          <w:lang w:val="en-US" w:eastAsia="zh-CN"/>
        </w:rPr>
        <w:t>18</w:t>
      </w:r>
      <w:r>
        <w:rPr>
          <w:rFonts w:hint="default"/>
        </w:rPr>
        <w:t>）《关于加强规划环境影响评价与建设项目环境影响评价联动工作的意见》，环发〔2015〕178号，2016年1月4日印发；</w:t>
      </w:r>
    </w:p>
    <w:p>
      <w:pPr>
        <w:bidi w:val="0"/>
        <w:rPr>
          <w:rFonts w:hint="default"/>
        </w:rPr>
      </w:pPr>
      <w:r>
        <w:rPr>
          <w:rFonts w:hint="default"/>
        </w:rPr>
        <w:t>（</w:t>
      </w:r>
      <w:r>
        <w:rPr>
          <w:rFonts w:hint="eastAsia"/>
          <w:lang w:val="en-US" w:eastAsia="zh-CN"/>
        </w:rPr>
        <w:t>19</w:t>
      </w:r>
      <w:r>
        <w:rPr>
          <w:rFonts w:hint="default"/>
        </w:rPr>
        <w:t>）《关于落实大气污染防治行动计划严格环境影响评价准入的通知》，环办〔2014〕30号，自2014年3月25日起施行；</w:t>
      </w:r>
    </w:p>
    <w:p>
      <w:pPr>
        <w:bidi w:val="0"/>
        <w:rPr>
          <w:rFonts w:hint="default"/>
        </w:rPr>
      </w:pPr>
      <w:r>
        <w:rPr>
          <w:rFonts w:hint="default"/>
        </w:rPr>
        <w:t>（</w:t>
      </w:r>
      <w:r>
        <w:rPr>
          <w:rFonts w:hint="eastAsia"/>
          <w:lang w:val="en-US" w:eastAsia="zh-CN"/>
        </w:rPr>
        <w:t>20</w:t>
      </w:r>
      <w:r>
        <w:rPr>
          <w:rFonts w:hint="default"/>
        </w:rPr>
        <w:t>）关于落实《水污染防治行动计划》实施区域差别化环境准入的指导意见，环环评〔2016〕190号，环境保护部办公厅2016年12月28日印发；</w:t>
      </w:r>
    </w:p>
    <w:p>
      <w:pPr>
        <w:bidi w:val="0"/>
        <w:rPr>
          <w:rFonts w:hint="default"/>
        </w:rPr>
      </w:pPr>
      <w:r>
        <w:rPr>
          <w:rFonts w:hint="default"/>
        </w:rPr>
        <w:t>（</w:t>
      </w:r>
      <w:r>
        <w:rPr>
          <w:rFonts w:hint="eastAsia"/>
          <w:lang w:val="en-US" w:eastAsia="zh-CN"/>
        </w:rPr>
        <w:t>21</w:t>
      </w:r>
      <w:r>
        <w:rPr>
          <w:rFonts w:hint="default"/>
        </w:rPr>
        <w:t>）《关于进一步加强环境影响评价管理防范环境风险的通知》，环发〔2012〕77号，自2012年7月3日起施行；</w:t>
      </w:r>
    </w:p>
    <w:p>
      <w:pPr>
        <w:bidi w:val="0"/>
        <w:rPr>
          <w:rFonts w:hint="default"/>
        </w:rPr>
      </w:pPr>
      <w:r>
        <w:rPr>
          <w:rFonts w:hint="default"/>
        </w:rPr>
        <w:t>（</w:t>
      </w:r>
      <w:r>
        <w:rPr>
          <w:rFonts w:hint="eastAsia"/>
          <w:lang w:val="en-US" w:eastAsia="zh-CN"/>
        </w:rPr>
        <w:t>22</w:t>
      </w:r>
      <w:r>
        <w:rPr>
          <w:rFonts w:hint="default"/>
        </w:rPr>
        <w:t>）《挥发性有机物（VOCs）污染防治技术政策》，原环保部公告2013年第31号，自2013年5月24日施行；</w:t>
      </w:r>
    </w:p>
    <w:p>
      <w:pPr>
        <w:bidi w:val="0"/>
        <w:rPr>
          <w:rFonts w:hint="default"/>
        </w:rPr>
      </w:pPr>
      <w:r>
        <w:rPr>
          <w:rFonts w:hint="default"/>
        </w:rPr>
        <w:t>（</w:t>
      </w:r>
      <w:r>
        <w:rPr>
          <w:rFonts w:hint="eastAsia"/>
          <w:lang w:val="en-US" w:eastAsia="zh-CN"/>
        </w:rPr>
        <w:t>23</w:t>
      </w:r>
      <w:r>
        <w:rPr>
          <w:rFonts w:hint="default"/>
        </w:rPr>
        <w:t>）《关于加强企业环境信用体系建设的指导意见》，环发〔2015〕161号，2015年12月10日；</w:t>
      </w:r>
    </w:p>
    <w:p>
      <w:pPr>
        <w:bidi w:val="0"/>
        <w:rPr>
          <w:rFonts w:hint="default"/>
        </w:rPr>
      </w:pPr>
      <w:r>
        <w:rPr>
          <w:rFonts w:hint="default"/>
        </w:rPr>
        <w:t>（</w:t>
      </w:r>
      <w:r>
        <w:rPr>
          <w:rFonts w:hint="eastAsia"/>
          <w:lang w:val="en-US" w:eastAsia="zh-CN"/>
        </w:rPr>
        <w:t>24</w:t>
      </w:r>
      <w:r>
        <w:rPr>
          <w:rFonts w:hint="default"/>
        </w:rPr>
        <w:t>）《产业结构调整指导目录（2011年本）》（2019年本，征求意见稿）国家发展改革委员会，2019年4月8日；</w:t>
      </w:r>
    </w:p>
    <w:p>
      <w:pPr>
        <w:bidi w:val="0"/>
        <w:rPr>
          <w:rFonts w:hint="default"/>
        </w:rPr>
      </w:pPr>
      <w:r>
        <w:rPr>
          <w:rFonts w:hint="default"/>
        </w:rPr>
        <w:t>（</w:t>
      </w:r>
      <w:r>
        <w:rPr>
          <w:rFonts w:hint="eastAsia"/>
          <w:lang w:val="en-US" w:eastAsia="zh-CN"/>
        </w:rPr>
        <w:t>25</w:t>
      </w:r>
      <w:r>
        <w:rPr>
          <w:rFonts w:hint="default"/>
        </w:rPr>
        <w:t>）关于落实《水污染防治行动计划》实施区域差别化环境准入的指导意见，环环评〔2016〕150号，原环境保护部办公厅2016年10月27日印发；</w:t>
      </w:r>
    </w:p>
    <w:p>
      <w:pPr>
        <w:bidi w:val="0"/>
        <w:rPr>
          <w:rFonts w:hint="default"/>
        </w:rPr>
      </w:pPr>
      <w:r>
        <w:rPr>
          <w:rFonts w:hint="default"/>
        </w:rPr>
        <w:t>（</w:t>
      </w:r>
      <w:r>
        <w:rPr>
          <w:rFonts w:hint="eastAsia"/>
          <w:lang w:val="en-US" w:eastAsia="zh-CN"/>
        </w:rPr>
        <w:t>26</w:t>
      </w:r>
      <w:r>
        <w:rPr>
          <w:rFonts w:hint="default"/>
        </w:rPr>
        <w:t>）《关于加强污染源环境监管信息公开工作的通知》，环发〔2013〕74号，自2013年7月21日起施行；</w:t>
      </w:r>
    </w:p>
    <w:p>
      <w:pPr>
        <w:bidi w:val="0"/>
        <w:rPr>
          <w:rFonts w:hint="default"/>
        </w:rPr>
      </w:pPr>
      <w:r>
        <w:rPr>
          <w:rFonts w:hint="default"/>
        </w:rPr>
        <w:t>（</w:t>
      </w:r>
      <w:r>
        <w:rPr>
          <w:rFonts w:hint="eastAsia"/>
          <w:lang w:val="en-US" w:eastAsia="zh-CN"/>
        </w:rPr>
        <w:t>27</w:t>
      </w:r>
      <w:r>
        <w:rPr>
          <w:rFonts w:hint="default"/>
        </w:rPr>
        <w:t>）关于印发《建设项目主要污染物排放总量指标审核及管理暂行办法》的通知，环发〔2014〕197号，自2014年12月30日施行；</w:t>
      </w:r>
    </w:p>
    <w:p>
      <w:pPr>
        <w:bidi w:val="0"/>
        <w:rPr>
          <w:rFonts w:hint="default"/>
        </w:rPr>
      </w:pPr>
      <w:r>
        <w:rPr>
          <w:rFonts w:hint="default"/>
        </w:rPr>
        <w:t>（</w:t>
      </w:r>
      <w:r>
        <w:rPr>
          <w:rFonts w:hint="eastAsia"/>
          <w:lang w:val="en-US" w:eastAsia="zh-CN"/>
        </w:rPr>
        <w:t>28</w:t>
      </w:r>
      <w:r>
        <w:rPr>
          <w:rFonts w:hint="default"/>
        </w:rPr>
        <w:t>）关于印发《国家鼓励的资源综合利用认定管理办法》的通知，发改环资〔2006〕1864号，自2006年9月7日施行；</w:t>
      </w:r>
    </w:p>
    <w:p>
      <w:pPr>
        <w:bidi w:val="0"/>
        <w:rPr>
          <w:rFonts w:hint="default"/>
        </w:rPr>
      </w:pPr>
      <w:r>
        <w:rPr>
          <w:rFonts w:hint="default"/>
        </w:rPr>
        <w:t>（</w:t>
      </w:r>
      <w:r>
        <w:rPr>
          <w:rFonts w:hint="eastAsia"/>
          <w:lang w:val="en-US" w:eastAsia="zh-CN"/>
        </w:rPr>
        <w:t>29</w:t>
      </w:r>
      <w:r>
        <w:rPr>
          <w:rFonts w:hint="default"/>
        </w:rPr>
        <w:t>）《再生资源回收管理办法》，商务部审议通过，自2007年5月1日施行；</w:t>
      </w:r>
    </w:p>
    <w:p>
      <w:pPr>
        <w:bidi w:val="0"/>
        <w:rPr>
          <w:rFonts w:hint="default"/>
        </w:rPr>
      </w:pPr>
      <w:r>
        <w:rPr>
          <w:rFonts w:hint="default"/>
        </w:rPr>
        <w:t>（</w:t>
      </w:r>
      <w:r>
        <w:rPr>
          <w:rFonts w:hint="eastAsia"/>
          <w:lang w:val="en-US" w:eastAsia="zh-CN"/>
        </w:rPr>
        <w:t>30</w:t>
      </w:r>
      <w:r>
        <w:rPr>
          <w:rFonts w:hint="default"/>
        </w:rPr>
        <w:t>）关于发布《废塑料加工利用污染防治管理规定》的公告，原环境保护部、发展改革委、商务部公告 〔2012〕第55号，自2012年10月1日施行；</w:t>
      </w:r>
    </w:p>
    <w:p>
      <w:pPr>
        <w:bidi w:val="0"/>
        <w:rPr>
          <w:rFonts w:hint="default"/>
        </w:rPr>
      </w:pPr>
      <w:r>
        <w:rPr>
          <w:rFonts w:hint="default"/>
        </w:rPr>
        <w:t>（</w:t>
      </w:r>
      <w:r>
        <w:rPr>
          <w:rFonts w:hint="eastAsia"/>
          <w:lang w:val="en-US" w:eastAsia="zh-CN"/>
        </w:rPr>
        <w:t>31</w:t>
      </w:r>
      <w:r>
        <w:rPr>
          <w:rFonts w:hint="default"/>
        </w:rPr>
        <w:t>）《废塑料综合利用行业规范条件》，工业和信息部公告 2015年第 81 号，自2016年1月1日施行；</w:t>
      </w:r>
    </w:p>
    <w:p>
      <w:pPr>
        <w:bidi w:val="0"/>
        <w:rPr>
          <w:rFonts w:hint="default"/>
        </w:rPr>
      </w:pPr>
      <w:r>
        <w:rPr>
          <w:rFonts w:hint="default"/>
        </w:rPr>
        <w:t>（</w:t>
      </w:r>
      <w:r>
        <w:rPr>
          <w:rFonts w:hint="eastAsia"/>
          <w:lang w:val="en-US" w:eastAsia="zh-CN"/>
        </w:rPr>
        <w:t>32</w:t>
      </w:r>
      <w:r>
        <w:rPr>
          <w:rFonts w:hint="default"/>
        </w:rPr>
        <w:t>）《关于加快推进再生资源产业发展的指导意见》，工信部联节〔2016〕217号，2016年</w:t>
      </w:r>
      <w:r>
        <w:rPr>
          <w:rFonts w:hint="default"/>
          <w:lang w:val="en-US" w:eastAsia="zh-CN"/>
        </w:rPr>
        <w:t>12</w:t>
      </w:r>
      <w:r>
        <w:rPr>
          <w:rFonts w:hint="default"/>
        </w:rPr>
        <w:t>月</w:t>
      </w:r>
      <w:r>
        <w:rPr>
          <w:rFonts w:hint="default"/>
          <w:lang w:val="en-US" w:eastAsia="zh-CN"/>
        </w:rPr>
        <w:t>21</w:t>
      </w:r>
      <w:r>
        <w:rPr>
          <w:rFonts w:hint="default"/>
        </w:rPr>
        <w:t>日印发；</w:t>
      </w:r>
    </w:p>
    <w:p>
      <w:pPr>
        <w:bidi w:val="0"/>
        <w:rPr>
          <w:rFonts w:hint="default"/>
        </w:rPr>
      </w:pPr>
      <w:r>
        <w:rPr>
          <w:rFonts w:hint="default"/>
        </w:rPr>
        <w:t>（</w:t>
      </w:r>
      <w:r>
        <w:rPr>
          <w:rFonts w:hint="eastAsia"/>
          <w:lang w:val="en-US" w:eastAsia="zh-CN"/>
        </w:rPr>
        <w:t>33</w:t>
      </w:r>
      <w:r>
        <w:rPr>
          <w:rFonts w:hint="default"/>
        </w:rPr>
        <w:t>）《国家发展改革委关于支持新疆产业健康发展的若干意见》，发改产业〔2012〕1177号，2012年5月6日印发；</w:t>
      </w:r>
    </w:p>
    <w:p>
      <w:pPr>
        <w:bidi w:val="0"/>
        <w:rPr>
          <w:rFonts w:hint="default"/>
        </w:rPr>
      </w:pPr>
      <w:r>
        <w:rPr>
          <w:rFonts w:hint="default"/>
        </w:rPr>
        <w:t>（</w:t>
      </w:r>
      <w:r>
        <w:rPr>
          <w:rFonts w:hint="eastAsia"/>
          <w:lang w:val="en-US" w:eastAsia="zh-CN"/>
        </w:rPr>
        <w:t>34</w:t>
      </w:r>
      <w:r>
        <w:rPr>
          <w:rFonts w:hint="default"/>
        </w:rPr>
        <w:t>）《关于促进新疆工业、通信业和信息化发展的若干意见》，工信部产业〔2010〕167号，2010年12月15日印发；</w:t>
      </w:r>
    </w:p>
    <w:p>
      <w:pPr>
        <w:bidi w:val="0"/>
        <w:rPr>
          <w:rFonts w:hint="default"/>
        </w:rPr>
      </w:pPr>
      <w:r>
        <w:rPr>
          <w:rFonts w:hint="default"/>
        </w:rPr>
        <w:t>（</w:t>
      </w:r>
      <w:r>
        <w:rPr>
          <w:rFonts w:hint="eastAsia"/>
          <w:lang w:val="en-US" w:eastAsia="zh-CN"/>
        </w:rPr>
        <w:t>35</w:t>
      </w:r>
      <w:r>
        <w:rPr>
          <w:rFonts w:hint="default"/>
        </w:rPr>
        <w:t>）《建设项目危险废物环境影响评价指南》，环保部公告2017年第43号。</w:t>
      </w:r>
    </w:p>
    <w:p>
      <w:pPr>
        <w:pStyle w:val="5"/>
        <w:bidi w:val="0"/>
        <w:rPr>
          <w:rFonts w:hint="default"/>
        </w:rPr>
      </w:pPr>
      <w:r>
        <w:rPr>
          <w:rFonts w:hint="default"/>
        </w:rPr>
        <w:t>2.2.</w:t>
      </w:r>
      <w:r>
        <w:rPr>
          <w:rFonts w:hint="default"/>
          <w:lang w:val="en-US" w:eastAsia="zh-CN"/>
        </w:rPr>
        <w:t>3</w:t>
      </w:r>
      <w:r>
        <w:rPr>
          <w:rFonts w:hint="eastAsia"/>
          <w:lang w:val="en-US" w:eastAsia="zh-CN"/>
        </w:rPr>
        <w:t>、</w:t>
      </w:r>
      <w:r>
        <w:rPr>
          <w:rFonts w:hint="default"/>
        </w:rPr>
        <w:t>地方法律、法规</w:t>
      </w:r>
    </w:p>
    <w:p>
      <w:pPr>
        <w:bidi w:val="0"/>
        <w:rPr>
          <w:rFonts w:hint="default"/>
        </w:rPr>
      </w:pPr>
      <w:r>
        <w:rPr>
          <w:rFonts w:hint="default"/>
        </w:rPr>
        <w:t>（1）《新疆维吾尔自治区环境保护管理条例》，新疆维吾尔自治区十一届人大常委会公告第43号，自2018年9月21日起施行；</w:t>
      </w:r>
    </w:p>
    <w:p>
      <w:pPr>
        <w:bidi w:val="0"/>
        <w:rPr>
          <w:rFonts w:hint="default"/>
        </w:rPr>
      </w:pPr>
      <w:r>
        <w:rPr>
          <w:rFonts w:hint="default"/>
        </w:rPr>
        <w:t>（2）《新疆维吾尔治区国民经济和社会发展第十三个五年规划纲要》，新疆维吾尔自治区第十二届人大常委会第四次会议通过，自2016年1月16日起施行；</w:t>
      </w:r>
    </w:p>
    <w:p>
      <w:pPr>
        <w:bidi w:val="0"/>
        <w:rPr>
          <w:rFonts w:hint="default"/>
        </w:rPr>
      </w:pPr>
      <w:r>
        <w:rPr>
          <w:rFonts w:hint="default"/>
        </w:rPr>
        <w:t>（</w:t>
      </w:r>
      <w:r>
        <w:rPr>
          <w:rFonts w:hint="eastAsia"/>
          <w:lang w:val="en-US" w:eastAsia="zh-CN"/>
        </w:rPr>
        <w:t>3</w:t>
      </w:r>
      <w:r>
        <w:rPr>
          <w:rFonts w:hint="default"/>
        </w:rPr>
        <w:t>）新疆维吾尔自治区大气污染防治行动计划实施方案》，新政发〔2014〕35号，自2014年4月17日起施行；</w:t>
      </w:r>
    </w:p>
    <w:p>
      <w:pPr>
        <w:bidi w:val="0"/>
        <w:rPr>
          <w:rFonts w:hint="default"/>
        </w:rPr>
      </w:pPr>
      <w:r>
        <w:rPr>
          <w:rFonts w:hint="default"/>
        </w:rPr>
        <w:t>（</w:t>
      </w:r>
      <w:r>
        <w:rPr>
          <w:rFonts w:hint="eastAsia"/>
          <w:lang w:val="en-US" w:eastAsia="zh-CN"/>
        </w:rPr>
        <w:t>4</w:t>
      </w:r>
      <w:r>
        <w:rPr>
          <w:rFonts w:hint="default"/>
        </w:rPr>
        <w:t>）《新疆维吾尔自治区水污染防治行动计划工作方案》，新政发〔2016〕21号</w:t>
      </w:r>
    </w:p>
    <w:p>
      <w:pPr>
        <w:bidi w:val="0"/>
        <w:rPr>
          <w:rFonts w:hint="default"/>
        </w:rPr>
      </w:pPr>
      <w:r>
        <w:rPr>
          <w:rFonts w:hint="default"/>
        </w:rPr>
        <w:t>（</w:t>
      </w:r>
      <w:r>
        <w:rPr>
          <w:rFonts w:hint="eastAsia"/>
          <w:lang w:val="en-US" w:eastAsia="zh-CN"/>
        </w:rPr>
        <w:t>5</w:t>
      </w:r>
      <w:r>
        <w:rPr>
          <w:rFonts w:hint="default"/>
        </w:rPr>
        <w:t>）《新疆维吾尔自治区自然保护区管理条例》，新疆维吾尔自治区第十三届人民代表大会常务委员会第六次会议通过，2018年9月21日起施行；</w:t>
      </w:r>
    </w:p>
    <w:p>
      <w:pPr>
        <w:bidi w:val="0"/>
        <w:rPr>
          <w:rFonts w:hint="default"/>
        </w:rPr>
      </w:pPr>
      <w:r>
        <w:rPr>
          <w:rFonts w:hint="default"/>
        </w:rPr>
        <w:t>（</w:t>
      </w:r>
      <w:r>
        <w:rPr>
          <w:rFonts w:hint="eastAsia"/>
          <w:lang w:val="en-US" w:eastAsia="zh-CN"/>
        </w:rPr>
        <w:t>6</w:t>
      </w:r>
      <w:r>
        <w:rPr>
          <w:rFonts w:hint="default"/>
        </w:rPr>
        <w:t>）《关于重点区域执行大气污染物特别排放限值的公告》（新疆维吾尔自治区环境保护厅公告2016年第45号）。</w:t>
      </w:r>
    </w:p>
    <w:p>
      <w:pPr>
        <w:pStyle w:val="5"/>
        <w:bidi w:val="0"/>
        <w:rPr>
          <w:rFonts w:hint="default"/>
        </w:rPr>
      </w:pPr>
      <w:r>
        <w:rPr>
          <w:rFonts w:hint="default"/>
        </w:rPr>
        <w:t>2.2.</w:t>
      </w:r>
      <w:r>
        <w:rPr>
          <w:rFonts w:hint="default"/>
          <w:lang w:val="en-US" w:eastAsia="zh-CN"/>
        </w:rPr>
        <w:t>4</w:t>
      </w:r>
      <w:r>
        <w:rPr>
          <w:rFonts w:hint="eastAsia"/>
          <w:lang w:val="en-US" w:eastAsia="zh-CN"/>
        </w:rPr>
        <w:t>、</w:t>
      </w:r>
      <w:r>
        <w:rPr>
          <w:rFonts w:hint="default"/>
        </w:rPr>
        <w:t>技术导则、标准、规范</w:t>
      </w:r>
    </w:p>
    <w:p>
      <w:pPr>
        <w:bidi w:val="0"/>
        <w:rPr>
          <w:rFonts w:hint="default"/>
        </w:rPr>
      </w:pPr>
      <w:r>
        <w:rPr>
          <w:rFonts w:hint="default"/>
        </w:rPr>
        <w:t>（1）《建设项目环境影响评价技术导则 总纲》（HJ2.1-2016）；</w:t>
      </w:r>
    </w:p>
    <w:p>
      <w:pPr>
        <w:bidi w:val="0"/>
        <w:rPr>
          <w:rFonts w:hint="default"/>
        </w:rPr>
      </w:pPr>
      <w:r>
        <w:rPr>
          <w:rFonts w:hint="default"/>
        </w:rPr>
        <w:t>（2）《环境影响评价技术导则 大气环境》（HJ2.2-2018）；</w:t>
      </w:r>
    </w:p>
    <w:p>
      <w:pPr>
        <w:bidi w:val="0"/>
        <w:rPr>
          <w:rFonts w:hint="default"/>
        </w:rPr>
      </w:pPr>
      <w:r>
        <w:rPr>
          <w:rFonts w:hint="default"/>
        </w:rPr>
        <w:t>（3）《环境影响评价技术导则 地表水环境》（HJ2.3-2018）；</w:t>
      </w:r>
    </w:p>
    <w:p>
      <w:pPr>
        <w:bidi w:val="0"/>
        <w:rPr>
          <w:rFonts w:hint="default"/>
        </w:rPr>
      </w:pPr>
      <w:r>
        <w:rPr>
          <w:rFonts w:hint="default"/>
        </w:rPr>
        <w:t>（4）《环境影响评价技术导则 地下水环境》（HJ610-2016）；</w:t>
      </w:r>
    </w:p>
    <w:p>
      <w:pPr>
        <w:bidi w:val="0"/>
        <w:rPr>
          <w:rFonts w:hint="default"/>
        </w:rPr>
      </w:pPr>
      <w:r>
        <w:rPr>
          <w:rFonts w:hint="default"/>
        </w:rPr>
        <w:t>（5）《环境影响评价技术导则 声环境》（HJ2.4-2009）；</w:t>
      </w:r>
    </w:p>
    <w:p>
      <w:pPr>
        <w:bidi w:val="0"/>
        <w:rPr>
          <w:rFonts w:hint="default"/>
        </w:rPr>
      </w:pPr>
      <w:r>
        <w:rPr>
          <w:rFonts w:hint="default"/>
        </w:rPr>
        <w:t>（6）《环境影响评价技术导则 土壤环境（试行）》（HJ964-2018）</w:t>
      </w:r>
    </w:p>
    <w:p>
      <w:pPr>
        <w:bidi w:val="0"/>
        <w:rPr>
          <w:rFonts w:hint="default"/>
        </w:rPr>
      </w:pPr>
      <w:r>
        <w:rPr>
          <w:rFonts w:hint="default"/>
        </w:rPr>
        <w:t>（7）《环境影响评价技术导则 生态影响》（HJ19-2011）；</w:t>
      </w:r>
    </w:p>
    <w:p>
      <w:pPr>
        <w:bidi w:val="0"/>
        <w:rPr>
          <w:rFonts w:hint="default"/>
        </w:rPr>
      </w:pPr>
      <w:r>
        <w:rPr>
          <w:rFonts w:hint="default"/>
        </w:rPr>
        <w:t>（8）《建设项目环境风险评价技术导则》（HJ169-2018）；</w:t>
      </w:r>
    </w:p>
    <w:p>
      <w:pPr>
        <w:bidi w:val="0"/>
        <w:rPr>
          <w:rFonts w:hint="default"/>
        </w:rPr>
      </w:pPr>
      <w:r>
        <w:rPr>
          <w:rFonts w:hint="default"/>
        </w:rPr>
        <w:t>（9）《大气污染治理工程技术导则》（HJ2000-2010）；</w:t>
      </w:r>
    </w:p>
    <w:p>
      <w:pPr>
        <w:bidi w:val="0"/>
        <w:rPr>
          <w:rFonts w:hint="default"/>
        </w:rPr>
      </w:pPr>
      <w:r>
        <w:rPr>
          <w:rFonts w:hint="default"/>
        </w:rPr>
        <w:t>（10）《废塑料回收与再生利用污染控制技术规范》（试行）（HJ/T364-2007）；</w:t>
      </w:r>
    </w:p>
    <w:p>
      <w:pPr>
        <w:bidi w:val="0"/>
        <w:rPr>
          <w:rFonts w:hint="default"/>
        </w:rPr>
      </w:pPr>
      <w:r>
        <w:rPr>
          <w:rFonts w:hint="default"/>
        </w:rPr>
        <w:t>（11）《水污染治理工程技术导则》（HJ2015-2012）；</w:t>
      </w:r>
    </w:p>
    <w:p>
      <w:pPr>
        <w:bidi w:val="0"/>
        <w:rPr>
          <w:rFonts w:hint="default"/>
        </w:rPr>
      </w:pPr>
      <w:r>
        <w:rPr>
          <w:rFonts w:hint="default"/>
        </w:rPr>
        <w:t>（12）《排污许可证申请与核发技术规范 总则》（HJ942-2018）；</w:t>
      </w:r>
    </w:p>
    <w:p>
      <w:pPr>
        <w:bidi w:val="0"/>
        <w:rPr>
          <w:rFonts w:hint="default"/>
        </w:rPr>
      </w:pPr>
      <w:r>
        <w:rPr>
          <w:rFonts w:hint="default"/>
        </w:rPr>
        <w:t>（13）《防治城市扬尘污染技术规范》（HJ/T393-2007）；</w:t>
      </w:r>
    </w:p>
    <w:p>
      <w:pPr>
        <w:bidi w:val="0"/>
        <w:rPr>
          <w:rFonts w:hint="default"/>
        </w:rPr>
      </w:pPr>
      <w:r>
        <w:rPr>
          <w:rFonts w:hint="default"/>
        </w:rPr>
        <w:t>（1</w:t>
      </w:r>
      <w:r>
        <w:rPr>
          <w:rFonts w:hint="eastAsia"/>
          <w:lang w:val="en-US" w:eastAsia="zh-CN"/>
        </w:rPr>
        <w:t>4</w:t>
      </w:r>
      <w:r>
        <w:rPr>
          <w:rFonts w:hint="default"/>
        </w:rPr>
        <w:t>）《排污单位自行监测技术指南 总则》（HJ819-2017）。</w:t>
      </w:r>
    </w:p>
    <w:p>
      <w:pPr>
        <w:pStyle w:val="5"/>
        <w:bidi w:val="0"/>
        <w:rPr>
          <w:rFonts w:hint="default"/>
        </w:rPr>
      </w:pPr>
      <w:r>
        <w:rPr>
          <w:rFonts w:hint="default"/>
        </w:rPr>
        <w:t>2.2.</w:t>
      </w:r>
      <w:r>
        <w:rPr>
          <w:rFonts w:hint="default"/>
          <w:lang w:val="en-US" w:eastAsia="zh-CN"/>
        </w:rPr>
        <w:t>5</w:t>
      </w:r>
      <w:r>
        <w:rPr>
          <w:rFonts w:hint="eastAsia"/>
          <w:lang w:val="en-US" w:eastAsia="zh-CN"/>
        </w:rPr>
        <w:t>、</w:t>
      </w:r>
      <w:r>
        <w:rPr>
          <w:rFonts w:hint="default"/>
        </w:rPr>
        <w:t>有关的规划文件</w:t>
      </w:r>
    </w:p>
    <w:p>
      <w:pPr>
        <w:bidi w:val="0"/>
        <w:rPr>
          <w:rFonts w:hint="default"/>
        </w:rPr>
      </w:pPr>
      <w:r>
        <w:rPr>
          <w:rFonts w:hint="default"/>
        </w:rPr>
        <w:t>（1）《西部大开发</w:t>
      </w:r>
      <w:r>
        <w:rPr>
          <w:rFonts w:hint="eastAsia"/>
          <w:lang w:eastAsia="zh-CN"/>
        </w:rPr>
        <w:t>“</w:t>
      </w:r>
      <w:r>
        <w:rPr>
          <w:rFonts w:hint="default"/>
        </w:rPr>
        <w:t>十三五</w:t>
      </w:r>
      <w:r>
        <w:rPr>
          <w:rFonts w:hint="eastAsia"/>
          <w:lang w:eastAsia="zh-CN"/>
        </w:rPr>
        <w:t>”</w:t>
      </w:r>
      <w:r>
        <w:rPr>
          <w:rFonts w:hint="default"/>
        </w:rPr>
        <w:t>规划》，发改西部〔2017〕89号；</w:t>
      </w:r>
    </w:p>
    <w:p>
      <w:pPr>
        <w:bidi w:val="0"/>
        <w:rPr>
          <w:rFonts w:hint="default"/>
        </w:rPr>
      </w:pPr>
      <w:r>
        <w:rPr>
          <w:rFonts w:hint="default"/>
        </w:rPr>
        <w:t>（2）《国务院关于印发</w:t>
      </w:r>
      <w:r>
        <w:rPr>
          <w:rFonts w:hint="eastAsia"/>
          <w:lang w:eastAsia="zh-CN"/>
        </w:rPr>
        <w:t>“</w:t>
      </w:r>
      <w:r>
        <w:rPr>
          <w:rFonts w:hint="default"/>
        </w:rPr>
        <w:t>十三五</w:t>
      </w:r>
      <w:r>
        <w:rPr>
          <w:rFonts w:hint="eastAsia"/>
          <w:lang w:eastAsia="zh-CN"/>
        </w:rPr>
        <w:t>”</w:t>
      </w:r>
      <w:r>
        <w:rPr>
          <w:rFonts w:hint="default"/>
        </w:rPr>
        <w:t>生态环境保护规划的通知》，国发〔2016〕65号；</w:t>
      </w:r>
    </w:p>
    <w:p>
      <w:pPr>
        <w:bidi w:val="0"/>
        <w:rPr>
          <w:rFonts w:hint="default"/>
        </w:rPr>
      </w:pPr>
      <w:r>
        <w:rPr>
          <w:rFonts w:hint="default"/>
        </w:rPr>
        <w:t>（</w:t>
      </w:r>
      <w:r>
        <w:rPr>
          <w:rFonts w:hint="eastAsia"/>
          <w:lang w:val="en-US" w:eastAsia="zh-CN"/>
        </w:rPr>
        <w:t>3</w:t>
      </w:r>
      <w:r>
        <w:rPr>
          <w:rFonts w:hint="default"/>
        </w:rPr>
        <w:t>）《再生资源回收体系建设中长期规划（2015资源回收体）》，商务部、发展改革委、国土资源部、住房城乡建设部、供销合作总社联合发布，商流通发〔2015〕21号；</w:t>
      </w:r>
    </w:p>
    <w:p>
      <w:pPr>
        <w:pStyle w:val="5"/>
        <w:bidi w:val="0"/>
        <w:rPr>
          <w:rFonts w:hint="default"/>
        </w:rPr>
      </w:pPr>
      <w:r>
        <w:rPr>
          <w:rFonts w:hint="default"/>
        </w:rPr>
        <w:t>2.2.</w:t>
      </w:r>
      <w:r>
        <w:rPr>
          <w:rFonts w:hint="default"/>
          <w:lang w:val="en-US" w:eastAsia="zh-CN"/>
        </w:rPr>
        <w:t>6</w:t>
      </w:r>
      <w:r>
        <w:rPr>
          <w:rFonts w:hint="eastAsia"/>
          <w:lang w:val="en-US" w:eastAsia="zh-CN"/>
        </w:rPr>
        <w:t>、</w:t>
      </w:r>
      <w:r>
        <w:rPr>
          <w:rFonts w:hint="default"/>
        </w:rPr>
        <w:t>环评相关依据文件</w:t>
      </w:r>
    </w:p>
    <w:p>
      <w:pPr>
        <w:bidi w:val="0"/>
        <w:rPr>
          <w:rFonts w:hint="default"/>
        </w:rPr>
      </w:pPr>
      <w:r>
        <w:rPr>
          <w:rFonts w:hint="default"/>
        </w:rPr>
        <w:t>（1）项目投资备案证；</w:t>
      </w:r>
    </w:p>
    <w:p>
      <w:pPr>
        <w:bidi w:val="0"/>
        <w:rPr>
          <w:rFonts w:hint="default"/>
        </w:rPr>
      </w:pPr>
      <w:r>
        <w:rPr>
          <w:rFonts w:hint="default"/>
        </w:rPr>
        <w:t>（2）《</w:t>
      </w:r>
      <w:r>
        <w:rPr>
          <w:rFonts w:hint="eastAsia"/>
          <w:lang w:eastAsia="zh-CN"/>
        </w:rPr>
        <w:t>吉木萨尔县天雨滴灌带地膜加工建设项目</w:t>
      </w:r>
      <w:r>
        <w:rPr>
          <w:rFonts w:hint="default"/>
        </w:rPr>
        <w:t>可行性研究报告》；</w:t>
      </w:r>
    </w:p>
    <w:p>
      <w:pPr>
        <w:bidi w:val="0"/>
        <w:rPr>
          <w:rFonts w:hint="default"/>
        </w:rPr>
      </w:pPr>
      <w:r>
        <w:rPr>
          <w:rFonts w:hint="default"/>
        </w:rPr>
        <w:t>（3）项目环评委托书</w:t>
      </w:r>
      <w:bookmarkEnd w:id="47"/>
      <w:bookmarkStart w:id="48" w:name="_Toc341867040"/>
      <w:bookmarkStart w:id="49" w:name="_Toc323212159"/>
      <w:bookmarkStart w:id="50" w:name="_Toc11266"/>
      <w:bookmarkStart w:id="51" w:name="_Toc332975146"/>
      <w:r>
        <w:rPr>
          <w:rFonts w:hint="default"/>
        </w:rPr>
        <w:t>。</w:t>
      </w:r>
    </w:p>
    <w:bookmarkEnd w:id="48"/>
    <w:bookmarkEnd w:id="49"/>
    <w:bookmarkEnd w:id="50"/>
    <w:bookmarkEnd w:id="51"/>
    <w:p>
      <w:pPr>
        <w:pStyle w:val="4"/>
        <w:bidi w:val="0"/>
        <w:rPr>
          <w:rFonts w:hint="default"/>
        </w:rPr>
      </w:pPr>
      <w:bookmarkStart w:id="52" w:name="_Toc7969"/>
      <w:bookmarkStart w:id="53" w:name="_Toc28433"/>
      <w:bookmarkStart w:id="54" w:name="_Toc327373175"/>
      <w:bookmarkStart w:id="55" w:name="_Toc341867044"/>
      <w:bookmarkStart w:id="56" w:name="_Toc332975150"/>
      <w:bookmarkStart w:id="57" w:name="_Toc29835"/>
      <w:r>
        <w:rPr>
          <w:rFonts w:hint="default"/>
        </w:rPr>
        <w:t>2.3</w:t>
      </w:r>
      <w:r>
        <w:rPr>
          <w:rFonts w:hint="eastAsia"/>
          <w:lang w:eastAsia="zh-CN"/>
        </w:rPr>
        <w:t>、</w:t>
      </w:r>
      <w:r>
        <w:rPr>
          <w:rFonts w:hint="default"/>
        </w:rPr>
        <w:t>评价时段</w:t>
      </w:r>
      <w:bookmarkEnd w:id="52"/>
      <w:bookmarkEnd w:id="53"/>
    </w:p>
    <w:p>
      <w:pPr>
        <w:bidi w:val="0"/>
        <w:rPr>
          <w:rFonts w:hint="default"/>
        </w:rPr>
      </w:pPr>
      <w:r>
        <w:rPr>
          <w:rFonts w:hint="default"/>
        </w:rPr>
        <w:t>本项目位于</w:t>
      </w:r>
      <w:r>
        <w:rPr>
          <w:rFonts w:hint="eastAsia"/>
          <w:lang w:val="en-US" w:eastAsia="zh-CN"/>
        </w:rPr>
        <w:t>吉木萨尔县二工镇</w:t>
      </w:r>
      <w:r>
        <w:rPr>
          <w:rFonts w:hint="default"/>
        </w:rPr>
        <w:t>，占地属于规划的规划</w:t>
      </w:r>
      <w:r>
        <w:rPr>
          <w:rFonts w:hint="eastAsia"/>
          <w:lang w:val="en-US" w:eastAsia="zh-CN"/>
        </w:rPr>
        <w:t>建设用地</w:t>
      </w:r>
      <w:r>
        <w:rPr>
          <w:rFonts w:hint="default"/>
        </w:rPr>
        <w:t>。建设单位拟建设</w:t>
      </w:r>
      <w:r>
        <w:rPr>
          <w:rFonts w:hint="eastAsia"/>
          <w:lang w:val="en-US" w:eastAsia="zh-CN"/>
        </w:rPr>
        <w:t>10</w:t>
      </w:r>
      <w:r>
        <w:rPr>
          <w:rFonts w:hint="default"/>
        </w:rPr>
        <w:t>条塑料造粒机组生产线，</w:t>
      </w:r>
      <w:r>
        <w:rPr>
          <w:rFonts w:hint="eastAsia"/>
          <w:lang w:val="en-US" w:eastAsia="zh-CN"/>
        </w:rPr>
        <w:t>10</w:t>
      </w:r>
      <w:r>
        <w:rPr>
          <w:rFonts w:hint="default"/>
        </w:rPr>
        <w:t>条滴灌带及配套设施设备生产线，</w:t>
      </w:r>
      <w:r>
        <w:rPr>
          <w:rFonts w:hint="eastAsia"/>
          <w:lang w:val="en-US" w:eastAsia="zh-CN"/>
        </w:rPr>
        <w:t>2</w:t>
      </w:r>
      <w:r>
        <w:rPr>
          <w:rFonts w:hint="default"/>
        </w:rPr>
        <w:t>条地膜生产线，</w:t>
      </w:r>
      <w:r>
        <w:rPr>
          <w:rFonts w:hint="eastAsia"/>
          <w:lang w:val="en-US" w:eastAsia="zh-CN"/>
        </w:rPr>
        <w:t>2</w:t>
      </w:r>
      <w:r>
        <w:rPr>
          <w:rFonts w:hint="default"/>
        </w:rPr>
        <w:t>条成品PE管材生产线，主要包括</w:t>
      </w:r>
      <w:r>
        <w:rPr>
          <w:rFonts w:hint="eastAsia"/>
          <w:lang w:val="en-US" w:eastAsia="zh-CN"/>
        </w:rPr>
        <w:t>生产车间和造粒车间</w:t>
      </w:r>
      <w:r>
        <w:rPr>
          <w:rFonts w:hint="default"/>
        </w:rPr>
        <w:t>，配套建设相关公辅工程。施工期主要进行建构筑物的建设，主体、配套装置和设备的安装、调试等，运营期进行试生产和投运，根据项目的特点，本次评价对施工期环境影响进行简要分析，重点对项目运营期产生的环境影响进行评价。</w:t>
      </w:r>
    </w:p>
    <w:p>
      <w:pPr>
        <w:pStyle w:val="4"/>
        <w:bidi w:val="0"/>
        <w:rPr>
          <w:rFonts w:hint="default"/>
        </w:rPr>
      </w:pPr>
      <w:bookmarkStart w:id="58" w:name="_Toc1180"/>
      <w:bookmarkStart w:id="59" w:name="_Toc5982"/>
      <w:bookmarkStart w:id="60" w:name="_Toc19099"/>
      <w:r>
        <w:rPr>
          <w:rFonts w:hint="default"/>
        </w:rPr>
        <w:t>2.</w:t>
      </w:r>
      <w:bookmarkStart w:id="61" w:name="_Toc341867053"/>
      <w:r>
        <w:rPr>
          <w:rFonts w:hint="default"/>
        </w:rPr>
        <w:t>4</w:t>
      </w:r>
      <w:bookmarkEnd w:id="58"/>
      <w:bookmarkEnd w:id="61"/>
      <w:r>
        <w:rPr>
          <w:rFonts w:hint="eastAsia"/>
          <w:lang w:eastAsia="zh-CN"/>
        </w:rPr>
        <w:t>、</w:t>
      </w:r>
      <w:r>
        <w:rPr>
          <w:rFonts w:hint="default"/>
        </w:rPr>
        <w:t>环境功能区划</w:t>
      </w:r>
      <w:bookmarkEnd w:id="59"/>
      <w:bookmarkEnd w:id="60"/>
    </w:p>
    <w:p>
      <w:pPr>
        <w:bidi w:val="0"/>
        <w:rPr>
          <w:rFonts w:hint="default"/>
        </w:rPr>
      </w:pPr>
      <w:r>
        <w:rPr>
          <w:rFonts w:hint="default"/>
        </w:rPr>
        <w:t>根据《环境影响评价技术导则 土壤环境（试行）》（HJ964-2018）等相关资料，项目所在地主要环境功能属性见表2.4-1。新疆环境功能区划总图见图2.4-1，生态功能区划图见图2.4-2。</w:t>
      </w:r>
    </w:p>
    <w:p>
      <w:pPr>
        <w:bidi w:val="0"/>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linePitch="312" w:charSpace="0"/>
        </w:sectPr>
      </w:pPr>
    </w:p>
    <w:p>
      <w:pPr>
        <w:bidi w:val="0"/>
        <w:rPr>
          <w:rFonts w:hint="eastAsia"/>
          <w:lang w:eastAsia="zh-CN"/>
        </w:rPr>
      </w:pPr>
      <w:r>
        <mc:AlternateContent>
          <mc:Choice Requires="wpg">
            <w:drawing>
              <wp:anchor distT="0" distB="0" distL="114300" distR="114300" simplePos="0" relativeHeight="251669504" behindDoc="0" locked="0" layoutInCell="1" allowOverlap="1">
                <wp:simplePos x="0" y="0"/>
                <wp:positionH relativeFrom="column">
                  <wp:posOffset>5963285</wp:posOffset>
                </wp:positionH>
                <wp:positionV relativeFrom="paragraph">
                  <wp:posOffset>2004695</wp:posOffset>
                </wp:positionV>
                <wp:extent cx="1438910" cy="772160"/>
                <wp:effectExtent l="6350" t="6350" r="15240" b="21590"/>
                <wp:wrapNone/>
                <wp:docPr id="32" name="组合 32"/>
                <wp:cNvGraphicFramePr/>
                <a:graphic xmlns:a="http://schemas.openxmlformats.org/drawingml/2006/main">
                  <a:graphicData uri="http://schemas.microsoft.com/office/word/2010/wordprocessingGroup">
                    <wpg:wgp>
                      <wpg:cNvGrpSpPr/>
                      <wpg:grpSpPr>
                        <a:xfrm>
                          <a:off x="0" y="0"/>
                          <a:ext cx="1438910" cy="772160"/>
                          <a:chOff x="10044" y="484100"/>
                          <a:chExt cx="2266" cy="1216"/>
                        </a:xfrm>
                      </wpg:grpSpPr>
                      <wps:wsp>
                        <wps:cNvPr id="26" name="圆角矩形标注 26"/>
                        <wps:cNvSpPr/>
                        <wps:spPr>
                          <a:xfrm>
                            <a:off x="10650" y="484832"/>
                            <a:ext cx="1660" cy="484"/>
                          </a:xfrm>
                          <a:prstGeom prst="wedgeRoundRectCallout">
                            <a:avLst>
                              <a:gd name="adj1" fmla="val -77771"/>
                              <a:gd name="adj2" fmla="val -178719"/>
                              <a:gd name="adj3" fmla="val 16667"/>
                            </a:avLst>
                          </a:prstGeom>
                          <a:solidFill>
                            <a:srgbClr val="FFFFFF"/>
                          </a:solidFill>
                          <a:ln w="19050" cap="flat" cmpd="sng">
                            <a:solidFill>
                              <a:srgbClr val="000000"/>
                            </a:solidFill>
                            <a:prstDash val="solid"/>
                            <a:miter/>
                            <a:headEnd type="none" w="med" len="med"/>
                            <a:tailEnd type="none" w="med" len="med"/>
                          </a:ln>
                        </wps:spPr>
                        <wps:txbx>
                          <w:txbxContent>
                            <w:p>
                              <w:pPr>
                                <w:spacing w:line="240" w:lineRule="auto"/>
                                <w:ind w:left="0" w:leftChars="0" w:firstLine="0" w:firstLineChars="0"/>
                                <w:jc w:val="both"/>
                                <w:rPr>
                                  <w:b/>
                                  <w:bCs/>
                                  <w:color w:val="FF0000"/>
                                </w:rPr>
                              </w:pPr>
                              <w:r>
                                <w:rPr>
                                  <w:rFonts w:hint="eastAsia"/>
                                  <w:b/>
                                  <w:bCs/>
                                  <w:color w:val="FF0000"/>
                                  <w:sz w:val="21"/>
                                  <w:szCs w:val="21"/>
                                </w:rPr>
                                <w:t>项目所</w:t>
                              </w:r>
                              <w:r>
                                <w:rPr>
                                  <w:rFonts w:hint="eastAsia"/>
                                  <w:b/>
                                  <w:bCs/>
                                  <w:color w:val="FF0000"/>
                                </w:rPr>
                                <w:t>在地</w:t>
                              </w:r>
                            </w:p>
                          </w:txbxContent>
                        </wps:txbx>
                        <wps:bodyPr upright="1"/>
                      </wps:wsp>
                      <wps:wsp>
                        <wps:cNvPr id="10" name="椭圆 10"/>
                        <wps:cNvSpPr/>
                        <wps:spPr>
                          <a:xfrm>
                            <a:off x="10044" y="484100"/>
                            <a:ext cx="119" cy="1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69.55pt;margin-top:157.85pt;height:60.8pt;width:113.3pt;z-index:251669504;mso-width-relative:page;mso-height-relative:page;" coordorigin="10044,484100" coordsize="2266,1216" o:gfxdata="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">
                <o:lock v:ext="edit" aspectratio="f"/>
                <v:shape id="_x0000_s1026" o:spid="_x0000_s1026" o:spt="62" type="#_x0000_t62" style="position:absolute;left:10650;top:484832;height:484;width:1660;" fillcolor="#FFFFFF" filled="t" stroked="t" coordsize="21600,21600" o:gfxdata="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GWI74A&#10;AADbAAAADwAAAAAAAAABACAAAAAiAAAAZHJzL2Rvd25yZXYueG1sUEsBAhQAFAAAAAgAh07iQDMv&#10;BZ47AAAAOQAAABAAAAAAAAAAAQAgAAAADQEAAGRycy9zaGFwZXhtbC54bWxQSwUGAAAAAAYABgBb&#10;AQAAtwMAAAAA&#10;" adj="-5999,-27803,14400">
                  <v:fill on="t" focussize="0,0"/>
                  <v:stroke weight="1.5pt" color="#000000" joinstyle="miter"/>
                  <v:imagedata o:title=""/>
                  <o:lock v:ext="edit" aspectratio="f"/>
                  <v:textbox>
                    <w:txbxContent>
                      <w:p>
                        <w:pPr>
                          <w:spacing w:line="240" w:lineRule="auto"/>
                          <w:ind w:left="0" w:leftChars="0" w:firstLine="0" w:firstLineChars="0"/>
                          <w:jc w:val="both"/>
                          <w:rPr>
                            <w:b/>
                            <w:bCs/>
                            <w:color w:val="FF0000"/>
                          </w:rPr>
                        </w:pPr>
                        <w:r>
                          <w:rPr>
                            <w:rFonts w:hint="eastAsia"/>
                            <w:b/>
                            <w:bCs/>
                            <w:color w:val="FF0000"/>
                            <w:sz w:val="21"/>
                            <w:szCs w:val="21"/>
                          </w:rPr>
                          <w:t>项目所</w:t>
                        </w:r>
                        <w:r>
                          <w:rPr>
                            <w:rFonts w:hint="eastAsia"/>
                            <w:b/>
                            <w:bCs/>
                            <w:color w:val="FF0000"/>
                          </w:rPr>
                          <w:t>在地</w:t>
                        </w:r>
                      </w:p>
                    </w:txbxContent>
                  </v:textbox>
                </v:shape>
                <v:shape id="_x0000_s1026" o:spid="_x0000_s1026" o:spt="3" type="#_x0000_t3" style="position:absolute;left:10044;top:484100;height:119;width:119;v-text-anchor:middle;" fillcolor="#FF0000" filled="t" stroked="t" coordsize="21600,21600" o:gfxdata="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GnpW8AAAA&#10;2wAAAA8AAAAAAAAAAQAgAAAAIgAAAGRycy9kb3ducmV2LnhtbFBLAQIUABQAAAAIAIdO4kAzLwWe&#10;OwAAADkAAAAQAAAAAAAAAAEAIAAAAAsBAABkcnMvc2hhcGV4bWwueG1sUEsFBgAAAAAGAAYAWwEA&#10;ALUDAAAAAA==&#10;">
                  <v:fill on="t" focussize="0,0"/>
                  <v:stroke weight="1pt" color="#FF0000 [3204]" miterlimit="8" joinstyle="miter"/>
                  <v:imagedata o:title=""/>
                  <o:lock v:ext="edit" aspectratio="f"/>
                </v:shape>
              </v:group>
            </w:pict>
          </mc:Fallback>
        </mc:AlternateContent>
      </w:r>
      <w:r>
        <w:rPr>
          <w:rFonts w:hint="eastAsia"/>
          <w:lang w:eastAsia="zh-CN"/>
        </w:rPr>
        <w:drawing>
          <wp:inline distT="0" distB="0" distL="114300" distR="114300">
            <wp:extent cx="9180195" cy="5400040"/>
            <wp:effectExtent l="0" t="0" r="1905" b="10160"/>
            <wp:docPr id="17" name="图片 17" descr="附图1：新疆生态环境功能区划总图n"/>
            <wp:cNvGraphicFramePr/>
            <a:graphic xmlns:a="http://schemas.openxmlformats.org/drawingml/2006/main">
              <a:graphicData uri="http://schemas.openxmlformats.org/drawingml/2006/picture">
                <pic:pic xmlns:pic="http://schemas.openxmlformats.org/drawingml/2006/picture">
                  <pic:nvPicPr>
                    <pic:cNvPr id="17" name="图片 17" descr="附图1：新疆生态环境功能区划总图n"/>
                    <pic:cNvPicPr/>
                  </pic:nvPicPr>
                  <pic:blipFill>
                    <a:blip r:embed="rId13"/>
                    <a:stretch>
                      <a:fillRect/>
                    </a:stretch>
                  </pic:blipFill>
                  <pic:spPr>
                    <a:xfrm>
                      <a:off x="0" y="0"/>
                      <a:ext cx="9180195" cy="5400040"/>
                    </a:xfrm>
                    <a:prstGeom prst="rect">
                      <a:avLst/>
                    </a:prstGeom>
                  </pic:spPr>
                </pic:pic>
              </a:graphicData>
            </a:graphic>
          </wp:inline>
        </w:drawing>
      </w:r>
    </w:p>
    <w:p>
      <w:pPr>
        <w:bidi w:val="0"/>
        <w:jc w:val="center"/>
        <w:rPr>
          <w:rFonts w:hint="default"/>
          <w:b/>
          <w:bCs/>
        </w:rPr>
      </w:pPr>
      <w:r>
        <w:rPr>
          <w:rFonts w:hint="default"/>
          <w:b/>
          <w:bCs/>
        </w:rPr>
        <w:t>图2.4-1     新疆环境功能区划总图</w:t>
      </w:r>
    </w:p>
    <w:p>
      <w:pPr>
        <w:bidi w:val="0"/>
        <w:rPr>
          <w:rFonts w:hint="default"/>
        </w:rPr>
      </w:pPr>
    </w:p>
    <w:p>
      <w:pPr>
        <w:bidi w:val="0"/>
        <w:jc w:val="center"/>
        <w:rPr>
          <w:rFonts w:hint="eastAsia"/>
          <w:lang w:eastAsia="zh-CN"/>
        </w:rPr>
      </w:pPr>
      <w:r>
        <mc:AlternateContent>
          <mc:Choice Requires="wpg">
            <w:drawing>
              <wp:anchor distT="0" distB="0" distL="114300" distR="114300" simplePos="0" relativeHeight="251670528" behindDoc="0" locked="0" layoutInCell="1" allowOverlap="1">
                <wp:simplePos x="0" y="0"/>
                <wp:positionH relativeFrom="column">
                  <wp:posOffset>5572125</wp:posOffset>
                </wp:positionH>
                <wp:positionV relativeFrom="paragraph">
                  <wp:posOffset>2091690</wp:posOffset>
                </wp:positionV>
                <wp:extent cx="1399540" cy="764540"/>
                <wp:effectExtent l="6350" t="6350" r="16510" b="16510"/>
                <wp:wrapNone/>
                <wp:docPr id="44" name="组合 44"/>
                <wp:cNvGraphicFramePr/>
                <a:graphic xmlns:a="http://schemas.openxmlformats.org/drawingml/2006/main">
                  <a:graphicData uri="http://schemas.microsoft.com/office/word/2010/wordprocessingGroup">
                    <wpg:wgp>
                      <wpg:cNvGrpSpPr/>
                      <wpg:grpSpPr>
                        <a:xfrm>
                          <a:off x="0" y="0"/>
                          <a:ext cx="1399540" cy="764540"/>
                          <a:chOff x="9415" y="496737"/>
                          <a:chExt cx="2204" cy="1204"/>
                        </a:xfrm>
                      </wpg:grpSpPr>
                      <wps:wsp>
                        <wps:cNvPr id="19" name="圆角矩形标注 19"/>
                        <wps:cNvSpPr/>
                        <wps:spPr>
                          <a:xfrm>
                            <a:off x="9959" y="497457"/>
                            <a:ext cx="1660" cy="484"/>
                          </a:xfrm>
                          <a:prstGeom prst="wedgeRoundRectCallout">
                            <a:avLst>
                              <a:gd name="adj1" fmla="val -76625"/>
                              <a:gd name="adj2" fmla="val -174792"/>
                              <a:gd name="adj3" fmla="val 16667"/>
                            </a:avLst>
                          </a:prstGeom>
                          <a:solidFill>
                            <a:srgbClr val="FFFFFF"/>
                          </a:solidFill>
                          <a:ln w="19050" cap="flat" cmpd="sng">
                            <a:solidFill>
                              <a:srgbClr val="000000"/>
                            </a:solidFill>
                            <a:prstDash val="solid"/>
                            <a:miter/>
                            <a:headEnd type="none" w="med" len="med"/>
                            <a:tailEnd type="none" w="med" len="med"/>
                          </a:ln>
                        </wps:spPr>
                        <wps:txbx>
                          <w:txbxContent>
                            <w:p>
                              <w:pPr>
                                <w:spacing w:line="240" w:lineRule="auto"/>
                                <w:ind w:left="0" w:leftChars="0" w:firstLine="0" w:firstLineChars="0"/>
                                <w:jc w:val="both"/>
                                <w:rPr>
                                  <w:b/>
                                  <w:bCs/>
                                  <w:color w:val="FF0000"/>
                                </w:rPr>
                              </w:pPr>
                              <w:r>
                                <w:rPr>
                                  <w:rFonts w:hint="eastAsia"/>
                                  <w:b/>
                                  <w:bCs/>
                                  <w:color w:val="FF0000"/>
                                  <w:sz w:val="21"/>
                                  <w:szCs w:val="21"/>
                                </w:rPr>
                                <w:t>项目所</w:t>
                              </w:r>
                              <w:r>
                                <w:rPr>
                                  <w:rFonts w:hint="eastAsia"/>
                                  <w:b/>
                                  <w:bCs/>
                                  <w:color w:val="FF0000"/>
                                </w:rPr>
                                <w:t>在地</w:t>
                              </w:r>
                            </w:p>
                          </w:txbxContent>
                        </wps:txbx>
                        <wps:bodyPr upright="1"/>
                      </wps:wsp>
                      <wps:wsp>
                        <wps:cNvPr id="43" name="椭圆 43"/>
                        <wps:cNvSpPr/>
                        <wps:spPr>
                          <a:xfrm>
                            <a:off x="9415" y="496737"/>
                            <a:ext cx="131" cy="1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38.75pt;margin-top:164.7pt;height:60.2pt;width:110.2pt;z-index:251670528;mso-width-relative:page;mso-height-relative:page;" coordorigin="9415,496737" coordsize="2204,1204" o:gfxdata="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">
                <o:lock v:ext="edit" aspectratio="f"/>
                <v:shape id="_x0000_s1026" o:spid="_x0000_s1026" o:spt="62" type="#_x0000_t62" style="position:absolute;left:9959;top:497457;height:484;width:1660;" fillcolor="#FFFFFF" filled="t" stroked="t" coordsize="21600,21600" o:gfxdata="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l8Xi5AAAA2wAA&#10;AA8AAAAAAAAAAQAgAAAAIgAAAGRycy9kb3ducmV2LnhtbFBLAQIUABQAAAAIAIdO4kAzLwWeOwAA&#10;ADkAAAAQAAAAAAAAAAEAIAAAAAgBAABkcnMvc2hhcGV4bWwueG1sUEsFBgAAAAAGAAYAWwEAALID&#10;AAAAAA==&#10;" adj="-5751,-26955,14400">
                  <v:fill on="t" focussize="0,0"/>
                  <v:stroke weight="1.5pt" color="#000000" joinstyle="miter"/>
                  <v:imagedata o:title=""/>
                  <o:lock v:ext="edit" aspectratio="f"/>
                  <v:textbox>
                    <w:txbxContent>
                      <w:p>
                        <w:pPr>
                          <w:spacing w:line="240" w:lineRule="auto"/>
                          <w:ind w:left="0" w:leftChars="0" w:firstLine="0" w:firstLineChars="0"/>
                          <w:jc w:val="both"/>
                          <w:rPr>
                            <w:b/>
                            <w:bCs/>
                            <w:color w:val="FF0000"/>
                          </w:rPr>
                        </w:pPr>
                        <w:r>
                          <w:rPr>
                            <w:rFonts w:hint="eastAsia"/>
                            <w:b/>
                            <w:bCs/>
                            <w:color w:val="FF0000"/>
                            <w:sz w:val="21"/>
                            <w:szCs w:val="21"/>
                          </w:rPr>
                          <w:t>项目所</w:t>
                        </w:r>
                        <w:r>
                          <w:rPr>
                            <w:rFonts w:hint="eastAsia"/>
                            <w:b/>
                            <w:bCs/>
                            <w:color w:val="FF0000"/>
                          </w:rPr>
                          <w:t>在地</w:t>
                        </w:r>
                      </w:p>
                    </w:txbxContent>
                  </v:textbox>
                </v:shape>
                <v:shape id="_x0000_s1026" o:spid="_x0000_s1026" o:spt="3" type="#_x0000_t3" style="position:absolute;left:9415;top:496737;height:119;width:131;v-text-anchor:middle;" fillcolor="#FF0000" filled="t" stroked="t" coordsize="21600,21600" o:gfxdata="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nL/+8AAAA&#10;2wAAAA8AAAAAAAAAAQAgAAAAIgAAAGRycy9kb3ducmV2LnhtbFBLAQIUABQAAAAIAIdO4kAzLwWe&#10;OwAAADkAAAAQAAAAAAAAAAEAIAAAAAsBAABkcnMvc2hhcGV4bWwueG1sUEsFBgAAAAAGAAYAWwEA&#10;ALUDAAAAAA==&#10;">
                  <v:fill on="t" focussize="0,0"/>
                  <v:stroke weight="1pt" color="#FF0000 [3204]" miterlimit="8" joinstyle="miter"/>
                  <v:imagedata o:title=""/>
                  <o:lock v:ext="edit" aspectratio="f"/>
                </v:shape>
              </v:group>
            </w:pict>
          </mc:Fallback>
        </mc:AlternateContent>
      </w:r>
      <w:r>
        <w:rPr>
          <w:rFonts w:hint="eastAsia"/>
          <w:lang w:eastAsia="zh-CN"/>
        </w:rPr>
        <w:drawing>
          <wp:inline distT="0" distB="0" distL="114300" distR="114300">
            <wp:extent cx="9180195" cy="5400040"/>
            <wp:effectExtent l="0" t="0" r="1905" b="10160"/>
            <wp:docPr id="38" name="图片 38" descr="生态功能总图"/>
            <wp:cNvGraphicFramePr/>
            <a:graphic xmlns:a="http://schemas.openxmlformats.org/drawingml/2006/main">
              <a:graphicData uri="http://schemas.openxmlformats.org/drawingml/2006/picture">
                <pic:pic xmlns:pic="http://schemas.openxmlformats.org/drawingml/2006/picture">
                  <pic:nvPicPr>
                    <pic:cNvPr id="38" name="图片 38" descr="生态功能总图"/>
                    <pic:cNvPicPr/>
                  </pic:nvPicPr>
                  <pic:blipFill>
                    <a:blip r:embed="rId14"/>
                    <a:stretch>
                      <a:fillRect/>
                    </a:stretch>
                  </pic:blipFill>
                  <pic:spPr>
                    <a:xfrm>
                      <a:off x="0" y="0"/>
                      <a:ext cx="9180195" cy="5400040"/>
                    </a:xfrm>
                    <a:prstGeom prst="rect">
                      <a:avLst/>
                    </a:prstGeom>
                  </pic:spPr>
                </pic:pic>
              </a:graphicData>
            </a:graphic>
          </wp:inline>
        </w:drawing>
      </w:r>
    </w:p>
    <w:p>
      <w:pPr>
        <w:bidi w:val="0"/>
        <w:jc w:val="center"/>
        <w:rPr>
          <w:rFonts w:hint="default"/>
          <w:b/>
          <w:bCs/>
          <w:lang w:val="en-US" w:eastAsia="zh-CN"/>
        </w:rPr>
        <w:sectPr>
          <w:footerReference r:id="rId6" w:type="default"/>
          <w:pgSz w:w="16838" w:h="11906" w:orient="landscape"/>
          <w:pgMar w:top="720" w:right="720" w:bottom="720" w:left="720" w:header="851" w:footer="567" w:gutter="0"/>
          <w:pgBorders>
            <w:top w:val="none" w:sz="0" w:space="0"/>
            <w:left w:val="none" w:sz="0" w:space="0"/>
            <w:bottom w:val="none" w:sz="0" w:space="0"/>
            <w:right w:val="none" w:sz="0" w:space="0"/>
          </w:pgBorders>
          <w:cols w:space="425" w:num="1"/>
          <w:docGrid w:type="lines" w:linePitch="312" w:charSpace="0"/>
        </w:sectPr>
      </w:pPr>
      <w:r>
        <w:rPr>
          <w:rFonts w:hint="default"/>
          <w:b/>
          <w:bCs/>
          <w:lang w:val="en-US" w:eastAsia="zh-CN"/>
        </w:rPr>
        <w:t>图2.4-2   项目区域生态功能区划图</w:t>
      </w:r>
    </w:p>
    <w:p>
      <w:pPr>
        <w:pStyle w:val="17"/>
        <w:bidi w:val="0"/>
        <w:rPr>
          <w:rFonts w:hint="default"/>
          <w:b/>
          <w:bCs/>
        </w:rPr>
      </w:pPr>
      <w:r>
        <w:rPr>
          <w:rFonts w:hint="default"/>
          <w:b/>
          <w:bCs/>
        </w:rPr>
        <w:t xml:space="preserve">表2.4-1  </w:t>
      </w:r>
      <w:r>
        <w:rPr>
          <w:rFonts w:hint="eastAsia"/>
          <w:b/>
          <w:bCs/>
          <w:lang w:val="en-US" w:eastAsia="zh-CN"/>
        </w:rPr>
        <w:t xml:space="preserve"> </w:t>
      </w:r>
      <w:r>
        <w:rPr>
          <w:rFonts w:hint="default"/>
          <w:b/>
          <w:bCs/>
        </w:rPr>
        <w:t>项目所在区域环境功能属性一览表</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5"/>
        <w:gridCol w:w="2162"/>
        <w:gridCol w:w="1429"/>
        <w:gridCol w:w="48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tcBorders>
              <w:tl2br w:val="nil"/>
              <w:tr2bl w:val="nil"/>
            </w:tcBorders>
            <w:vAlign w:val="center"/>
          </w:tcPr>
          <w:p>
            <w:pPr>
              <w:pStyle w:val="17"/>
              <w:bidi w:val="0"/>
              <w:rPr>
                <w:rFonts w:hint="default"/>
                <w:b/>
                <w:bCs/>
              </w:rPr>
            </w:pPr>
            <w:r>
              <w:rPr>
                <w:rFonts w:hint="default"/>
                <w:b/>
                <w:bCs/>
              </w:rPr>
              <w:t>序号</w:t>
            </w:r>
          </w:p>
        </w:tc>
        <w:tc>
          <w:tcPr>
            <w:tcW w:w="2162" w:type="dxa"/>
            <w:tcBorders>
              <w:tl2br w:val="nil"/>
              <w:tr2bl w:val="nil"/>
            </w:tcBorders>
            <w:vAlign w:val="center"/>
          </w:tcPr>
          <w:p>
            <w:pPr>
              <w:pStyle w:val="17"/>
              <w:bidi w:val="0"/>
              <w:rPr>
                <w:rFonts w:hint="default"/>
                <w:b/>
                <w:bCs/>
              </w:rPr>
            </w:pPr>
            <w:r>
              <w:rPr>
                <w:rFonts w:hint="default"/>
                <w:b/>
                <w:bCs/>
              </w:rPr>
              <w:t>功能区类别</w:t>
            </w:r>
          </w:p>
        </w:tc>
        <w:tc>
          <w:tcPr>
            <w:tcW w:w="6254" w:type="dxa"/>
            <w:gridSpan w:val="2"/>
            <w:tcBorders>
              <w:tl2br w:val="nil"/>
              <w:tr2bl w:val="nil"/>
            </w:tcBorders>
            <w:vAlign w:val="center"/>
          </w:tcPr>
          <w:p>
            <w:pPr>
              <w:pStyle w:val="17"/>
              <w:bidi w:val="0"/>
              <w:rPr>
                <w:rFonts w:hint="default"/>
                <w:b/>
                <w:bCs/>
              </w:rPr>
            </w:pPr>
            <w:r>
              <w:rPr>
                <w:rFonts w:hint="default"/>
                <w:b/>
                <w:bCs/>
              </w:rPr>
              <w:t>项目区域功能区分类及执行标准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vMerge w:val="restart"/>
            <w:tcBorders>
              <w:tl2br w:val="nil"/>
              <w:tr2bl w:val="nil"/>
            </w:tcBorders>
            <w:vAlign w:val="center"/>
          </w:tcPr>
          <w:p>
            <w:pPr>
              <w:pStyle w:val="17"/>
              <w:bidi w:val="0"/>
              <w:rPr>
                <w:rFonts w:hint="default"/>
              </w:rPr>
            </w:pPr>
            <w:r>
              <w:rPr>
                <w:rFonts w:hint="default"/>
              </w:rPr>
              <w:t>1</w:t>
            </w:r>
          </w:p>
        </w:tc>
        <w:tc>
          <w:tcPr>
            <w:tcW w:w="2162" w:type="dxa"/>
            <w:vMerge w:val="restart"/>
            <w:tcBorders>
              <w:tl2br w:val="nil"/>
              <w:tr2bl w:val="nil"/>
            </w:tcBorders>
            <w:vAlign w:val="center"/>
          </w:tcPr>
          <w:p>
            <w:pPr>
              <w:pStyle w:val="17"/>
              <w:bidi w:val="0"/>
              <w:rPr>
                <w:rFonts w:hint="default"/>
              </w:rPr>
            </w:pPr>
            <w:r>
              <w:rPr>
                <w:rFonts w:hint="default"/>
              </w:rPr>
              <w:t>水环境功能区</w:t>
            </w:r>
          </w:p>
        </w:tc>
        <w:tc>
          <w:tcPr>
            <w:tcW w:w="1429" w:type="dxa"/>
            <w:tcBorders>
              <w:tl2br w:val="nil"/>
              <w:tr2bl w:val="nil"/>
            </w:tcBorders>
            <w:vAlign w:val="center"/>
          </w:tcPr>
          <w:p>
            <w:pPr>
              <w:pStyle w:val="17"/>
              <w:bidi w:val="0"/>
              <w:rPr>
                <w:rFonts w:hint="default"/>
              </w:rPr>
            </w:pPr>
            <w:r>
              <w:rPr>
                <w:rFonts w:hint="default"/>
              </w:rPr>
              <w:t>地表水体</w:t>
            </w:r>
          </w:p>
        </w:tc>
        <w:tc>
          <w:tcPr>
            <w:tcW w:w="4825" w:type="dxa"/>
            <w:tcBorders>
              <w:tl2br w:val="nil"/>
              <w:tr2bl w:val="nil"/>
            </w:tcBorders>
            <w:vAlign w:val="center"/>
          </w:tcPr>
          <w:p>
            <w:pPr>
              <w:pStyle w:val="17"/>
              <w:bidi w:val="0"/>
              <w:rPr>
                <w:rFonts w:hint="default"/>
                <w:lang w:val="en-US" w:eastAsia="zh-CN"/>
              </w:rPr>
            </w:pPr>
            <w:r>
              <w:rPr>
                <w:rFonts w:hint="default"/>
              </w:rPr>
              <w:t>项目所在区域</w:t>
            </w:r>
            <w:r>
              <w:rPr>
                <w:rFonts w:hint="eastAsia"/>
                <w:lang w:val="en-US" w:eastAsia="zh-CN"/>
              </w:rPr>
              <w:t>无天然地表水体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vMerge w:val="continue"/>
            <w:tcBorders>
              <w:tl2br w:val="nil"/>
              <w:tr2bl w:val="nil"/>
            </w:tcBorders>
            <w:vAlign w:val="center"/>
          </w:tcPr>
          <w:p>
            <w:pPr>
              <w:pStyle w:val="17"/>
              <w:bidi w:val="0"/>
              <w:rPr>
                <w:rFonts w:hint="default"/>
              </w:rPr>
            </w:pPr>
          </w:p>
        </w:tc>
        <w:tc>
          <w:tcPr>
            <w:tcW w:w="2162" w:type="dxa"/>
            <w:vMerge w:val="continue"/>
            <w:tcBorders>
              <w:tl2br w:val="nil"/>
              <w:tr2bl w:val="nil"/>
            </w:tcBorders>
            <w:vAlign w:val="center"/>
          </w:tcPr>
          <w:p>
            <w:pPr>
              <w:pStyle w:val="17"/>
              <w:bidi w:val="0"/>
              <w:rPr>
                <w:rFonts w:hint="default"/>
              </w:rPr>
            </w:pPr>
          </w:p>
        </w:tc>
        <w:tc>
          <w:tcPr>
            <w:tcW w:w="1429" w:type="dxa"/>
            <w:tcBorders>
              <w:tl2br w:val="nil"/>
              <w:tr2bl w:val="nil"/>
            </w:tcBorders>
            <w:vAlign w:val="center"/>
          </w:tcPr>
          <w:p>
            <w:pPr>
              <w:pStyle w:val="17"/>
              <w:bidi w:val="0"/>
              <w:rPr>
                <w:rFonts w:hint="default"/>
              </w:rPr>
            </w:pPr>
            <w:r>
              <w:rPr>
                <w:rFonts w:hint="eastAsia"/>
                <w:lang w:val="en-US" w:eastAsia="zh-CN"/>
              </w:rPr>
              <w:t>地下水属于</w:t>
            </w:r>
            <w:r>
              <w:rPr>
                <w:rFonts w:hint="default"/>
              </w:rPr>
              <w:t>非饮用水水源保护区</w:t>
            </w:r>
          </w:p>
        </w:tc>
        <w:tc>
          <w:tcPr>
            <w:tcW w:w="4825" w:type="dxa"/>
            <w:tcBorders>
              <w:tl2br w:val="nil"/>
              <w:tr2bl w:val="nil"/>
            </w:tcBorders>
            <w:vAlign w:val="center"/>
          </w:tcPr>
          <w:p>
            <w:pPr>
              <w:pStyle w:val="17"/>
              <w:bidi w:val="0"/>
              <w:rPr>
                <w:rFonts w:hint="default"/>
              </w:rPr>
            </w:pPr>
            <w:r>
              <w:rPr>
                <w:rFonts w:hint="default"/>
              </w:rPr>
              <w:t>地下水执行《地下水质量标准》（GB/T14848-2017）Ⅲ类标准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tcBorders>
              <w:tl2br w:val="nil"/>
              <w:tr2bl w:val="nil"/>
            </w:tcBorders>
            <w:vAlign w:val="center"/>
          </w:tcPr>
          <w:p>
            <w:pPr>
              <w:pStyle w:val="17"/>
              <w:bidi w:val="0"/>
              <w:rPr>
                <w:rFonts w:hint="default"/>
              </w:rPr>
            </w:pPr>
            <w:r>
              <w:rPr>
                <w:rFonts w:hint="default"/>
              </w:rPr>
              <w:t>2</w:t>
            </w:r>
          </w:p>
        </w:tc>
        <w:tc>
          <w:tcPr>
            <w:tcW w:w="2162" w:type="dxa"/>
            <w:tcBorders>
              <w:tl2br w:val="nil"/>
              <w:tr2bl w:val="nil"/>
            </w:tcBorders>
            <w:vAlign w:val="center"/>
          </w:tcPr>
          <w:p>
            <w:pPr>
              <w:pStyle w:val="17"/>
              <w:bidi w:val="0"/>
              <w:rPr>
                <w:rFonts w:hint="default"/>
              </w:rPr>
            </w:pPr>
            <w:r>
              <w:rPr>
                <w:rFonts w:hint="default"/>
              </w:rPr>
              <w:t>大气功能区</w:t>
            </w:r>
          </w:p>
        </w:tc>
        <w:tc>
          <w:tcPr>
            <w:tcW w:w="1429" w:type="dxa"/>
            <w:tcBorders>
              <w:tl2br w:val="nil"/>
              <w:tr2bl w:val="nil"/>
            </w:tcBorders>
            <w:vAlign w:val="center"/>
          </w:tcPr>
          <w:p>
            <w:pPr>
              <w:pStyle w:val="17"/>
              <w:bidi w:val="0"/>
              <w:rPr>
                <w:rFonts w:hint="default"/>
              </w:rPr>
            </w:pPr>
            <w:r>
              <w:rPr>
                <w:rFonts w:hint="default"/>
              </w:rPr>
              <w:t>二类区</w:t>
            </w:r>
          </w:p>
        </w:tc>
        <w:tc>
          <w:tcPr>
            <w:tcW w:w="4825" w:type="dxa"/>
            <w:tcBorders>
              <w:tl2br w:val="nil"/>
              <w:tr2bl w:val="nil"/>
            </w:tcBorders>
            <w:vAlign w:val="center"/>
          </w:tcPr>
          <w:p>
            <w:pPr>
              <w:pStyle w:val="17"/>
              <w:bidi w:val="0"/>
              <w:rPr>
                <w:rFonts w:hint="default"/>
              </w:rPr>
            </w:pPr>
            <w:r>
              <w:rPr>
                <w:rFonts w:hint="default"/>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tcBorders>
              <w:tl2br w:val="nil"/>
              <w:tr2bl w:val="nil"/>
            </w:tcBorders>
            <w:vAlign w:val="center"/>
          </w:tcPr>
          <w:p>
            <w:pPr>
              <w:pStyle w:val="17"/>
              <w:bidi w:val="0"/>
              <w:rPr>
                <w:rFonts w:hint="default"/>
              </w:rPr>
            </w:pPr>
            <w:r>
              <w:rPr>
                <w:rFonts w:hint="default"/>
              </w:rPr>
              <w:t>3</w:t>
            </w:r>
          </w:p>
        </w:tc>
        <w:tc>
          <w:tcPr>
            <w:tcW w:w="2162" w:type="dxa"/>
            <w:tcBorders>
              <w:tl2br w:val="nil"/>
              <w:tr2bl w:val="nil"/>
            </w:tcBorders>
            <w:vAlign w:val="center"/>
          </w:tcPr>
          <w:p>
            <w:pPr>
              <w:pStyle w:val="17"/>
              <w:bidi w:val="0"/>
              <w:rPr>
                <w:rFonts w:hint="default"/>
              </w:rPr>
            </w:pPr>
            <w:r>
              <w:rPr>
                <w:rFonts w:hint="default"/>
              </w:rPr>
              <w:t>环境噪声功能区</w:t>
            </w:r>
          </w:p>
        </w:tc>
        <w:tc>
          <w:tcPr>
            <w:tcW w:w="1429" w:type="dxa"/>
            <w:tcBorders>
              <w:tl2br w:val="nil"/>
              <w:tr2bl w:val="nil"/>
            </w:tcBorders>
            <w:vAlign w:val="center"/>
          </w:tcPr>
          <w:p>
            <w:pPr>
              <w:pStyle w:val="17"/>
              <w:bidi w:val="0"/>
              <w:rPr>
                <w:rFonts w:hint="default"/>
              </w:rPr>
            </w:pPr>
            <w:r>
              <w:rPr>
                <w:rFonts w:hint="eastAsia"/>
                <w:lang w:val="en-US" w:eastAsia="zh-CN"/>
              </w:rPr>
              <w:t>2</w:t>
            </w:r>
            <w:r>
              <w:rPr>
                <w:rFonts w:hint="default"/>
              </w:rPr>
              <w:t>类区</w:t>
            </w:r>
          </w:p>
        </w:tc>
        <w:tc>
          <w:tcPr>
            <w:tcW w:w="4825" w:type="dxa"/>
            <w:tcBorders>
              <w:tl2br w:val="nil"/>
              <w:tr2bl w:val="nil"/>
            </w:tcBorders>
            <w:vAlign w:val="center"/>
          </w:tcPr>
          <w:p>
            <w:pPr>
              <w:pStyle w:val="17"/>
              <w:bidi w:val="0"/>
              <w:rPr>
                <w:rFonts w:hint="default"/>
              </w:rPr>
            </w:pPr>
            <w:r>
              <w:rPr>
                <w:rFonts w:hint="default"/>
              </w:rPr>
              <w:t>《声环境质量标准》（GB3096-2008）</w:t>
            </w:r>
            <w:r>
              <w:rPr>
                <w:rFonts w:hint="eastAsia"/>
                <w:lang w:val="en-US" w:eastAsia="zh-CN"/>
              </w:rPr>
              <w:t>2</w:t>
            </w:r>
            <w:r>
              <w:rPr>
                <w:rFonts w:hint="default"/>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tcBorders>
              <w:tl2br w:val="nil"/>
              <w:tr2bl w:val="nil"/>
            </w:tcBorders>
            <w:vAlign w:val="center"/>
          </w:tcPr>
          <w:p>
            <w:pPr>
              <w:pStyle w:val="17"/>
              <w:bidi w:val="0"/>
              <w:rPr>
                <w:rFonts w:hint="default"/>
              </w:rPr>
            </w:pPr>
            <w:r>
              <w:rPr>
                <w:rFonts w:hint="default"/>
              </w:rPr>
              <w:t>4</w:t>
            </w:r>
          </w:p>
        </w:tc>
        <w:tc>
          <w:tcPr>
            <w:tcW w:w="2162" w:type="dxa"/>
            <w:tcBorders>
              <w:tl2br w:val="nil"/>
              <w:tr2bl w:val="nil"/>
            </w:tcBorders>
            <w:vAlign w:val="center"/>
          </w:tcPr>
          <w:p>
            <w:pPr>
              <w:pStyle w:val="17"/>
              <w:bidi w:val="0"/>
              <w:rPr>
                <w:rFonts w:hint="default"/>
              </w:rPr>
            </w:pPr>
            <w:r>
              <w:rPr>
                <w:rFonts w:hint="default"/>
              </w:rPr>
              <w:t>土壤环境功能区</w:t>
            </w:r>
          </w:p>
        </w:tc>
        <w:tc>
          <w:tcPr>
            <w:tcW w:w="1429" w:type="dxa"/>
            <w:tcBorders>
              <w:tl2br w:val="nil"/>
              <w:tr2bl w:val="nil"/>
            </w:tcBorders>
            <w:vAlign w:val="center"/>
          </w:tcPr>
          <w:p>
            <w:pPr>
              <w:pStyle w:val="17"/>
              <w:bidi w:val="0"/>
              <w:rPr>
                <w:rFonts w:hint="default"/>
                <w:lang w:val="en-US" w:eastAsia="zh-CN"/>
              </w:rPr>
            </w:pPr>
            <w:r>
              <w:rPr>
                <w:rFonts w:hint="default"/>
                <w:lang w:val="en-US" w:eastAsia="zh-CN"/>
              </w:rPr>
              <w:t>建设用地</w:t>
            </w:r>
          </w:p>
        </w:tc>
        <w:tc>
          <w:tcPr>
            <w:tcW w:w="4825" w:type="dxa"/>
            <w:tcBorders>
              <w:tl2br w:val="nil"/>
              <w:tr2bl w:val="nil"/>
            </w:tcBorders>
            <w:vAlign w:val="center"/>
          </w:tcPr>
          <w:p>
            <w:pPr>
              <w:pStyle w:val="17"/>
              <w:bidi w:val="0"/>
              <w:rPr>
                <w:rFonts w:hint="default"/>
              </w:rPr>
            </w:pPr>
            <w:r>
              <w:rPr>
                <w:rFonts w:hint="default"/>
              </w:rPr>
              <w:t>《土壤环境质量标准 建设用地土壤污染风险管控标准》（GB36600-2018）第二类用地筛选值标准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tcBorders>
              <w:tl2br w:val="nil"/>
              <w:tr2bl w:val="nil"/>
            </w:tcBorders>
            <w:vAlign w:val="center"/>
          </w:tcPr>
          <w:p>
            <w:pPr>
              <w:pStyle w:val="17"/>
              <w:bidi w:val="0"/>
              <w:rPr>
                <w:rFonts w:hint="default"/>
              </w:rPr>
            </w:pPr>
            <w:r>
              <w:rPr>
                <w:rFonts w:hint="default"/>
              </w:rPr>
              <w:t>5</w:t>
            </w:r>
          </w:p>
        </w:tc>
        <w:tc>
          <w:tcPr>
            <w:tcW w:w="2162" w:type="dxa"/>
            <w:tcBorders>
              <w:tl2br w:val="nil"/>
              <w:tr2bl w:val="nil"/>
            </w:tcBorders>
            <w:vAlign w:val="center"/>
          </w:tcPr>
          <w:p>
            <w:pPr>
              <w:pStyle w:val="17"/>
              <w:bidi w:val="0"/>
              <w:rPr>
                <w:rFonts w:hint="default"/>
              </w:rPr>
            </w:pPr>
            <w:r>
              <w:rPr>
                <w:rFonts w:hint="default"/>
              </w:rPr>
              <w:t>基本农田保护区</w:t>
            </w:r>
          </w:p>
        </w:tc>
        <w:tc>
          <w:tcPr>
            <w:tcW w:w="6254" w:type="dxa"/>
            <w:gridSpan w:val="2"/>
            <w:tcBorders>
              <w:tl2br w:val="nil"/>
              <w:tr2bl w:val="nil"/>
            </w:tcBorders>
            <w:vAlign w:val="center"/>
          </w:tcPr>
          <w:p>
            <w:pPr>
              <w:pStyle w:val="17"/>
              <w:bidi w:val="0"/>
              <w:rPr>
                <w:rFonts w:hint="default"/>
              </w:rPr>
            </w:pPr>
            <w:r>
              <w:rPr>
                <w:rFonts w:hint="default"/>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tcBorders>
              <w:tl2br w:val="nil"/>
              <w:tr2bl w:val="nil"/>
            </w:tcBorders>
            <w:vAlign w:val="center"/>
          </w:tcPr>
          <w:p>
            <w:pPr>
              <w:pStyle w:val="17"/>
              <w:bidi w:val="0"/>
              <w:rPr>
                <w:rFonts w:hint="default"/>
              </w:rPr>
            </w:pPr>
            <w:r>
              <w:rPr>
                <w:rFonts w:hint="default"/>
              </w:rPr>
              <w:t>6</w:t>
            </w:r>
          </w:p>
        </w:tc>
        <w:tc>
          <w:tcPr>
            <w:tcW w:w="2162" w:type="dxa"/>
            <w:tcBorders>
              <w:tl2br w:val="nil"/>
              <w:tr2bl w:val="nil"/>
            </w:tcBorders>
            <w:vAlign w:val="center"/>
          </w:tcPr>
          <w:p>
            <w:pPr>
              <w:pStyle w:val="17"/>
              <w:bidi w:val="0"/>
              <w:rPr>
                <w:rFonts w:hint="default"/>
              </w:rPr>
            </w:pPr>
            <w:r>
              <w:rPr>
                <w:rFonts w:hint="default"/>
              </w:rPr>
              <w:t>是否风景名胜保护区</w:t>
            </w:r>
          </w:p>
        </w:tc>
        <w:tc>
          <w:tcPr>
            <w:tcW w:w="6254" w:type="dxa"/>
            <w:gridSpan w:val="2"/>
            <w:tcBorders>
              <w:tl2br w:val="nil"/>
              <w:tr2bl w:val="nil"/>
            </w:tcBorders>
            <w:vAlign w:val="center"/>
          </w:tcPr>
          <w:p>
            <w:pPr>
              <w:pStyle w:val="17"/>
              <w:bidi w:val="0"/>
              <w:rPr>
                <w:rFonts w:hint="default"/>
              </w:rPr>
            </w:pPr>
            <w:r>
              <w:rPr>
                <w:rFonts w:hint="default"/>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tcBorders>
              <w:tl2br w:val="nil"/>
              <w:tr2bl w:val="nil"/>
            </w:tcBorders>
            <w:vAlign w:val="center"/>
          </w:tcPr>
          <w:p>
            <w:pPr>
              <w:pStyle w:val="17"/>
              <w:bidi w:val="0"/>
              <w:rPr>
                <w:rFonts w:hint="default"/>
              </w:rPr>
            </w:pPr>
            <w:r>
              <w:rPr>
                <w:rFonts w:hint="default"/>
              </w:rPr>
              <w:t>7</w:t>
            </w:r>
          </w:p>
        </w:tc>
        <w:tc>
          <w:tcPr>
            <w:tcW w:w="2162" w:type="dxa"/>
            <w:tcBorders>
              <w:tl2br w:val="nil"/>
              <w:tr2bl w:val="nil"/>
            </w:tcBorders>
            <w:vAlign w:val="center"/>
          </w:tcPr>
          <w:p>
            <w:pPr>
              <w:pStyle w:val="17"/>
              <w:bidi w:val="0"/>
              <w:rPr>
                <w:rFonts w:hint="default"/>
              </w:rPr>
            </w:pPr>
            <w:r>
              <w:rPr>
                <w:rFonts w:hint="default"/>
              </w:rPr>
              <w:t>水库库区</w:t>
            </w:r>
          </w:p>
        </w:tc>
        <w:tc>
          <w:tcPr>
            <w:tcW w:w="6254" w:type="dxa"/>
            <w:gridSpan w:val="2"/>
            <w:tcBorders>
              <w:tl2br w:val="nil"/>
              <w:tr2bl w:val="nil"/>
            </w:tcBorders>
            <w:vAlign w:val="center"/>
          </w:tcPr>
          <w:p>
            <w:pPr>
              <w:pStyle w:val="17"/>
              <w:bidi w:val="0"/>
              <w:rPr>
                <w:rFonts w:hint="default"/>
              </w:rPr>
            </w:pPr>
            <w:r>
              <w:rPr>
                <w:rFonts w:hint="default"/>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tcBorders>
              <w:tl2br w:val="nil"/>
              <w:tr2bl w:val="nil"/>
            </w:tcBorders>
            <w:vAlign w:val="center"/>
          </w:tcPr>
          <w:p>
            <w:pPr>
              <w:pStyle w:val="17"/>
              <w:bidi w:val="0"/>
              <w:rPr>
                <w:rFonts w:hint="default"/>
              </w:rPr>
            </w:pPr>
            <w:r>
              <w:rPr>
                <w:rFonts w:hint="default"/>
              </w:rPr>
              <w:t>8</w:t>
            </w:r>
          </w:p>
        </w:tc>
        <w:tc>
          <w:tcPr>
            <w:tcW w:w="2162" w:type="dxa"/>
            <w:tcBorders>
              <w:tl2br w:val="nil"/>
              <w:tr2bl w:val="nil"/>
            </w:tcBorders>
            <w:vAlign w:val="center"/>
          </w:tcPr>
          <w:p>
            <w:pPr>
              <w:pStyle w:val="17"/>
              <w:bidi w:val="0"/>
              <w:rPr>
                <w:rFonts w:hint="default"/>
              </w:rPr>
            </w:pPr>
            <w:r>
              <w:rPr>
                <w:rFonts w:hint="default"/>
              </w:rPr>
              <w:t>县污水厂集水范围</w:t>
            </w:r>
          </w:p>
        </w:tc>
        <w:tc>
          <w:tcPr>
            <w:tcW w:w="6254" w:type="dxa"/>
            <w:gridSpan w:val="2"/>
            <w:tcBorders>
              <w:tl2br w:val="nil"/>
              <w:tr2bl w:val="nil"/>
            </w:tcBorders>
            <w:vAlign w:val="center"/>
          </w:tcPr>
          <w:p>
            <w:pPr>
              <w:pStyle w:val="17"/>
              <w:bidi w:val="0"/>
              <w:rPr>
                <w:rFonts w:hint="default"/>
              </w:rPr>
            </w:pPr>
            <w:r>
              <w:rPr>
                <w:rFonts w:hint="default"/>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tcBorders>
              <w:tl2br w:val="nil"/>
              <w:tr2bl w:val="nil"/>
            </w:tcBorders>
            <w:vAlign w:val="center"/>
          </w:tcPr>
          <w:p>
            <w:pPr>
              <w:pStyle w:val="17"/>
              <w:bidi w:val="0"/>
              <w:rPr>
                <w:rFonts w:hint="default"/>
              </w:rPr>
            </w:pPr>
            <w:r>
              <w:rPr>
                <w:rFonts w:hint="default"/>
              </w:rPr>
              <w:t>9</w:t>
            </w:r>
          </w:p>
        </w:tc>
        <w:tc>
          <w:tcPr>
            <w:tcW w:w="2162" w:type="dxa"/>
            <w:tcBorders>
              <w:tl2br w:val="nil"/>
              <w:tr2bl w:val="nil"/>
            </w:tcBorders>
            <w:vAlign w:val="center"/>
          </w:tcPr>
          <w:p>
            <w:pPr>
              <w:pStyle w:val="17"/>
              <w:bidi w:val="0"/>
              <w:rPr>
                <w:rFonts w:hint="default"/>
              </w:rPr>
            </w:pPr>
            <w:r>
              <w:rPr>
                <w:rFonts w:hint="default"/>
              </w:rPr>
              <w:t>天然气管道干管区</w:t>
            </w:r>
          </w:p>
        </w:tc>
        <w:tc>
          <w:tcPr>
            <w:tcW w:w="6254" w:type="dxa"/>
            <w:gridSpan w:val="2"/>
            <w:tcBorders>
              <w:tl2br w:val="nil"/>
              <w:tr2bl w:val="nil"/>
            </w:tcBorders>
            <w:vAlign w:val="center"/>
          </w:tcPr>
          <w:p>
            <w:pPr>
              <w:pStyle w:val="17"/>
              <w:bidi w:val="0"/>
              <w:rPr>
                <w:rFonts w:hint="default"/>
              </w:rPr>
            </w:pPr>
            <w:r>
              <w:rPr>
                <w:rFonts w:hint="default"/>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tcBorders>
              <w:tl2br w:val="nil"/>
              <w:tr2bl w:val="nil"/>
            </w:tcBorders>
            <w:vAlign w:val="center"/>
          </w:tcPr>
          <w:p>
            <w:pPr>
              <w:pStyle w:val="17"/>
              <w:bidi w:val="0"/>
              <w:rPr>
                <w:rFonts w:hint="default"/>
              </w:rPr>
            </w:pPr>
            <w:r>
              <w:rPr>
                <w:rFonts w:hint="default"/>
              </w:rPr>
              <w:t>10</w:t>
            </w:r>
          </w:p>
        </w:tc>
        <w:tc>
          <w:tcPr>
            <w:tcW w:w="2162" w:type="dxa"/>
            <w:tcBorders>
              <w:tl2br w:val="nil"/>
              <w:tr2bl w:val="nil"/>
            </w:tcBorders>
            <w:vAlign w:val="center"/>
          </w:tcPr>
          <w:p>
            <w:pPr>
              <w:pStyle w:val="17"/>
              <w:bidi w:val="0"/>
              <w:rPr>
                <w:rFonts w:hint="default"/>
              </w:rPr>
            </w:pPr>
            <w:r>
              <w:rPr>
                <w:rFonts w:hint="default"/>
              </w:rPr>
              <w:t>是否为敏感区</w:t>
            </w:r>
          </w:p>
        </w:tc>
        <w:tc>
          <w:tcPr>
            <w:tcW w:w="6254" w:type="dxa"/>
            <w:gridSpan w:val="2"/>
            <w:tcBorders>
              <w:tl2br w:val="nil"/>
              <w:tr2bl w:val="nil"/>
            </w:tcBorders>
            <w:vAlign w:val="center"/>
          </w:tcPr>
          <w:p>
            <w:pPr>
              <w:pStyle w:val="17"/>
              <w:bidi w:val="0"/>
              <w:rPr>
                <w:rFonts w:hint="default"/>
              </w:rPr>
            </w:pPr>
            <w:r>
              <w:rPr>
                <w:rFonts w:hint="default"/>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tcBorders>
              <w:tl2br w:val="nil"/>
              <w:tr2bl w:val="nil"/>
            </w:tcBorders>
            <w:vAlign w:val="center"/>
          </w:tcPr>
          <w:p>
            <w:pPr>
              <w:pStyle w:val="17"/>
              <w:bidi w:val="0"/>
              <w:rPr>
                <w:rFonts w:hint="default"/>
              </w:rPr>
            </w:pPr>
            <w:r>
              <w:rPr>
                <w:rFonts w:hint="default"/>
              </w:rPr>
              <w:t>11</w:t>
            </w:r>
          </w:p>
        </w:tc>
        <w:tc>
          <w:tcPr>
            <w:tcW w:w="2162" w:type="dxa"/>
            <w:tcBorders>
              <w:tl2br w:val="nil"/>
              <w:tr2bl w:val="nil"/>
            </w:tcBorders>
            <w:vAlign w:val="center"/>
          </w:tcPr>
          <w:p>
            <w:pPr>
              <w:pStyle w:val="17"/>
              <w:bidi w:val="0"/>
              <w:rPr>
                <w:rFonts w:hint="default"/>
              </w:rPr>
            </w:pPr>
            <w:r>
              <w:rPr>
                <w:rFonts w:hint="default"/>
              </w:rPr>
              <w:t>大气控制区</w:t>
            </w:r>
          </w:p>
        </w:tc>
        <w:tc>
          <w:tcPr>
            <w:tcW w:w="6254" w:type="dxa"/>
            <w:gridSpan w:val="2"/>
            <w:tcBorders>
              <w:tl2br w:val="nil"/>
              <w:tr2bl w:val="nil"/>
            </w:tcBorders>
            <w:vAlign w:val="center"/>
          </w:tcPr>
          <w:p>
            <w:pPr>
              <w:pStyle w:val="17"/>
              <w:bidi w:val="0"/>
              <w:rPr>
                <w:rFonts w:hint="default"/>
              </w:rPr>
            </w:pPr>
            <w:r>
              <w:rPr>
                <w:rFonts w:hint="default"/>
              </w:rPr>
              <w:t>非重点区域，新建废气源排放执行新建企业排放限值</w:t>
            </w:r>
          </w:p>
        </w:tc>
      </w:tr>
    </w:tbl>
    <w:p>
      <w:pPr>
        <w:bidi w:val="0"/>
        <w:rPr>
          <w:rFonts w:hint="default"/>
        </w:rPr>
      </w:pPr>
      <w:r>
        <w:rPr>
          <w:rFonts w:hint="default"/>
        </w:rPr>
        <w:t>拟建项目位于</w:t>
      </w:r>
      <w:r>
        <w:rPr>
          <w:rFonts w:hint="eastAsia"/>
          <w:lang w:val="en-US" w:eastAsia="zh-CN"/>
        </w:rPr>
        <w:t>吉木萨尔县二工镇</w:t>
      </w:r>
      <w:r>
        <w:rPr>
          <w:rFonts w:hint="default"/>
        </w:rPr>
        <w:t>内，行政区划属</w:t>
      </w:r>
      <w:r>
        <w:rPr>
          <w:rFonts w:hint="eastAsia"/>
          <w:lang w:eastAsia="zh-CN"/>
        </w:rPr>
        <w:t>新疆维吾尔自治区昌吉回族自治州吉木萨尔县</w:t>
      </w:r>
      <w:r>
        <w:rPr>
          <w:rFonts w:hint="default"/>
        </w:rPr>
        <w:t>。根据《全国生态功能区划》及《新疆生态功能区划》及拟建项目所处的地理位置，确定其所在区域生态功能区划见表2.4-2。</w:t>
      </w:r>
    </w:p>
    <w:p>
      <w:pPr>
        <w:pStyle w:val="17"/>
        <w:bidi w:val="0"/>
        <w:rPr>
          <w:rFonts w:hint="default"/>
          <w:b/>
          <w:bCs/>
        </w:rPr>
      </w:pPr>
      <w:r>
        <w:rPr>
          <w:rFonts w:hint="default"/>
          <w:b/>
          <w:bCs/>
        </w:rPr>
        <w:t>表2.4-2</w:t>
      </w:r>
      <w:r>
        <w:rPr>
          <w:rFonts w:hint="eastAsia"/>
          <w:b/>
          <w:bCs/>
          <w:lang w:val="en-US" w:eastAsia="zh-CN"/>
        </w:rPr>
        <w:t xml:space="preserve"> </w:t>
      </w:r>
      <w:r>
        <w:rPr>
          <w:rFonts w:hint="default"/>
          <w:b/>
          <w:bCs/>
        </w:rPr>
        <w:t xml:space="preserve">  拟建项目区域生态功能区划简表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213"/>
        <w:gridCol w:w="6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213" w:type="dxa"/>
            <w:tcBorders>
              <w:tl2br w:val="nil"/>
              <w:tr2bl w:val="nil"/>
            </w:tcBorders>
            <w:vAlign w:val="center"/>
          </w:tcPr>
          <w:p>
            <w:pPr>
              <w:pStyle w:val="17"/>
              <w:bidi w:val="0"/>
              <w:rPr>
                <w:rFonts w:hint="default"/>
                <w:b/>
                <w:bCs/>
              </w:rPr>
            </w:pPr>
            <w:r>
              <w:rPr>
                <w:rFonts w:hint="default"/>
                <w:b/>
                <w:bCs/>
              </w:rPr>
              <w:t>生态区</w:t>
            </w:r>
          </w:p>
        </w:tc>
        <w:tc>
          <w:tcPr>
            <w:tcW w:w="6858" w:type="dxa"/>
            <w:tcBorders>
              <w:tl2br w:val="nil"/>
              <w:tr2bl w:val="nil"/>
            </w:tcBorders>
            <w:vAlign w:val="center"/>
          </w:tcPr>
          <w:p>
            <w:pPr>
              <w:pStyle w:val="17"/>
              <w:bidi w:val="0"/>
              <w:rPr>
                <w:rFonts w:hint="default"/>
                <w:b/>
                <w:bCs/>
              </w:rPr>
            </w:pPr>
            <w:r>
              <w:rPr>
                <w:rFonts w:hint="eastAsia"/>
                <w:b/>
                <w:bCs/>
              </w:rPr>
              <w:t>Ⅱ准噶尔盆地温性荒漠与绿洲农业生态区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213" w:type="dxa"/>
            <w:tcBorders>
              <w:tl2br w:val="nil"/>
              <w:tr2bl w:val="nil"/>
            </w:tcBorders>
            <w:vAlign w:val="center"/>
          </w:tcPr>
          <w:p>
            <w:pPr>
              <w:pStyle w:val="17"/>
              <w:bidi w:val="0"/>
              <w:rPr>
                <w:rFonts w:hint="default"/>
              </w:rPr>
            </w:pPr>
            <w:r>
              <w:rPr>
                <w:rFonts w:hint="default"/>
              </w:rPr>
              <w:t>生态亚区</w:t>
            </w:r>
          </w:p>
        </w:tc>
        <w:tc>
          <w:tcPr>
            <w:tcW w:w="6858" w:type="dxa"/>
            <w:tcBorders>
              <w:tl2br w:val="nil"/>
              <w:tr2bl w:val="nil"/>
            </w:tcBorders>
            <w:vAlign w:val="center"/>
          </w:tcPr>
          <w:p>
            <w:pPr>
              <w:pStyle w:val="17"/>
              <w:bidi w:val="0"/>
              <w:rPr>
                <w:rFonts w:hint="default"/>
              </w:rPr>
            </w:pPr>
            <w:r>
              <w:rPr>
                <w:rFonts w:hint="eastAsia"/>
              </w:rPr>
              <w:t>Ⅱ5准噶尔盆地南部荒漠绿洲农业生态亚区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213" w:type="dxa"/>
            <w:tcBorders>
              <w:tl2br w:val="nil"/>
              <w:tr2bl w:val="nil"/>
            </w:tcBorders>
            <w:vAlign w:val="center"/>
          </w:tcPr>
          <w:p>
            <w:pPr>
              <w:pStyle w:val="17"/>
              <w:bidi w:val="0"/>
              <w:rPr>
                <w:rFonts w:hint="default"/>
              </w:rPr>
            </w:pPr>
            <w:r>
              <w:rPr>
                <w:rFonts w:hint="default"/>
              </w:rPr>
              <w:t>生态功能区</w:t>
            </w:r>
          </w:p>
        </w:tc>
        <w:tc>
          <w:tcPr>
            <w:tcW w:w="6858" w:type="dxa"/>
            <w:tcBorders>
              <w:tl2br w:val="nil"/>
              <w:tr2bl w:val="nil"/>
            </w:tcBorders>
            <w:vAlign w:val="center"/>
          </w:tcPr>
          <w:p>
            <w:pPr>
              <w:pStyle w:val="17"/>
              <w:bidi w:val="0"/>
              <w:rPr>
                <w:rFonts w:hint="default"/>
              </w:rPr>
            </w:pPr>
            <w:r>
              <w:rPr>
                <w:rFonts w:hint="eastAsia"/>
              </w:rPr>
              <w:t>乌苏—石河子—昌吉城镇与绿洲农业生态功能区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10" w:hRule="atLeast"/>
          <w:jc w:val="center"/>
        </w:trPr>
        <w:tc>
          <w:tcPr>
            <w:tcW w:w="2213" w:type="dxa"/>
            <w:tcBorders>
              <w:tl2br w:val="nil"/>
              <w:tr2bl w:val="nil"/>
            </w:tcBorders>
            <w:vAlign w:val="center"/>
          </w:tcPr>
          <w:p>
            <w:pPr>
              <w:pStyle w:val="17"/>
              <w:bidi w:val="0"/>
              <w:rPr>
                <w:rFonts w:hint="default"/>
              </w:rPr>
            </w:pPr>
            <w:r>
              <w:rPr>
                <w:rFonts w:hint="default"/>
              </w:rPr>
              <w:t>主要生态服务功能</w:t>
            </w:r>
          </w:p>
        </w:tc>
        <w:tc>
          <w:tcPr>
            <w:tcW w:w="6858" w:type="dxa"/>
            <w:tcBorders>
              <w:tl2br w:val="nil"/>
              <w:tr2bl w:val="nil"/>
            </w:tcBorders>
            <w:vAlign w:val="center"/>
          </w:tcPr>
          <w:p>
            <w:pPr>
              <w:pStyle w:val="17"/>
              <w:bidi w:val="0"/>
              <w:rPr>
                <w:rFonts w:hint="default"/>
              </w:rPr>
            </w:pPr>
            <w:r>
              <w:rPr>
                <w:rFonts w:hint="eastAsia"/>
              </w:rPr>
              <w:t>工农畜产品生产、人居环境、荒漠化控制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213" w:type="dxa"/>
            <w:tcBorders>
              <w:tl2br w:val="nil"/>
              <w:tr2bl w:val="nil"/>
            </w:tcBorders>
            <w:vAlign w:val="center"/>
          </w:tcPr>
          <w:p>
            <w:pPr>
              <w:pStyle w:val="17"/>
              <w:bidi w:val="0"/>
              <w:rPr>
                <w:rFonts w:hint="default"/>
              </w:rPr>
            </w:pPr>
            <w:r>
              <w:rPr>
                <w:rFonts w:hint="default"/>
              </w:rPr>
              <w:t>主要生态环境问题</w:t>
            </w:r>
          </w:p>
        </w:tc>
        <w:tc>
          <w:tcPr>
            <w:tcW w:w="6858" w:type="dxa"/>
            <w:tcBorders>
              <w:tl2br w:val="nil"/>
              <w:tr2bl w:val="nil"/>
            </w:tcBorders>
            <w:vAlign w:val="center"/>
          </w:tcPr>
          <w:p>
            <w:pPr>
              <w:pStyle w:val="17"/>
              <w:bidi w:val="0"/>
              <w:rPr>
                <w:rFonts w:hint="default"/>
              </w:rPr>
            </w:pPr>
            <w:r>
              <w:rPr>
                <w:rFonts w:hint="eastAsia"/>
              </w:rPr>
              <w:t>地下水超采、荒漠植被退化、土地荒漠化与盐渍化、大气和水质及土壤污染、良田减少、绿洲外围受到沙漠化威胁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213" w:type="dxa"/>
            <w:tcBorders>
              <w:tl2br w:val="nil"/>
              <w:tr2bl w:val="nil"/>
            </w:tcBorders>
            <w:vAlign w:val="center"/>
          </w:tcPr>
          <w:p>
            <w:pPr>
              <w:pStyle w:val="17"/>
              <w:bidi w:val="0"/>
              <w:rPr>
                <w:rFonts w:hint="default"/>
              </w:rPr>
            </w:pPr>
            <w:r>
              <w:rPr>
                <w:rFonts w:hint="default"/>
              </w:rPr>
              <w:t>生态敏感因子敏感程度</w:t>
            </w:r>
          </w:p>
        </w:tc>
        <w:tc>
          <w:tcPr>
            <w:tcW w:w="6858" w:type="dxa"/>
            <w:tcBorders>
              <w:tl2br w:val="nil"/>
              <w:tr2bl w:val="nil"/>
            </w:tcBorders>
            <w:vAlign w:val="center"/>
          </w:tcPr>
          <w:p>
            <w:pPr>
              <w:pStyle w:val="17"/>
              <w:bidi w:val="0"/>
              <w:rPr>
                <w:rFonts w:hint="default"/>
              </w:rPr>
            </w:pPr>
            <w:r>
              <w:rPr>
                <w:rFonts w:hint="eastAsia"/>
              </w:rPr>
              <w:t>生物多样性及其生境中度敏感，土壤盐渍化轻度敏感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213" w:type="dxa"/>
            <w:tcBorders>
              <w:tl2br w:val="nil"/>
              <w:tr2bl w:val="nil"/>
            </w:tcBorders>
            <w:vAlign w:val="center"/>
          </w:tcPr>
          <w:p>
            <w:pPr>
              <w:pStyle w:val="17"/>
              <w:bidi w:val="0"/>
              <w:rPr>
                <w:rFonts w:hint="default"/>
              </w:rPr>
            </w:pPr>
            <w:r>
              <w:rPr>
                <w:rFonts w:hint="default"/>
              </w:rPr>
              <w:t>保护目标</w:t>
            </w:r>
          </w:p>
        </w:tc>
        <w:tc>
          <w:tcPr>
            <w:tcW w:w="6858" w:type="dxa"/>
            <w:tcBorders>
              <w:tl2br w:val="nil"/>
              <w:tr2bl w:val="nil"/>
            </w:tcBorders>
            <w:vAlign w:val="center"/>
          </w:tcPr>
          <w:p>
            <w:pPr>
              <w:pStyle w:val="17"/>
              <w:bidi w:val="0"/>
              <w:rPr>
                <w:rFonts w:hint="default"/>
              </w:rPr>
            </w:pPr>
            <w:r>
              <w:rPr>
                <w:rFonts w:hint="eastAsia"/>
              </w:rPr>
              <w:t>保护绿洲农田、保护城市大气和水环境质量、保护荒漠植被、保护农田土壤环境质量</w:t>
            </w:r>
          </w:p>
        </w:tc>
      </w:tr>
    </w:tbl>
    <w:p>
      <w:pPr>
        <w:pStyle w:val="4"/>
        <w:bidi w:val="0"/>
        <w:rPr>
          <w:rFonts w:hint="default"/>
        </w:rPr>
      </w:pPr>
      <w:bookmarkStart w:id="62" w:name="_Toc20081"/>
      <w:bookmarkStart w:id="63" w:name="_Toc28727"/>
      <w:r>
        <w:rPr>
          <w:rFonts w:hint="default"/>
        </w:rPr>
        <w:t>2.5</w:t>
      </w:r>
      <w:r>
        <w:rPr>
          <w:rFonts w:hint="eastAsia"/>
          <w:lang w:eastAsia="zh-CN"/>
        </w:rPr>
        <w:t>、</w:t>
      </w:r>
      <w:r>
        <w:rPr>
          <w:rFonts w:hint="default"/>
        </w:rPr>
        <w:t>评价因子及评价标准</w:t>
      </w:r>
      <w:bookmarkEnd w:id="54"/>
      <w:bookmarkEnd w:id="55"/>
      <w:bookmarkEnd w:id="56"/>
      <w:bookmarkEnd w:id="57"/>
      <w:bookmarkEnd w:id="62"/>
      <w:bookmarkEnd w:id="63"/>
    </w:p>
    <w:p>
      <w:pPr>
        <w:pStyle w:val="5"/>
        <w:bidi w:val="0"/>
        <w:rPr>
          <w:rFonts w:hint="default"/>
        </w:rPr>
      </w:pPr>
      <w:bookmarkStart w:id="64" w:name="_Toc341867045"/>
      <w:bookmarkStart w:id="65" w:name="_Toc332975151"/>
      <w:r>
        <w:rPr>
          <w:rFonts w:hint="default"/>
        </w:rPr>
        <w:t>2.5.1</w:t>
      </w:r>
      <w:bookmarkEnd w:id="64"/>
      <w:bookmarkEnd w:id="65"/>
      <w:r>
        <w:rPr>
          <w:rFonts w:hint="eastAsia"/>
          <w:lang w:eastAsia="zh-CN"/>
        </w:rPr>
        <w:t>、</w:t>
      </w:r>
      <w:r>
        <w:rPr>
          <w:rFonts w:hint="default"/>
        </w:rPr>
        <w:t>环境影响要素识别</w:t>
      </w:r>
    </w:p>
    <w:p>
      <w:pPr>
        <w:bidi w:val="0"/>
        <w:rPr>
          <w:rFonts w:hint="default"/>
        </w:rPr>
      </w:pPr>
      <w:r>
        <w:rPr>
          <w:rFonts w:hint="default"/>
        </w:rPr>
        <w:t>根据项目的排污特点及所处环境特征，环境影响因子的识别见表2.5-1。</w:t>
      </w:r>
    </w:p>
    <w:p>
      <w:pPr>
        <w:pStyle w:val="17"/>
        <w:bidi w:val="0"/>
        <w:rPr>
          <w:rFonts w:hint="default"/>
          <w:b/>
          <w:bCs/>
        </w:rPr>
      </w:pPr>
      <w:r>
        <w:rPr>
          <w:rFonts w:hint="default"/>
          <w:b/>
          <w:bCs/>
        </w:rPr>
        <w:t>表2.5-1   环境影响因子识别表</w:t>
      </w:r>
    </w:p>
    <w:tbl>
      <w:tblPr>
        <w:tblStyle w:val="12"/>
        <w:tblW w:w="9071"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57" w:type="dxa"/>
          <w:bottom w:w="0" w:type="dxa"/>
          <w:right w:w="57" w:type="dxa"/>
        </w:tblCellMar>
      </w:tblPr>
      <w:tblGrid>
        <w:gridCol w:w="685"/>
        <w:gridCol w:w="657"/>
        <w:gridCol w:w="658"/>
        <w:gridCol w:w="658"/>
        <w:gridCol w:w="659"/>
        <w:gridCol w:w="659"/>
        <w:gridCol w:w="660"/>
        <w:gridCol w:w="659"/>
        <w:gridCol w:w="659"/>
        <w:gridCol w:w="736"/>
        <w:gridCol w:w="659"/>
        <w:gridCol w:w="659"/>
        <w:gridCol w:w="106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57" w:type="dxa"/>
            <w:bottom w:w="0" w:type="dxa"/>
            <w:right w:w="57" w:type="dxa"/>
          </w:tblCellMar>
        </w:tblPrEx>
        <w:trPr>
          <w:trHeight w:val="349" w:hRule="atLeast"/>
          <w:jc w:val="center"/>
        </w:trPr>
        <w:tc>
          <w:tcPr>
            <w:tcW w:w="1342" w:type="dxa"/>
            <w:gridSpan w:val="2"/>
            <w:vMerge w:val="restart"/>
            <w:tcBorders>
              <w:tl2br w:val="nil"/>
              <w:tr2bl w:val="nil"/>
            </w:tcBorders>
            <mc:AlternateContent>
              <mc:Choice Requires="wpsCustomData">
                <wpsCustomData:diagonals>
                  <wpsCustomData:diagonal from="10000" to="30000">
                    <wpsCustomData:border w:val="single" w:color="000000" w:sz="12" w:space="0"/>
                  </wpsCustomData:diagonal>
                </wpsCustomData:diagonals>
              </mc:Choice>
            </mc:AlternateContent>
          </w:tcPr>
          <w:p>
            <w:pPr>
              <w:pStyle w:val="17"/>
              <w:bidi w:val="0"/>
              <w:rPr>
                <w:rFonts w:hint="default"/>
                <w:b/>
                <w:bCs/>
              </w:rPr>
            </w:pPr>
            <w:r>
              <w:rPr>
                <w:rFonts w:hint="default"/>
                <w:b/>
                <w:bCs/>
              </w:rPr>
              <w:t xml:space="preserve">   </w:t>
            </w:r>
          </w:p>
          <w:p>
            <w:pPr>
              <w:pStyle w:val="17"/>
              <w:bidi w:val="0"/>
              <w:snapToGrid w:val="0"/>
              <mc:AlternateContent>
                <mc:Choice Requires="wpsCustomData">
                  <wpsCustomData:diagonalParaType/>
                </mc:Choice>
              </mc:AlternateContent>
              <w:rPr>
                <w:rFonts w:hint="default"/>
                <w:b/>
                <w:bCs/>
              </w:rPr>
            </w:pPr>
            <w:r>
              <w:rPr>
                <w:rFonts w:hint="default"/>
                <w:b/>
                <w:bCs/>
              </w:rPr>
              <w:t>影响因素</w:t>
            </w:r>
          </w:p>
          <w:p>
            <w:pPr>
              <w:pStyle w:val="17"/>
              <w:bidi w:val="0"/>
              <w:rPr>
                <w:rFonts w:hint="default"/>
                <w:b/>
                <w:bCs/>
              </w:rPr>
            </w:pPr>
            <w:r>
              <w:rPr>
                <w:rFonts w:hint="default"/>
                <w:b/>
                <w:bCs/>
              </w:rPr>
              <w:t>影响受体</w:t>
            </w:r>
          </w:p>
        </w:tc>
        <w:tc>
          <w:tcPr>
            <w:tcW w:w="3294" w:type="dxa"/>
            <w:gridSpan w:val="5"/>
            <w:tcBorders>
              <w:tl2br w:val="nil"/>
              <w:tr2bl w:val="nil"/>
            </w:tcBorders>
            <w:vAlign w:val="center"/>
          </w:tcPr>
          <w:p>
            <w:pPr>
              <w:pStyle w:val="17"/>
              <w:bidi w:val="0"/>
              <w:rPr>
                <w:rFonts w:hint="default"/>
                <w:b/>
                <w:bCs/>
              </w:rPr>
            </w:pPr>
            <w:r>
              <w:rPr>
                <w:rFonts w:hint="default"/>
                <w:b/>
                <w:bCs/>
              </w:rPr>
              <w:t>自然环境</w:t>
            </w:r>
          </w:p>
        </w:tc>
        <w:tc>
          <w:tcPr>
            <w:tcW w:w="1318" w:type="dxa"/>
            <w:gridSpan w:val="2"/>
            <w:tcBorders>
              <w:tl2br w:val="nil"/>
              <w:tr2bl w:val="nil"/>
            </w:tcBorders>
            <w:vAlign w:val="center"/>
          </w:tcPr>
          <w:p>
            <w:pPr>
              <w:pStyle w:val="17"/>
              <w:bidi w:val="0"/>
              <w:rPr>
                <w:rFonts w:hint="default"/>
                <w:b/>
                <w:bCs/>
              </w:rPr>
            </w:pPr>
            <w:r>
              <w:rPr>
                <w:rFonts w:hint="default"/>
                <w:b/>
                <w:bCs/>
              </w:rPr>
              <w:t>生态环境</w:t>
            </w:r>
          </w:p>
        </w:tc>
        <w:tc>
          <w:tcPr>
            <w:tcW w:w="3117" w:type="dxa"/>
            <w:gridSpan w:val="4"/>
            <w:tcBorders>
              <w:tl2br w:val="nil"/>
              <w:tr2bl w:val="nil"/>
            </w:tcBorders>
            <w:vAlign w:val="center"/>
          </w:tcPr>
          <w:p>
            <w:pPr>
              <w:pStyle w:val="17"/>
              <w:bidi w:val="0"/>
              <w:rPr>
                <w:rFonts w:hint="default"/>
                <w:b/>
                <w:bCs/>
              </w:rPr>
            </w:pPr>
            <w:r>
              <w:rPr>
                <w:rFonts w:hint="default"/>
                <w:b/>
                <w:bCs/>
              </w:rPr>
              <w:t>社会环境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57" w:type="dxa"/>
            <w:bottom w:w="0" w:type="dxa"/>
            <w:right w:w="57" w:type="dxa"/>
          </w:tblCellMar>
        </w:tblPrEx>
        <w:trPr>
          <w:trHeight w:val="90" w:hRule="atLeast"/>
          <w:jc w:val="center"/>
        </w:trPr>
        <w:tc>
          <w:tcPr>
            <w:tcW w:w="1342" w:type="dxa"/>
            <w:gridSpan w:val="2"/>
            <w:vMerge w:val="continue"/>
            <w:tcBorders>
              <w:tl2br w:val="nil"/>
              <w:tr2bl w:val="nil"/>
            </w:tcBorders>
            <w:vAlign w:val="center"/>
          </w:tcPr>
          <w:p>
            <w:pPr>
              <w:pStyle w:val="17"/>
              <w:bidi w:val="0"/>
              <w:rPr>
                <w:rFonts w:hint="default"/>
                <w:b/>
                <w:bCs/>
              </w:rPr>
            </w:pPr>
          </w:p>
        </w:tc>
        <w:tc>
          <w:tcPr>
            <w:tcW w:w="658" w:type="dxa"/>
            <w:tcBorders>
              <w:tl2br w:val="nil"/>
              <w:tr2bl w:val="nil"/>
            </w:tcBorders>
            <w:vAlign w:val="center"/>
          </w:tcPr>
          <w:p>
            <w:pPr>
              <w:pStyle w:val="17"/>
              <w:bidi w:val="0"/>
              <w:rPr>
                <w:rFonts w:hint="default"/>
                <w:b/>
                <w:bCs/>
              </w:rPr>
            </w:pPr>
            <w:r>
              <w:rPr>
                <w:rFonts w:hint="default"/>
                <w:b/>
                <w:bCs/>
              </w:rPr>
              <w:t>环境空气</w:t>
            </w:r>
          </w:p>
        </w:tc>
        <w:tc>
          <w:tcPr>
            <w:tcW w:w="658" w:type="dxa"/>
            <w:tcBorders>
              <w:tl2br w:val="nil"/>
              <w:tr2bl w:val="nil"/>
            </w:tcBorders>
            <w:vAlign w:val="center"/>
          </w:tcPr>
          <w:p>
            <w:pPr>
              <w:pStyle w:val="17"/>
              <w:bidi w:val="0"/>
              <w:rPr>
                <w:rFonts w:hint="default"/>
                <w:b/>
                <w:bCs/>
              </w:rPr>
            </w:pPr>
            <w:r>
              <w:rPr>
                <w:rFonts w:hint="default"/>
                <w:b/>
                <w:bCs/>
              </w:rPr>
              <w:t>地表水</w:t>
            </w:r>
          </w:p>
        </w:tc>
        <w:tc>
          <w:tcPr>
            <w:tcW w:w="659" w:type="dxa"/>
            <w:tcBorders>
              <w:tl2br w:val="nil"/>
              <w:tr2bl w:val="nil"/>
            </w:tcBorders>
            <w:vAlign w:val="center"/>
          </w:tcPr>
          <w:p>
            <w:pPr>
              <w:pStyle w:val="17"/>
              <w:bidi w:val="0"/>
              <w:rPr>
                <w:rFonts w:hint="default"/>
                <w:b/>
                <w:bCs/>
              </w:rPr>
            </w:pPr>
            <w:r>
              <w:rPr>
                <w:rFonts w:hint="default"/>
                <w:b/>
                <w:bCs/>
              </w:rPr>
              <w:t>地下水</w:t>
            </w:r>
          </w:p>
        </w:tc>
        <w:tc>
          <w:tcPr>
            <w:tcW w:w="659" w:type="dxa"/>
            <w:tcBorders>
              <w:tl2br w:val="nil"/>
              <w:tr2bl w:val="nil"/>
            </w:tcBorders>
            <w:vAlign w:val="center"/>
          </w:tcPr>
          <w:p>
            <w:pPr>
              <w:pStyle w:val="17"/>
              <w:bidi w:val="0"/>
              <w:rPr>
                <w:rFonts w:hint="default"/>
                <w:b/>
                <w:bCs/>
              </w:rPr>
            </w:pPr>
            <w:r>
              <w:rPr>
                <w:rFonts w:hint="default"/>
                <w:b/>
                <w:bCs/>
              </w:rPr>
              <w:t>土壤环境</w:t>
            </w:r>
          </w:p>
        </w:tc>
        <w:tc>
          <w:tcPr>
            <w:tcW w:w="660" w:type="dxa"/>
            <w:tcBorders>
              <w:tl2br w:val="nil"/>
              <w:tr2bl w:val="nil"/>
            </w:tcBorders>
            <w:vAlign w:val="center"/>
          </w:tcPr>
          <w:p>
            <w:pPr>
              <w:pStyle w:val="17"/>
              <w:bidi w:val="0"/>
              <w:rPr>
                <w:rFonts w:hint="default"/>
                <w:b/>
                <w:bCs/>
              </w:rPr>
            </w:pPr>
            <w:r>
              <w:rPr>
                <w:rFonts w:hint="default"/>
                <w:b/>
                <w:bCs/>
              </w:rPr>
              <w:t>声环境</w:t>
            </w:r>
          </w:p>
        </w:tc>
        <w:tc>
          <w:tcPr>
            <w:tcW w:w="659" w:type="dxa"/>
            <w:tcBorders>
              <w:tl2br w:val="nil"/>
              <w:tr2bl w:val="nil"/>
            </w:tcBorders>
            <w:vAlign w:val="center"/>
          </w:tcPr>
          <w:p>
            <w:pPr>
              <w:pStyle w:val="17"/>
              <w:bidi w:val="0"/>
              <w:rPr>
                <w:rFonts w:hint="default"/>
                <w:b/>
                <w:bCs/>
              </w:rPr>
            </w:pPr>
            <w:r>
              <w:rPr>
                <w:rFonts w:hint="default"/>
                <w:b/>
                <w:bCs/>
              </w:rPr>
              <w:t>陆上生物</w:t>
            </w:r>
          </w:p>
        </w:tc>
        <w:tc>
          <w:tcPr>
            <w:tcW w:w="659" w:type="dxa"/>
            <w:tcBorders>
              <w:tl2br w:val="nil"/>
              <w:tr2bl w:val="nil"/>
            </w:tcBorders>
            <w:vAlign w:val="center"/>
          </w:tcPr>
          <w:p>
            <w:pPr>
              <w:pStyle w:val="17"/>
              <w:bidi w:val="0"/>
              <w:rPr>
                <w:rFonts w:hint="default"/>
                <w:b/>
                <w:bCs/>
              </w:rPr>
            </w:pPr>
            <w:r>
              <w:rPr>
                <w:rFonts w:hint="default"/>
                <w:b/>
                <w:bCs/>
              </w:rPr>
              <w:t>水生生物</w:t>
            </w:r>
          </w:p>
        </w:tc>
        <w:tc>
          <w:tcPr>
            <w:tcW w:w="736" w:type="dxa"/>
            <w:tcBorders>
              <w:tl2br w:val="nil"/>
              <w:tr2bl w:val="nil"/>
            </w:tcBorders>
            <w:vAlign w:val="center"/>
          </w:tcPr>
          <w:p>
            <w:pPr>
              <w:pStyle w:val="17"/>
              <w:bidi w:val="0"/>
              <w:rPr>
                <w:rFonts w:hint="default"/>
                <w:b/>
                <w:bCs/>
              </w:rPr>
            </w:pPr>
            <w:r>
              <w:rPr>
                <w:rFonts w:hint="default"/>
                <w:b/>
                <w:bCs/>
              </w:rPr>
              <w:t>土地利用</w:t>
            </w:r>
          </w:p>
        </w:tc>
        <w:tc>
          <w:tcPr>
            <w:tcW w:w="659" w:type="dxa"/>
            <w:tcBorders>
              <w:tl2br w:val="nil"/>
              <w:tr2bl w:val="nil"/>
            </w:tcBorders>
            <w:vAlign w:val="center"/>
          </w:tcPr>
          <w:p>
            <w:pPr>
              <w:pStyle w:val="17"/>
              <w:bidi w:val="0"/>
              <w:rPr>
                <w:rFonts w:hint="default"/>
                <w:b/>
                <w:bCs/>
              </w:rPr>
            </w:pPr>
            <w:r>
              <w:rPr>
                <w:rFonts w:hint="default"/>
                <w:b/>
                <w:bCs/>
              </w:rPr>
              <w:t>居民区</w:t>
            </w:r>
          </w:p>
        </w:tc>
        <w:tc>
          <w:tcPr>
            <w:tcW w:w="659" w:type="dxa"/>
            <w:tcBorders>
              <w:tl2br w:val="nil"/>
              <w:tr2bl w:val="nil"/>
            </w:tcBorders>
            <w:vAlign w:val="center"/>
          </w:tcPr>
          <w:p>
            <w:pPr>
              <w:pStyle w:val="17"/>
              <w:bidi w:val="0"/>
              <w:rPr>
                <w:rFonts w:hint="default"/>
                <w:b/>
                <w:bCs/>
              </w:rPr>
            </w:pPr>
            <w:r>
              <w:rPr>
                <w:rFonts w:hint="default"/>
                <w:b/>
                <w:bCs/>
              </w:rPr>
              <w:t>人群健康</w:t>
            </w:r>
          </w:p>
        </w:tc>
        <w:tc>
          <w:tcPr>
            <w:tcW w:w="1063" w:type="dxa"/>
            <w:tcBorders>
              <w:tl2br w:val="nil"/>
              <w:tr2bl w:val="nil"/>
            </w:tcBorders>
            <w:vAlign w:val="center"/>
          </w:tcPr>
          <w:p>
            <w:pPr>
              <w:pStyle w:val="17"/>
              <w:bidi w:val="0"/>
              <w:rPr>
                <w:rFonts w:hint="default"/>
                <w:b/>
                <w:bCs/>
              </w:rPr>
            </w:pPr>
            <w:r>
              <w:rPr>
                <w:rFonts w:hint="default"/>
                <w:b/>
                <w:bCs/>
              </w:rPr>
              <w:t>环境规划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57" w:type="dxa"/>
            <w:bottom w:w="0" w:type="dxa"/>
            <w:right w:w="57" w:type="dxa"/>
          </w:tblCellMar>
        </w:tblPrEx>
        <w:trPr>
          <w:trHeight w:val="20" w:hRule="atLeast"/>
          <w:jc w:val="center"/>
        </w:trPr>
        <w:tc>
          <w:tcPr>
            <w:tcW w:w="685" w:type="dxa"/>
            <w:vMerge w:val="restart"/>
            <w:tcBorders>
              <w:tl2br w:val="nil"/>
              <w:tr2bl w:val="nil"/>
            </w:tcBorders>
            <w:vAlign w:val="center"/>
          </w:tcPr>
          <w:p>
            <w:pPr>
              <w:pStyle w:val="17"/>
              <w:bidi w:val="0"/>
              <w:rPr>
                <w:rFonts w:hint="default"/>
              </w:rPr>
            </w:pPr>
            <w:r>
              <w:rPr>
                <w:rFonts w:hint="default"/>
              </w:rPr>
              <w:t>施工期</w:t>
            </w:r>
          </w:p>
        </w:tc>
        <w:tc>
          <w:tcPr>
            <w:tcW w:w="657" w:type="dxa"/>
            <w:tcBorders>
              <w:tl2br w:val="nil"/>
              <w:tr2bl w:val="nil"/>
            </w:tcBorders>
            <w:vAlign w:val="center"/>
          </w:tcPr>
          <w:p>
            <w:pPr>
              <w:pStyle w:val="17"/>
              <w:bidi w:val="0"/>
              <w:rPr>
                <w:rFonts w:hint="default"/>
              </w:rPr>
            </w:pPr>
            <w:r>
              <w:rPr>
                <w:rFonts w:hint="default"/>
              </w:rPr>
              <w:t>施工废水</w:t>
            </w:r>
          </w:p>
        </w:tc>
        <w:tc>
          <w:tcPr>
            <w:tcW w:w="658" w:type="dxa"/>
            <w:tcBorders>
              <w:tl2br w:val="nil"/>
              <w:tr2bl w:val="nil"/>
            </w:tcBorders>
            <w:vAlign w:val="center"/>
          </w:tcPr>
          <w:p>
            <w:pPr>
              <w:pStyle w:val="17"/>
              <w:bidi w:val="0"/>
              <w:rPr>
                <w:rFonts w:hint="default"/>
              </w:rPr>
            </w:pPr>
          </w:p>
        </w:tc>
        <w:tc>
          <w:tcPr>
            <w:tcW w:w="658" w:type="dxa"/>
            <w:tcBorders>
              <w:tl2br w:val="nil"/>
              <w:tr2bl w:val="nil"/>
            </w:tcBorders>
            <w:vAlign w:val="center"/>
          </w:tcPr>
          <w:p>
            <w:pPr>
              <w:pStyle w:val="17"/>
              <w:bidi w:val="0"/>
              <w:rPr>
                <w:rFonts w:hint="default"/>
              </w:rPr>
            </w:pPr>
            <w:r>
              <w:rPr>
                <w:rFonts w:hint="default"/>
              </w:rPr>
              <w:t>-S1D</w:t>
            </w:r>
          </w:p>
        </w:tc>
        <w:tc>
          <w:tcPr>
            <w:tcW w:w="659" w:type="dxa"/>
            <w:tcBorders>
              <w:tl2br w:val="nil"/>
              <w:tr2bl w:val="nil"/>
            </w:tcBorders>
            <w:vAlign w:val="center"/>
          </w:tcPr>
          <w:p>
            <w:pPr>
              <w:pStyle w:val="17"/>
              <w:bidi w:val="0"/>
              <w:rPr>
                <w:rFonts w:hint="default"/>
              </w:rPr>
            </w:pPr>
            <w:r>
              <w:rPr>
                <w:rFonts w:hint="default"/>
              </w:rPr>
              <w:t>-S1D</w:t>
            </w:r>
          </w:p>
        </w:tc>
        <w:tc>
          <w:tcPr>
            <w:tcW w:w="659" w:type="dxa"/>
            <w:tcBorders>
              <w:tl2br w:val="nil"/>
              <w:tr2bl w:val="nil"/>
            </w:tcBorders>
            <w:vAlign w:val="center"/>
          </w:tcPr>
          <w:p>
            <w:pPr>
              <w:pStyle w:val="17"/>
              <w:bidi w:val="0"/>
              <w:rPr>
                <w:rFonts w:hint="default"/>
              </w:rPr>
            </w:pPr>
            <w:r>
              <w:rPr>
                <w:rFonts w:hint="default"/>
              </w:rPr>
              <w:t>-S1D</w:t>
            </w:r>
          </w:p>
        </w:tc>
        <w:tc>
          <w:tcPr>
            <w:tcW w:w="660"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r>
              <w:rPr>
                <w:rFonts w:hint="default"/>
              </w:rPr>
              <w:t>-S1D</w:t>
            </w:r>
          </w:p>
        </w:tc>
        <w:tc>
          <w:tcPr>
            <w:tcW w:w="659" w:type="dxa"/>
            <w:tcBorders>
              <w:tl2br w:val="nil"/>
              <w:tr2bl w:val="nil"/>
            </w:tcBorders>
            <w:vAlign w:val="center"/>
          </w:tcPr>
          <w:p>
            <w:pPr>
              <w:pStyle w:val="17"/>
              <w:bidi w:val="0"/>
              <w:rPr>
                <w:rFonts w:hint="default"/>
              </w:rPr>
            </w:pPr>
            <w:r>
              <w:rPr>
                <w:rFonts w:hint="default"/>
              </w:rPr>
              <w:t>S0D</w:t>
            </w:r>
          </w:p>
        </w:tc>
        <w:tc>
          <w:tcPr>
            <w:tcW w:w="736" w:type="dxa"/>
            <w:tcBorders>
              <w:tl2br w:val="nil"/>
              <w:tr2bl w:val="nil"/>
            </w:tcBorders>
            <w:vAlign w:val="center"/>
          </w:tcPr>
          <w:p>
            <w:pPr>
              <w:pStyle w:val="17"/>
              <w:bidi w:val="0"/>
              <w:rPr>
                <w:rFonts w:hint="default"/>
              </w:rPr>
            </w:pPr>
            <w:r>
              <w:rPr>
                <w:rFonts w:hint="default"/>
              </w:rPr>
              <w:t>-S1D</w:t>
            </w:r>
          </w:p>
        </w:tc>
        <w:tc>
          <w:tcPr>
            <w:tcW w:w="659" w:type="dxa"/>
            <w:tcBorders>
              <w:tl2br w:val="nil"/>
              <w:tr2bl w:val="nil"/>
            </w:tcBorders>
            <w:vAlign w:val="center"/>
          </w:tcPr>
          <w:p>
            <w:pPr>
              <w:pStyle w:val="17"/>
              <w:bidi w:val="0"/>
              <w:rPr>
                <w:rFonts w:hint="default"/>
              </w:rPr>
            </w:pPr>
            <w:r>
              <w:rPr>
                <w:rFonts w:hint="default"/>
              </w:rPr>
              <w:t>-S1D</w:t>
            </w:r>
          </w:p>
        </w:tc>
        <w:tc>
          <w:tcPr>
            <w:tcW w:w="659" w:type="dxa"/>
            <w:tcBorders>
              <w:tl2br w:val="nil"/>
              <w:tr2bl w:val="nil"/>
            </w:tcBorders>
            <w:vAlign w:val="center"/>
          </w:tcPr>
          <w:p>
            <w:pPr>
              <w:pStyle w:val="17"/>
              <w:bidi w:val="0"/>
              <w:rPr>
                <w:rFonts w:hint="default"/>
              </w:rPr>
            </w:pPr>
            <w:r>
              <w:rPr>
                <w:rFonts w:hint="default"/>
              </w:rPr>
              <w:t>-S1D</w:t>
            </w:r>
          </w:p>
        </w:tc>
        <w:tc>
          <w:tcPr>
            <w:tcW w:w="1063" w:type="dxa"/>
            <w:tcBorders>
              <w:tl2br w:val="nil"/>
              <w:tr2bl w:val="nil"/>
            </w:tcBorders>
            <w:vAlign w:val="center"/>
          </w:tcPr>
          <w:p>
            <w:pPr>
              <w:pStyle w:val="17"/>
              <w:bidi w:val="0"/>
              <w:rPr>
                <w:rFonts w:hint="default"/>
              </w:rPr>
            </w:pPr>
            <w:r>
              <w:rPr>
                <w:rFonts w:hint="default"/>
              </w:rPr>
              <w:t>-S1D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57" w:type="dxa"/>
            <w:bottom w:w="0" w:type="dxa"/>
            <w:right w:w="57" w:type="dxa"/>
          </w:tblCellMar>
        </w:tblPrEx>
        <w:trPr>
          <w:trHeight w:val="20" w:hRule="atLeast"/>
          <w:jc w:val="center"/>
        </w:trPr>
        <w:tc>
          <w:tcPr>
            <w:tcW w:w="685" w:type="dxa"/>
            <w:vMerge w:val="continue"/>
            <w:tcBorders>
              <w:tl2br w:val="nil"/>
              <w:tr2bl w:val="nil"/>
            </w:tcBorders>
            <w:vAlign w:val="center"/>
          </w:tcPr>
          <w:p>
            <w:pPr>
              <w:pStyle w:val="17"/>
              <w:bidi w:val="0"/>
              <w:rPr>
                <w:rFonts w:hint="default"/>
              </w:rPr>
            </w:pPr>
          </w:p>
        </w:tc>
        <w:tc>
          <w:tcPr>
            <w:tcW w:w="657" w:type="dxa"/>
            <w:tcBorders>
              <w:tl2br w:val="nil"/>
              <w:tr2bl w:val="nil"/>
            </w:tcBorders>
            <w:vAlign w:val="center"/>
          </w:tcPr>
          <w:p>
            <w:pPr>
              <w:pStyle w:val="17"/>
              <w:bidi w:val="0"/>
              <w:rPr>
                <w:rFonts w:hint="default"/>
              </w:rPr>
            </w:pPr>
            <w:r>
              <w:rPr>
                <w:rFonts w:hint="default"/>
              </w:rPr>
              <w:t>施工扬尘</w:t>
            </w:r>
          </w:p>
        </w:tc>
        <w:tc>
          <w:tcPr>
            <w:tcW w:w="658" w:type="dxa"/>
            <w:tcBorders>
              <w:tl2br w:val="nil"/>
              <w:tr2bl w:val="nil"/>
            </w:tcBorders>
            <w:vAlign w:val="center"/>
          </w:tcPr>
          <w:p>
            <w:pPr>
              <w:pStyle w:val="17"/>
              <w:bidi w:val="0"/>
              <w:rPr>
                <w:rFonts w:hint="default"/>
              </w:rPr>
            </w:pPr>
            <w:r>
              <w:rPr>
                <w:rFonts w:hint="default"/>
              </w:rPr>
              <w:t>-S1D</w:t>
            </w:r>
          </w:p>
        </w:tc>
        <w:tc>
          <w:tcPr>
            <w:tcW w:w="658"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p>
        </w:tc>
        <w:tc>
          <w:tcPr>
            <w:tcW w:w="660"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r>
              <w:rPr>
                <w:rFonts w:hint="default"/>
              </w:rPr>
              <w:t>-S1D</w:t>
            </w:r>
          </w:p>
        </w:tc>
        <w:tc>
          <w:tcPr>
            <w:tcW w:w="659" w:type="dxa"/>
            <w:tcBorders>
              <w:tl2br w:val="nil"/>
              <w:tr2bl w:val="nil"/>
            </w:tcBorders>
            <w:vAlign w:val="center"/>
          </w:tcPr>
          <w:p>
            <w:pPr>
              <w:pStyle w:val="17"/>
              <w:bidi w:val="0"/>
              <w:rPr>
                <w:rFonts w:hint="default"/>
              </w:rPr>
            </w:pPr>
            <w:r>
              <w:rPr>
                <w:rFonts w:hint="default"/>
              </w:rPr>
              <w:t>-S1D</w:t>
            </w:r>
          </w:p>
        </w:tc>
        <w:tc>
          <w:tcPr>
            <w:tcW w:w="736" w:type="dxa"/>
            <w:tcBorders>
              <w:tl2br w:val="nil"/>
              <w:tr2bl w:val="nil"/>
            </w:tcBorders>
            <w:vAlign w:val="center"/>
          </w:tcPr>
          <w:p>
            <w:pPr>
              <w:pStyle w:val="17"/>
              <w:bidi w:val="0"/>
              <w:rPr>
                <w:rFonts w:hint="default"/>
              </w:rPr>
            </w:pPr>
            <w:r>
              <w:rPr>
                <w:rFonts w:hint="default"/>
              </w:rPr>
              <w:t>-S1D</w:t>
            </w:r>
          </w:p>
        </w:tc>
        <w:tc>
          <w:tcPr>
            <w:tcW w:w="659" w:type="dxa"/>
            <w:tcBorders>
              <w:tl2br w:val="nil"/>
              <w:tr2bl w:val="nil"/>
            </w:tcBorders>
            <w:vAlign w:val="center"/>
          </w:tcPr>
          <w:p>
            <w:pPr>
              <w:pStyle w:val="17"/>
              <w:bidi w:val="0"/>
              <w:rPr>
                <w:rFonts w:hint="default"/>
              </w:rPr>
            </w:pPr>
            <w:r>
              <w:rPr>
                <w:rFonts w:hint="default"/>
              </w:rPr>
              <w:t>-S1D</w:t>
            </w:r>
          </w:p>
        </w:tc>
        <w:tc>
          <w:tcPr>
            <w:tcW w:w="659" w:type="dxa"/>
            <w:tcBorders>
              <w:tl2br w:val="nil"/>
              <w:tr2bl w:val="nil"/>
            </w:tcBorders>
            <w:vAlign w:val="center"/>
          </w:tcPr>
          <w:p>
            <w:pPr>
              <w:pStyle w:val="17"/>
              <w:bidi w:val="0"/>
              <w:rPr>
                <w:rFonts w:hint="default"/>
              </w:rPr>
            </w:pPr>
            <w:r>
              <w:rPr>
                <w:rFonts w:hint="default"/>
              </w:rPr>
              <w:t>-S1D</w:t>
            </w:r>
          </w:p>
        </w:tc>
        <w:tc>
          <w:tcPr>
            <w:tcW w:w="1063" w:type="dxa"/>
            <w:tcBorders>
              <w:tl2br w:val="nil"/>
              <w:tr2bl w:val="nil"/>
            </w:tcBorders>
            <w:vAlign w:val="center"/>
          </w:tcPr>
          <w:p>
            <w:pPr>
              <w:pStyle w:val="17"/>
              <w:bidi w:val="0"/>
              <w:rPr>
                <w:rFonts w:hint="default"/>
              </w:rPr>
            </w:pPr>
            <w:r>
              <w:rPr>
                <w:rFonts w:hint="default"/>
              </w:rPr>
              <w:t>-S1D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57" w:type="dxa"/>
            <w:bottom w:w="0" w:type="dxa"/>
            <w:right w:w="57" w:type="dxa"/>
          </w:tblCellMar>
        </w:tblPrEx>
        <w:trPr>
          <w:trHeight w:val="20" w:hRule="atLeast"/>
          <w:jc w:val="center"/>
        </w:trPr>
        <w:tc>
          <w:tcPr>
            <w:tcW w:w="685" w:type="dxa"/>
            <w:vMerge w:val="continue"/>
            <w:tcBorders>
              <w:tl2br w:val="nil"/>
              <w:tr2bl w:val="nil"/>
            </w:tcBorders>
            <w:vAlign w:val="center"/>
          </w:tcPr>
          <w:p>
            <w:pPr>
              <w:pStyle w:val="17"/>
              <w:bidi w:val="0"/>
              <w:rPr>
                <w:rFonts w:hint="default"/>
              </w:rPr>
            </w:pPr>
          </w:p>
        </w:tc>
        <w:tc>
          <w:tcPr>
            <w:tcW w:w="657" w:type="dxa"/>
            <w:tcBorders>
              <w:tl2br w:val="nil"/>
              <w:tr2bl w:val="nil"/>
            </w:tcBorders>
            <w:vAlign w:val="center"/>
          </w:tcPr>
          <w:p>
            <w:pPr>
              <w:pStyle w:val="17"/>
              <w:bidi w:val="0"/>
              <w:rPr>
                <w:rFonts w:hint="default"/>
              </w:rPr>
            </w:pPr>
            <w:r>
              <w:rPr>
                <w:rFonts w:hint="default"/>
              </w:rPr>
              <w:t>施工噪声</w:t>
            </w:r>
          </w:p>
        </w:tc>
        <w:tc>
          <w:tcPr>
            <w:tcW w:w="658" w:type="dxa"/>
            <w:tcBorders>
              <w:tl2br w:val="nil"/>
              <w:tr2bl w:val="nil"/>
            </w:tcBorders>
            <w:vAlign w:val="center"/>
          </w:tcPr>
          <w:p>
            <w:pPr>
              <w:pStyle w:val="17"/>
              <w:bidi w:val="0"/>
              <w:rPr>
                <w:rFonts w:hint="default"/>
              </w:rPr>
            </w:pPr>
          </w:p>
        </w:tc>
        <w:tc>
          <w:tcPr>
            <w:tcW w:w="658"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p>
        </w:tc>
        <w:tc>
          <w:tcPr>
            <w:tcW w:w="660" w:type="dxa"/>
            <w:tcBorders>
              <w:tl2br w:val="nil"/>
              <w:tr2bl w:val="nil"/>
            </w:tcBorders>
            <w:vAlign w:val="center"/>
          </w:tcPr>
          <w:p>
            <w:pPr>
              <w:pStyle w:val="17"/>
              <w:bidi w:val="0"/>
              <w:rPr>
                <w:rFonts w:hint="default"/>
              </w:rPr>
            </w:pPr>
            <w:r>
              <w:rPr>
                <w:rFonts w:hint="default"/>
              </w:rPr>
              <w:t>-S1D</w:t>
            </w:r>
          </w:p>
        </w:tc>
        <w:tc>
          <w:tcPr>
            <w:tcW w:w="659" w:type="dxa"/>
            <w:tcBorders>
              <w:tl2br w:val="nil"/>
              <w:tr2bl w:val="nil"/>
            </w:tcBorders>
            <w:vAlign w:val="center"/>
          </w:tcPr>
          <w:p>
            <w:pPr>
              <w:pStyle w:val="17"/>
              <w:bidi w:val="0"/>
              <w:rPr>
                <w:rFonts w:hint="default"/>
              </w:rPr>
            </w:pPr>
            <w:r>
              <w:rPr>
                <w:rFonts w:hint="default"/>
              </w:rPr>
              <w:t>-S1D</w:t>
            </w:r>
          </w:p>
        </w:tc>
        <w:tc>
          <w:tcPr>
            <w:tcW w:w="659" w:type="dxa"/>
            <w:tcBorders>
              <w:tl2br w:val="nil"/>
              <w:tr2bl w:val="nil"/>
            </w:tcBorders>
            <w:vAlign w:val="center"/>
          </w:tcPr>
          <w:p>
            <w:pPr>
              <w:pStyle w:val="17"/>
              <w:bidi w:val="0"/>
              <w:rPr>
                <w:rFonts w:hint="default"/>
              </w:rPr>
            </w:pPr>
            <w:r>
              <w:rPr>
                <w:rFonts w:hint="default"/>
              </w:rPr>
              <w:t>-S1D</w:t>
            </w:r>
          </w:p>
        </w:tc>
        <w:tc>
          <w:tcPr>
            <w:tcW w:w="736" w:type="dxa"/>
            <w:tcBorders>
              <w:tl2br w:val="nil"/>
              <w:tr2bl w:val="nil"/>
            </w:tcBorders>
            <w:vAlign w:val="center"/>
          </w:tcPr>
          <w:p>
            <w:pPr>
              <w:pStyle w:val="17"/>
              <w:bidi w:val="0"/>
              <w:rPr>
                <w:rFonts w:hint="default"/>
              </w:rPr>
            </w:pPr>
            <w:r>
              <w:rPr>
                <w:rFonts w:hint="default"/>
              </w:rPr>
              <w:t>-S1D</w:t>
            </w:r>
          </w:p>
        </w:tc>
        <w:tc>
          <w:tcPr>
            <w:tcW w:w="659" w:type="dxa"/>
            <w:tcBorders>
              <w:tl2br w:val="nil"/>
              <w:tr2bl w:val="nil"/>
            </w:tcBorders>
            <w:vAlign w:val="center"/>
          </w:tcPr>
          <w:p>
            <w:pPr>
              <w:pStyle w:val="17"/>
              <w:bidi w:val="0"/>
              <w:rPr>
                <w:rFonts w:hint="default"/>
              </w:rPr>
            </w:pPr>
            <w:r>
              <w:rPr>
                <w:rFonts w:hint="default"/>
              </w:rPr>
              <w:t>-S1D</w:t>
            </w:r>
          </w:p>
        </w:tc>
        <w:tc>
          <w:tcPr>
            <w:tcW w:w="659" w:type="dxa"/>
            <w:tcBorders>
              <w:tl2br w:val="nil"/>
              <w:tr2bl w:val="nil"/>
            </w:tcBorders>
            <w:vAlign w:val="center"/>
          </w:tcPr>
          <w:p>
            <w:pPr>
              <w:pStyle w:val="17"/>
              <w:bidi w:val="0"/>
              <w:rPr>
                <w:rFonts w:hint="default"/>
              </w:rPr>
            </w:pPr>
            <w:r>
              <w:rPr>
                <w:rFonts w:hint="default"/>
              </w:rPr>
              <w:t>-S1D</w:t>
            </w:r>
          </w:p>
        </w:tc>
        <w:tc>
          <w:tcPr>
            <w:tcW w:w="1063" w:type="dxa"/>
            <w:tcBorders>
              <w:tl2br w:val="nil"/>
              <w:tr2bl w:val="nil"/>
            </w:tcBorders>
            <w:vAlign w:val="center"/>
          </w:tcPr>
          <w:p>
            <w:pPr>
              <w:pStyle w:val="17"/>
              <w:bidi w:val="0"/>
              <w:rPr>
                <w:rFonts w:hint="default"/>
              </w:rPr>
            </w:pPr>
            <w:r>
              <w:rPr>
                <w:rFonts w:hint="default"/>
              </w:rPr>
              <w:t>-S1D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57" w:type="dxa"/>
            <w:bottom w:w="0" w:type="dxa"/>
            <w:right w:w="57" w:type="dxa"/>
          </w:tblCellMar>
        </w:tblPrEx>
        <w:trPr>
          <w:trHeight w:val="20" w:hRule="atLeast"/>
          <w:jc w:val="center"/>
        </w:trPr>
        <w:tc>
          <w:tcPr>
            <w:tcW w:w="685" w:type="dxa"/>
            <w:vMerge w:val="continue"/>
            <w:tcBorders>
              <w:tl2br w:val="nil"/>
              <w:tr2bl w:val="nil"/>
            </w:tcBorders>
            <w:vAlign w:val="center"/>
          </w:tcPr>
          <w:p>
            <w:pPr>
              <w:pStyle w:val="17"/>
              <w:bidi w:val="0"/>
              <w:rPr>
                <w:rFonts w:hint="default"/>
              </w:rPr>
            </w:pPr>
          </w:p>
        </w:tc>
        <w:tc>
          <w:tcPr>
            <w:tcW w:w="657" w:type="dxa"/>
            <w:tcBorders>
              <w:tl2br w:val="nil"/>
              <w:tr2bl w:val="nil"/>
            </w:tcBorders>
            <w:vAlign w:val="center"/>
          </w:tcPr>
          <w:p>
            <w:pPr>
              <w:pStyle w:val="17"/>
              <w:bidi w:val="0"/>
              <w:rPr>
                <w:rFonts w:hint="default"/>
              </w:rPr>
            </w:pPr>
            <w:r>
              <w:rPr>
                <w:rFonts w:hint="default"/>
              </w:rPr>
              <w:t>渣土垃圾</w:t>
            </w:r>
          </w:p>
        </w:tc>
        <w:tc>
          <w:tcPr>
            <w:tcW w:w="658" w:type="dxa"/>
            <w:tcBorders>
              <w:tl2br w:val="nil"/>
              <w:tr2bl w:val="nil"/>
            </w:tcBorders>
            <w:vAlign w:val="center"/>
          </w:tcPr>
          <w:p>
            <w:pPr>
              <w:pStyle w:val="17"/>
              <w:bidi w:val="0"/>
              <w:rPr>
                <w:rFonts w:hint="default"/>
              </w:rPr>
            </w:pPr>
            <w:r>
              <w:rPr>
                <w:rFonts w:hint="default"/>
              </w:rPr>
              <w:t>-S1D</w:t>
            </w:r>
          </w:p>
        </w:tc>
        <w:tc>
          <w:tcPr>
            <w:tcW w:w="658" w:type="dxa"/>
            <w:tcBorders>
              <w:tl2br w:val="nil"/>
              <w:tr2bl w:val="nil"/>
            </w:tcBorders>
            <w:vAlign w:val="center"/>
          </w:tcPr>
          <w:p>
            <w:pPr>
              <w:pStyle w:val="17"/>
              <w:bidi w:val="0"/>
              <w:rPr>
                <w:rFonts w:hint="default"/>
              </w:rPr>
            </w:pPr>
            <w:r>
              <w:rPr>
                <w:rFonts w:hint="default"/>
              </w:rPr>
              <w:t>-S1I</w:t>
            </w:r>
          </w:p>
        </w:tc>
        <w:tc>
          <w:tcPr>
            <w:tcW w:w="659" w:type="dxa"/>
            <w:tcBorders>
              <w:tl2br w:val="nil"/>
              <w:tr2bl w:val="nil"/>
            </w:tcBorders>
            <w:vAlign w:val="center"/>
          </w:tcPr>
          <w:p>
            <w:pPr>
              <w:pStyle w:val="17"/>
              <w:bidi w:val="0"/>
              <w:rPr>
                <w:rFonts w:hint="default"/>
              </w:rPr>
            </w:pPr>
            <w:r>
              <w:rPr>
                <w:rFonts w:hint="default"/>
              </w:rPr>
              <w:t>-S1I</w:t>
            </w:r>
          </w:p>
        </w:tc>
        <w:tc>
          <w:tcPr>
            <w:tcW w:w="659" w:type="dxa"/>
            <w:tcBorders>
              <w:tl2br w:val="nil"/>
              <w:tr2bl w:val="nil"/>
            </w:tcBorders>
            <w:vAlign w:val="center"/>
          </w:tcPr>
          <w:p>
            <w:pPr>
              <w:pStyle w:val="17"/>
              <w:bidi w:val="0"/>
              <w:rPr>
                <w:rFonts w:hint="default"/>
              </w:rPr>
            </w:pPr>
            <w:r>
              <w:rPr>
                <w:rFonts w:hint="default"/>
              </w:rPr>
              <w:t>-S1D</w:t>
            </w:r>
          </w:p>
        </w:tc>
        <w:tc>
          <w:tcPr>
            <w:tcW w:w="660"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r>
              <w:rPr>
                <w:rFonts w:hint="default"/>
              </w:rPr>
              <w:t>-S1D</w:t>
            </w:r>
          </w:p>
        </w:tc>
        <w:tc>
          <w:tcPr>
            <w:tcW w:w="659" w:type="dxa"/>
            <w:tcBorders>
              <w:tl2br w:val="nil"/>
              <w:tr2bl w:val="nil"/>
            </w:tcBorders>
            <w:vAlign w:val="center"/>
          </w:tcPr>
          <w:p>
            <w:pPr>
              <w:pStyle w:val="17"/>
              <w:bidi w:val="0"/>
              <w:rPr>
                <w:rFonts w:hint="default"/>
              </w:rPr>
            </w:pPr>
            <w:r>
              <w:rPr>
                <w:rFonts w:hint="default"/>
              </w:rPr>
              <w:t>-S1D</w:t>
            </w:r>
          </w:p>
        </w:tc>
        <w:tc>
          <w:tcPr>
            <w:tcW w:w="736" w:type="dxa"/>
            <w:tcBorders>
              <w:tl2br w:val="nil"/>
              <w:tr2bl w:val="nil"/>
            </w:tcBorders>
            <w:vAlign w:val="center"/>
          </w:tcPr>
          <w:p>
            <w:pPr>
              <w:pStyle w:val="17"/>
              <w:bidi w:val="0"/>
              <w:rPr>
                <w:rFonts w:hint="default"/>
              </w:rPr>
            </w:pPr>
            <w:r>
              <w:rPr>
                <w:rFonts w:hint="default"/>
              </w:rPr>
              <w:t>-S1D</w:t>
            </w:r>
          </w:p>
        </w:tc>
        <w:tc>
          <w:tcPr>
            <w:tcW w:w="659" w:type="dxa"/>
            <w:tcBorders>
              <w:tl2br w:val="nil"/>
              <w:tr2bl w:val="nil"/>
            </w:tcBorders>
            <w:vAlign w:val="center"/>
          </w:tcPr>
          <w:p>
            <w:pPr>
              <w:pStyle w:val="17"/>
              <w:bidi w:val="0"/>
              <w:rPr>
                <w:rFonts w:hint="default"/>
              </w:rPr>
            </w:pPr>
            <w:r>
              <w:rPr>
                <w:rFonts w:hint="default"/>
              </w:rPr>
              <w:t>-S1D</w:t>
            </w:r>
          </w:p>
        </w:tc>
        <w:tc>
          <w:tcPr>
            <w:tcW w:w="659" w:type="dxa"/>
            <w:tcBorders>
              <w:tl2br w:val="nil"/>
              <w:tr2bl w:val="nil"/>
            </w:tcBorders>
            <w:vAlign w:val="center"/>
          </w:tcPr>
          <w:p>
            <w:pPr>
              <w:pStyle w:val="17"/>
              <w:bidi w:val="0"/>
              <w:rPr>
                <w:rFonts w:hint="default"/>
              </w:rPr>
            </w:pPr>
            <w:r>
              <w:rPr>
                <w:rFonts w:hint="default"/>
              </w:rPr>
              <w:t>-S1D</w:t>
            </w:r>
          </w:p>
        </w:tc>
        <w:tc>
          <w:tcPr>
            <w:tcW w:w="1063" w:type="dxa"/>
            <w:tcBorders>
              <w:tl2br w:val="nil"/>
              <w:tr2bl w:val="nil"/>
            </w:tcBorders>
            <w:vAlign w:val="center"/>
          </w:tcPr>
          <w:p>
            <w:pPr>
              <w:pStyle w:val="17"/>
              <w:bidi w:val="0"/>
              <w:rPr>
                <w:rFonts w:hint="default"/>
              </w:rPr>
            </w:pPr>
            <w:r>
              <w:rPr>
                <w:rFonts w:hint="default"/>
              </w:rPr>
              <w:t>-S1D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57" w:type="dxa"/>
            <w:bottom w:w="0" w:type="dxa"/>
            <w:right w:w="57" w:type="dxa"/>
          </w:tblCellMar>
        </w:tblPrEx>
        <w:trPr>
          <w:trHeight w:val="20" w:hRule="atLeast"/>
          <w:jc w:val="center"/>
        </w:trPr>
        <w:tc>
          <w:tcPr>
            <w:tcW w:w="685" w:type="dxa"/>
            <w:vMerge w:val="restart"/>
            <w:tcBorders>
              <w:tl2br w:val="nil"/>
              <w:tr2bl w:val="nil"/>
            </w:tcBorders>
            <w:vAlign w:val="center"/>
          </w:tcPr>
          <w:p>
            <w:pPr>
              <w:pStyle w:val="17"/>
              <w:bidi w:val="0"/>
              <w:rPr>
                <w:rFonts w:hint="default"/>
              </w:rPr>
            </w:pPr>
            <w:r>
              <w:rPr>
                <w:rFonts w:hint="default"/>
              </w:rPr>
              <w:t>运营期</w:t>
            </w:r>
          </w:p>
        </w:tc>
        <w:tc>
          <w:tcPr>
            <w:tcW w:w="657" w:type="dxa"/>
            <w:tcBorders>
              <w:tl2br w:val="nil"/>
              <w:tr2bl w:val="nil"/>
            </w:tcBorders>
            <w:vAlign w:val="center"/>
          </w:tcPr>
          <w:p>
            <w:pPr>
              <w:pStyle w:val="17"/>
              <w:bidi w:val="0"/>
              <w:rPr>
                <w:rFonts w:hint="default"/>
              </w:rPr>
            </w:pPr>
            <w:r>
              <w:rPr>
                <w:rFonts w:hint="default"/>
              </w:rPr>
              <w:t>废水排放</w:t>
            </w:r>
          </w:p>
        </w:tc>
        <w:tc>
          <w:tcPr>
            <w:tcW w:w="658" w:type="dxa"/>
            <w:tcBorders>
              <w:tl2br w:val="nil"/>
              <w:tr2bl w:val="nil"/>
            </w:tcBorders>
            <w:vAlign w:val="center"/>
          </w:tcPr>
          <w:p>
            <w:pPr>
              <w:pStyle w:val="17"/>
              <w:bidi w:val="0"/>
              <w:rPr>
                <w:rFonts w:hint="default"/>
              </w:rPr>
            </w:pPr>
          </w:p>
        </w:tc>
        <w:tc>
          <w:tcPr>
            <w:tcW w:w="658"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r>
              <w:rPr>
                <w:rFonts w:hint="default"/>
              </w:rPr>
              <w:t>-L1D</w:t>
            </w:r>
          </w:p>
        </w:tc>
        <w:tc>
          <w:tcPr>
            <w:tcW w:w="659" w:type="dxa"/>
            <w:tcBorders>
              <w:tl2br w:val="nil"/>
              <w:tr2bl w:val="nil"/>
            </w:tcBorders>
            <w:vAlign w:val="center"/>
          </w:tcPr>
          <w:p>
            <w:pPr>
              <w:pStyle w:val="17"/>
              <w:bidi w:val="0"/>
              <w:rPr>
                <w:rFonts w:hint="default"/>
              </w:rPr>
            </w:pPr>
            <w:r>
              <w:rPr>
                <w:rFonts w:hint="default"/>
              </w:rPr>
              <w:t>-L1D</w:t>
            </w:r>
          </w:p>
        </w:tc>
        <w:tc>
          <w:tcPr>
            <w:tcW w:w="660"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r>
              <w:rPr>
                <w:rFonts w:hint="default"/>
              </w:rPr>
              <w:t>-L1D</w:t>
            </w:r>
          </w:p>
        </w:tc>
        <w:tc>
          <w:tcPr>
            <w:tcW w:w="659" w:type="dxa"/>
            <w:tcBorders>
              <w:tl2br w:val="nil"/>
              <w:tr2bl w:val="nil"/>
            </w:tcBorders>
            <w:vAlign w:val="center"/>
          </w:tcPr>
          <w:p>
            <w:pPr>
              <w:pStyle w:val="17"/>
              <w:bidi w:val="0"/>
              <w:rPr>
                <w:rFonts w:hint="default"/>
              </w:rPr>
            </w:pPr>
            <w:r>
              <w:rPr>
                <w:rFonts w:hint="default"/>
              </w:rPr>
              <w:t>-L1D</w:t>
            </w:r>
          </w:p>
        </w:tc>
        <w:tc>
          <w:tcPr>
            <w:tcW w:w="736" w:type="dxa"/>
            <w:tcBorders>
              <w:tl2br w:val="nil"/>
              <w:tr2bl w:val="nil"/>
            </w:tcBorders>
            <w:vAlign w:val="center"/>
          </w:tcPr>
          <w:p>
            <w:pPr>
              <w:pStyle w:val="17"/>
              <w:bidi w:val="0"/>
              <w:rPr>
                <w:rFonts w:hint="default"/>
              </w:rPr>
            </w:pPr>
            <w:r>
              <w:rPr>
                <w:rFonts w:hint="default"/>
              </w:rPr>
              <w:t>-L1D</w:t>
            </w:r>
          </w:p>
        </w:tc>
        <w:tc>
          <w:tcPr>
            <w:tcW w:w="659" w:type="dxa"/>
            <w:tcBorders>
              <w:tl2br w:val="nil"/>
              <w:tr2bl w:val="nil"/>
            </w:tcBorders>
            <w:vAlign w:val="center"/>
          </w:tcPr>
          <w:p>
            <w:pPr>
              <w:pStyle w:val="17"/>
              <w:bidi w:val="0"/>
              <w:rPr>
                <w:rFonts w:hint="default"/>
              </w:rPr>
            </w:pPr>
            <w:r>
              <w:rPr>
                <w:rFonts w:hint="default"/>
              </w:rPr>
              <w:t>-L0D</w:t>
            </w:r>
          </w:p>
        </w:tc>
        <w:tc>
          <w:tcPr>
            <w:tcW w:w="659" w:type="dxa"/>
            <w:tcBorders>
              <w:tl2br w:val="nil"/>
              <w:tr2bl w:val="nil"/>
            </w:tcBorders>
            <w:vAlign w:val="center"/>
          </w:tcPr>
          <w:p>
            <w:pPr>
              <w:pStyle w:val="17"/>
              <w:bidi w:val="0"/>
              <w:rPr>
                <w:rFonts w:hint="default"/>
              </w:rPr>
            </w:pPr>
            <w:r>
              <w:rPr>
                <w:rFonts w:hint="default"/>
              </w:rPr>
              <w:t>-L0D</w:t>
            </w:r>
          </w:p>
        </w:tc>
        <w:tc>
          <w:tcPr>
            <w:tcW w:w="1063" w:type="dxa"/>
            <w:tcBorders>
              <w:tl2br w:val="nil"/>
              <w:tr2bl w:val="nil"/>
            </w:tcBorders>
            <w:vAlign w:val="center"/>
          </w:tcPr>
          <w:p>
            <w:pPr>
              <w:pStyle w:val="17"/>
              <w:bidi w:val="0"/>
              <w:rPr>
                <w:rFonts w:hint="default"/>
              </w:rPr>
            </w:pPr>
            <w:r>
              <w:rPr>
                <w:rFonts w:hint="default"/>
              </w:rPr>
              <w:t>-L1D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57" w:type="dxa"/>
            <w:bottom w:w="0" w:type="dxa"/>
            <w:right w:w="57" w:type="dxa"/>
          </w:tblCellMar>
        </w:tblPrEx>
        <w:trPr>
          <w:trHeight w:val="20" w:hRule="atLeast"/>
          <w:jc w:val="center"/>
        </w:trPr>
        <w:tc>
          <w:tcPr>
            <w:tcW w:w="685" w:type="dxa"/>
            <w:vMerge w:val="continue"/>
            <w:tcBorders>
              <w:tl2br w:val="nil"/>
              <w:tr2bl w:val="nil"/>
            </w:tcBorders>
            <w:vAlign w:val="center"/>
          </w:tcPr>
          <w:p>
            <w:pPr>
              <w:pStyle w:val="17"/>
              <w:bidi w:val="0"/>
              <w:rPr>
                <w:rFonts w:hint="default"/>
              </w:rPr>
            </w:pPr>
          </w:p>
        </w:tc>
        <w:tc>
          <w:tcPr>
            <w:tcW w:w="657" w:type="dxa"/>
            <w:tcBorders>
              <w:tl2br w:val="nil"/>
              <w:tr2bl w:val="nil"/>
            </w:tcBorders>
            <w:vAlign w:val="center"/>
          </w:tcPr>
          <w:p>
            <w:pPr>
              <w:pStyle w:val="17"/>
              <w:bidi w:val="0"/>
              <w:rPr>
                <w:rFonts w:hint="default"/>
              </w:rPr>
            </w:pPr>
            <w:r>
              <w:rPr>
                <w:rFonts w:hint="default"/>
              </w:rPr>
              <w:t>废气排放</w:t>
            </w:r>
          </w:p>
        </w:tc>
        <w:tc>
          <w:tcPr>
            <w:tcW w:w="658" w:type="dxa"/>
            <w:tcBorders>
              <w:tl2br w:val="nil"/>
              <w:tr2bl w:val="nil"/>
            </w:tcBorders>
            <w:vAlign w:val="center"/>
          </w:tcPr>
          <w:p>
            <w:pPr>
              <w:pStyle w:val="17"/>
              <w:bidi w:val="0"/>
              <w:rPr>
                <w:rFonts w:hint="default"/>
              </w:rPr>
            </w:pPr>
            <w:r>
              <w:rPr>
                <w:rFonts w:hint="default"/>
              </w:rPr>
              <w:t>-L2D</w:t>
            </w:r>
          </w:p>
        </w:tc>
        <w:tc>
          <w:tcPr>
            <w:tcW w:w="658"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p>
        </w:tc>
        <w:tc>
          <w:tcPr>
            <w:tcW w:w="660"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r>
              <w:rPr>
                <w:rFonts w:hint="default"/>
              </w:rPr>
              <w:t>-L1D</w:t>
            </w:r>
          </w:p>
        </w:tc>
        <w:tc>
          <w:tcPr>
            <w:tcW w:w="659" w:type="dxa"/>
            <w:tcBorders>
              <w:tl2br w:val="nil"/>
              <w:tr2bl w:val="nil"/>
            </w:tcBorders>
            <w:vAlign w:val="center"/>
          </w:tcPr>
          <w:p>
            <w:pPr>
              <w:pStyle w:val="17"/>
              <w:bidi w:val="0"/>
              <w:rPr>
                <w:rFonts w:hint="default"/>
              </w:rPr>
            </w:pPr>
            <w:r>
              <w:rPr>
                <w:rFonts w:hint="default"/>
              </w:rPr>
              <w:t>-L1D</w:t>
            </w:r>
          </w:p>
        </w:tc>
        <w:tc>
          <w:tcPr>
            <w:tcW w:w="736" w:type="dxa"/>
            <w:tcBorders>
              <w:tl2br w:val="nil"/>
              <w:tr2bl w:val="nil"/>
            </w:tcBorders>
            <w:vAlign w:val="center"/>
          </w:tcPr>
          <w:p>
            <w:pPr>
              <w:pStyle w:val="17"/>
              <w:bidi w:val="0"/>
              <w:rPr>
                <w:rFonts w:hint="default"/>
              </w:rPr>
            </w:pPr>
            <w:r>
              <w:rPr>
                <w:rFonts w:hint="default"/>
              </w:rPr>
              <w:t>-L1D</w:t>
            </w:r>
          </w:p>
        </w:tc>
        <w:tc>
          <w:tcPr>
            <w:tcW w:w="659" w:type="dxa"/>
            <w:tcBorders>
              <w:tl2br w:val="nil"/>
              <w:tr2bl w:val="nil"/>
            </w:tcBorders>
            <w:vAlign w:val="center"/>
          </w:tcPr>
          <w:p>
            <w:pPr>
              <w:pStyle w:val="17"/>
              <w:bidi w:val="0"/>
              <w:rPr>
                <w:rFonts w:hint="default"/>
              </w:rPr>
            </w:pPr>
            <w:r>
              <w:rPr>
                <w:rFonts w:hint="default"/>
              </w:rPr>
              <w:t>-L1D</w:t>
            </w:r>
          </w:p>
        </w:tc>
        <w:tc>
          <w:tcPr>
            <w:tcW w:w="659" w:type="dxa"/>
            <w:tcBorders>
              <w:tl2br w:val="nil"/>
              <w:tr2bl w:val="nil"/>
            </w:tcBorders>
            <w:vAlign w:val="center"/>
          </w:tcPr>
          <w:p>
            <w:pPr>
              <w:pStyle w:val="17"/>
              <w:bidi w:val="0"/>
              <w:rPr>
                <w:rFonts w:hint="default"/>
              </w:rPr>
            </w:pPr>
            <w:r>
              <w:rPr>
                <w:rFonts w:hint="default"/>
              </w:rPr>
              <w:t>-L1D</w:t>
            </w:r>
          </w:p>
        </w:tc>
        <w:tc>
          <w:tcPr>
            <w:tcW w:w="1063" w:type="dxa"/>
            <w:tcBorders>
              <w:tl2br w:val="nil"/>
              <w:tr2bl w:val="nil"/>
            </w:tcBorders>
            <w:vAlign w:val="center"/>
          </w:tcPr>
          <w:p>
            <w:pPr>
              <w:pStyle w:val="17"/>
              <w:bidi w:val="0"/>
              <w:rPr>
                <w:rFonts w:hint="default"/>
              </w:rPr>
            </w:pPr>
            <w:r>
              <w:rPr>
                <w:rFonts w:hint="default"/>
              </w:rPr>
              <w:t>-L1D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57" w:type="dxa"/>
            <w:bottom w:w="0" w:type="dxa"/>
            <w:right w:w="57" w:type="dxa"/>
          </w:tblCellMar>
        </w:tblPrEx>
        <w:trPr>
          <w:trHeight w:val="20" w:hRule="atLeast"/>
          <w:jc w:val="center"/>
        </w:trPr>
        <w:tc>
          <w:tcPr>
            <w:tcW w:w="685" w:type="dxa"/>
            <w:vMerge w:val="continue"/>
            <w:tcBorders>
              <w:tl2br w:val="nil"/>
              <w:tr2bl w:val="nil"/>
            </w:tcBorders>
            <w:vAlign w:val="center"/>
          </w:tcPr>
          <w:p>
            <w:pPr>
              <w:pStyle w:val="17"/>
              <w:bidi w:val="0"/>
              <w:rPr>
                <w:rFonts w:hint="default"/>
              </w:rPr>
            </w:pPr>
          </w:p>
        </w:tc>
        <w:tc>
          <w:tcPr>
            <w:tcW w:w="657" w:type="dxa"/>
            <w:tcBorders>
              <w:tl2br w:val="nil"/>
              <w:tr2bl w:val="nil"/>
            </w:tcBorders>
            <w:vAlign w:val="center"/>
          </w:tcPr>
          <w:p>
            <w:pPr>
              <w:pStyle w:val="17"/>
              <w:bidi w:val="0"/>
              <w:rPr>
                <w:rFonts w:hint="default"/>
              </w:rPr>
            </w:pPr>
            <w:r>
              <w:rPr>
                <w:rFonts w:hint="default"/>
              </w:rPr>
              <w:t>噪声排放</w:t>
            </w:r>
          </w:p>
        </w:tc>
        <w:tc>
          <w:tcPr>
            <w:tcW w:w="658" w:type="dxa"/>
            <w:tcBorders>
              <w:tl2br w:val="nil"/>
              <w:tr2bl w:val="nil"/>
            </w:tcBorders>
            <w:vAlign w:val="center"/>
          </w:tcPr>
          <w:p>
            <w:pPr>
              <w:pStyle w:val="17"/>
              <w:bidi w:val="0"/>
              <w:rPr>
                <w:rFonts w:hint="default"/>
              </w:rPr>
            </w:pPr>
          </w:p>
        </w:tc>
        <w:tc>
          <w:tcPr>
            <w:tcW w:w="658"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p>
        </w:tc>
        <w:tc>
          <w:tcPr>
            <w:tcW w:w="660" w:type="dxa"/>
            <w:tcBorders>
              <w:tl2br w:val="nil"/>
              <w:tr2bl w:val="nil"/>
            </w:tcBorders>
            <w:vAlign w:val="center"/>
          </w:tcPr>
          <w:p>
            <w:pPr>
              <w:pStyle w:val="17"/>
              <w:bidi w:val="0"/>
              <w:rPr>
                <w:rFonts w:hint="default"/>
              </w:rPr>
            </w:pPr>
            <w:r>
              <w:rPr>
                <w:rFonts w:hint="default"/>
              </w:rPr>
              <w:t>-L2D</w:t>
            </w:r>
          </w:p>
        </w:tc>
        <w:tc>
          <w:tcPr>
            <w:tcW w:w="659" w:type="dxa"/>
            <w:tcBorders>
              <w:tl2br w:val="nil"/>
              <w:tr2bl w:val="nil"/>
            </w:tcBorders>
            <w:vAlign w:val="center"/>
          </w:tcPr>
          <w:p>
            <w:pPr>
              <w:pStyle w:val="17"/>
              <w:bidi w:val="0"/>
              <w:rPr>
                <w:rFonts w:hint="default"/>
              </w:rPr>
            </w:pPr>
            <w:r>
              <w:rPr>
                <w:rFonts w:hint="default"/>
              </w:rPr>
              <w:t>-L0D</w:t>
            </w:r>
          </w:p>
        </w:tc>
        <w:tc>
          <w:tcPr>
            <w:tcW w:w="659" w:type="dxa"/>
            <w:tcBorders>
              <w:tl2br w:val="nil"/>
              <w:tr2bl w:val="nil"/>
            </w:tcBorders>
            <w:vAlign w:val="center"/>
          </w:tcPr>
          <w:p>
            <w:pPr>
              <w:pStyle w:val="17"/>
              <w:bidi w:val="0"/>
              <w:rPr>
                <w:rFonts w:hint="default"/>
              </w:rPr>
            </w:pPr>
            <w:r>
              <w:rPr>
                <w:rFonts w:hint="default"/>
              </w:rPr>
              <w:t>-L0D</w:t>
            </w:r>
          </w:p>
        </w:tc>
        <w:tc>
          <w:tcPr>
            <w:tcW w:w="736"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r>
              <w:rPr>
                <w:rFonts w:hint="default"/>
              </w:rPr>
              <w:t>-L0D</w:t>
            </w:r>
          </w:p>
        </w:tc>
        <w:tc>
          <w:tcPr>
            <w:tcW w:w="659" w:type="dxa"/>
            <w:tcBorders>
              <w:tl2br w:val="nil"/>
              <w:tr2bl w:val="nil"/>
            </w:tcBorders>
            <w:vAlign w:val="center"/>
          </w:tcPr>
          <w:p>
            <w:pPr>
              <w:pStyle w:val="17"/>
              <w:bidi w:val="0"/>
              <w:rPr>
                <w:rFonts w:hint="default"/>
              </w:rPr>
            </w:pPr>
            <w:r>
              <w:rPr>
                <w:rFonts w:hint="default"/>
              </w:rPr>
              <w:t>-L0D</w:t>
            </w:r>
          </w:p>
        </w:tc>
        <w:tc>
          <w:tcPr>
            <w:tcW w:w="1063" w:type="dxa"/>
            <w:tcBorders>
              <w:tl2br w:val="nil"/>
              <w:tr2bl w:val="nil"/>
            </w:tcBorders>
            <w:vAlign w:val="center"/>
          </w:tcPr>
          <w:p>
            <w:pPr>
              <w:pStyle w:val="17"/>
              <w:bidi w:val="0"/>
              <w:rPr>
                <w:rFonts w:hint="default"/>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57" w:type="dxa"/>
            <w:bottom w:w="0" w:type="dxa"/>
            <w:right w:w="57" w:type="dxa"/>
          </w:tblCellMar>
        </w:tblPrEx>
        <w:trPr>
          <w:trHeight w:val="20" w:hRule="atLeast"/>
          <w:jc w:val="center"/>
        </w:trPr>
        <w:tc>
          <w:tcPr>
            <w:tcW w:w="685" w:type="dxa"/>
            <w:vMerge w:val="continue"/>
            <w:tcBorders>
              <w:tl2br w:val="nil"/>
              <w:tr2bl w:val="nil"/>
            </w:tcBorders>
            <w:vAlign w:val="center"/>
          </w:tcPr>
          <w:p>
            <w:pPr>
              <w:pStyle w:val="17"/>
              <w:bidi w:val="0"/>
              <w:rPr>
                <w:rFonts w:hint="default"/>
              </w:rPr>
            </w:pPr>
          </w:p>
        </w:tc>
        <w:tc>
          <w:tcPr>
            <w:tcW w:w="657" w:type="dxa"/>
            <w:tcBorders>
              <w:tl2br w:val="nil"/>
              <w:tr2bl w:val="nil"/>
            </w:tcBorders>
            <w:vAlign w:val="center"/>
          </w:tcPr>
          <w:p>
            <w:pPr>
              <w:pStyle w:val="17"/>
              <w:bidi w:val="0"/>
              <w:rPr>
                <w:rFonts w:hint="default"/>
              </w:rPr>
            </w:pPr>
            <w:r>
              <w:rPr>
                <w:rFonts w:hint="default"/>
              </w:rPr>
              <w:t>固体废物</w:t>
            </w:r>
          </w:p>
        </w:tc>
        <w:tc>
          <w:tcPr>
            <w:tcW w:w="658" w:type="dxa"/>
            <w:tcBorders>
              <w:tl2br w:val="nil"/>
              <w:tr2bl w:val="nil"/>
            </w:tcBorders>
            <w:vAlign w:val="center"/>
          </w:tcPr>
          <w:p>
            <w:pPr>
              <w:pStyle w:val="17"/>
              <w:bidi w:val="0"/>
              <w:rPr>
                <w:rFonts w:hint="default"/>
              </w:rPr>
            </w:pPr>
          </w:p>
        </w:tc>
        <w:tc>
          <w:tcPr>
            <w:tcW w:w="658"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r>
              <w:rPr>
                <w:rFonts w:hint="default"/>
              </w:rPr>
              <w:t>-L1D</w:t>
            </w:r>
          </w:p>
        </w:tc>
        <w:tc>
          <w:tcPr>
            <w:tcW w:w="660"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p>
        </w:tc>
        <w:tc>
          <w:tcPr>
            <w:tcW w:w="736"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p>
        </w:tc>
        <w:tc>
          <w:tcPr>
            <w:tcW w:w="659" w:type="dxa"/>
            <w:tcBorders>
              <w:tl2br w:val="nil"/>
              <w:tr2bl w:val="nil"/>
            </w:tcBorders>
            <w:vAlign w:val="center"/>
          </w:tcPr>
          <w:p>
            <w:pPr>
              <w:pStyle w:val="17"/>
              <w:bidi w:val="0"/>
              <w:rPr>
                <w:rFonts w:hint="default"/>
              </w:rPr>
            </w:pPr>
          </w:p>
        </w:tc>
        <w:tc>
          <w:tcPr>
            <w:tcW w:w="1063" w:type="dxa"/>
            <w:tcBorders>
              <w:tl2br w:val="nil"/>
              <w:tr2bl w:val="nil"/>
            </w:tcBorders>
            <w:vAlign w:val="center"/>
          </w:tcPr>
          <w:p>
            <w:pPr>
              <w:pStyle w:val="17"/>
              <w:bidi w:val="0"/>
              <w:rPr>
                <w:rFonts w:hint="default"/>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57" w:type="dxa"/>
            <w:bottom w:w="0" w:type="dxa"/>
            <w:right w:w="57" w:type="dxa"/>
          </w:tblCellMar>
        </w:tblPrEx>
        <w:trPr>
          <w:trHeight w:val="20" w:hRule="atLeast"/>
          <w:jc w:val="center"/>
        </w:trPr>
        <w:tc>
          <w:tcPr>
            <w:tcW w:w="685" w:type="dxa"/>
            <w:vMerge w:val="continue"/>
            <w:tcBorders>
              <w:tl2br w:val="nil"/>
              <w:tr2bl w:val="nil"/>
            </w:tcBorders>
            <w:vAlign w:val="center"/>
          </w:tcPr>
          <w:p>
            <w:pPr>
              <w:pStyle w:val="17"/>
              <w:bidi w:val="0"/>
              <w:rPr>
                <w:rFonts w:hint="default"/>
              </w:rPr>
            </w:pPr>
          </w:p>
        </w:tc>
        <w:tc>
          <w:tcPr>
            <w:tcW w:w="657" w:type="dxa"/>
            <w:tcBorders>
              <w:tl2br w:val="nil"/>
              <w:tr2bl w:val="nil"/>
            </w:tcBorders>
            <w:vAlign w:val="center"/>
          </w:tcPr>
          <w:p>
            <w:pPr>
              <w:pStyle w:val="17"/>
              <w:bidi w:val="0"/>
              <w:rPr>
                <w:rFonts w:hint="default"/>
              </w:rPr>
            </w:pPr>
            <w:r>
              <w:rPr>
                <w:rFonts w:hint="default"/>
              </w:rPr>
              <w:t>事故风险</w:t>
            </w:r>
          </w:p>
        </w:tc>
        <w:tc>
          <w:tcPr>
            <w:tcW w:w="658" w:type="dxa"/>
            <w:tcBorders>
              <w:tl2br w:val="nil"/>
              <w:tr2bl w:val="nil"/>
            </w:tcBorders>
            <w:vAlign w:val="center"/>
          </w:tcPr>
          <w:p>
            <w:pPr>
              <w:pStyle w:val="17"/>
              <w:bidi w:val="0"/>
              <w:rPr>
                <w:rFonts w:hint="default"/>
              </w:rPr>
            </w:pPr>
            <w:r>
              <w:rPr>
                <w:rFonts w:hint="default"/>
              </w:rPr>
              <w:t>-S</w:t>
            </w:r>
            <w:r>
              <w:rPr>
                <w:rFonts w:hint="default"/>
                <w:lang w:val="en-US" w:eastAsia="zh-CN"/>
              </w:rPr>
              <w:t>1</w:t>
            </w:r>
            <w:r>
              <w:rPr>
                <w:rFonts w:hint="default"/>
              </w:rPr>
              <w:t>D</w:t>
            </w:r>
          </w:p>
        </w:tc>
        <w:tc>
          <w:tcPr>
            <w:tcW w:w="658" w:type="dxa"/>
            <w:tcBorders>
              <w:tl2br w:val="nil"/>
              <w:tr2bl w:val="nil"/>
            </w:tcBorders>
            <w:vAlign w:val="center"/>
          </w:tcPr>
          <w:p>
            <w:pPr>
              <w:pStyle w:val="17"/>
              <w:bidi w:val="0"/>
              <w:rPr>
                <w:rFonts w:hint="default"/>
              </w:rPr>
            </w:pPr>
            <w:r>
              <w:rPr>
                <w:rFonts w:hint="default"/>
              </w:rPr>
              <w:t>-S</w:t>
            </w:r>
            <w:r>
              <w:rPr>
                <w:rFonts w:hint="default"/>
                <w:lang w:val="en-US" w:eastAsia="zh-CN"/>
              </w:rPr>
              <w:t>1</w:t>
            </w:r>
            <w:r>
              <w:rPr>
                <w:rFonts w:hint="default"/>
              </w:rPr>
              <w:t>D</w:t>
            </w:r>
          </w:p>
        </w:tc>
        <w:tc>
          <w:tcPr>
            <w:tcW w:w="659" w:type="dxa"/>
            <w:tcBorders>
              <w:tl2br w:val="nil"/>
              <w:tr2bl w:val="nil"/>
            </w:tcBorders>
            <w:vAlign w:val="center"/>
          </w:tcPr>
          <w:p>
            <w:pPr>
              <w:pStyle w:val="17"/>
              <w:bidi w:val="0"/>
              <w:rPr>
                <w:rFonts w:hint="default"/>
              </w:rPr>
            </w:pPr>
            <w:r>
              <w:rPr>
                <w:rFonts w:hint="default"/>
              </w:rPr>
              <w:t>-S</w:t>
            </w:r>
            <w:r>
              <w:rPr>
                <w:rFonts w:hint="default"/>
                <w:lang w:val="en-US" w:eastAsia="zh-CN"/>
              </w:rPr>
              <w:t>1</w:t>
            </w:r>
            <w:r>
              <w:rPr>
                <w:rFonts w:hint="default"/>
              </w:rPr>
              <w:t>D</w:t>
            </w:r>
          </w:p>
        </w:tc>
        <w:tc>
          <w:tcPr>
            <w:tcW w:w="659" w:type="dxa"/>
            <w:tcBorders>
              <w:tl2br w:val="nil"/>
              <w:tr2bl w:val="nil"/>
            </w:tcBorders>
            <w:vAlign w:val="center"/>
          </w:tcPr>
          <w:p>
            <w:pPr>
              <w:pStyle w:val="17"/>
              <w:bidi w:val="0"/>
              <w:rPr>
                <w:rFonts w:hint="default"/>
              </w:rPr>
            </w:pPr>
            <w:r>
              <w:rPr>
                <w:rFonts w:hint="default"/>
              </w:rPr>
              <w:t>-S</w:t>
            </w:r>
            <w:r>
              <w:rPr>
                <w:rFonts w:hint="default"/>
                <w:lang w:val="en-US" w:eastAsia="zh-CN"/>
              </w:rPr>
              <w:t>1</w:t>
            </w:r>
            <w:r>
              <w:rPr>
                <w:rFonts w:hint="default"/>
              </w:rPr>
              <w:t>D</w:t>
            </w:r>
          </w:p>
        </w:tc>
        <w:tc>
          <w:tcPr>
            <w:tcW w:w="660" w:type="dxa"/>
            <w:tcBorders>
              <w:tl2br w:val="nil"/>
              <w:tr2bl w:val="nil"/>
            </w:tcBorders>
            <w:vAlign w:val="center"/>
          </w:tcPr>
          <w:p>
            <w:pPr>
              <w:pStyle w:val="17"/>
              <w:bidi w:val="0"/>
              <w:rPr>
                <w:rFonts w:hint="default"/>
              </w:rPr>
            </w:pPr>
            <w:r>
              <w:rPr>
                <w:rFonts w:hint="default"/>
              </w:rPr>
              <w:t>-S</w:t>
            </w:r>
            <w:r>
              <w:rPr>
                <w:rFonts w:hint="default"/>
                <w:lang w:val="en-US" w:eastAsia="zh-CN"/>
              </w:rPr>
              <w:t>1</w:t>
            </w:r>
            <w:r>
              <w:rPr>
                <w:rFonts w:hint="default"/>
              </w:rPr>
              <w:t>D</w:t>
            </w:r>
          </w:p>
        </w:tc>
        <w:tc>
          <w:tcPr>
            <w:tcW w:w="659" w:type="dxa"/>
            <w:tcBorders>
              <w:tl2br w:val="nil"/>
              <w:tr2bl w:val="nil"/>
            </w:tcBorders>
            <w:vAlign w:val="center"/>
          </w:tcPr>
          <w:p>
            <w:pPr>
              <w:pStyle w:val="17"/>
              <w:bidi w:val="0"/>
              <w:rPr>
                <w:rFonts w:hint="default"/>
              </w:rPr>
            </w:pPr>
            <w:r>
              <w:rPr>
                <w:rFonts w:hint="default"/>
              </w:rPr>
              <w:t>-S</w:t>
            </w:r>
            <w:r>
              <w:rPr>
                <w:rFonts w:hint="default"/>
                <w:lang w:val="en-US" w:eastAsia="zh-CN"/>
              </w:rPr>
              <w:t>1</w:t>
            </w:r>
            <w:r>
              <w:rPr>
                <w:rFonts w:hint="default"/>
              </w:rPr>
              <w:t>D</w:t>
            </w:r>
          </w:p>
        </w:tc>
        <w:tc>
          <w:tcPr>
            <w:tcW w:w="659" w:type="dxa"/>
            <w:tcBorders>
              <w:tl2br w:val="nil"/>
              <w:tr2bl w:val="nil"/>
            </w:tcBorders>
            <w:vAlign w:val="center"/>
          </w:tcPr>
          <w:p>
            <w:pPr>
              <w:pStyle w:val="17"/>
              <w:bidi w:val="0"/>
              <w:rPr>
                <w:rFonts w:hint="default"/>
              </w:rPr>
            </w:pPr>
            <w:r>
              <w:rPr>
                <w:rFonts w:hint="default"/>
              </w:rPr>
              <w:t>-S</w:t>
            </w:r>
            <w:r>
              <w:rPr>
                <w:rFonts w:hint="default"/>
                <w:lang w:val="en-US" w:eastAsia="zh-CN"/>
              </w:rPr>
              <w:t>1</w:t>
            </w:r>
            <w:r>
              <w:rPr>
                <w:rFonts w:hint="default"/>
              </w:rPr>
              <w:t>D</w:t>
            </w:r>
          </w:p>
        </w:tc>
        <w:tc>
          <w:tcPr>
            <w:tcW w:w="736" w:type="dxa"/>
            <w:tcBorders>
              <w:tl2br w:val="nil"/>
              <w:tr2bl w:val="nil"/>
            </w:tcBorders>
            <w:vAlign w:val="center"/>
          </w:tcPr>
          <w:p>
            <w:pPr>
              <w:pStyle w:val="17"/>
              <w:bidi w:val="0"/>
              <w:rPr>
                <w:rFonts w:hint="default"/>
              </w:rPr>
            </w:pPr>
            <w:r>
              <w:rPr>
                <w:rFonts w:hint="default"/>
              </w:rPr>
              <w:t>-S</w:t>
            </w:r>
            <w:r>
              <w:rPr>
                <w:rFonts w:hint="default"/>
                <w:lang w:val="en-US" w:eastAsia="zh-CN"/>
              </w:rPr>
              <w:t>1</w:t>
            </w:r>
            <w:r>
              <w:rPr>
                <w:rFonts w:hint="default"/>
              </w:rPr>
              <w:t>D</w:t>
            </w:r>
          </w:p>
        </w:tc>
        <w:tc>
          <w:tcPr>
            <w:tcW w:w="659" w:type="dxa"/>
            <w:tcBorders>
              <w:tl2br w:val="nil"/>
              <w:tr2bl w:val="nil"/>
            </w:tcBorders>
            <w:vAlign w:val="center"/>
          </w:tcPr>
          <w:p>
            <w:pPr>
              <w:pStyle w:val="17"/>
              <w:bidi w:val="0"/>
              <w:rPr>
                <w:rFonts w:hint="default"/>
              </w:rPr>
            </w:pPr>
            <w:r>
              <w:rPr>
                <w:rFonts w:hint="default"/>
              </w:rPr>
              <w:t>-S</w:t>
            </w:r>
            <w:r>
              <w:rPr>
                <w:rFonts w:hint="default"/>
                <w:lang w:val="en-US" w:eastAsia="zh-CN"/>
              </w:rPr>
              <w:t>1</w:t>
            </w:r>
            <w:r>
              <w:rPr>
                <w:rFonts w:hint="default"/>
              </w:rPr>
              <w:t>D</w:t>
            </w:r>
          </w:p>
        </w:tc>
        <w:tc>
          <w:tcPr>
            <w:tcW w:w="659" w:type="dxa"/>
            <w:tcBorders>
              <w:tl2br w:val="nil"/>
              <w:tr2bl w:val="nil"/>
            </w:tcBorders>
            <w:vAlign w:val="center"/>
          </w:tcPr>
          <w:p>
            <w:pPr>
              <w:pStyle w:val="17"/>
              <w:bidi w:val="0"/>
              <w:rPr>
                <w:rFonts w:hint="default"/>
              </w:rPr>
            </w:pPr>
            <w:r>
              <w:rPr>
                <w:rFonts w:hint="default"/>
              </w:rPr>
              <w:t>-S</w:t>
            </w:r>
            <w:r>
              <w:rPr>
                <w:rFonts w:hint="default"/>
                <w:lang w:val="en-US" w:eastAsia="zh-CN"/>
              </w:rPr>
              <w:t>1</w:t>
            </w:r>
            <w:r>
              <w:rPr>
                <w:rFonts w:hint="default"/>
              </w:rPr>
              <w:t>D</w:t>
            </w:r>
          </w:p>
        </w:tc>
        <w:tc>
          <w:tcPr>
            <w:tcW w:w="1063" w:type="dxa"/>
            <w:tcBorders>
              <w:tl2br w:val="nil"/>
              <w:tr2bl w:val="nil"/>
            </w:tcBorders>
            <w:vAlign w:val="center"/>
          </w:tcPr>
          <w:p>
            <w:pPr>
              <w:pStyle w:val="17"/>
              <w:bidi w:val="0"/>
              <w:rPr>
                <w:rFonts w:hint="default"/>
              </w:rPr>
            </w:pPr>
            <w:r>
              <w:rPr>
                <w:rFonts w:hint="default"/>
              </w:rPr>
              <w:t>-S</w:t>
            </w:r>
            <w:r>
              <w:rPr>
                <w:rFonts w:hint="default"/>
                <w:lang w:val="en-US" w:eastAsia="zh-CN"/>
              </w:rPr>
              <w:t>1</w:t>
            </w:r>
            <w:r>
              <w:rPr>
                <w:rFonts w:hint="default"/>
              </w:rPr>
              <w:t>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57" w:type="dxa"/>
            <w:bottom w:w="0" w:type="dxa"/>
            <w:right w:w="57" w:type="dxa"/>
          </w:tblCellMar>
        </w:tblPrEx>
        <w:trPr>
          <w:trHeight w:val="20" w:hRule="atLeast"/>
          <w:jc w:val="center"/>
        </w:trPr>
        <w:tc>
          <w:tcPr>
            <w:tcW w:w="9071" w:type="dxa"/>
            <w:gridSpan w:val="13"/>
            <w:tcBorders>
              <w:tl2br w:val="nil"/>
              <w:tr2bl w:val="nil"/>
            </w:tcBorders>
            <w:vAlign w:val="center"/>
          </w:tcPr>
          <w:p>
            <w:pPr>
              <w:pStyle w:val="17"/>
              <w:bidi w:val="0"/>
              <w:rPr>
                <w:rFonts w:hint="default"/>
              </w:rPr>
            </w:pPr>
            <w:r>
              <w:rPr>
                <w:rFonts w:hint="default"/>
              </w:rPr>
              <w:t>注：</w:t>
            </w:r>
            <w:r>
              <w:rPr>
                <w:rFonts w:hint="eastAsia"/>
                <w:lang w:eastAsia="zh-CN"/>
              </w:rPr>
              <w:t>“</w:t>
            </w:r>
            <w:r>
              <w:rPr>
                <w:rFonts w:hint="default"/>
              </w:rPr>
              <w:t>+和-</w:t>
            </w:r>
            <w:r>
              <w:rPr>
                <w:rFonts w:hint="eastAsia"/>
                <w:lang w:eastAsia="zh-CN"/>
              </w:rPr>
              <w:t>”</w:t>
            </w:r>
            <w:r>
              <w:rPr>
                <w:rFonts w:hint="default"/>
              </w:rPr>
              <w:t>分别表示有利、不利影响；</w:t>
            </w:r>
            <w:r>
              <w:rPr>
                <w:rFonts w:hint="eastAsia"/>
                <w:lang w:eastAsia="zh-CN"/>
              </w:rPr>
              <w:t>“</w:t>
            </w:r>
            <w:r>
              <w:rPr>
                <w:rFonts w:hint="default"/>
              </w:rPr>
              <w:t>L和S</w:t>
            </w:r>
            <w:r>
              <w:rPr>
                <w:rFonts w:hint="eastAsia"/>
                <w:lang w:eastAsia="zh-CN"/>
              </w:rPr>
              <w:t>”</w:t>
            </w:r>
            <w:r>
              <w:rPr>
                <w:rFonts w:hint="default"/>
              </w:rPr>
              <w:t>分别表示长期、短期影响；</w:t>
            </w:r>
            <w:r>
              <w:rPr>
                <w:rFonts w:hint="eastAsia"/>
                <w:lang w:eastAsia="zh-CN"/>
              </w:rPr>
              <w:t>“</w:t>
            </w:r>
            <w:r>
              <w:rPr>
                <w:rFonts w:hint="default"/>
              </w:rPr>
              <w:t>0至3</w:t>
            </w:r>
            <w:r>
              <w:rPr>
                <w:rFonts w:hint="eastAsia"/>
                <w:lang w:eastAsia="zh-CN"/>
              </w:rPr>
              <w:t>”</w:t>
            </w:r>
            <w:r>
              <w:rPr>
                <w:rFonts w:hint="default"/>
              </w:rPr>
              <w:t>分别表示无影响、轻微影响、中等影响、重大影响；</w:t>
            </w:r>
            <w:r>
              <w:rPr>
                <w:rFonts w:hint="eastAsia"/>
                <w:lang w:eastAsia="zh-CN"/>
              </w:rPr>
              <w:t>“</w:t>
            </w:r>
            <w:r>
              <w:rPr>
                <w:rFonts w:hint="default"/>
              </w:rPr>
              <w:t>D和I</w:t>
            </w:r>
            <w:r>
              <w:rPr>
                <w:rFonts w:hint="eastAsia"/>
                <w:lang w:eastAsia="zh-CN"/>
              </w:rPr>
              <w:t>”</w:t>
            </w:r>
            <w:r>
              <w:rPr>
                <w:rFonts w:hint="default"/>
              </w:rPr>
              <w:t>分别表示直接、间接影响。</w:t>
            </w:r>
          </w:p>
        </w:tc>
      </w:tr>
    </w:tbl>
    <w:p>
      <w:pPr>
        <w:bidi w:val="0"/>
        <w:rPr>
          <w:rFonts w:hint="default"/>
        </w:rPr>
      </w:pPr>
      <w:bookmarkStart w:id="66" w:name="_Toc332975152"/>
      <w:bookmarkStart w:id="67" w:name="_Toc341867046"/>
      <w:r>
        <w:rPr>
          <w:rFonts w:hint="default"/>
        </w:rPr>
        <w:t>项目对环境的影响是多方面的，既存在短期局部、可恢复的影响，也存在长期、较大范围的影响。项目施工期的影响主要表现在对环境空气、声环境的影响，但施工期的影响是局部的，短期的，并随着施工期的结束而消失。营运期污染物排放将对周围环境空气、声环境产生不同程度的长期影响。主要环境影响因素是废气，其次是废水、设备噪声和固体废物。</w:t>
      </w:r>
    </w:p>
    <w:p>
      <w:pPr>
        <w:pStyle w:val="5"/>
        <w:bidi w:val="0"/>
        <w:rPr>
          <w:rFonts w:hint="default"/>
        </w:rPr>
      </w:pPr>
      <w:r>
        <w:rPr>
          <w:rFonts w:hint="default"/>
        </w:rPr>
        <w:t>2.5.2</w:t>
      </w:r>
      <w:r>
        <w:rPr>
          <w:rFonts w:hint="eastAsia"/>
          <w:lang w:eastAsia="zh-CN"/>
        </w:rPr>
        <w:t>、</w:t>
      </w:r>
      <w:r>
        <w:rPr>
          <w:rFonts w:hint="default"/>
        </w:rPr>
        <w:t>评价因子识别</w:t>
      </w:r>
    </w:p>
    <w:p>
      <w:pPr>
        <w:pStyle w:val="6"/>
        <w:bidi w:val="0"/>
        <w:rPr>
          <w:rFonts w:hint="default"/>
        </w:rPr>
      </w:pPr>
      <w:r>
        <w:rPr>
          <w:rFonts w:hint="default"/>
        </w:rPr>
        <w:t>2.5.2.1</w:t>
      </w:r>
      <w:r>
        <w:rPr>
          <w:rFonts w:hint="eastAsia"/>
          <w:lang w:eastAsia="zh-CN"/>
        </w:rPr>
        <w:t>、</w:t>
      </w:r>
      <w:r>
        <w:rPr>
          <w:rFonts w:hint="default"/>
        </w:rPr>
        <w:t>施工期</w:t>
      </w:r>
    </w:p>
    <w:p>
      <w:pPr>
        <w:bidi w:val="0"/>
        <w:rPr>
          <w:rFonts w:hint="default"/>
        </w:rPr>
      </w:pPr>
      <w:r>
        <w:rPr>
          <w:rFonts w:hint="default"/>
        </w:rPr>
        <w:t>施工期间对环境的影响主要取决于工程特点、施工季节以及工程所处的地形、地貌等环境因素。经分析，本项目施工期主要环境影响因素见表2.5-2。</w:t>
      </w:r>
    </w:p>
    <w:p>
      <w:pPr>
        <w:pStyle w:val="17"/>
        <w:bidi w:val="0"/>
        <w:rPr>
          <w:rFonts w:hint="default"/>
          <w:b/>
          <w:bCs/>
        </w:rPr>
      </w:pPr>
      <w:r>
        <w:rPr>
          <w:rFonts w:hint="default"/>
          <w:b/>
          <w:bCs/>
        </w:rPr>
        <w:t xml:space="preserve">表2.5-2 </w:t>
      </w:r>
      <w:r>
        <w:rPr>
          <w:rFonts w:hint="eastAsia"/>
          <w:b/>
          <w:bCs/>
          <w:lang w:val="en-US" w:eastAsia="zh-CN"/>
        </w:rPr>
        <w:t xml:space="preserve">  </w:t>
      </w:r>
      <w:r>
        <w:rPr>
          <w:rFonts w:hint="default"/>
          <w:b/>
          <w:bCs/>
        </w:rPr>
        <w:t>施工期主要环境影响因素</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1"/>
        <w:gridCol w:w="1532"/>
        <w:gridCol w:w="4102"/>
        <w:gridCol w:w="2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94" w:hRule="atLeast"/>
          <w:jc w:val="center"/>
        </w:trPr>
        <w:tc>
          <w:tcPr>
            <w:tcW w:w="691" w:type="dxa"/>
            <w:tcBorders>
              <w:tl2br w:val="nil"/>
              <w:tr2bl w:val="nil"/>
            </w:tcBorders>
            <w:tcMar>
              <w:left w:w="0" w:type="dxa"/>
              <w:right w:w="0" w:type="dxa"/>
            </w:tcMar>
            <w:vAlign w:val="center"/>
          </w:tcPr>
          <w:p>
            <w:pPr>
              <w:pStyle w:val="17"/>
              <w:bidi w:val="0"/>
              <w:rPr>
                <w:rFonts w:hint="default"/>
                <w:b/>
                <w:bCs/>
              </w:rPr>
            </w:pPr>
            <w:r>
              <w:rPr>
                <w:rFonts w:hint="default"/>
                <w:b/>
                <w:bCs/>
              </w:rPr>
              <w:t>序号</w:t>
            </w:r>
          </w:p>
        </w:tc>
        <w:tc>
          <w:tcPr>
            <w:tcW w:w="1532" w:type="dxa"/>
            <w:tcBorders>
              <w:tl2br w:val="nil"/>
              <w:tr2bl w:val="nil"/>
            </w:tcBorders>
            <w:tcMar>
              <w:left w:w="0" w:type="dxa"/>
              <w:right w:w="0" w:type="dxa"/>
            </w:tcMar>
            <w:vAlign w:val="center"/>
          </w:tcPr>
          <w:p>
            <w:pPr>
              <w:pStyle w:val="17"/>
              <w:bidi w:val="0"/>
              <w:rPr>
                <w:rFonts w:hint="default"/>
                <w:b/>
                <w:bCs/>
              </w:rPr>
            </w:pPr>
            <w:r>
              <w:rPr>
                <w:rFonts w:hint="default"/>
                <w:b/>
                <w:bCs/>
              </w:rPr>
              <w:t>环境要素</w:t>
            </w:r>
          </w:p>
        </w:tc>
        <w:tc>
          <w:tcPr>
            <w:tcW w:w="4102" w:type="dxa"/>
            <w:tcBorders>
              <w:tl2br w:val="nil"/>
              <w:tr2bl w:val="nil"/>
            </w:tcBorders>
            <w:tcMar>
              <w:left w:w="0" w:type="dxa"/>
              <w:right w:w="0" w:type="dxa"/>
            </w:tcMar>
            <w:vAlign w:val="center"/>
          </w:tcPr>
          <w:p>
            <w:pPr>
              <w:pStyle w:val="17"/>
              <w:bidi w:val="0"/>
              <w:rPr>
                <w:rFonts w:hint="default"/>
                <w:b/>
                <w:bCs/>
              </w:rPr>
            </w:pPr>
            <w:r>
              <w:rPr>
                <w:rFonts w:hint="default"/>
                <w:b/>
                <w:bCs/>
              </w:rPr>
              <w:t>产生影响的主要内容</w:t>
            </w:r>
          </w:p>
        </w:tc>
        <w:tc>
          <w:tcPr>
            <w:tcW w:w="2746" w:type="dxa"/>
            <w:tcBorders>
              <w:tl2br w:val="nil"/>
              <w:tr2bl w:val="nil"/>
            </w:tcBorders>
            <w:tcMar>
              <w:left w:w="0" w:type="dxa"/>
              <w:right w:w="0" w:type="dxa"/>
            </w:tcMar>
            <w:vAlign w:val="center"/>
          </w:tcPr>
          <w:p>
            <w:pPr>
              <w:pStyle w:val="17"/>
              <w:bidi w:val="0"/>
              <w:rPr>
                <w:rFonts w:hint="default"/>
                <w:b/>
                <w:bCs/>
              </w:rPr>
            </w:pPr>
            <w:r>
              <w:rPr>
                <w:rFonts w:hint="default"/>
                <w:b/>
                <w:bCs/>
              </w:rPr>
              <w:t>主要影响因素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0" w:hRule="atLeast"/>
          <w:jc w:val="center"/>
        </w:trPr>
        <w:tc>
          <w:tcPr>
            <w:tcW w:w="691" w:type="dxa"/>
            <w:vMerge w:val="restart"/>
            <w:tcBorders>
              <w:tl2br w:val="nil"/>
              <w:tr2bl w:val="nil"/>
            </w:tcBorders>
            <w:tcMar>
              <w:left w:w="0" w:type="dxa"/>
              <w:right w:w="0" w:type="dxa"/>
            </w:tcMar>
            <w:vAlign w:val="center"/>
          </w:tcPr>
          <w:p>
            <w:pPr>
              <w:pStyle w:val="17"/>
              <w:bidi w:val="0"/>
              <w:rPr>
                <w:rFonts w:hint="default"/>
              </w:rPr>
            </w:pPr>
            <w:r>
              <w:rPr>
                <w:rFonts w:hint="default"/>
              </w:rPr>
              <w:t>1</w:t>
            </w:r>
          </w:p>
        </w:tc>
        <w:tc>
          <w:tcPr>
            <w:tcW w:w="1532" w:type="dxa"/>
            <w:vMerge w:val="restart"/>
            <w:tcBorders>
              <w:tl2br w:val="nil"/>
              <w:tr2bl w:val="nil"/>
            </w:tcBorders>
            <w:tcMar>
              <w:left w:w="0" w:type="dxa"/>
              <w:right w:w="0" w:type="dxa"/>
            </w:tcMar>
            <w:vAlign w:val="center"/>
          </w:tcPr>
          <w:p>
            <w:pPr>
              <w:pStyle w:val="17"/>
              <w:bidi w:val="0"/>
              <w:rPr>
                <w:rFonts w:hint="default"/>
              </w:rPr>
            </w:pPr>
            <w:r>
              <w:rPr>
                <w:rFonts w:hint="default"/>
              </w:rPr>
              <w:t>环境空气</w:t>
            </w:r>
          </w:p>
        </w:tc>
        <w:tc>
          <w:tcPr>
            <w:tcW w:w="4102" w:type="dxa"/>
            <w:tcBorders>
              <w:tl2br w:val="nil"/>
              <w:tr2bl w:val="nil"/>
            </w:tcBorders>
            <w:tcMar>
              <w:left w:w="0" w:type="dxa"/>
              <w:right w:w="0" w:type="dxa"/>
            </w:tcMar>
            <w:vAlign w:val="center"/>
          </w:tcPr>
          <w:p>
            <w:pPr>
              <w:pStyle w:val="17"/>
              <w:bidi w:val="0"/>
              <w:rPr>
                <w:rFonts w:hint="default"/>
              </w:rPr>
            </w:pPr>
            <w:r>
              <w:rPr>
                <w:rFonts w:hint="default"/>
              </w:rPr>
              <w:t>土地平整、挖掘，土石方、建材储运等</w:t>
            </w:r>
          </w:p>
        </w:tc>
        <w:tc>
          <w:tcPr>
            <w:tcW w:w="2746" w:type="dxa"/>
            <w:tcBorders>
              <w:tl2br w:val="nil"/>
              <w:tr2bl w:val="nil"/>
            </w:tcBorders>
            <w:tcMar>
              <w:left w:w="0" w:type="dxa"/>
              <w:right w:w="0" w:type="dxa"/>
            </w:tcMar>
            <w:vAlign w:val="center"/>
          </w:tcPr>
          <w:p>
            <w:pPr>
              <w:pStyle w:val="17"/>
              <w:bidi w:val="0"/>
              <w:rPr>
                <w:rFonts w:hint="default"/>
              </w:rPr>
            </w:pPr>
            <w:r>
              <w:rPr>
                <w:rFonts w:hint="default"/>
              </w:rPr>
              <w:t>扬尘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32" w:hRule="atLeast"/>
          <w:jc w:val="center"/>
        </w:trPr>
        <w:tc>
          <w:tcPr>
            <w:tcW w:w="691" w:type="dxa"/>
            <w:vMerge w:val="continue"/>
            <w:tcBorders>
              <w:tl2br w:val="nil"/>
              <w:tr2bl w:val="nil"/>
            </w:tcBorders>
            <w:tcMar>
              <w:left w:w="0" w:type="dxa"/>
              <w:right w:w="0" w:type="dxa"/>
            </w:tcMar>
            <w:vAlign w:val="center"/>
          </w:tcPr>
          <w:p>
            <w:pPr>
              <w:pStyle w:val="17"/>
              <w:bidi w:val="0"/>
              <w:rPr>
                <w:rFonts w:hint="default"/>
              </w:rPr>
            </w:pPr>
          </w:p>
        </w:tc>
        <w:tc>
          <w:tcPr>
            <w:tcW w:w="1532" w:type="dxa"/>
            <w:vMerge w:val="continue"/>
            <w:tcBorders>
              <w:tl2br w:val="nil"/>
              <w:tr2bl w:val="nil"/>
            </w:tcBorders>
            <w:tcMar>
              <w:left w:w="0" w:type="dxa"/>
              <w:right w:w="0" w:type="dxa"/>
            </w:tcMar>
            <w:vAlign w:val="center"/>
          </w:tcPr>
          <w:p>
            <w:pPr>
              <w:pStyle w:val="17"/>
              <w:bidi w:val="0"/>
              <w:rPr>
                <w:rFonts w:hint="default"/>
              </w:rPr>
            </w:pPr>
          </w:p>
        </w:tc>
        <w:tc>
          <w:tcPr>
            <w:tcW w:w="4102" w:type="dxa"/>
            <w:tcBorders>
              <w:tl2br w:val="nil"/>
              <w:tr2bl w:val="nil"/>
            </w:tcBorders>
            <w:tcMar>
              <w:left w:w="0" w:type="dxa"/>
              <w:right w:w="0" w:type="dxa"/>
            </w:tcMar>
            <w:vAlign w:val="center"/>
          </w:tcPr>
          <w:p>
            <w:pPr>
              <w:pStyle w:val="17"/>
              <w:bidi w:val="0"/>
              <w:rPr>
                <w:rFonts w:hint="default"/>
              </w:rPr>
            </w:pPr>
            <w:r>
              <w:rPr>
                <w:rFonts w:hint="default"/>
              </w:rPr>
              <w:t>施工</w:t>
            </w:r>
            <w:r>
              <w:rPr>
                <w:rFonts w:hint="eastAsia"/>
                <w:lang w:val="en-US" w:eastAsia="zh-CN"/>
              </w:rPr>
              <w:t>机械、</w:t>
            </w:r>
            <w:r>
              <w:rPr>
                <w:rFonts w:hint="default"/>
              </w:rPr>
              <w:t>车辆尾气等</w:t>
            </w:r>
          </w:p>
        </w:tc>
        <w:tc>
          <w:tcPr>
            <w:tcW w:w="2746" w:type="dxa"/>
            <w:tcBorders>
              <w:tl2br w:val="nil"/>
              <w:tr2bl w:val="nil"/>
            </w:tcBorders>
            <w:tcMar>
              <w:left w:w="0" w:type="dxa"/>
              <w:right w:w="0" w:type="dxa"/>
            </w:tcMar>
            <w:vAlign w:val="center"/>
          </w:tcPr>
          <w:p>
            <w:pPr>
              <w:pStyle w:val="17"/>
              <w:bidi w:val="0"/>
              <w:rPr>
                <w:rFonts w:hint="default"/>
              </w:rPr>
            </w:pPr>
            <w:r>
              <w:rPr>
                <w:rFonts w:hint="default"/>
              </w:rPr>
              <w:t>NO</w:t>
            </w:r>
            <w:r>
              <w:rPr>
                <w:rFonts w:hint="default"/>
                <w:vertAlign w:val="subscript"/>
              </w:rPr>
              <w:t>x</w:t>
            </w:r>
            <w:r>
              <w:rPr>
                <w:rFonts w:hint="default"/>
              </w:rPr>
              <w:t>、CO、HC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4" w:hRule="atLeast"/>
          <w:jc w:val="center"/>
        </w:trPr>
        <w:tc>
          <w:tcPr>
            <w:tcW w:w="691" w:type="dxa"/>
            <w:tcBorders>
              <w:tl2br w:val="nil"/>
              <w:tr2bl w:val="nil"/>
            </w:tcBorders>
            <w:tcMar>
              <w:left w:w="0" w:type="dxa"/>
              <w:right w:w="0" w:type="dxa"/>
            </w:tcMar>
            <w:vAlign w:val="center"/>
          </w:tcPr>
          <w:p>
            <w:pPr>
              <w:pStyle w:val="17"/>
              <w:bidi w:val="0"/>
              <w:rPr>
                <w:rFonts w:hint="default"/>
              </w:rPr>
            </w:pPr>
            <w:r>
              <w:rPr>
                <w:rFonts w:hint="default"/>
              </w:rPr>
              <w:t>2</w:t>
            </w:r>
          </w:p>
        </w:tc>
        <w:tc>
          <w:tcPr>
            <w:tcW w:w="1532" w:type="dxa"/>
            <w:tcBorders>
              <w:tl2br w:val="nil"/>
              <w:tr2bl w:val="nil"/>
            </w:tcBorders>
            <w:tcMar>
              <w:left w:w="0" w:type="dxa"/>
              <w:right w:w="0" w:type="dxa"/>
            </w:tcMar>
            <w:vAlign w:val="center"/>
          </w:tcPr>
          <w:p>
            <w:pPr>
              <w:pStyle w:val="17"/>
              <w:bidi w:val="0"/>
              <w:rPr>
                <w:rFonts w:hint="default"/>
              </w:rPr>
            </w:pPr>
            <w:r>
              <w:rPr>
                <w:rFonts w:hint="default"/>
              </w:rPr>
              <w:t>水环境</w:t>
            </w:r>
          </w:p>
        </w:tc>
        <w:tc>
          <w:tcPr>
            <w:tcW w:w="4102" w:type="dxa"/>
            <w:tcBorders>
              <w:tl2br w:val="nil"/>
              <w:tr2bl w:val="nil"/>
            </w:tcBorders>
            <w:tcMar>
              <w:left w:w="0" w:type="dxa"/>
              <w:right w:w="0" w:type="dxa"/>
            </w:tcMar>
            <w:vAlign w:val="center"/>
          </w:tcPr>
          <w:p>
            <w:pPr>
              <w:pStyle w:val="17"/>
              <w:bidi w:val="0"/>
              <w:rPr>
                <w:rFonts w:hint="default"/>
              </w:rPr>
            </w:pPr>
            <w:r>
              <w:rPr>
                <w:rFonts w:hint="default"/>
              </w:rPr>
              <w:t>施工废水、施工人员生活污水等</w:t>
            </w:r>
          </w:p>
        </w:tc>
        <w:tc>
          <w:tcPr>
            <w:tcW w:w="2746" w:type="dxa"/>
            <w:tcBorders>
              <w:tl2br w:val="nil"/>
              <w:tr2bl w:val="nil"/>
            </w:tcBorders>
            <w:tcMar>
              <w:left w:w="0" w:type="dxa"/>
              <w:right w:w="0" w:type="dxa"/>
            </w:tcMar>
            <w:vAlign w:val="center"/>
          </w:tcPr>
          <w:p>
            <w:pPr>
              <w:pStyle w:val="17"/>
              <w:bidi w:val="0"/>
              <w:rPr>
                <w:rFonts w:hint="default"/>
              </w:rPr>
            </w:pPr>
            <w:r>
              <w:rPr>
                <w:rFonts w:hint="default"/>
              </w:rPr>
              <w:t>COD、BOD、SS、NH</w:t>
            </w:r>
            <w:r>
              <w:rPr>
                <w:rFonts w:hint="default"/>
                <w:vertAlign w:val="subscript"/>
              </w:rPr>
              <w:t>3</w:t>
            </w:r>
            <w:r>
              <w:rPr>
                <w:rFonts w:hint="default"/>
              </w:rPr>
              <w:t>-N、动植物油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8" w:hRule="atLeast"/>
          <w:jc w:val="center"/>
        </w:trPr>
        <w:tc>
          <w:tcPr>
            <w:tcW w:w="691" w:type="dxa"/>
            <w:tcBorders>
              <w:tl2br w:val="nil"/>
              <w:tr2bl w:val="nil"/>
            </w:tcBorders>
            <w:tcMar>
              <w:left w:w="0" w:type="dxa"/>
              <w:right w:w="0" w:type="dxa"/>
            </w:tcMar>
            <w:vAlign w:val="center"/>
          </w:tcPr>
          <w:p>
            <w:pPr>
              <w:pStyle w:val="17"/>
              <w:bidi w:val="0"/>
              <w:rPr>
                <w:rFonts w:hint="default"/>
              </w:rPr>
            </w:pPr>
            <w:r>
              <w:rPr>
                <w:rFonts w:hint="default"/>
              </w:rPr>
              <w:t>3</w:t>
            </w:r>
          </w:p>
        </w:tc>
        <w:tc>
          <w:tcPr>
            <w:tcW w:w="1532" w:type="dxa"/>
            <w:tcBorders>
              <w:tl2br w:val="nil"/>
              <w:tr2bl w:val="nil"/>
            </w:tcBorders>
            <w:tcMar>
              <w:left w:w="0" w:type="dxa"/>
              <w:right w:w="0" w:type="dxa"/>
            </w:tcMar>
            <w:vAlign w:val="center"/>
          </w:tcPr>
          <w:p>
            <w:pPr>
              <w:pStyle w:val="17"/>
              <w:bidi w:val="0"/>
              <w:rPr>
                <w:rFonts w:hint="default"/>
              </w:rPr>
            </w:pPr>
            <w:r>
              <w:rPr>
                <w:rFonts w:hint="default"/>
              </w:rPr>
              <w:t>声环境</w:t>
            </w:r>
          </w:p>
        </w:tc>
        <w:tc>
          <w:tcPr>
            <w:tcW w:w="4102" w:type="dxa"/>
            <w:tcBorders>
              <w:tl2br w:val="nil"/>
              <w:tr2bl w:val="nil"/>
            </w:tcBorders>
            <w:tcMar>
              <w:left w:w="0" w:type="dxa"/>
              <w:right w:w="0" w:type="dxa"/>
            </w:tcMar>
            <w:vAlign w:val="center"/>
          </w:tcPr>
          <w:p>
            <w:pPr>
              <w:pStyle w:val="17"/>
              <w:bidi w:val="0"/>
              <w:rPr>
                <w:rFonts w:hint="default"/>
              </w:rPr>
            </w:pPr>
            <w:r>
              <w:rPr>
                <w:rFonts w:hint="default"/>
              </w:rPr>
              <w:t>施工机械、车辆作业噪声</w:t>
            </w:r>
          </w:p>
        </w:tc>
        <w:tc>
          <w:tcPr>
            <w:tcW w:w="2746" w:type="dxa"/>
            <w:tcBorders>
              <w:tl2br w:val="nil"/>
              <w:tr2bl w:val="nil"/>
            </w:tcBorders>
            <w:tcMar>
              <w:left w:w="0" w:type="dxa"/>
              <w:right w:w="0" w:type="dxa"/>
            </w:tcMar>
            <w:vAlign w:val="center"/>
          </w:tcPr>
          <w:p>
            <w:pPr>
              <w:pStyle w:val="17"/>
              <w:bidi w:val="0"/>
              <w:rPr>
                <w:rFonts w:hint="default"/>
              </w:rPr>
            </w:pPr>
            <w:r>
              <w:rPr>
                <w:rFonts w:hint="default"/>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8" w:hRule="atLeast"/>
          <w:jc w:val="center"/>
        </w:trPr>
        <w:tc>
          <w:tcPr>
            <w:tcW w:w="691" w:type="dxa"/>
            <w:tcBorders>
              <w:tl2br w:val="nil"/>
              <w:tr2bl w:val="nil"/>
            </w:tcBorders>
            <w:tcMar>
              <w:left w:w="0" w:type="dxa"/>
              <w:right w:w="0" w:type="dxa"/>
            </w:tcMar>
            <w:vAlign w:val="center"/>
          </w:tcPr>
          <w:p>
            <w:pPr>
              <w:pStyle w:val="17"/>
              <w:bidi w:val="0"/>
              <w:rPr>
                <w:rFonts w:hint="default"/>
              </w:rPr>
            </w:pPr>
            <w:r>
              <w:rPr>
                <w:rFonts w:hint="default"/>
              </w:rPr>
              <w:t>4</w:t>
            </w:r>
          </w:p>
        </w:tc>
        <w:tc>
          <w:tcPr>
            <w:tcW w:w="1532" w:type="dxa"/>
            <w:tcBorders>
              <w:tl2br w:val="nil"/>
              <w:tr2bl w:val="nil"/>
            </w:tcBorders>
            <w:tcMar>
              <w:left w:w="0" w:type="dxa"/>
              <w:right w:w="0" w:type="dxa"/>
            </w:tcMar>
            <w:vAlign w:val="center"/>
          </w:tcPr>
          <w:p>
            <w:pPr>
              <w:pStyle w:val="17"/>
              <w:bidi w:val="0"/>
              <w:rPr>
                <w:rFonts w:hint="default"/>
              </w:rPr>
            </w:pPr>
            <w:r>
              <w:rPr>
                <w:rFonts w:hint="default"/>
              </w:rPr>
              <w:t>固体废物</w:t>
            </w:r>
          </w:p>
        </w:tc>
        <w:tc>
          <w:tcPr>
            <w:tcW w:w="4102" w:type="dxa"/>
            <w:tcBorders>
              <w:tl2br w:val="nil"/>
              <w:tr2bl w:val="nil"/>
            </w:tcBorders>
            <w:tcMar>
              <w:left w:w="0" w:type="dxa"/>
              <w:right w:w="0" w:type="dxa"/>
            </w:tcMar>
            <w:vAlign w:val="center"/>
          </w:tcPr>
          <w:p>
            <w:pPr>
              <w:pStyle w:val="17"/>
              <w:bidi w:val="0"/>
              <w:rPr>
                <w:rFonts w:hint="default"/>
              </w:rPr>
            </w:pPr>
            <w:r>
              <w:rPr>
                <w:rFonts w:hint="default"/>
              </w:rPr>
              <w:t>施工垃圾、生活垃圾</w:t>
            </w:r>
          </w:p>
        </w:tc>
        <w:tc>
          <w:tcPr>
            <w:tcW w:w="2746" w:type="dxa"/>
            <w:tcBorders>
              <w:tl2br w:val="nil"/>
              <w:tr2bl w:val="nil"/>
            </w:tcBorders>
            <w:tcMar>
              <w:left w:w="0" w:type="dxa"/>
              <w:right w:w="0" w:type="dxa"/>
            </w:tcMar>
            <w:vAlign w:val="center"/>
          </w:tcPr>
          <w:p>
            <w:pPr>
              <w:pStyle w:val="17"/>
              <w:bidi w:val="0"/>
              <w:rPr>
                <w:rFonts w:hint="default"/>
              </w:rPr>
            </w:pPr>
            <w:r>
              <w:rPr>
                <w:rFonts w:hint="default"/>
              </w:rPr>
              <w:t>二次扬尘、占地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8" w:hRule="atLeast"/>
          <w:jc w:val="center"/>
        </w:trPr>
        <w:tc>
          <w:tcPr>
            <w:tcW w:w="691" w:type="dxa"/>
            <w:vMerge w:val="restart"/>
            <w:tcBorders>
              <w:tl2br w:val="nil"/>
              <w:tr2bl w:val="nil"/>
            </w:tcBorders>
            <w:tcMar>
              <w:left w:w="0" w:type="dxa"/>
              <w:right w:w="0" w:type="dxa"/>
            </w:tcMar>
            <w:vAlign w:val="center"/>
          </w:tcPr>
          <w:p>
            <w:pPr>
              <w:pStyle w:val="17"/>
              <w:bidi w:val="0"/>
              <w:rPr>
                <w:rFonts w:hint="default"/>
              </w:rPr>
            </w:pPr>
            <w:r>
              <w:rPr>
                <w:rFonts w:hint="default"/>
              </w:rPr>
              <w:t>5</w:t>
            </w:r>
          </w:p>
        </w:tc>
        <w:tc>
          <w:tcPr>
            <w:tcW w:w="1532" w:type="dxa"/>
            <w:vMerge w:val="restart"/>
            <w:tcBorders>
              <w:tl2br w:val="nil"/>
              <w:tr2bl w:val="nil"/>
            </w:tcBorders>
            <w:tcMar>
              <w:left w:w="0" w:type="dxa"/>
              <w:right w:w="0" w:type="dxa"/>
            </w:tcMar>
            <w:vAlign w:val="center"/>
          </w:tcPr>
          <w:p>
            <w:pPr>
              <w:pStyle w:val="17"/>
              <w:bidi w:val="0"/>
              <w:rPr>
                <w:rFonts w:hint="default"/>
              </w:rPr>
            </w:pPr>
            <w:r>
              <w:rPr>
                <w:rFonts w:hint="default"/>
              </w:rPr>
              <w:t>生态环境</w:t>
            </w:r>
          </w:p>
        </w:tc>
        <w:tc>
          <w:tcPr>
            <w:tcW w:w="4102" w:type="dxa"/>
            <w:tcBorders>
              <w:tl2br w:val="nil"/>
              <w:tr2bl w:val="nil"/>
            </w:tcBorders>
            <w:tcMar>
              <w:left w:w="0" w:type="dxa"/>
              <w:right w:w="0" w:type="dxa"/>
            </w:tcMar>
            <w:vAlign w:val="center"/>
          </w:tcPr>
          <w:p>
            <w:pPr>
              <w:pStyle w:val="17"/>
              <w:bidi w:val="0"/>
              <w:rPr>
                <w:rFonts w:hint="default"/>
              </w:rPr>
            </w:pPr>
            <w:r>
              <w:rPr>
                <w:rFonts w:hint="default"/>
              </w:rPr>
              <w:t>土地平整、挖掘及工程占地</w:t>
            </w:r>
          </w:p>
        </w:tc>
        <w:tc>
          <w:tcPr>
            <w:tcW w:w="2746" w:type="dxa"/>
            <w:tcBorders>
              <w:tl2br w:val="nil"/>
              <w:tr2bl w:val="nil"/>
            </w:tcBorders>
            <w:tcMar>
              <w:left w:w="0" w:type="dxa"/>
              <w:right w:w="0" w:type="dxa"/>
            </w:tcMar>
            <w:vAlign w:val="center"/>
          </w:tcPr>
          <w:p>
            <w:pPr>
              <w:pStyle w:val="17"/>
              <w:bidi w:val="0"/>
              <w:rPr>
                <w:rFonts w:hint="default"/>
              </w:rPr>
            </w:pPr>
            <w:r>
              <w:rPr>
                <w:rFonts w:hint="default"/>
              </w:rPr>
              <w:t>水土流失、植被破坏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32" w:hRule="atLeast"/>
          <w:jc w:val="center"/>
        </w:trPr>
        <w:tc>
          <w:tcPr>
            <w:tcW w:w="691" w:type="dxa"/>
            <w:vMerge w:val="continue"/>
            <w:tcBorders>
              <w:tl2br w:val="nil"/>
              <w:tr2bl w:val="nil"/>
            </w:tcBorders>
            <w:tcMar>
              <w:left w:w="0" w:type="dxa"/>
              <w:right w:w="0" w:type="dxa"/>
            </w:tcMar>
            <w:vAlign w:val="center"/>
          </w:tcPr>
          <w:p>
            <w:pPr>
              <w:pStyle w:val="17"/>
              <w:bidi w:val="0"/>
              <w:rPr>
                <w:rFonts w:hint="default"/>
              </w:rPr>
            </w:pPr>
          </w:p>
        </w:tc>
        <w:tc>
          <w:tcPr>
            <w:tcW w:w="1532" w:type="dxa"/>
            <w:vMerge w:val="continue"/>
            <w:tcBorders>
              <w:tl2br w:val="nil"/>
              <w:tr2bl w:val="nil"/>
            </w:tcBorders>
            <w:tcMar>
              <w:left w:w="0" w:type="dxa"/>
              <w:right w:w="0" w:type="dxa"/>
            </w:tcMar>
            <w:vAlign w:val="center"/>
          </w:tcPr>
          <w:p>
            <w:pPr>
              <w:pStyle w:val="17"/>
              <w:bidi w:val="0"/>
              <w:rPr>
                <w:rFonts w:hint="default"/>
              </w:rPr>
            </w:pPr>
          </w:p>
        </w:tc>
        <w:tc>
          <w:tcPr>
            <w:tcW w:w="4102" w:type="dxa"/>
            <w:tcBorders>
              <w:tl2br w:val="nil"/>
              <w:tr2bl w:val="nil"/>
            </w:tcBorders>
            <w:tcMar>
              <w:left w:w="0" w:type="dxa"/>
              <w:right w:w="0" w:type="dxa"/>
            </w:tcMar>
            <w:vAlign w:val="center"/>
          </w:tcPr>
          <w:p>
            <w:pPr>
              <w:pStyle w:val="17"/>
              <w:bidi w:val="0"/>
              <w:rPr>
                <w:rFonts w:hint="default"/>
              </w:rPr>
            </w:pPr>
            <w:r>
              <w:rPr>
                <w:rFonts w:hint="default"/>
              </w:rPr>
              <w:t>土石方、建材堆存</w:t>
            </w:r>
          </w:p>
        </w:tc>
        <w:tc>
          <w:tcPr>
            <w:tcW w:w="2746" w:type="dxa"/>
            <w:tcBorders>
              <w:tl2br w:val="nil"/>
              <w:tr2bl w:val="nil"/>
            </w:tcBorders>
            <w:tcMar>
              <w:left w:w="0" w:type="dxa"/>
              <w:right w:w="0" w:type="dxa"/>
            </w:tcMar>
            <w:vAlign w:val="center"/>
          </w:tcPr>
          <w:p>
            <w:pPr>
              <w:pStyle w:val="17"/>
              <w:bidi w:val="0"/>
              <w:rPr>
                <w:rFonts w:hint="default"/>
              </w:rPr>
            </w:pPr>
            <w:r>
              <w:rPr>
                <w:rFonts w:hint="default"/>
              </w:rPr>
              <w:t>占压土地等</w:t>
            </w:r>
          </w:p>
        </w:tc>
      </w:tr>
    </w:tbl>
    <w:p>
      <w:pPr>
        <w:pStyle w:val="6"/>
        <w:bidi w:val="0"/>
        <w:rPr>
          <w:rFonts w:hint="default"/>
        </w:rPr>
      </w:pPr>
      <w:r>
        <w:rPr>
          <w:rFonts w:hint="default"/>
        </w:rPr>
        <w:t>2.5.2.2</w:t>
      </w:r>
      <w:r>
        <w:rPr>
          <w:rFonts w:hint="eastAsia"/>
          <w:lang w:eastAsia="zh-CN"/>
        </w:rPr>
        <w:t>、</w:t>
      </w:r>
      <w:r>
        <w:rPr>
          <w:rFonts w:hint="default"/>
        </w:rPr>
        <w:t>运营期</w:t>
      </w:r>
    </w:p>
    <w:p>
      <w:pPr>
        <w:bidi w:val="0"/>
        <w:rPr>
          <w:rFonts w:hint="default"/>
        </w:rPr>
      </w:pPr>
      <w:r>
        <w:rPr>
          <w:rFonts w:hint="default"/>
        </w:rPr>
        <w:t>根据工程概况及相关评价因子的综合分析，对项目运营期可能产生的主要环境问题进行了识别，结果见表2.5-3。</w:t>
      </w:r>
    </w:p>
    <w:p>
      <w:pPr>
        <w:pStyle w:val="17"/>
        <w:bidi w:val="0"/>
        <w:rPr>
          <w:rFonts w:hint="default"/>
          <w:b/>
          <w:bCs/>
        </w:rPr>
      </w:pPr>
      <w:r>
        <w:rPr>
          <w:rFonts w:hint="default"/>
          <w:b/>
          <w:bCs/>
        </w:rPr>
        <w:t xml:space="preserve">表2.5-3 </w:t>
      </w:r>
      <w:r>
        <w:rPr>
          <w:rFonts w:hint="eastAsia"/>
          <w:b/>
          <w:bCs/>
          <w:lang w:val="en-US" w:eastAsia="zh-CN"/>
        </w:rPr>
        <w:t xml:space="preserve"> </w:t>
      </w:r>
      <w:r>
        <w:rPr>
          <w:rFonts w:hint="default"/>
          <w:b/>
          <w:bCs/>
        </w:rPr>
        <w:t xml:space="preserve"> 运营期主要环境影响因素识别</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89"/>
        <w:gridCol w:w="3089"/>
        <w:gridCol w:w="2293"/>
        <w:gridCol w:w="2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2" w:hRule="atLeast"/>
          <w:jc w:val="center"/>
        </w:trPr>
        <w:tc>
          <w:tcPr>
            <w:tcW w:w="989" w:type="dxa"/>
            <w:tcBorders>
              <w:tl2br w:val="nil"/>
              <w:tr2bl w:val="nil"/>
            </w:tcBorders>
            <w:vAlign w:val="center"/>
          </w:tcPr>
          <w:p>
            <w:pPr>
              <w:pStyle w:val="17"/>
              <w:bidi w:val="0"/>
              <w:rPr>
                <w:rFonts w:hint="default"/>
                <w:b/>
                <w:bCs/>
              </w:rPr>
            </w:pPr>
            <w:r>
              <w:rPr>
                <w:rFonts w:hint="default"/>
                <w:b/>
                <w:bCs/>
                <w:lang w:val="zh-CN"/>
              </w:rPr>
              <w:t>环境要素</w:t>
            </w:r>
          </w:p>
        </w:tc>
        <w:tc>
          <w:tcPr>
            <w:tcW w:w="3089" w:type="dxa"/>
            <w:tcBorders>
              <w:tl2br w:val="nil"/>
              <w:tr2bl w:val="nil"/>
            </w:tcBorders>
            <w:vAlign w:val="center"/>
          </w:tcPr>
          <w:p>
            <w:pPr>
              <w:pStyle w:val="17"/>
              <w:bidi w:val="0"/>
              <w:rPr>
                <w:rFonts w:hint="default"/>
                <w:b/>
                <w:bCs/>
              </w:rPr>
            </w:pPr>
            <w:r>
              <w:rPr>
                <w:rFonts w:hint="default"/>
                <w:b/>
                <w:bCs/>
                <w:lang w:val="zh-CN"/>
              </w:rPr>
              <w:t>污染源</w:t>
            </w:r>
          </w:p>
        </w:tc>
        <w:tc>
          <w:tcPr>
            <w:tcW w:w="2293" w:type="dxa"/>
            <w:tcBorders>
              <w:tl2br w:val="nil"/>
              <w:tr2bl w:val="nil"/>
            </w:tcBorders>
            <w:vAlign w:val="center"/>
          </w:tcPr>
          <w:p>
            <w:pPr>
              <w:pStyle w:val="17"/>
              <w:bidi w:val="0"/>
              <w:rPr>
                <w:rFonts w:hint="default"/>
                <w:b/>
                <w:bCs/>
              </w:rPr>
            </w:pPr>
            <w:r>
              <w:rPr>
                <w:rFonts w:hint="default"/>
                <w:b/>
                <w:bCs/>
                <w:lang w:val="zh-CN"/>
              </w:rPr>
              <w:t>影响因子</w:t>
            </w:r>
          </w:p>
        </w:tc>
        <w:tc>
          <w:tcPr>
            <w:tcW w:w="2700" w:type="dxa"/>
            <w:tcBorders>
              <w:tl2br w:val="nil"/>
              <w:tr2bl w:val="nil"/>
            </w:tcBorders>
            <w:vAlign w:val="center"/>
          </w:tcPr>
          <w:p>
            <w:pPr>
              <w:pStyle w:val="17"/>
              <w:bidi w:val="0"/>
              <w:rPr>
                <w:rFonts w:hint="default"/>
                <w:b/>
                <w:bCs/>
              </w:rPr>
            </w:pPr>
            <w:r>
              <w:rPr>
                <w:rFonts w:hint="default"/>
                <w:b/>
                <w:bCs/>
                <w:lang w:val="zh-CN"/>
              </w:rPr>
              <w:t>排放特征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86" w:hRule="atLeast"/>
          <w:jc w:val="center"/>
        </w:trPr>
        <w:tc>
          <w:tcPr>
            <w:tcW w:w="989" w:type="dxa"/>
            <w:vMerge w:val="restart"/>
            <w:tcBorders>
              <w:tl2br w:val="nil"/>
              <w:tr2bl w:val="nil"/>
            </w:tcBorders>
            <w:vAlign w:val="center"/>
          </w:tcPr>
          <w:p>
            <w:pPr>
              <w:pStyle w:val="17"/>
              <w:bidi w:val="0"/>
              <w:rPr>
                <w:rFonts w:hint="default"/>
              </w:rPr>
            </w:pPr>
            <w:r>
              <w:rPr>
                <w:rFonts w:hint="default"/>
                <w:lang w:val="zh-CN"/>
              </w:rPr>
              <w:t>环境空气</w:t>
            </w:r>
          </w:p>
        </w:tc>
        <w:tc>
          <w:tcPr>
            <w:tcW w:w="3089" w:type="dxa"/>
            <w:tcBorders>
              <w:tl2br w:val="nil"/>
              <w:tr2bl w:val="nil"/>
            </w:tcBorders>
            <w:vAlign w:val="center"/>
          </w:tcPr>
          <w:p>
            <w:pPr>
              <w:pStyle w:val="17"/>
              <w:bidi w:val="0"/>
              <w:rPr>
                <w:rFonts w:hint="default"/>
              </w:rPr>
            </w:pPr>
            <w:r>
              <w:rPr>
                <w:rFonts w:hint="default"/>
              </w:rPr>
              <w:t>废塑料破碎、熔融挤出废气</w:t>
            </w:r>
          </w:p>
        </w:tc>
        <w:tc>
          <w:tcPr>
            <w:tcW w:w="2293" w:type="dxa"/>
            <w:tcBorders>
              <w:tl2br w:val="nil"/>
              <w:tr2bl w:val="nil"/>
            </w:tcBorders>
            <w:vAlign w:val="center"/>
          </w:tcPr>
          <w:p>
            <w:pPr>
              <w:pStyle w:val="17"/>
              <w:bidi w:val="0"/>
              <w:rPr>
                <w:rFonts w:hint="default"/>
              </w:rPr>
            </w:pPr>
            <w:r>
              <w:rPr>
                <w:rFonts w:hint="default"/>
              </w:rPr>
              <w:t>粉尘、非甲烷总烃</w:t>
            </w:r>
          </w:p>
        </w:tc>
        <w:tc>
          <w:tcPr>
            <w:tcW w:w="2700" w:type="dxa"/>
            <w:tcBorders>
              <w:tl2br w:val="nil"/>
              <w:tr2bl w:val="nil"/>
            </w:tcBorders>
            <w:vAlign w:val="center"/>
          </w:tcPr>
          <w:p>
            <w:pPr>
              <w:pStyle w:val="17"/>
              <w:bidi w:val="0"/>
              <w:rPr>
                <w:rFonts w:hint="default"/>
              </w:rPr>
            </w:pPr>
            <w:r>
              <w:rPr>
                <w:rFonts w:hint="default"/>
              </w:rPr>
              <w:t>经等离子净化器处理，</w:t>
            </w:r>
            <w:r>
              <w:rPr>
                <w:rFonts w:hint="default"/>
                <w:lang w:val="zh-CN"/>
              </w:rPr>
              <w:t>连续排放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43" w:hRule="atLeast"/>
          <w:jc w:val="center"/>
        </w:trPr>
        <w:tc>
          <w:tcPr>
            <w:tcW w:w="989" w:type="dxa"/>
            <w:vMerge w:val="continue"/>
            <w:tcBorders>
              <w:tl2br w:val="nil"/>
              <w:tr2bl w:val="nil"/>
            </w:tcBorders>
            <w:vAlign w:val="center"/>
          </w:tcPr>
          <w:p>
            <w:pPr>
              <w:pStyle w:val="17"/>
              <w:bidi w:val="0"/>
              <w:rPr>
                <w:rFonts w:hint="default"/>
                <w:lang w:val="zh-CN"/>
              </w:rPr>
            </w:pPr>
          </w:p>
        </w:tc>
        <w:tc>
          <w:tcPr>
            <w:tcW w:w="3089" w:type="dxa"/>
            <w:tcBorders>
              <w:tl2br w:val="nil"/>
              <w:tr2bl w:val="nil"/>
            </w:tcBorders>
            <w:vAlign w:val="center"/>
          </w:tcPr>
          <w:p>
            <w:pPr>
              <w:pStyle w:val="17"/>
              <w:bidi w:val="0"/>
              <w:rPr>
                <w:rFonts w:hint="default"/>
              </w:rPr>
            </w:pPr>
            <w:r>
              <w:rPr>
                <w:rFonts w:hint="default"/>
              </w:rPr>
              <w:t>无组织排放</w:t>
            </w:r>
          </w:p>
        </w:tc>
        <w:tc>
          <w:tcPr>
            <w:tcW w:w="2293" w:type="dxa"/>
            <w:tcBorders>
              <w:tl2br w:val="nil"/>
              <w:tr2bl w:val="nil"/>
            </w:tcBorders>
            <w:vAlign w:val="center"/>
          </w:tcPr>
          <w:p>
            <w:pPr>
              <w:pStyle w:val="17"/>
              <w:bidi w:val="0"/>
              <w:rPr>
                <w:rFonts w:hint="default"/>
              </w:rPr>
            </w:pPr>
            <w:r>
              <w:rPr>
                <w:rFonts w:hint="default"/>
              </w:rPr>
              <w:t>粉尘、非甲烷总烃</w:t>
            </w:r>
          </w:p>
        </w:tc>
        <w:tc>
          <w:tcPr>
            <w:tcW w:w="2700" w:type="dxa"/>
            <w:tcBorders>
              <w:tl2br w:val="nil"/>
              <w:tr2bl w:val="nil"/>
            </w:tcBorders>
            <w:vAlign w:val="center"/>
          </w:tcPr>
          <w:p>
            <w:pPr>
              <w:pStyle w:val="17"/>
              <w:bidi w:val="0"/>
              <w:rPr>
                <w:rFonts w:hint="default"/>
                <w:lang w:val="zh-CN"/>
              </w:rPr>
            </w:pPr>
            <w:r>
              <w:rPr>
                <w:rFonts w:hint="default"/>
                <w:lang w:val="zh-CN"/>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28" w:hRule="atLeast"/>
          <w:jc w:val="center"/>
        </w:trPr>
        <w:tc>
          <w:tcPr>
            <w:tcW w:w="989" w:type="dxa"/>
            <w:vMerge w:val="restart"/>
            <w:tcBorders>
              <w:tl2br w:val="nil"/>
              <w:tr2bl w:val="nil"/>
            </w:tcBorders>
            <w:vAlign w:val="center"/>
          </w:tcPr>
          <w:p>
            <w:pPr>
              <w:pStyle w:val="17"/>
              <w:bidi w:val="0"/>
              <w:rPr>
                <w:rFonts w:hint="default"/>
                <w:color w:val="0000FF"/>
              </w:rPr>
            </w:pPr>
            <w:r>
              <w:rPr>
                <w:rFonts w:hint="default"/>
                <w:color w:val="0000FF"/>
              </w:rPr>
              <w:t>水环境</w:t>
            </w:r>
          </w:p>
        </w:tc>
        <w:tc>
          <w:tcPr>
            <w:tcW w:w="3089" w:type="dxa"/>
            <w:tcBorders>
              <w:tl2br w:val="nil"/>
              <w:tr2bl w:val="nil"/>
            </w:tcBorders>
            <w:vAlign w:val="center"/>
          </w:tcPr>
          <w:p>
            <w:pPr>
              <w:pStyle w:val="17"/>
              <w:bidi w:val="0"/>
              <w:rPr>
                <w:rFonts w:hint="default"/>
                <w:color w:val="0000FF"/>
              </w:rPr>
            </w:pPr>
            <w:r>
              <w:rPr>
                <w:rFonts w:hint="default"/>
                <w:color w:val="0000FF"/>
              </w:rPr>
              <w:t>废旧滴灌带等塑料碎片清洗废水</w:t>
            </w:r>
          </w:p>
        </w:tc>
        <w:tc>
          <w:tcPr>
            <w:tcW w:w="2293" w:type="dxa"/>
            <w:tcBorders>
              <w:tl2br w:val="nil"/>
              <w:tr2bl w:val="nil"/>
            </w:tcBorders>
            <w:vAlign w:val="center"/>
          </w:tcPr>
          <w:p>
            <w:pPr>
              <w:pStyle w:val="17"/>
              <w:bidi w:val="0"/>
              <w:rPr>
                <w:rFonts w:hint="default"/>
                <w:color w:val="0000FF"/>
              </w:rPr>
            </w:pPr>
            <w:r>
              <w:rPr>
                <w:rFonts w:hint="default"/>
                <w:color w:val="0000FF"/>
              </w:rPr>
              <w:t>COD、BOD</w:t>
            </w:r>
            <w:r>
              <w:rPr>
                <w:rFonts w:hint="default"/>
                <w:color w:val="0000FF"/>
                <w:vertAlign w:val="subscript"/>
              </w:rPr>
              <w:t>5</w:t>
            </w:r>
            <w:r>
              <w:rPr>
                <w:rFonts w:hint="default"/>
                <w:color w:val="0000FF"/>
              </w:rPr>
              <w:t>、SS、NH</w:t>
            </w:r>
            <w:r>
              <w:rPr>
                <w:rFonts w:hint="default"/>
                <w:color w:val="0000FF"/>
                <w:vertAlign w:val="subscript"/>
              </w:rPr>
              <w:t>3</w:t>
            </w:r>
            <w:r>
              <w:rPr>
                <w:rFonts w:hint="default"/>
                <w:color w:val="0000FF"/>
              </w:rPr>
              <w:t>-N</w:t>
            </w:r>
          </w:p>
        </w:tc>
        <w:tc>
          <w:tcPr>
            <w:tcW w:w="2700" w:type="dxa"/>
            <w:tcBorders>
              <w:tl2br w:val="nil"/>
              <w:tr2bl w:val="nil"/>
            </w:tcBorders>
            <w:vAlign w:val="center"/>
          </w:tcPr>
          <w:p>
            <w:pPr>
              <w:pStyle w:val="17"/>
              <w:bidi w:val="0"/>
              <w:rPr>
                <w:rFonts w:hint="default"/>
                <w:color w:val="0000FF"/>
              </w:rPr>
            </w:pPr>
            <w:r>
              <w:rPr>
                <w:rFonts w:hint="default"/>
                <w:color w:val="0000FF"/>
              </w:rPr>
              <w:t>经沉淀</w:t>
            </w:r>
            <w:r>
              <w:rPr>
                <w:rFonts w:hint="eastAsia"/>
                <w:color w:val="0000FF"/>
                <w:lang w:val="en-US" w:eastAsia="zh-CN"/>
              </w:rPr>
              <w:t>和配套污水处理设施处置后</w:t>
            </w:r>
            <w:r>
              <w:rPr>
                <w:rFonts w:hint="default"/>
                <w:color w:val="0000FF"/>
              </w:rPr>
              <w:t>，循环利用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93" w:hRule="atLeast"/>
          <w:jc w:val="center"/>
        </w:trPr>
        <w:tc>
          <w:tcPr>
            <w:tcW w:w="989" w:type="dxa"/>
            <w:vMerge w:val="continue"/>
            <w:tcBorders>
              <w:tl2br w:val="nil"/>
              <w:tr2bl w:val="nil"/>
            </w:tcBorders>
            <w:vAlign w:val="center"/>
          </w:tcPr>
          <w:p>
            <w:pPr>
              <w:pStyle w:val="17"/>
              <w:bidi w:val="0"/>
              <w:rPr>
                <w:rFonts w:hint="default"/>
              </w:rPr>
            </w:pPr>
          </w:p>
        </w:tc>
        <w:tc>
          <w:tcPr>
            <w:tcW w:w="3089" w:type="dxa"/>
            <w:tcBorders>
              <w:tl2br w:val="nil"/>
              <w:tr2bl w:val="nil"/>
            </w:tcBorders>
            <w:vAlign w:val="center"/>
          </w:tcPr>
          <w:p>
            <w:pPr>
              <w:pStyle w:val="17"/>
              <w:bidi w:val="0"/>
              <w:rPr>
                <w:rFonts w:hint="default"/>
              </w:rPr>
            </w:pPr>
            <w:r>
              <w:rPr>
                <w:rFonts w:hint="default"/>
              </w:rPr>
              <w:t>生活污水</w:t>
            </w:r>
          </w:p>
        </w:tc>
        <w:tc>
          <w:tcPr>
            <w:tcW w:w="2293" w:type="dxa"/>
            <w:tcBorders>
              <w:tl2br w:val="nil"/>
              <w:tr2bl w:val="nil"/>
            </w:tcBorders>
            <w:vAlign w:val="center"/>
          </w:tcPr>
          <w:p>
            <w:pPr>
              <w:pStyle w:val="17"/>
              <w:bidi w:val="0"/>
              <w:rPr>
                <w:rFonts w:hint="default"/>
              </w:rPr>
            </w:pPr>
            <w:r>
              <w:rPr>
                <w:rFonts w:hint="default"/>
              </w:rPr>
              <w:t>COD、BOD</w:t>
            </w:r>
            <w:r>
              <w:rPr>
                <w:rFonts w:hint="default"/>
                <w:vertAlign w:val="subscript"/>
              </w:rPr>
              <w:t>5</w:t>
            </w:r>
            <w:r>
              <w:rPr>
                <w:rFonts w:hint="default"/>
              </w:rPr>
              <w:t>、SS、NH</w:t>
            </w:r>
            <w:r>
              <w:rPr>
                <w:rFonts w:hint="default"/>
                <w:vertAlign w:val="subscript"/>
              </w:rPr>
              <w:t>3</w:t>
            </w:r>
            <w:r>
              <w:rPr>
                <w:rFonts w:hint="default"/>
              </w:rPr>
              <w:t>-N、动植物油</w:t>
            </w:r>
          </w:p>
        </w:tc>
        <w:tc>
          <w:tcPr>
            <w:tcW w:w="2700" w:type="dxa"/>
            <w:tcBorders>
              <w:tl2br w:val="nil"/>
              <w:tr2bl w:val="nil"/>
            </w:tcBorders>
            <w:vAlign w:val="center"/>
          </w:tcPr>
          <w:p>
            <w:pPr>
              <w:pStyle w:val="17"/>
              <w:bidi w:val="0"/>
              <w:rPr>
                <w:rFonts w:hint="default" w:eastAsia="宋体"/>
                <w:lang w:val="en-US" w:eastAsia="zh-CN"/>
              </w:rPr>
            </w:pPr>
            <w:r>
              <w:rPr>
                <w:rFonts w:hint="eastAsia"/>
                <w:lang w:val="en-US" w:eastAsia="zh-CN"/>
              </w:rPr>
              <w:t>化粪池收集，定期抽运至二工镇污水处理厂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8" w:hRule="atLeast"/>
          <w:jc w:val="center"/>
        </w:trPr>
        <w:tc>
          <w:tcPr>
            <w:tcW w:w="989" w:type="dxa"/>
            <w:vMerge w:val="restart"/>
            <w:tcBorders>
              <w:tl2br w:val="nil"/>
              <w:tr2bl w:val="nil"/>
            </w:tcBorders>
            <w:vAlign w:val="center"/>
          </w:tcPr>
          <w:p>
            <w:pPr>
              <w:pStyle w:val="17"/>
              <w:bidi w:val="0"/>
              <w:rPr>
                <w:rFonts w:hint="default"/>
              </w:rPr>
            </w:pPr>
            <w:r>
              <w:rPr>
                <w:rFonts w:hint="default"/>
              </w:rPr>
              <w:t>固体废物</w:t>
            </w:r>
          </w:p>
        </w:tc>
        <w:tc>
          <w:tcPr>
            <w:tcW w:w="3089" w:type="dxa"/>
            <w:tcBorders>
              <w:tl2br w:val="nil"/>
              <w:tr2bl w:val="nil"/>
            </w:tcBorders>
            <w:vAlign w:val="center"/>
          </w:tcPr>
          <w:p>
            <w:pPr>
              <w:pStyle w:val="17"/>
              <w:bidi w:val="0"/>
              <w:rPr>
                <w:rFonts w:hint="default"/>
              </w:rPr>
            </w:pPr>
            <w:r>
              <w:rPr>
                <w:rFonts w:hint="default"/>
                <w:lang w:val="en-US" w:eastAsia="zh-CN"/>
              </w:rPr>
              <w:t>原料分拣废物、</w:t>
            </w:r>
            <w:r>
              <w:rPr>
                <w:rFonts w:hint="default"/>
              </w:rPr>
              <w:t>污水处理站污泥</w:t>
            </w:r>
          </w:p>
        </w:tc>
        <w:tc>
          <w:tcPr>
            <w:tcW w:w="2293" w:type="dxa"/>
            <w:tcBorders>
              <w:tl2br w:val="nil"/>
              <w:tr2bl w:val="nil"/>
            </w:tcBorders>
            <w:vAlign w:val="center"/>
          </w:tcPr>
          <w:p>
            <w:pPr>
              <w:pStyle w:val="17"/>
              <w:bidi w:val="0"/>
              <w:rPr>
                <w:rFonts w:hint="eastAsia" w:eastAsia="宋体"/>
                <w:lang w:eastAsia="zh-CN"/>
              </w:rPr>
            </w:pPr>
            <w:r>
              <w:rPr>
                <w:rFonts w:hint="default"/>
              </w:rPr>
              <w:t>一般</w:t>
            </w:r>
            <w:r>
              <w:rPr>
                <w:rFonts w:hint="eastAsia"/>
                <w:lang w:eastAsia="zh-CN"/>
              </w:rPr>
              <w:t>固体废物</w:t>
            </w:r>
          </w:p>
        </w:tc>
        <w:tc>
          <w:tcPr>
            <w:tcW w:w="2700" w:type="dxa"/>
            <w:tcBorders>
              <w:tl2br w:val="nil"/>
              <w:tr2bl w:val="nil"/>
            </w:tcBorders>
            <w:vAlign w:val="center"/>
          </w:tcPr>
          <w:p>
            <w:pPr>
              <w:pStyle w:val="17"/>
              <w:bidi w:val="0"/>
              <w:rPr>
                <w:rFonts w:hint="default"/>
                <w:lang w:val="zh-CN"/>
              </w:rPr>
            </w:pPr>
            <w:r>
              <w:rPr>
                <w:rFonts w:hint="default"/>
                <w:lang w:val="zh-CN"/>
              </w:rPr>
              <w:t>不连续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8" w:hRule="atLeast"/>
          <w:jc w:val="center"/>
        </w:trPr>
        <w:tc>
          <w:tcPr>
            <w:tcW w:w="989" w:type="dxa"/>
            <w:vMerge w:val="continue"/>
            <w:tcBorders>
              <w:tl2br w:val="nil"/>
              <w:tr2bl w:val="nil"/>
            </w:tcBorders>
            <w:vAlign w:val="center"/>
          </w:tcPr>
          <w:p>
            <w:pPr>
              <w:pStyle w:val="17"/>
              <w:bidi w:val="0"/>
              <w:rPr>
                <w:rFonts w:hint="default"/>
              </w:rPr>
            </w:pPr>
          </w:p>
        </w:tc>
        <w:tc>
          <w:tcPr>
            <w:tcW w:w="3089" w:type="dxa"/>
            <w:tcBorders>
              <w:tl2br w:val="nil"/>
              <w:tr2bl w:val="nil"/>
            </w:tcBorders>
            <w:vAlign w:val="center"/>
          </w:tcPr>
          <w:p>
            <w:pPr>
              <w:pStyle w:val="17"/>
              <w:bidi w:val="0"/>
              <w:rPr>
                <w:rFonts w:hint="default"/>
              </w:rPr>
            </w:pPr>
            <w:r>
              <w:rPr>
                <w:rFonts w:hint="default"/>
                <w:lang w:val="zh-CN"/>
              </w:rPr>
              <w:t>人员日常生活</w:t>
            </w:r>
          </w:p>
        </w:tc>
        <w:tc>
          <w:tcPr>
            <w:tcW w:w="2293" w:type="dxa"/>
            <w:tcBorders>
              <w:tl2br w:val="nil"/>
              <w:tr2bl w:val="nil"/>
            </w:tcBorders>
            <w:vAlign w:val="center"/>
          </w:tcPr>
          <w:p>
            <w:pPr>
              <w:pStyle w:val="17"/>
              <w:bidi w:val="0"/>
              <w:rPr>
                <w:rFonts w:hint="default"/>
              </w:rPr>
            </w:pPr>
            <w:r>
              <w:rPr>
                <w:rFonts w:hint="default"/>
                <w:lang w:val="zh-CN"/>
              </w:rPr>
              <w:t>生活垃圾</w:t>
            </w:r>
          </w:p>
        </w:tc>
        <w:tc>
          <w:tcPr>
            <w:tcW w:w="2700" w:type="dxa"/>
            <w:tcBorders>
              <w:tl2br w:val="nil"/>
              <w:tr2bl w:val="nil"/>
            </w:tcBorders>
            <w:vAlign w:val="center"/>
          </w:tcPr>
          <w:p>
            <w:pPr>
              <w:pStyle w:val="17"/>
              <w:bidi w:val="0"/>
              <w:rPr>
                <w:rFonts w:hint="default"/>
                <w:lang w:val="zh-CN"/>
              </w:rPr>
            </w:pPr>
            <w:r>
              <w:rPr>
                <w:rFonts w:hint="default"/>
                <w:lang w:val="zh-CN"/>
              </w:rPr>
              <w:t>不连续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989" w:type="dxa"/>
            <w:tcBorders>
              <w:tl2br w:val="nil"/>
              <w:tr2bl w:val="nil"/>
            </w:tcBorders>
            <w:vAlign w:val="center"/>
          </w:tcPr>
          <w:p>
            <w:pPr>
              <w:pStyle w:val="17"/>
              <w:bidi w:val="0"/>
              <w:rPr>
                <w:rFonts w:hint="default"/>
                <w:lang w:val="zh-CN"/>
              </w:rPr>
            </w:pPr>
            <w:r>
              <w:rPr>
                <w:rFonts w:hint="default"/>
              </w:rPr>
              <w:t>声环境</w:t>
            </w:r>
          </w:p>
        </w:tc>
        <w:tc>
          <w:tcPr>
            <w:tcW w:w="3089" w:type="dxa"/>
            <w:tcBorders>
              <w:tl2br w:val="nil"/>
              <w:tr2bl w:val="nil"/>
            </w:tcBorders>
            <w:vAlign w:val="center"/>
          </w:tcPr>
          <w:p>
            <w:pPr>
              <w:pStyle w:val="17"/>
              <w:bidi w:val="0"/>
              <w:rPr>
                <w:rFonts w:hint="default"/>
              </w:rPr>
            </w:pPr>
            <w:r>
              <w:rPr>
                <w:rFonts w:hint="default"/>
              </w:rPr>
              <w:t>风机、泵机、装置等</w:t>
            </w:r>
          </w:p>
        </w:tc>
        <w:tc>
          <w:tcPr>
            <w:tcW w:w="2293" w:type="dxa"/>
            <w:tcBorders>
              <w:tl2br w:val="nil"/>
              <w:tr2bl w:val="nil"/>
            </w:tcBorders>
            <w:vAlign w:val="center"/>
          </w:tcPr>
          <w:p>
            <w:pPr>
              <w:pStyle w:val="17"/>
              <w:bidi w:val="0"/>
              <w:rPr>
                <w:rFonts w:hint="default"/>
              </w:rPr>
            </w:pPr>
            <w:r>
              <w:rPr>
                <w:rFonts w:hint="default"/>
                <w:lang w:val="zh-CN"/>
              </w:rPr>
              <w:t>设备噪声</w:t>
            </w:r>
          </w:p>
        </w:tc>
        <w:tc>
          <w:tcPr>
            <w:tcW w:w="2700" w:type="dxa"/>
            <w:tcBorders>
              <w:tl2br w:val="nil"/>
              <w:tr2bl w:val="nil"/>
            </w:tcBorders>
            <w:vAlign w:val="center"/>
          </w:tcPr>
          <w:p>
            <w:pPr>
              <w:pStyle w:val="17"/>
              <w:bidi w:val="0"/>
              <w:rPr>
                <w:rFonts w:hint="default"/>
              </w:rPr>
            </w:pPr>
            <w:r>
              <w:rPr>
                <w:rFonts w:hint="default"/>
                <w:lang w:val="zh-CN"/>
              </w:rPr>
              <w:t>无指向性，连续</w:t>
            </w:r>
          </w:p>
        </w:tc>
      </w:tr>
    </w:tbl>
    <w:p>
      <w:pPr>
        <w:pStyle w:val="5"/>
        <w:bidi w:val="0"/>
        <w:rPr>
          <w:rFonts w:hint="default"/>
        </w:rPr>
      </w:pPr>
      <w:r>
        <w:rPr>
          <w:rFonts w:hint="default"/>
        </w:rPr>
        <w:t>2.5.3</w:t>
      </w:r>
      <w:r>
        <w:rPr>
          <w:rFonts w:hint="eastAsia"/>
          <w:lang w:eastAsia="zh-CN"/>
        </w:rPr>
        <w:t>、</w:t>
      </w:r>
      <w:r>
        <w:rPr>
          <w:rFonts w:hint="default"/>
        </w:rPr>
        <w:t>评价因子筛选</w:t>
      </w:r>
    </w:p>
    <w:p>
      <w:pPr>
        <w:bidi w:val="0"/>
        <w:rPr>
          <w:rFonts w:hint="default"/>
        </w:rPr>
      </w:pPr>
      <w:r>
        <w:rPr>
          <w:rFonts w:hint="default"/>
        </w:rPr>
        <w:t>本次项目环境影响评价因子筛选见表2.5-4。</w:t>
      </w:r>
    </w:p>
    <w:p>
      <w:pPr>
        <w:pStyle w:val="17"/>
        <w:bidi w:val="0"/>
        <w:rPr>
          <w:rFonts w:hint="default"/>
          <w:b/>
          <w:bCs/>
        </w:rPr>
      </w:pPr>
      <w:r>
        <w:rPr>
          <w:rFonts w:hint="default"/>
          <w:b/>
          <w:bCs/>
        </w:rPr>
        <w:t xml:space="preserve">表2.5-4  </w:t>
      </w:r>
      <w:r>
        <w:rPr>
          <w:rFonts w:hint="eastAsia"/>
          <w:b/>
          <w:bCs/>
          <w:lang w:val="en-US" w:eastAsia="zh-CN"/>
        </w:rPr>
        <w:t xml:space="preserve"> </w:t>
      </w:r>
      <w:r>
        <w:rPr>
          <w:rFonts w:hint="default"/>
          <w:b/>
          <w:bCs/>
        </w:rPr>
        <w:t>项目评价因子筛选一览表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266"/>
        <w:gridCol w:w="1292"/>
        <w:gridCol w:w="58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622" w:type="dxa"/>
            <w:tcBorders>
              <w:tl2br w:val="nil"/>
              <w:tr2bl w:val="nil"/>
            </w:tcBorders>
            <w:vAlign w:val="center"/>
          </w:tcPr>
          <w:p>
            <w:pPr>
              <w:pStyle w:val="17"/>
              <w:bidi w:val="0"/>
              <w:rPr>
                <w:rFonts w:hint="default"/>
                <w:b/>
                <w:bCs/>
              </w:rPr>
            </w:pPr>
            <w:r>
              <w:rPr>
                <w:rFonts w:hint="default"/>
                <w:b/>
                <w:bCs/>
              </w:rPr>
              <w:t>序号</w:t>
            </w:r>
          </w:p>
        </w:tc>
        <w:tc>
          <w:tcPr>
            <w:tcW w:w="1266" w:type="dxa"/>
            <w:tcBorders>
              <w:tl2br w:val="nil"/>
              <w:tr2bl w:val="nil"/>
            </w:tcBorders>
            <w:vAlign w:val="center"/>
          </w:tcPr>
          <w:p>
            <w:pPr>
              <w:pStyle w:val="17"/>
              <w:bidi w:val="0"/>
              <w:rPr>
                <w:rFonts w:hint="default"/>
                <w:b/>
                <w:bCs/>
              </w:rPr>
            </w:pPr>
            <w:r>
              <w:rPr>
                <w:rFonts w:hint="default"/>
                <w:b/>
                <w:bCs/>
              </w:rPr>
              <w:t>环境要素</w:t>
            </w:r>
          </w:p>
        </w:tc>
        <w:tc>
          <w:tcPr>
            <w:tcW w:w="1292" w:type="dxa"/>
            <w:tcBorders>
              <w:tl2br w:val="nil"/>
              <w:tr2bl w:val="nil"/>
            </w:tcBorders>
            <w:vAlign w:val="center"/>
          </w:tcPr>
          <w:p>
            <w:pPr>
              <w:pStyle w:val="17"/>
              <w:bidi w:val="0"/>
              <w:rPr>
                <w:rFonts w:hint="default"/>
                <w:b/>
                <w:bCs/>
              </w:rPr>
            </w:pPr>
            <w:r>
              <w:rPr>
                <w:rFonts w:hint="default"/>
                <w:b/>
                <w:bCs/>
              </w:rPr>
              <w:t>专题设置</w:t>
            </w:r>
          </w:p>
        </w:tc>
        <w:tc>
          <w:tcPr>
            <w:tcW w:w="5891" w:type="dxa"/>
            <w:tcBorders>
              <w:tl2br w:val="nil"/>
              <w:tr2bl w:val="nil"/>
            </w:tcBorders>
            <w:vAlign w:val="center"/>
          </w:tcPr>
          <w:p>
            <w:pPr>
              <w:pStyle w:val="17"/>
              <w:bidi w:val="0"/>
              <w:rPr>
                <w:rFonts w:hint="default"/>
                <w:b/>
                <w:bCs/>
              </w:rPr>
            </w:pPr>
            <w:r>
              <w:rPr>
                <w:rFonts w:hint="default"/>
                <w:b/>
                <w:bCs/>
              </w:rPr>
              <w:t>评价因子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622" w:type="dxa"/>
            <w:vMerge w:val="restart"/>
            <w:tcBorders>
              <w:tl2br w:val="nil"/>
              <w:tr2bl w:val="nil"/>
            </w:tcBorders>
            <w:vAlign w:val="center"/>
          </w:tcPr>
          <w:p>
            <w:pPr>
              <w:pStyle w:val="17"/>
              <w:bidi w:val="0"/>
              <w:rPr>
                <w:rFonts w:hint="default"/>
              </w:rPr>
            </w:pPr>
            <w:r>
              <w:rPr>
                <w:rFonts w:hint="default"/>
              </w:rPr>
              <w:t>1</w:t>
            </w:r>
          </w:p>
        </w:tc>
        <w:tc>
          <w:tcPr>
            <w:tcW w:w="1266" w:type="dxa"/>
            <w:vMerge w:val="restart"/>
            <w:tcBorders>
              <w:tl2br w:val="nil"/>
              <w:tr2bl w:val="nil"/>
            </w:tcBorders>
            <w:vAlign w:val="center"/>
          </w:tcPr>
          <w:p>
            <w:pPr>
              <w:pStyle w:val="17"/>
              <w:bidi w:val="0"/>
              <w:rPr>
                <w:rFonts w:hint="default"/>
              </w:rPr>
            </w:pPr>
            <w:r>
              <w:rPr>
                <w:rFonts w:hint="default"/>
              </w:rPr>
              <w:t>环境空气</w:t>
            </w:r>
          </w:p>
        </w:tc>
        <w:tc>
          <w:tcPr>
            <w:tcW w:w="1292" w:type="dxa"/>
            <w:tcBorders>
              <w:tl2br w:val="nil"/>
              <w:tr2bl w:val="nil"/>
            </w:tcBorders>
            <w:vAlign w:val="center"/>
          </w:tcPr>
          <w:p>
            <w:pPr>
              <w:pStyle w:val="17"/>
              <w:bidi w:val="0"/>
              <w:rPr>
                <w:rFonts w:hint="default"/>
              </w:rPr>
            </w:pPr>
            <w:r>
              <w:rPr>
                <w:rFonts w:hint="default"/>
              </w:rPr>
              <w:t>现状评价</w:t>
            </w:r>
          </w:p>
        </w:tc>
        <w:tc>
          <w:tcPr>
            <w:tcW w:w="5891" w:type="dxa"/>
            <w:tcBorders>
              <w:tl2br w:val="nil"/>
              <w:tr2bl w:val="nil"/>
            </w:tcBorders>
            <w:vAlign w:val="center"/>
          </w:tcPr>
          <w:p>
            <w:pPr>
              <w:pStyle w:val="17"/>
              <w:bidi w:val="0"/>
              <w:rPr>
                <w:rFonts w:hint="default"/>
              </w:rPr>
            </w:pPr>
            <w:r>
              <w:rPr>
                <w:rFonts w:hint="default"/>
              </w:rPr>
              <w:t>SO</w:t>
            </w:r>
            <w:r>
              <w:rPr>
                <w:rFonts w:hint="default"/>
                <w:vertAlign w:val="subscript"/>
              </w:rPr>
              <w:t>2</w:t>
            </w:r>
            <w:r>
              <w:rPr>
                <w:rFonts w:hint="default"/>
              </w:rPr>
              <w:t>、NO</w:t>
            </w:r>
            <w:r>
              <w:rPr>
                <w:rFonts w:hint="default"/>
                <w:vertAlign w:val="subscript"/>
              </w:rPr>
              <w:t>2</w:t>
            </w:r>
            <w:r>
              <w:rPr>
                <w:rFonts w:hint="default"/>
              </w:rPr>
              <w:t>、PM</w:t>
            </w:r>
            <w:r>
              <w:rPr>
                <w:rFonts w:hint="default"/>
                <w:vertAlign w:val="subscript"/>
              </w:rPr>
              <w:t>10</w:t>
            </w:r>
            <w:r>
              <w:rPr>
                <w:rFonts w:hint="default"/>
              </w:rPr>
              <w:t>、</w:t>
            </w:r>
            <w:r>
              <w:rPr>
                <w:rFonts w:hint="eastAsia"/>
                <w:lang w:eastAsia="zh-CN"/>
              </w:rPr>
              <w:t>PM</w:t>
            </w:r>
            <w:r>
              <w:rPr>
                <w:rFonts w:hint="eastAsia"/>
                <w:vertAlign w:val="subscript"/>
                <w:lang w:eastAsia="zh-CN"/>
              </w:rPr>
              <w:t>2</w:t>
            </w:r>
            <w:r>
              <w:rPr>
                <w:rFonts w:hint="default"/>
                <w:vertAlign w:val="subscript"/>
              </w:rPr>
              <w:t>.5</w:t>
            </w:r>
            <w:r>
              <w:rPr>
                <w:rFonts w:hint="default"/>
              </w:rPr>
              <w:t>、O</w:t>
            </w:r>
            <w:r>
              <w:rPr>
                <w:rFonts w:hint="default"/>
                <w:vertAlign w:val="subscript"/>
              </w:rPr>
              <w:t>3</w:t>
            </w:r>
            <w:r>
              <w:rPr>
                <w:rFonts w:hint="default"/>
              </w:rPr>
              <w:t>、CO、非甲烷总烃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622" w:type="dxa"/>
            <w:vMerge w:val="continue"/>
            <w:tcBorders>
              <w:tl2br w:val="nil"/>
              <w:tr2bl w:val="nil"/>
            </w:tcBorders>
            <w:vAlign w:val="center"/>
          </w:tcPr>
          <w:p>
            <w:pPr>
              <w:pStyle w:val="17"/>
              <w:bidi w:val="0"/>
              <w:rPr>
                <w:rFonts w:hint="default"/>
              </w:rPr>
            </w:pPr>
          </w:p>
        </w:tc>
        <w:tc>
          <w:tcPr>
            <w:tcW w:w="1266" w:type="dxa"/>
            <w:vMerge w:val="continue"/>
            <w:tcBorders>
              <w:tl2br w:val="nil"/>
              <w:tr2bl w:val="nil"/>
            </w:tcBorders>
            <w:vAlign w:val="center"/>
          </w:tcPr>
          <w:p>
            <w:pPr>
              <w:pStyle w:val="17"/>
              <w:bidi w:val="0"/>
              <w:rPr>
                <w:rFonts w:hint="default"/>
              </w:rPr>
            </w:pPr>
          </w:p>
        </w:tc>
        <w:tc>
          <w:tcPr>
            <w:tcW w:w="1292" w:type="dxa"/>
            <w:tcBorders>
              <w:tl2br w:val="nil"/>
              <w:tr2bl w:val="nil"/>
            </w:tcBorders>
            <w:vAlign w:val="center"/>
          </w:tcPr>
          <w:p>
            <w:pPr>
              <w:pStyle w:val="17"/>
              <w:bidi w:val="0"/>
              <w:rPr>
                <w:rFonts w:hint="default"/>
              </w:rPr>
            </w:pPr>
            <w:r>
              <w:rPr>
                <w:rFonts w:hint="default"/>
              </w:rPr>
              <w:t>影响预测</w:t>
            </w:r>
          </w:p>
        </w:tc>
        <w:tc>
          <w:tcPr>
            <w:tcW w:w="5891" w:type="dxa"/>
            <w:tcBorders>
              <w:tl2br w:val="nil"/>
              <w:tr2bl w:val="nil"/>
            </w:tcBorders>
            <w:vAlign w:val="center"/>
          </w:tcPr>
          <w:p>
            <w:pPr>
              <w:pStyle w:val="17"/>
              <w:bidi w:val="0"/>
              <w:rPr>
                <w:rFonts w:hint="default"/>
              </w:rPr>
            </w:pPr>
            <w:r>
              <w:rPr>
                <w:rFonts w:hint="default"/>
              </w:rPr>
              <w:t>VOC</w:t>
            </w:r>
            <w:r>
              <w:rPr>
                <w:rFonts w:hint="eastAsia"/>
                <w:lang w:val="en-US" w:eastAsia="zh-CN"/>
              </w:rPr>
              <w:t>s</w:t>
            </w:r>
            <w:r>
              <w:rPr>
                <w:rFonts w:hint="default"/>
              </w:rPr>
              <w:t>（以非甲烷总烃计）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622" w:type="dxa"/>
            <w:tcBorders>
              <w:tl2br w:val="nil"/>
              <w:tr2bl w:val="nil"/>
            </w:tcBorders>
            <w:vAlign w:val="center"/>
          </w:tcPr>
          <w:p>
            <w:pPr>
              <w:pStyle w:val="17"/>
              <w:bidi w:val="0"/>
              <w:rPr>
                <w:rFonts w:hint="eastAsia" w:eastAsia="宋体"/>
                <w:lang w:eastAsia="zh-CN"/>
              </w:rPr>
            </w:pPr>
            <w:r>
              <w:rPr>
                <w:rFonts w:hint="eastAsia"/>
                <w:lang w:val="en-US" w:eastAsia="zh-CN"/>
              </w:rPr>
              <w:t>2</w:t>
            </w:r>
          </w:p>
        </w:tc>
        <w:tc>
          <w:tcPr>
            <w:tcW w:w="1266" w:type="dxa"/>
            <w:tcBorders>
              <w:tl2br w:val="nil"/>
              <w:tr2bl w:val="nil"/>
            </w:tcBorders>
            <w:vAlign w:val="center"/>
          </w:tcPr>
          <w:p>
            <w:pPr>
              <w:pStyle w:val="17"/>
              <w:bidi w:val="0"/>
              <w:rPr>
                <w:rFonts w:hint="default"/>
              </w:rPr>
            </w:pPr>
            <w:r>
              <w:rPr>
                <w:rFonts w:hint="default"/>
              </w:rPr>
              <w:t>地下水环境</w:t>
            </w:r>
          </w:p>
        </w:tc>
        <w:tc>
          <w:tcPr>
            <w:tcW w:w="1292" w:type="dxa"/>
            <w:tcBorders>
              <w:tl2br w:val="nil"/>
              <w:tr2bl w:val="nil"/>
            </w:tcBorders>
            <w:vAlign w:val="center"/>
          </w:tcPr>
          <w:p>
            <w:pPr>
              <w:pStyle w:val="17"/>
              <w:bidi w:val="0"/>
              <w:rPr>
                <w:rFonts w:hint="default"/>
              </w:rPr>
            </w:pPr>
            <w:r>
              <w:rPr>
                <w:rFonts w:hint="default"/>
              </w:rPr>
              <w:t>现状评价</w:t>
            </w:r>
          </w:p>
        </w:tc>
        <w:tc>
          <w:tcPr>
            <w:tcW w:w="5891" w:type="dxa"/>
            <w:tcBorders>
              <w:tl2br w:val="nil"/>
              <w:tr2bl w:val="nil"/>
            </w:tcBorders>
            <w:vAlign w:val="center"/>
          </w:tcPr>
          <w:p>
            <w:pPr>
              <w:pStyle w:val="17"/>
              <w:bidi w:val="0"/>
              <w:rPr>
                <w:rFonts w:hint="default"/>
              </w:rPr>
            </w:pPr>
            <w:r>
              <w:rPr>
                <w:rFonts w:hint="default"/>
              </w:rPr>
              <w:t>pH、</w:t>
            </w:r>
            <w:r>
              <w:rPr>
                <w:rFonts w:hint="default"/>
                <w:lang w:val="zh-CN"/>
              </w:rPr>
              <w:t>氨氮、高锰酸盐指数、硝酸盐、总硬度、总大肠菌群</w:t>
            </w:r>
            <w:r>
              <w:rPr>
                <w:rFonts w:hint="default"/>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622" w:type="dxa"/>
            <w:vMerge w:val="restart"/>
            <w:tcBorders>
              <w:tl2br w:val="nil"/>
              <w:tr2bl w:val="nil"/>
            </w:tcBorders>
            <w:vAlign w:val="center"/>
          </w:tcPr>
          <w:p>
            <w:pPr>
              <w:pStyle w:val="17"/>
              <w:bidi w:val="0"/>
              <w:rPr>
                <w:rFonts w:hint="eastAsia" w:eastAsia="宋体"/>
                <w:lang w:eastAsia="zh-CN"/>
              </w:rPr>
            </w:pPr>
            <w:r>
              <w:rPr>
                <w:rFonts w:hint="eastAsia"/>
                <w:lang w:val="en-US" w:eastAsia="zh-CN"/>
              </w:rPr>
              <w:t>3</w:t>
            </w:r>
          </w:p>
        </w:tc>
        <w:tc>
          <w:tcPr>
            <w:tcW w:w="1266" w:type="dxa"/>
            <w:vMerge w:val="restart"/>
            <w:tcBorders>
              <w:tl2br w:val="nil"/>
              <w:tr2bl w:val="nil"/>
            </w:tcBorders>
            <w:vAlign w:val="center"/>
          </w:tcPr>
          <w:p>
            <w:pPr>
              <w:pStyle w:val="17"/>
              <w:bidi w:val="0"/>
              <w:rPr>
                <w:rFonts w:hint="default"/>
              </w:rPr>
            </w:pPr>
            <w:r>
              <w:rPr>
                <w:rFonts w:hint="default"/>
              </w:rPr>
              <w:t>声环境</w:t>
            </w:r>
          </w:p>
        </w:tc>
        <w:tc>
          <w:tcPr>
            <w:tcW w:w="1292" w:type="dxa"/>
            <w:tcBorders>
              <w:tl2br w:val="nil"/>
              <w:tr2bl w:val="nil"/>
            </w:tcBorders>
            <w:vAlign w:val="center"/>
          </w:tcPr>
          <w:p>
            <w:pPr>
              <w:pStyle w:val="17"/>
              <w:bidi w:val="0"/>
              <w:rPr>
                <w:rFonts w:hint="default"/>
              </w:rPr>
            </w:pPr>
            <w:r>
              <w:rPr>
                <w:rFonts w:hint="default"/>
              </w:rPr>
              <w:t>现状评价</w:t>
            </w:r>
          </w:p>
        </w:tc>
        <w:tc>
          <w:tcPr>
            <w:tcW w:w="5891" w:type="dxa"/>
            <w:tcBorders>
              <w:tl2br w:val="nil"/>
              <w:tr2bl w:val="nil"/>
            </w:tcBorders>
            <w:vAlign w:val="center"/>
          </w:tcPr>
          <w:p>
            <w:pPr>
              <w:pStyle w:val="17"/>
              <w:bidi w:val="0"/>
              <w:rPr>
                <w:rFonts w:hint="default"/>
              </w:rPr>
            </w:pPr>
            <w:r>
              <w:rPr>
                <w:rFonts w:hint="default"/>
              </w:rPr>
              <w:t>连续等效A声级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622" w:type="dxa"/>
            <w:vMerge w:val="continue"/>
            <w:tcBorders>
              <w:tl2br w:val="nil"/>
              <w:tr2bl w:val="nil"/>
            </w:tcBorders>
            <w:vAlign w:val="center"/>
          </w:tcPr>
          <w:p>
            <w:pPr>
              <w:pStyle w:val="17"/>
              <w:bidi w:val="0"/>
              <w:rPr>
                <w:rFonts w:hint="default"/>
              </w:rPr>
            </w:pPr>
          </w:p>
        </w:tc>
        <w:tc>
          <w:tcPr>
            <w:tcW w:w="1266" w:type="dxa"/>
            <w:vMerge w:val="continue"/>
            <w:tcBorders>
              <w:tl2br w:val="nil"/>
              <w:tr2bl w:val="nil"/>
            </w:tcBorders>
            <w:vAlign w:val="center"/>
          </w:tcPr>
          <w:p>
            <w:pPr>
              <w:pStyle w:val="17"/>
              <w:bidi w:val="0"/>
              <w:rPr>
                <w:rFonts w:hint="default"/>
              </w:rPr>
            </w:pPr>
          </w:p>
        </w:tc>
        <w:tc>
          <w:tcPr>
            <w:tcW w:w="1292" w:type="dxa"/>
            <w:tcBorders>
              <w:tl2br w:val="nil"/>
              <w:tr2bl w:val="nil"/>
            </w:tcBorders>
            <w:vAlign w:val="center"/>
          </w:tcPr>
          <w:p>
            <w:pPr>
              <w:pStyle w:val="17"/>
              <w:bidi w:val="0"/>
              <w:rPr>
                <w:rFonts w:hint="default"/>
              </w:rPr>
            </w:pPr>
            <w:r>
              <w:rPr>
                <w:rFonts w:hint="default"/>
              </w:rPr>
              <w:t>影响评价</w:t>
            </w:r>
          </w:p>
        </w:tc>
        <w:tc>
          <w:tcPr>
            <w:tcW w:w="5891" w:type="dxa"/>
            <w:tcBorders>
              <w:tl2br w:val="nil"/>
              <w:tr2bl w:val="nil"/>
            </w:tcBorders>
            <w:vAlign w:val="center"/>
          </w:tcPr>
          <w:p>
            <w:pPr>
              <w:pStyle w:val="17"/>
              <w:bidi w:val="0"/>
              <w:rPr>
                <w:rFonts w:hint="default"/>
              </w:rPr>
            </w:pPr>
            <w:r>
              <w:rPr>
                <w:rFonts w:hint="default"/>
              </w:rPr>
              <w:t>连续等效A声级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622" w:type="dxa"/>
            <w:tcBorders>
              <w:tl2br w:val="nil"/>
              <w:tr2bl w:val="nil"/>
            </w:tcBorders>
            <w:vAlign w:val="center"/>
          </w:tcPr>
          <w:p>
            <w:pPr>
              <w:pStyle w:val="17"/>
              <w:bidi w:val="0"/>
              <w:rPr>
                <w:rFonts w:hint="default"/>
              </w:rPr>
            </w:pPr>
            <w:r>
              <w:rPr>
                <w:rFonts w:hint="eastAsia"/>
                <w:lang w:val="en-US" w:eastAsia="zh-CN"/>
              </w:rPr>
              <w:t>4</w:t>
            </w:r>
          </w:p>
        </w:tc>
        <w:tc>
          <w:tcPr>
            <w:tcW w:w="1266" w:type="dxa"/>
            <w:tcBorders>
              <w:tl2br w:val="nil"/>
              <w:tr2bl w:val="nil"/>
            </w:tcBorders>
            <w:vAlign w:val="center"/>
          </w:tcPr>
          <w:p>
            <w:pPr>
              <w:pStyle w:val="17"/>
              <w:bidi w:val="0"/>
              <w:rPr>
                <w:rFonts w:hint="default"/>
                <w:lang w:val="en-US" w:eastAsia="zh-CN"/>
              </w:rPr>
            </w:pPr>
            <w:r>
              <w:rPr>
                <w:rFonts w:hint="default"/>
                <w:lang w:val="en-US" w:eastAsia="zh-CN"/>
              </w:rPr>
              <w:t>生态环境</w:t>
            </w:r>
          </w:p>
        </w:tc>
        <w:tc>
          <w:tcPr>
            <w:tcW w:w="1292" w:type="dxa"/>
            <w:tcBorders>
              <w:tl2br w:val="nil"/>
              <w:tr2bl w:val="nil"/>
            </w:tcBorders>
            <w:vAlign w:val="center"/>
          </w:tcPr>
          <w:p>
            <w:pPr>
              <w:pStyle w:val="17"/>
              <w:bidi w:val="0"/>
              <w:rPr>
                <w:rFonts w:hint="default"/>
                <w:lang w:val="en-US" w:eastAsia="zh-CN"/>
              </w:rPr>
            </w:pPr>
            <w:r>
              <w:rPr>
                <w:rFonts w:hint="default"/>
                <w:lang w:val="en-US" w:eastAsia="zh-CN"/>
              </w:rPr>
              <w:t>影响评价</w:t>
            </w:r>
          </w:p>
        </w:tc>
        <w:tc>
          <w:tcPr>
            <w:tcW w:w="5891" w:type="dxa"/>
            <w:tcBorders>
              <w:tl2br w:val="nil"/>
              <w:tr2bl w:val="nil"/>
            </w:tcBorders>
            <w:vAlign w:val="center"/>
          </w:tcPr>
          <w:p>
            <w:pPr>
              <w:pStyle w:val="17"/>
              <w:bidi w:val="0"/>
              <w:rPr>
                <w:rFonts w:hint="default"/>
              </w:rPr>
            </w:pPr>
            <w:r>
              <w:rPr>
                <w:rFonts w:hint="default"/>
              </w:rPr>
              <w:t>水土流失、植被、</w:t>
            </w:r>
            <w:r>
              <w:rPr>
                <w:rFonts w:hint="default"/>
                <w:lang w:val="en-US" w:eastAsia="zh-CN"/>
              </w:rPr>
              <w:t>动物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622" w:type="dxa"/>
            <w:tcBorders>
              <w:tl2br w:val="nil"/>
              <w:tr2bl w:val="nil"/>
            </w:tcBorders>
            <w:vAlign w:val="center"/>
          </w:tcPr>
          <w:p>
            <w:pPr>
              <w:pStyle w:val="17"/>
              <w:bidi w:val="0"/>
              <w:rPr>
                <w:rFonts w:hint="default"/>
                <w:lang w:val="en-US" w:eastAsia="zh-CN"/>
              </w:rPr>
            </w:pPr>
            <w:r>
              <w:rPr>
                <w:rFonts w:hint="eastAsia"/>
                <w:lang w:val="en-US" w:eastAsia="zh-CN"/>
              </w:rPr>
              <w:t>5</w:t>
            </w:r>
          </w:p>
        </w:tc>
        <w:tc>
          <w:tcPr>
            <w:tcW w:w="1266" w:type="dxa"/>
            <w:tcBorders>
              <w:tl2br w:val="nil"/>
              <w:tr2bl w:val="nil"/>
            </w:tcBorders>
            <w:vAlign w:val="center"/>
          </w:tcPr>
          <w:p>
            <w:pPr>
              <w:pStyle w:val="17"/>
              <w:bidi w:val="0"/>
              <w:rPr>
                <w:rFonts w:hint="default"/>
              </w:rPr>
            </w:pPr>
            <w:r>
              <w:rPr>
                <w:rFonts w:hint="default"/>
              </w:rPr>
              <w:t>环境风险</w:t>
            </w:r>
          </w:p>
        </w:tc>
        <w:tc>
          <w:tcPr>
            <w:tcW w:w="1292" w:type="dxa"/>
            <w:tcBorders>
              <w:tl2br w:val="nil"/>
              <w:tr2bl w:val="nil"/>
            </w:tcBorders>
            <w:vAlign w:val="center"/>
          </w:tcPr>
          <w:p>
            <w:pPr>
              <w:pStyle w:val="17"/>
              <w:bidi w:val="0"/>
              <w:rPr>
                <w:rFonts w:hint="default"/>
              </w:rPr>
            </w:pPr>
            <w:r>
              <w:rPr>
                <w:rFonts w:hint="default"/>
              </w:rPr>
              <w:t>影响评价</w:t>
            </w:r>
          </w:p>
        </w:tc>
        <w:tc>
          <w:tcPr>
            <w:tcW w:w="5891" w:type="dxa"/>
            <w:tcBorders>
              <w:tl2br w:val="nil"/>
              <w:tr2bl w:val="nil"/>
            </w:tcBorders>
            <w:vAlign w:val="center"/>
          </w:tcPr>
          <w:p>
            <w:pPr>
              <w:pStyle w:val="17"/>
              <w:bidi w:val="0"/>
              <w:rPr>
                <w:rFonts w:hint="default"/>
              </w:rPr>
            </w:pPr>
            <w:r>
              <w:rPr>
                <w:rFonts w:hint="default"/>
              </w:rPr>
              <w:t>火灾</w:t>
            </w:r>
          </w:p>
        </w:tc>
      </w:tr>
    </w:tbl>
    <w:p>
      <w:pPr>
        <w:pStyle w:val="5"/>
        <w:bidi w:val="0"/>
        <w:rPr>
          <w:rFonts w:hint="default"/>
        </w:rPr>
      </w:pPr>
      <w:r>
        <w:rPr>
          <w:rFonts w:hint="default"/>
        </w:rPr>
        <w:t>2.5.4</w:t>
      </w:r>
      <w:r>
        <w:rPr>
          <w:rFonts w:hint="eastAsia"/>
          <w:lang w:eastAsia="zh-CN"/>
        </w:rPr>
        <w:t>、</w:t>
      </w:r>
      <w:r>
        <w:rPr>
          <w:rFonts w:hint="default"/>
        </w:rPr>
        <w:t>环境质量标准</w:t>
      </w:r>
      <w:bookmarkEnd w:id="66"/>
      <w:bookmarkEnd w:id="67"/>
    </w:p>
    <w:p>
      <w:pPr>
        <w:bidi w:val="0"/>
        <w:rPr>
          <w:rFonts w:hint="default"/>
        </w:rPr>
      </w:pPr>
      <w:r>
        <w:rPr>
          <w:rFonts w:hint="default"/>
        </w:rPr>
        <w:t>本次评价采用的环境质量标准详见表2.5-5，土壤环境质量标准见表2.5-6。</w:t>
      </w:r>
    </w:p>
    <w:p>
      <w:pPr>
        <w:pStyle w:val="17"/>
        <w:bidi w:val="0"/>
        <w:rPr>
          <w:rFonts w:hint="default"/>
          <w:b/>
          <w:bCs/>
        </w:rPr>
      </w:pPr>
      <w:r>
        <w:rPr>
          <w:rFonts w:hint="default"/>
          <w:b/>
          <w:bCs/>
        </w:rPr>
        <w:t>表2.5-5</w:t>
      </w:r>
      <w:r>
        <w:rPr>
          <w:rFonts w:hint="eastAsia"/>
          <w:b/>
          <w:bCs/>
          <w:lang w:val="en-US" w:eastAsia="zh-CN"/>
        </w:rPr>
        <w:t xml:space="preserve"> </w:t>
      </w:r>
      <w:r>
        <w:rPr>
          <w:rFonts w:hint="default"/>
          <w:b/>
          <w:bCs/>
        </w:rPr>
        <w:t xml:space="preserve">  环境质量标准</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765"/>
        <w:gridCol w:w="982"/>
        <w:gridCol w:w="1730"/>
        <w:gridCol w:w="232"/>
        <w:gridCol w:w="1401"/>
        <w:gridCol w:w="22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2" w:hRule="atLeast"/>
          <w:jc w:val="center"/>
        </w:trPr>
        <w:tc>
          <w:tcPr>
            <w:tcW w:w="744" w:type="dxa"/>
            <w:vMerge w:val="restart"/>
            <w:tcBorders>
              <w:tl2br w:val="nil"/>
              <w:tr2bl w:val="nil"/>
            </w:tcBorders>
            <w:vAlign w:val="center"/>
          </w:tcPr>
          <w:p>
            <w:pPr>
              <w:pStyle w:val="17"/>
              <w:bidi w:val="0"/>
              <w:rPr>
                <w:rFonts w:hint="default"/>
                <w:b/>
                <w:bCs/>
              </w:rPr>
            </w:pPr>
            <w:r>
              <w:rPr>
                <w:rFonts w:hint="default"/>
                <w:b/>
                <w:bCs/>
              </w:rPr>
              <w:t>环境</w:t>
            </w:r>
          </w:p>
          <w:p>
            <w:pPr>
              <w:pStyle w:val="17"/>
              <w:bidi w:val="0"/>
              <w:rPr>
                <w:rFonts w:hint="default"/>
                <w:b/>
                <w:bCs/>
              </w:rPr>
            </w:pPr>
            <w:r>
              <w:rPr>
                <w:rFonts w:hint="default"/>
                <w:b/>
                <w:bCs/>
              </w:rPr>
              <w:t>要素</w:t>
            </w:r>
          </w:p>
        </w:tc>
        <w:tc>
          <w:tcPr>
            <w:tcW w:w="1765" w:type="dxa"/>
            <w:vMerge w:val="restart"/>
            <w:tcBorders>
              <w:tl2br w:val="nil"/>
              <w:tr2bl w:val="nil"/>
            </w:tcBorders>
            <w:vAlign w:val="center"/>
          </w:tcPr>
          <w:p>
            <w:pPr>
              <w:pStyle w:val="17"/>
              <w:bidi w:val="0"/>
              <w:rPr>
                <w:rFonts w:hint="default"/>
                <w:b/>
                <w:bCs/>
              </w:rPr>
            </w:pPr>
            <w:r>
              <w:rPr>
                <w:rFonts w:hint="default"/>
                <w:b/>
                <w:bCs/>
              </w:rPr>
              <w:t>项 目</w:t>
            </w:r>
          </w:p>
        </w:tc>
        <w:tc>
          <w:tcPr>
            <w:tcW w:w="4345" w:type="dxa"/>
            <w:gridSpan w:val="4"/>
            <w:tcBorders>
              <w:tl2br w:val="nil"/>
              <w:tr2bl w:val="nil"/>
            </w:tcBorders>
            <w:vAlign w:val="center"/>
          </w:tcPr>
          <w:p>
            <w:pPr>
              <w:pStyle w:val="17"/>
              <w:bidi w:val="0"/>
              <w:rPr>
                <w:rFonts w:hint="default"/>
                <w:b/>
                <w:bCs/>
              </w:rPr>
            </w:pPr>
            <w:r>
              <w:rPr>
                <w:rFonts w:hint="default"/>
                <w:b/>
                <w:bCs/>
              </w:rPr>
              <w:t>标准值</w:t>
            </w:r>
          </w:p>
        </w:tc>
        <w:tc>
          <w:tcPr>
            <w:tcW w:w="2217" w:type="dxa"/>
            <w:vMerge w:val="restart"/>
            <w:tcBorders>
              <w:tl2br w:val="nil"/>
              <w:tr2bl w:val="nil"/>
            </w:tcBorders>
            <w:vAlign w:val="center"/>
          </w:tcPr>
          <w:p>
            <w:pPr>
              <w:pStyle w:val="17"/>
              <w:bidi w:val="0"/>
              <w:rPr>
                <w:rFonts w:hint="default"/>
                <w:b/>
                <w:bCs/>
              </w:rPr>
            </w:pPr>
            <w:r>
              <w:rPr>
                <w:rFonts w:hint="default"/>
                <w:b/>
                <w:bCs/>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b/>
                <w:bCs/>
              </w:rPr>
            </w:pPr>
          </w:p>
        </w:tc>
        <w:tc>
          <w:tcPr>
            <w:tcW w:w="1765" w:type="dxa"/>
            <w:vMerge w:val="continue"/>
            <w:tcBorders>
              <w:tl2br w:val="nil"/>
              <w:tr2bl w:val="nil"/>
            </w:tcBorders>
            <w:vAlign w:val="center"/>
          </w:tcPr>
          <w:p>
            <w:pPr>
              <w:pStyle w:val="17"/>
              <w:bidi w:val="0"/>
              <w:rPr>
                <w:rFonts w:hint="default"/>
                <w:b/>
                <w:bCs/>
              </w:rPr>
            </w:pPr>
          </w:p>
        </w:tc>
        <w:tc>
          <w:tcPr>
            <w:tcW w:w="982" w:type="dxa"/>
            <w:tcBorders>
              <w:tl2br w:val="nil"/>
              <w:tr2bl w:val="nil"/>
            </w:tcBorders>
            <w:vAlign w:val="center"/>
          </w:tcPr>
          <w:p>
            <w:pPr>
              <w:pStyle w:val="17"/>
              <w:bidi w:val="0"/>
              <w:rPr>
                <w:rFonts w:hint="default"/>
                <w:b/>
                <w:bCs/>
              </w:rPr>
            </w:pPr>
            <w:r>
              <w:rPr>
                <w:rFonts w:hint="default"/>
                <w:b/>
                <w:bCs/>
              </w:rPr>
              <w:t>单 位</w:t>
            </w:r>
          </w:p>
        </w:tc>
        <w:tc>
          <w:tcPr>
            <w:tcW w:w="3363" w:type="dxa"/>
            <w:gridSpan w:val="3"/>
            <w:tcBorders>
              <w:tl2br w:val="nil"/>
              <w:tr2bl w:val="nil"/>
            </w:tcBorders>
            <w:vAlign w:val="center"/>
          </w:tcPr>
          <w:p>
            <w:pPr>
              <w:pStyle w:val="17"/>
              <w:bidi w:val="0"/>
              <w:rPr>
                <w:rFonts w:hint="default"/>
                <w:b/>
                <w:bCs/>
              </w:rPr>
            </w:pPr>
            <w:r>
              <w:rPr>
                <w:rFonts w:hint="default"/>
                <w:b/>
                <w:bCs/>
              </w:rPr>
              <w:t>数 值</w:t>
            </w:r>
          </w:p>
        </w:tc>
        <w:tc>
          <w:tcPr>
            <w:tcW w:w="2217" w:type="dxa"/>
            <w:vMerge w:val="continue"/>
            <w:tcBorders>
              <w:tl2br w:val="nil"/>
              <w:tr2bl w:val="nil"/>
            </w:tcBorders>
            <w:vAlign w:val="center"/>
          </w:tcPr>
          <w:p>
            <w:pPr>
              <w:pStyle w:val="17"/>
              <w:bidi w:val="0"/>
              <w:rPr>
                <w:rFonts w:hint="default"/>
                <w:b/>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restart"/>
            <w:tcBorders>
              <w:tl2br w:val="nil"/>
              <w:tr2bl w:val="nil"/>
            </w:tcBorders>
            <w:vAlign w:val="center"/>
          </w:tcPr>
          <w:p>
            <w:pPr>
              <w:pStyle w:val="17"/>
              <w:bidi w:val="0"/>
              <w:rPr>
                <w:rFonts w:hint="default"/>
              </w:rPr>
            </w:pPr>
            <w:r>
              <w:rPr>
                <w:rFonts w:hint="default"/>
              </w:rPr>
              <w:t>环境</w:t>
            </w:r>
          </w:p>
          <w:p>
            <w:pPr>
              <w:pStyle w:val="17"/>
              <w:bidi w:val="0"/>
              <w:rPr>
                <w:rFonts w:hint="default"/>
              </w:rPr>
            </w:pPr>
            <w:r>
              <w:rPr>
                <w:rFonts w:hint="default"/>
              </w:rPr>
              <w:t>空气</w:t>
            </w:r>
          </w:p>
        </w:tc>
        <w:tc>
          <w:tcPr>
            <w:tcW w:w="1765" w:type="dxa"/>
            <w:vMerge w:val="restart"/>
            <w:tcBorders>
              <w:tl2br w:val="nil"/>
              <w:tr2bl w:val="nil"/>
            </w:tcBorders>
            <w:vAlign w:val="center"/>
          </w:tcPr>
          <w:p>
            <w:pPr>
              <w:pStyle w:val="17"/>
              <w:bidi w:val="0"/>
              <w:rPr>
                <w:rFonts w:hint="default" w:eastAsia="宋体"/>
                <w:lang w:val="en-US" w:eastAsia="zh-CN"/>
              </w:rPr>
            </w:pPr>
            <w:r>
              <w:rPr>
                <w:rFonts w:hint="default"/>
              </w:rPr>
              <w:t>S</w:t>
            </w:r>
            <w:r>
              <w:rPr>
                <w:rFonts w:hint="eastAsia"/>
                <w:lang w:val="en-US" w:eastAsia="zh-CN"/>
              </w:rPr>
              <w:t>O</w:t>
            </w:r>
            <w:r>
              <w:rPr>
                <w:rFonts w:hint="eastAsia"/>
                <w:vertAlign w:val="subscript"/>
                <w:lang w:val="en-US" w:eastAsia="zh-CN"/>
              </w:rPr>
              <w:t>2</w:t>
            </w:r>
          </w:p>
        </w:tc>
        <w:tc>
          <w:tcPr>
            <w:tcW w:w="982" w:type="dxa"/>
            <w:vMerge w:val="restart"/>
            <w:tcBorders>
              <w:tl2br w:val="nil"/>
              <w:tr2bl w:val="nil"/>
            </w:tcBorders>
            <w:vAlign w:val="center"/>
          </w:tcPr>
          <w:p>
            <w:pPr>
              <w:pStyle w:val="17"/>
              <w:bidi w:val="0"/>
              <w:rPr>
                <w:rFonts w:hint="eastAsia"/>
                <w:lang w:eastAsia="zh-CN"/>
              </w:rPr>
            </w:pPr>
            <w:r>
              <w:rPr>
                <w:rFonts w:hint="default"/>
              </w:rPr>
              <w:t>μg/</w:t>
            </w:r>
            <w:r>
              <w:rPr>
                <w:rFonts w:hint="eastAsia"/>
                <w:lang w:eastAsia="zh-CN"/>
              </w:rPr>
              <w:t>m³</w:t>
            </w:r>
          </w:p>
        </w:tc>
        <w:tc>
          <w:tcPr>
            <w:tcW w:w="1962" w:type="dxa"/>
            <w:gridSpan w:val="2"/>
            <w:tcBorders>
              <w:tl2br w:val="nil"/>
              <w:tr2bl w:val="nil"/>
            </w:tcBorders>
            <w:vAlign w:val="center"/>
          </w:tcPr>
          <w:p>
            <w:pPr>
              <w:pStyle w:val="17"/>
              <w:bidi w:val="0"/>
              <w:rPr>
                <w:rFonts w:hint="default"/>
              </w:rPr>
            </w:pPr>
            <w:r>
              <w:rPr>
                <w:rFonts w:hint="default"/>
              </w:rPr>
              <w:t>1小时平均</w:t>
            </w:r>
          </w:p>
        </w:tc>
        <w:tc>
          <w:tcPr>
            <w:tcW w:w="1401" w:type="dxa"/>
            <w:tcBorders>
              <w:tl2br w:val="nil"/>
              <w:tr2bl w:val="nil"/>
            </w:tcBorders>
            <w:vAlign w:val="center"/>
          </w:tcPr>
          <w:p>
            <w:pPr>
              <w:pStyle w:val="17"/>
              <w:bidi w:val="0"/>
              <w:rPr>
                <w:rFonts w:hint="default"/>
              </w:rPr>
            </w:pPr>
            <w:r>
              <w:rPr>
                <w:rFonts w:hint="default"/>
              </w:rPr>
              <w:t>500</w:t>
            </w:r>
          </w:p>
        </w:tc>
        <w:tc>
          <w:tcPr>
            <w:tcW w:w="2217" w:type="dxa"/>
            <w:vMerge w:val="restart"/>
            <w:tcBorders>
              <w:tl2br w:val="nil"/>
              <w:tr2bl w:val="nil"/>
            </w:tcBorders>
            <w:vAlign w:val="center"/>
          </w:tcPr>
          <w:p>
            <w:pPr>
              <w:pStyle w:val="17"/>
              <w:bidi w:val="0"/>
              <w:rPr>
                <w:rFonts w:hint="default"/>
              </w:rPr>
            </w:pPr>
            <w:r>
              <w:rPr>
                <w:rFonts w:hint="default"/>
              </w:rPr>
              <w:t>《环境空气质量标准》(GB3095-2012)及其修改单（生态环境部公告2018年第29号）二级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vMerge w:val="continue"/>
            <w:tcBorders>
              <w:tl2br w:val="nil"/>
              <w:tr2bl w:val="nil"/>
            </w:tcBorders>
            <w:vAlign w:val="center"/>
          </w:tcPr>
          <w:p>
            <w:pPr>
              <w:pStyle w:val="17"/>
              <w:bidi w:val="0"/>
              <w:rPr>
                <w:rFonts w:hint="default"/>
              </w:rPr>
            </w:pPr>
          </w:p>
        </w:tc>
        <w:tc>
          <w:tcPr>
            <w:tcW w:w="982" w:type="dxa"/>
            <w:vMerge w:val="continue"/>
            <w:tcBorders>
              <w:tl2br w:val="nil"/>
              <w:tr2bl w:val="nil"/>
            </w:tcBorders>
            <w:vAlign w:val="center"/>
          </w:tcPr>
          <w:p>
            <w:pPr>
              <w:pStyle w:val="17"/>
              <w:bidi w:val="0"/>
              <w:rPr>
                <w:rFonts w:hint="default"/>
              </w:rPr>
            </w:pPr>
          </w:p>
        </w:tc>
        <w:tc>
          <w:tcPr>
            <w:tcW w:w="1962" w:type="dxa"/>
            <w:gridSpan w:val="2"/>
            <w:tcBorders>
              <w:tl2br w:val="nil"/>
              <w:tr2bl w:val="nil"/>
            </w:tcBorders>
            <w:vAlign w:val="center"/>
          </w:tcPr>
          <w:p>
            <w:pPr>
              <w:pStyle w:val="17"/>
              <w:bidi w:val="0"/>
              <w:rPr>
                <w:rFonts w:hint="default"/>
              </w:rPr>
            </w:pPr>
            <w:r>
              <w:rPr>
                <w:rFonts w:hint="default"/>
              </w:rPr>
              <w:t>24小时平均</w:t>
            </w:r>
          </w:p>
        </w:tc>
        <w:tc>
          <w:tcPr>
            <w:tcW w:w="1401" w:type="dxa"/>
            <w:tcBorders>
              <w:tl2br w:val="nil"/>
              <w:tr2bl w:val="nil"/>
            </w:tcBorders>
            <w:vAlign w:val="center"/>
          </w:tcPr>
          <w:p>
            <w:pPr>
              <w:pStyle w:val="17"/>
              <w:bidi w:val="0"/>
              <w:rPr>
                <w:rFonts w:hint="default"/>
              </w:rPr>
            </w:pPr>
            <w:r>
              <w:rPr>
                <w:rFonts w:hint="default"/>
              </w:rPr>
              <w:t>150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vMerge w:val="continue"/>
            <w:tcBorders>
              <w:tl2br w:val="nil"/>
              <w:tr2bl w:val="nil"/>
            </w:tcBorders>
            <w:vAlign w:val="center"/>
          </w:tcPr>
          <w:p>
            <w:pPr>
              <w:pStyle w:val="17"/>
              <w:bidi w:val="0"/>
              <w:rPr>
                <w:rFonts w:hint="default"/>
              </w:rPr>
            </w:pPr>
          </w:p>
        </w:tc>
        <w:tc>
          <w:tcPr>
            <w:tcW w:w="982" w:type="dxa"/>
            <w:vMerge w:val="continue"/>
            <w:tcBorders>
              <w:tl2br w:val="nil"/>
              <w:tr2bl w:val="nil"/>
            </w:tcBorders>
            <w:vAlign w:val="center"/>
          </w:tcPr>
          <w:p>
            <w:pPr>
              <w:pStyle w:val="17"/>
              <w:bidi w:val="0"/>
              <w:rPr>
                <w:rFonts w:hint="default"/>
              </w:rPr>
            </w:pPr>
          </w:p>
        </w:tc>
        <w:tc>
          <w:tcPr>
            <w:tcW w:w="1962" w:type="dxa"/>
            <w:gridSpan w:val="2"/>
            <w:tcBorders>
              <w:tl2br w:val="nil"/>
              <w:tr2bl w:val="nil"/>
            </w:tcBorders>
            <w:vAlign w:val="center"/>
          </w:tcPr>
          <w:p>
            <w:pPr>
              <w:pStyle w:val="17"/>
              <w:bidi w:val="0"/>
              <w:rPr>
                <w:rFonts w:hint="default"/>
              </w:rPr>
            </w:pPr>
            <w:r>
              <w:rPr>
                <w:rFonts w:hint="default"/>
              </w:rPr>
              <w:t>年平均</w:t>
            </w:r>
          </w:p>
        </w:tc>
        <w:tc>
          <w:tcPr>
            <w:tcW w:w="1401" w:type="dxa"/>
            <w:tcBorders>
              <w:tl2br w:val="nil"/>
              <w:tr2bl w:val="nil"/>
            </w:tcBorders>
            <w:vAlign w:val="center"/>
          </w:tcPr>
          <w:p>
            <w:pPr>
              <w:pStyle w:val="17"/>
              <w:bidi w:val="0"/>
              <w:rPr>
                <w:rFonts w:hint="default"/>
              </w:rPr>
            </w:pPr>
            <w:r>
              <w:rPr>
                <w:rFonts w:hint="default"/>
              </w:rPr>
              <w:t>60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vMerge w:val="restart"/>
            <w:tcBorders>
              <w:tl2br w:val="nil"/>
              <w:tr2bl w:val="nil"/>
            </w:tcBorders>
            <w:vAlign w:val="center"/>
          </w:tcPr>
          <w:p>
            <w:pPr>
              <w:pStyle w:val="17"/>
              <w:bidi w:val="0"/>
              <w:rPr>
                <w:rFonts w:hint="default"/>
              </w:rPr>
            </w:pPr>
            <w:r>
              <w:rPr>
                <w:rFonts w:hint="default"/>
              </w:rPr>
              <w:t>NO</w:t>
            </w:r>
            <w:r>
              <w:rPr>
                <w:rFonts w:hint="default"/>
                <w:vertAlign w:val="subscript"/>
              </w:rPr>
              <w:t>2</w:t>
            </w:r>
          </w:p>
        </w:tc>
        <w:tc>
          <w:tcPr>
            <w:tcW w:w="982" w:type="dxa"/>
            <w:vMerge w:val="restart"/>
            <w:tcBorders>
              <w:tl2br w:val="nil"/>
              <w:tr2bl w:val="nil"/>
            </w:tcBorders>
            <w:vAlign w:val="center"/>
          </w:tcPr>
          <w:p>
            <w:pPr>
              <w:pStyle w:val="17"/>
              <w:bidi w:val="0"/>
              <w:rPr>
                <w:rFonts w:hint="eastAsia"/>
                <w:lang w:eastAsia="zh-CN"/>
              </w:rPr>
            </w:pPr>
            <w:r>
              <w:rPr>
                <w:rFonts w:hint="default"/>
              </w:rPr>
              <w:t>μg/</w:t>
            </w:r>
            <w:r>
              <w:rPr>
                <w:rFonts w:hint="eastAsia"/>
                <w:lang w:eastAsia="zh-CN"/>
              </w:rPr>
              <w:t>m³</w:t>
            </w:r>
          </w:p>
        </w:tc>
        <w:tc>
          <w:tcPr>
            <w:tcW w:w="1962" w:type="dxa"/>
            <w:gridSpan w:val="2"/>
            <w:tcBorders>
              <w:tl2br w:val="nil"/>
              <w:tr2bl w:val="nil"/>
            </w:tcBorders>
            <w:vAlign w:val="center"/>
          </w:tcPr>
          <w:p>
            <w:pPr>
              <w:pStyle w:val="17"/>
              <w:bidi w:val="0"/>
              <w:rPr>
                <w:rFonts w:hint="default"/>
              </w:rPr>
            </w:pPr>
            <w:r>
              <w:rPr>
                <w:rFonts w:hint="default"/>
              </w:rPr>
              <w:t>1小时平均</w:t>
            </w:r>
          </w:p>
        </w:tc>
        <w:tc>
          <w:tcPr>
            <w:tcW w:w="1401" w:type="dxa"/>
            <w:tcBorders>
              <w:tl2br w:val="nil"/>
              <w:tr2bl w:val="nil"/>
            </w:tcBorders>
            <w:vAlign w:val="center"/>
          </w:tcPr>
          <w:p>
            <w:pPr>
              <w:pStyle w:val="17"/>
              <w:bidi w:val="0"/>
              <w:rPr>
                <w:rFonts w:hint="default"/>
              </w:rPr>
            </w:pPr>
            <w:r>
              <w:rPr>
                <w:rFonts w:hint="default"/>
              </w:rPr>
              <w:t>200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vMerge w:val="continue"/>
            <w:tcBorders>
              <w:tl2br w:val="nil"/>
              <w:tr2bl w:val="nil"/>
            </w:tcBorders>
            <w:vAlign w:val="center"/>
          </w:tcPr>
          <w:p>
            <w:pPr>
              <w:pStyle w:val="17"/>
              <w:bidi w:val="0"/>
              <w:rPr>
                <w:rFonts w:hint="default"/>
              </w:rPr>
            </w:pPr>
          </w:p>
        </w:tc>
        <w:tc>
          <w:tcPr>
            <w:tcW w:w="982" w:type="dxa"/>
            <w:vMerge w:val="continue"/>
            <w:tcBorders>
              <w:tl2br w:val="nil"/>
              <w:tr2bl w:val="nil"/>
            </w:tcBorders>
            <w:vAlign w:val="center"/>
          </w:tcPr>
          <w:p>
            <w:pPr>
              <w:pStyle w:val="17"/>
              <w:bidi w:val="0"/>
              <w:rPr>
                <w:rFonts w:hint="default"/>
              </w:rPr>
            </w:pPr>
          </w:p>
        </w:tc>
        <w:tc>
          <w:tcPr>
            <w:tcW w:w="1962" w:type="dxa"/>
            <w:gridSpan w:val="2"/>
            <w:tcBorders>
              <w:tl2br w:val="nil"/>
              <w:tr2bl w:val="nil"/>
            </w:tcBorders>
            <w:vAlign w:val="center"/>
          </w:tcPr>
          <w:p>
            <w:pPr>
              <w:pStyle w:val="17"/>
              <w:bidi w:val="0"/>
              <w:rPr>
                <w:rFonts w:hint="default"/>
              </w:rPr>
            </w:pPr>
            <w:r>
              <w:rPr>
                <w:rFonts w:hint="default"/>
              </w:rPr>
              <w:t>24小时平均</w:t>
            </w:r>
          </w:p>
        </w:tc>
        <w:tc>
          <w:tcPr>
            <w:tcW w:w="1401" w:type="dxa"/>
            <w:tcBorders>
              <w:tl2br w:val="nil"/>
              <w:tr2bl w:val="nil"/>
            </w:tcBorders>
            <w:vAlign w:val="center"/>
          </w:tcPr>
          <w:p>
            <w:pPr>
              <w:pStyle w:val="17"/>
              <w:bidi w:val="0"/>
              <w:rPr>
                <w:rFonts w:hint="default"/>
              </w:rPr>
            </w:pPr>
            <w:r>
              <w:rPr>
                <w:rFonts w:hint="default"/>
              </w:rPr>
              <w:t>80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vMerge w:val="continue"/>
            <w:tcBorders>
              <w:tl2br w:val="nil"/>
              <w:tr2bl w:val="nil"/>
            </w:tcBorders>
            <w:vAlign w:val="center"/>
          </w:tcPr>
          <w:p>
            <w:pPr>
              <w:pStyle w:val="17"/>
              <w:bidi w:val="0"/>
              <w:rPr>
                <w:rFonts w:hint="default"/>
              </w:rPr>
            </w:pPr>
          </w:p>
        </w:tc>
        <w:tc>
          <w:tcPr>
            <w:tcW w:w="982" w:type="dxa"/>
            <w:vMerge w:val="continue"/>
            <w:tcBorders>
              <w:tl2br w:val="nil"/>
              <w:tr2bl w:val="nil"/>
            </w:tcBorders>
            <w:vAlign w:val="center"/>
          </w:tcPr>
          <w:p>
            <w:pPr>
              <w:pStyle w:val="17"/>
              <w:bidi w:val="0"/>
              <w:rPr>
                <w:rFonts w:hint="default"/>
              </w:rPr>
            </w:pPr>
          </w:p>
        </w:tc>
        <w:tc>
          <w:tcPr>
            <w:tcW w:w="1962" w:type="dxa"/>
            <w:gridSpan w:val="2"/>
            <w:tcBorders>
              <w:tl2br w:val="nil"/>
              <w:tr2bl w:val="nil"/>
            </w:tcBorders>
            <w:vAlign w:val="center"/>
          </w:tcPr>
          <w:p>
            <w:pPr>
              <w:pStyle w:val="17"/>
              <w:bidi w:val="0"/>
              <w:rPr>
                <w:rFonts w:hint="default"/>
              </w:rPr>
            </w:pPr>
            <w:r>
              <w:rPr>
                <w:rFonts w:hint="default"/>
              </w:rPr>
              <w:t>年平均</w:t>
            </w:r>
          </w:p>
        </w:tc>
        <w:tc>
          <w:tcPr>
            <w:tcW w:w="1401" w:type="dxa"/>
            <w:tcBorders>
              <w:tl2br w:val="nil"/>
              <w:tr2bl w:val="nil"/>
            </w:tcBorders>
            <w:vAlign w:val="center"/>
          </w:tcPr>
          <w:p>
            <w:pPr>
              <w:pStyle w:val="17"/>
              <w:bidi w:val="0"/>
              <w:rPr>
                <w:rFonts w:hint="default"/>
              </w:rPr>
            </w:pPr>
            <w:r>
              <w:rPr>
                <w:rFonts w:hint="default"/>
              </w:rPr>
              <w:t>40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vMerge w:val="restart"/>
            <w:tcBorders>
              <w:tl2br w:val="nil"/>
              <w:tr2bl w:val="nil"/>
            </w:tcBorders>
            <w:vAlign w:val="center"/>
          </w:tcPr>
          <w:p>
            <w:pPr>
              <w:pStyle w:val="17"/>
              <w:bidi w:val="0"/>
              <w:rPr>
                <w:rFonts w:hint="default"/>
              </w:rPr>
            </w:pPr>
            <w:r>
              <w:rPr>
                <w:rFonts w:hint="default"/>
              </w:rPr>
              <w:t>PM</w:t>
            </w:r>
            <w:r>
              <w:rPr>
                <w:rFonts w:hint="default"/>
                <w:vertAlign w:val="subscript"/>
              </w:rPr>
              <w:t>10</w:t>
            </w:r>
          </w:p>
        </w:tc>
        <w:tc>
          <w:tcPr>
            <w:tcW w:w="982" w:type="dxa"/>
            <w:vMerge w:val="restart"/>
            <w:tcBorders>
              <w:tl2br w:val="nil"/>
              <w:tr2bl w:val="nil"/>
            </w:tcBorders>
            <w:vAlign w:val="center"/>
          </w:tcPr>
          <w:p>
            <w:pPr>
              <w:pStyle w:val="17"/>
              <w:bidi w:val="0"/>
              <w:rPr>
                <w:rFonts w:hint="eastAsia"/>
                <w:lang w:eastAsia="zh-CN"/>
              </w:rPr>
            </w:pPr>
            <w:r>
              <w:rPr>
                <w:rFonts w:hint="default"/>
              </w:rPr>
              <w:t>μg/</w:t>
            </w:r>
            <w:r>
              <w:rPr>
                <w:rFonts w:hint="eastAsia"/>
                <w:lang w:eastAsia="zh-CN"/>
              </w:rPr>
              <w:t>m³</w:t>
            </w:r>
          </w:p>
        </w:tc>
        <w:tc>
          <w:tcPr>
            <w:tcW w:w="1962" w:type="dxa"/>
            <w:gridSpan w:val="2"/>
            <w:tcBorders>
              <w:tl2br w:val="nil"/>
              <w:tr2bl w:val="nil"/>
            </w:tcBorders>
            <w:vAlign w:val="center"/>
          </w:tcPr>
          <w:p>
            <w:pPr>
              <w:pStyle w:val="17"/>
              <w:bidi w:val="0"/>
              <w:rPr>
                <w:rFonts w:hint="default"/>
              </w:rPr>
            </w:pPr>
            <w:r>
              <w:rPr>
                <w:rFonts w:hint="default"/>
              </w:rPr>
              <w:t>24小时平均</w:t>
            </w:r>
          </w:p>
        </w:tc>
        <w:tc>
          <w:tcPr>
            <w:tcW w:w="1401" w:type="dxa"/>
            <w:tcBorders>
              <w:tl2br w:val="nil"/>
              <w:tr2bl w:val="nil"/>
            </w:tcBorders>
            <w:vAlign w:val="center"/>
          </w:tcPr>
          <w:p>
            <w:pPr>
              <w:pStyle w:val="17"/>
              <w:bidi w:val="0"/>
              <w:rPr>
                <w:rFonts w:hint="default"/>
              </w:rPr>
            </w:pPr>
            <w:r>
              <w:rPr>
                <w:rFonts w:hint="default"/>
              </w:rPr>
              <w:t>150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vMerge w:val="continue"/>
            <w:tcBorders>
              <w:tl2br w:val="nil"/>
              <w:tr2bl w:val="nil"/>
            </w:tcBorders>
            <w:vAlign w:val="center"/>
          </w:tcPr>
          <w:p>
            <w:pPr>
              <w:pStyle w:val="17"/>
              <w:bidi w:val="0"/>
              <w:rPr>
                <w:rFonts w:hint="default"/>
              </w:rPr>
            </w:pPr>
          </w:p>
        </w:tc>
        <w:tc>
          <w:tcPr>
            <w:tcW w:w="982" w:type="dxa"/>
            <w:vMerge w:val="continue"/>
            <w:tcBorders>
              <w:tl2br w:val="nil"/>
              <w:tr2bl w:val="nil"/>
            </w:tcBorders>
            <w:vAlign w:val="center"/>
          </w:tcPr>
          <w:p>
            <w:pPr>
              <w:pStyle w:val="17"/>
              <w:bidi w:val="0"/>
              <w:rPr>
                <w:rFonts w:hint="default"/>
              </w:rPr>
            </w:pPr>
          </w:p>
        </w:tc>
        <w:tc>
          <w:tcPr>
            <w:tcW w:w="1962" w:type="dxa"/>
            <w:gridSpan w:val="2"/>
            <w:tcBorders>
              <w:tl2br w:val="nil"/>
              <w:tr2bl w:val="nil"/>
            </w:tcBorders>
            <w:vAlign w:val="center"/>
          </w:tcPr>
          <w:p>
            <w:pPr>
              <w:pStyle w:val="17"/>
              <w:bidi w:val="0"/>
              <w:rPr>
                <w:rFonts w:hint="default"/>
              </w:rPr>
            </w:pPr>
            <w:r>
              <w:rPr>
                <w:rFonts w:hint="default"/>
              </w:rPr>
              <w:t>年平均</w:t>
            </w:r>
          </w:p>
        </w:tc>
        <w:tc>
          <w:tcPr>
            <w:tcW w:w="1401" w:type="dxa"/>
            <w:tcBorders>
              <w:tl2br w:val="nil"/>
              <w:tr2bl w:val="nil"/>
            </w:tcBorders>
            <w:vAlign w:val="center"/>
          </w:tcPr>
          <w:p>
            <w:pPr>
              <w:pStyle w:val="17"/>
              <w:bidi w:val="0"/>
              <w:rPr>
                <w:rFonts w:hint="default"/>
              </w:rPr>
            </w:pPr>
            <w:r>
              <w:rPr>
                <w:rFonts w:hint="default"/>
              </w:rPr>
              <w:t>70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vMerge w:val="restart"/>
            <w:tcBorders>
              <w:tl2br w:val="nil"/>
              <w:tr2bl w:val="nil"/>
            </w:tcBorders>
            <w:vAlign w:val="center"/>
          </w:tcPr>
          <w:p>
            <w:pPr>
              <w:pStyle w:val="17"/>
              <w:bidi w:val="0"/>
              <w:rPr>
                <w:rFonts w:hint="default"/>
              </w:rPr>
            </w:pPr>
            <w:r>
              <w:rPr>
                <w:rFonts w:hint="eastAsia"/>
                <w:lang w:eastAsia="zh-CN"/>
              </w:rPr>
              <w:t>PM</w:t>
            </w:r>
            <w:r>
              <w:rPr>
                <w:rFonts w:hint="eastAsia"/>
                <w:vertAlign w:val="subscript"/>
                <w:lang w:eastAsia="zh-CN"/>
              </w:rPr>
              <w:t>2</w:t>
            </w:r>
            <w:r>
              <w:rPr>
                <w:rFonts w:hint="default"/>
                <w:vertAlign w:val="subscript"/>
              </w:rPr>
              <w:t>.5</w:t>
            </w:r>
          </w:p>
        </w:tc>
        <w:tc>
          <w:tcPr>
            <w:tcW w:w="982" w:type="dxa"/>
            <w:vMerge w:val="restart"/>
            <w:tcBorders>
              <w:tl2br w:val="nil"/>
              <w:tr2bl w:val="nil"/>
            </w:tcBorders>
            <w:vAlign w:val="center"/>
          </w:tcPr>
          <w:p>
            <w:pPr>
              <w:pStyle w:val="17"/>
              <w:bidi w:val="0"/>
              <w:rPr>
                <w:rFonts w:hint="eastAsia"/>
                <w:lang w:eastAsia="zh-CN"/>
              </w:rPr>
            </w:pPr>
            <w:r>
              <w:rPr>
                <w:rFonts w:hint="default"/>
              </w:rPr>
              <w:t>μg/</w:t>
            </w:r>
            <w:r>
              <w:rPr>
                <w:rFonts w:hint="eastAsia"/>
                <w:lang w:eastAsia="zh-CN"/>
              </w:rPr>
              <w:t>m³</w:t>
            </w:r>
          </w:p>
        </w:tc>
        <w:tc>
          <w:tcPr>
            <w:tcW w:w="1962" w:type="dxa"/>
            <w:gridSpan w:val="2"/>
            <w:tcBorders>
              <w:tl2br w:val="nil"/>
              <w:tr2bl w:val="nil"/>
            </w:tcBorders>
            <w:vAlign w:val="center"/>
          </w:tcPr>
          <w:p>
            <w:pPr>
              <w:pStyle w:val="17"/>
              <w:bidi w:val="0"/>
              <w:rPr>
                <w:rFonts w:hint="default"/>
              </w:rPr>
            </w:pPr>
            <w:r>
              <w:rPr>
                <w:rFonts w:hint="default"/>
              </w:rPr>
              <w:t>24小时评价</w:t>
            </w:r>
          </w:p>
        </w:tc>
        <w:tc>
          <w:tcPr>
            <w:tcW w:w="1401" w:type="dxa"/>
            <w:tcBorders>
              <w:tl2br w:val="nil"/>
              <w:tr2bl w:val="nil"/>
            </w:tcBorders>
            <w:vAlign w:val="center"/>
          </w:tcPr>
          <w:p>
            <w:pPr>
              <w:pStyle w:val="17"/>
              <w:bidi w:val="0"/>
              <w:rPr>
                <w:rFonts w:hint="default"/>
              </w:rPr>
            </w:pPr>
            <w:r>
              <w:rPr>
                <w:rFonts w:hint="default"/>
              </w:rPr>
              <w:t>75</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vMerge w:val="continue"/>
            <w:tcBorders>
              <w:tl2br w:val="nil"/>
              <w:tr2bl w:val="nil"/>
            </w:tcBorders>
            <w:vAlign w:val="center"/>
          </w:tcPr>
          <w:p>
            <w:pPr>
              <w:pStyle w:val="17"/>
              <w:bidi w:val="0"/>
              <w:rPr>
                <w:rFonts w:hint="default"/>
              </w:rPr>
            </w:pPr>
          </w:p>
        </w:tc>
        <w:tc>
          <w:tcPr>
            <w:tcW w:w="982" w:type="dxa"/>
            <w:vMerge w:val="continue"/>
            <w:tcBorders>
              <w:tl2br w:val="nil"/>
              <w:tr2bl w:val="nil"/>
            </w:tcBorders>
            <w:vAlign w:val="center"/>
          </w:tcPr>
          <w:p>
            <w:pPr>
              <w:pStyle w:val="17"/>
              <w:bidi w:val="0"/>
              <w:rPr>
                <w:rFonts w:hint="default"/>
              </w:rPr>
            </w:pPr>
          </w:p>
        </w:tc>
        <w:tc>
          <w:tcPr>
            <w:tcW w:w="1962" w:type="dxa"/>
            <w:gridSpan w:val="2"/>
            <w:tcBorders>
              <w:tl2br w:val="nil"/>
              <w:tr2bl w:val="nil"/>
            </w:tcBorders>
            <w:vAlign w:val="center"/>
          </w:tcPr>
          <w:p>
            <w:pPr>
              <w:pStyle w:val="17"/>
              <w:bidi w:val="0"/>
              <w:rPr>
                <w:rFonts w:hint="default"/>
              </w:rPr>
            </w:pPr>
            <w:r>
              <w:rPr>
                <w:rFonts w:hint="default"/>
              </w:rPr>
              <w:t>年平均</w:t>
            </w:r>
          </w:p>
        </w:tc>
        <w:tc>
          <w:tcPr>
            <w:tcW w:w="1401" w:type="dxa"/>
            <w:tcBorders>
              <w:tl2br w:val="nil"/>
              <w:tr2bl w:val="nil"/>
            </w:tcBorders>
            <w:vAlign w:val="center"/>
          </w:tcPr>
          <w:p>
            <w:pPr>
              <w:pStyle w:val="17"/>
              <w:bidi w:val="0"/>
              <w:rPr>
                <w:rFonts w:hint="default"/>
              </w:rPr>
            </w:pPr>
            <w:r>
              <w:rPr>
                <w:rFonts w:hint="default"/>
              </w:rPr>
              <w:t>35</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vMerge w:val="restart"/>
            <w:tcBorders>
              <w:tl2br w:val="nil"/>
              <w:tr2bl w:val="nil"/>
            </w:tcBorders>
            <w:vAlign w:val="center"/>
          </w:tcPr>
          <w:p>
            <w:pPr>
              <w:pStyle w:val="17"/>
              <w:bidi w:val="0"/>
              <w:rPr>
                <w:rFonts w:hint="default"/>
              </w:rPr>
            </w:pPr>
            <w:r>
              <w:rPr>
                <w:rFonts w:hint="default"/>
              </w:rPr>
              <w:t>CO</w:t>
            </w:r>
          </w:p>
        </w:tc>
        <w:tc>
          <w:tcPr>
            <w:tcW w:w="982" w:type="dxa"/>
            <w:vMerge w:val="restart"/>
            <w:tcBorders>
              <w:tl2br w:val="nil"/>
              <w:tr2bl w:val="nil"/>
            </w:tcBorders>
            <w:vAlign w:val="center"/>
          </w:tcPr>
          <w:p>
            <w:pPr>
              <w:pStyle w:val="17"/>
              <w:bidi w:val="0"/>
              <w:rPr>
                <w:rFonts w:hint="eastAsia"/>
                <w:lang w:eastAsia="zh-CN"/>
              </w:rPr>
            </w:pPr>
            <w:r>
              <w:rPr>
                <w:rFonts w:hint="default"/>
              </w:rPr>
              <w:t>mg/</w:t>
            </w:r>
            <w:r>
              <w:rPr>
                <w:rFonts w:hint="eastAsia"/>
                <w:lang w:eastAsia="zh-CN"/>
              </w:rPr>
              <w:t>m³</w:t>
            </w:r>
          </w:p>
        </w:tc>
        <w:tc>
          <w:tcPr>
            <w:tcW w:w="1962" w:type="dxa"/>
            <w:gridSpan w:val="2"/>
            <w:tcBorders>
              <w:tl2br w:val="nil"/>
              <w:tr2bl w:val="nil"/>
            </w:tcBorders>
            <w:vAlign w:val="center"/>
          </w:tcPr>
          <w:p>
            <w:pPr>
              <w:pStyle w:val="17"/>
              <w:bidi w:val="0"/>
              <w:rPr>
                <w:rFonts w:hint="default"/>
              </w:rPr>
            </w:pPr>
            <w:r>
              <w:rPr>
                <w:rFonts w:hint="default"/>
              </w:rPr>
              <w:t>1小时平均</w:t>
            </w:r>
          </w:p>
        </w:tc>
        <w:tc>
          <w:tcPr>
            <w:tcW w:w="1401" w:type="dxa"/>
            <w:tcBorders>
              <w:tl2br w:val="nil"/>
              <w:tr2bl w:val="nil"/>
            </w:tcBorders>
            <w:vAlign w:val="center"/>
          </w:tcPr>
          <w:p>
            <w:pPr>
              <w:pStyle w:val="17"/>
              <w:bidi w:val="0"/>
              <w:rPr>
                <w:rFonts w:hint="default"/>
              </w:rPr>
            </w:pPr>
            <w:r>
              <w:rPr>
                <w:rFonts w:hint="default"/>
              </w:rPr>
              <w:t>10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vMerge w:val="continue"/>
            <w:tcBorders>
              <w:tl2br w:val="nil"/>
              <w:tr2bl w:val="nil"/>
            </w:tcBorders>
            <w:vAlign w:val="center"/>
          </w:tcPr>
          <w:p>
            <w:pPr>
              <w:pStyle w:val="17"/>
              <w:bidi w:val="0"/>
              <w:rPr>
                <w:rFonts w:hint="default"/>
              </w:rPr>
            </w:pPr>
          </w:p>
        </w:tc>
        <w:tc>
          <w:tcPr>
            <w:tcW w:w="982" w:type="dxa"/>
            <w:vMerge w:val="continue"/>
            <w:tcBorders>
              <w:tl2br w:val="nil"/>
              <w:tr2bl w:val="nil"/>
            </w:tcBorders>
            <w:vAlign w:val="center"/>
          </w:tcPr>
          <w:p>
            <w:pPr>
              <w:pStyle w:val="17"/>
              <w:bidi w:val="0"/>
              <w:rPr>
                <w:rFonts w:hint="default"/>
              </w:rPr>
            </w:pPr>
          </w:p>
        </w:tc>
        <w:tc>
          <w:tcPr>
            <w:tcW w:w="1962" w:type="dxa"/>
            <w:gridSpan w:val="2"/>
            <w:tcBorders>
              <w:tl2br w:val="nil"/>
              <w:tr2bl w:val="nil"/>
            </w:tcBorders>
            <w:vAlign w:val="center"/>
          </w:tcPr>
          <w:p>
            <w:pPr>
              <w:pStyle w:val="17"/>
              <w:bidi w:val="0"/>
              <w:rPr>
                <w:rFonts w:hint="default"/>
              </w:rPr>
            </w:pPr>
            <w:r>
              <w:rPr>
                <w:rFonts w:hint="default"/>
              </w:rPr>
              <w:t>24小时平均</w:t>
            </w:r>
          </w:p>
        </w:tc>
        <w:tc>
          <w:tcPr>
            <w:tcW w:w="1401" w:type="dxa"/>
            <w:tcBorders>
              <w:tl2br w:val="nil"/>
              <w:tr2bl w:val="nil"/>
            </w:tcBorders>
            <w:vAlign w:val="center"/>
          </w:tcPr>
          <w:p>
            <w:pPr>
              <w:pStyle w:val="17"/>
              <w:bidi w:val="0"/>
              <w:rPr>
                <w:rFonts w:hint="default"/>
              </w:rPr>
            </w:pPr>
            <w:r>
              <w:rPr>
                <w:rFonts w:hint="default"/>
              </w:rPr>
              <w:t>4</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vMerge w:val="restart"/>
            <w:tcBorders>
              <w:tl2br w:val="nil"/>
              <w:tr2bl w:val="nil"/>
            </w:tcBorders>
            <w:vAlign w:val="center"/>
          </w:tcPr>
          <w:p>
            <w:pPr>
              <w:pStyle w:val="17"/>
              <w:bidi w:val="0"/>
              <w:rPr>
                <w:rFonts w:hint="default"/>
              </w:rPr>
            </w:pPr>
            <w:r>
              <w:rPr>
                <w:rFonts w:hint="default"/>
              </w:rPr>
              <w:t>O</w:t>
            </w:r>
            <w:r>
              <w:rPr>
                <w:rFonts w:hint="default"/>
                <w:vertAlign w:val="subscript"/>
              </w:rPr>
              <w:t>3</w:t>
            </w:r>
          </w:p>
        </w:tc>
        <w:tc>
          <w:tcPr>
            <w:tcW w:w="982" w:type="dxa"/>
            <w:vMerge w:val="restart"/>
            <w:tcBorders>
              <w:tl2br w:val="nil"/>
              <w:tr2bl w:val="nil"/>
            </w:tcBorders>
            <w:vAlign w:val="center"/>
          </w:tcPr>
          <w:p>
            <w:pPr>
              <w:pStyle w:val="17"/>
              <w:bidi w:val="0"/>
              <w:rPr>
                <w:rFonts w:hint="eastAsia"/>
                <w:lang w:eastAsia="zh-CN"/>
              </w:rPr>
            </w:pPr>
            <w:r>
              <w:rPr>
                <w:rFonts w:hint="default"/>
              </w:rPr>
              <w:t>μg/</w:t>
            </w:r>
            <w:r>
              <w:rPr>
                <w:rFonts w:hint="eastAsia"/>
                <w:lang w:eastAsia="zh-CN"/>
              </w:rPr>
              <w:t>m³</w:t>
            </w:r>
          </w:p>
        </w:tc>
        <w:tc>
          <w:tcPr>
            <w:tcW w:w="1962" w:type="dxa"/>
            <w:gridSpan w:val="2"/>
            <w:tcBorders>
              <w:tl2br w:val="nil"/>
              <w:tr2bl w:val="nil"/>
            </w:tcBorders>
            <w:vAlign w:val="center"/>
          </w:tcPr>
          <w:p>
            <w:pPr>
              <w:pStyle w:val="17"/>
              <w:bidi w:val="0"/>
              <w:rPr>
                <w:rFonts w:hint="default"/>
              </w:rPr>
            </w:pPr>
            <w:r>
              <w:rPr>
                <w:rFonts w:hint="default"/>
              </w:rPr>
              <w:t>日最大8小时平均</w:t>
            </w:r>
          </w:p>
        </w:tc>
        <w:tc>
          <w:tcPr>
            <w:tcW w:w="1401" w:type="dxa"/>
            <w:tcBorders>
              <w:tl2br w:val="nil"/>
              <w:tr2bl w:val="nil"/>
            </w:tcBorders>
            <w:vAlign w:val="center"/>
          </w:tcPr>
          <w:p>
            <w:pPr>
              <w:pStyle w:val="17"/>
              <w:bidi w:val="0"/>
              <w:rPr>
                <w:rFonts w:hint="default"/>
              </w:rPr>
            </w:pPr>
            <w:r>
              <w:rPr>
                <w:rFonts w:hint="default"/>
              </w:rPr>
              <w:t>160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vMerge w:val="continue"/>
            <w:tcBorders>
              <w:tl2br w:val="nil"/>
              <w:tr2bl w:val="nil"/>
            </w:tcBorders>
            <w:vAlign w:val="center"/>
          </w:tcPr>
          <w:p>
            <w:pPr>
              <w:pStyle w:val="17"/>
              <w:bidi w:val="0"/>
              <w:rPr>
                <w:rFonts w:hint="default"/>
              </w:rPr>
            </w:pPr>
          </w:p>
        </w:tc>
        <w:tc>
          <w:tcPr>
            <w:tcW w:w="982" w:type="dxa"/>
            <w:vMerge w:val="continue"/>
            <w:tcBorders>
              <w:tl2br w:val="nil"/>
              <w:tr2bl w:val="nil"/>
            </w:tcBorders>
            <w:vAlign w:val="center"/>
          </w:tcPr>
          <w:p>
            <w:pPr>
              <w:pStyle w:val="17"/>
              <w:bidi w:val="0"/>
              <w:rPr>
                <w:rFonts w:hint="default"/>
              </w:rPr>
            </w:pPr>
          </w:p>
        </w:tc>
        <w:tc>
          <w:tcPr>
            <w:tcW w:w="1962" w:type="dxa"/>
            <w:gridSpan w:val="2"/>
            <w:tcBorders>
              <w:tl2br w:val="nil"/>
              <w:tr2bl w:val="nil"/>
            </w:tcBorders>
            <w:vAlign w:val="center"/>
          </w:tcPr>
          <w:p>
            <w:pPr>
              <w:pStyle w:val="17"/>
              <w:bidi w:val="0"/>
              <w:rPr>
                <w:rFonts w:hint="default"/>
              </w:rPr>
            </w:pPr>
            <w:r>
              <w:rPr>
                <w:rFonts w:hint="default"/>
              </w:rPr>
              <w:t>1小时平均</w:t>
            </w:r>
          </w:p>
        </w:tc>
        <w:tc>
          <w:tcPr>
            <w:tcW w:w="1401" w:type="dxa"/>
            <w:tcBorders>
              <w:tl2br w:val="nil"/>
              <w:tr2bl w:val="nil"/>
            </w:tcBorders>
            <w:vAlign w:val="center"/>
          </w:tcPr>
          <w:p>
            <w:pPr>
              <w:pStyle w:val="17"/>
              <w:bidi w:val="0"/>
              <w:rPr>
                <w:rFonts w:hint="default"/>
              </w:rPr>
            </w:pPr>
            <w:r>
              <w:rPr>
                <w:rFonts w:hint="default"/>
              </w:rPr>
              <w:t>200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default"/>
              </w:rPr>
            </w:pPr>
            <w:r>
              <w:rPr>
                <w:rFonts w:hint="default"/>
              </w:rPr>
              <w:t>VOC（以NMHC计）</w:t>
            </w:r>
          </w:p>
        </w:tc>
        <w:tc>
          <w:tcPr>
            <w:tcW w:w="982" w:type="dxa"/>
            <w:tcBorders>
              <w:tl2br w:val="nil"/>
              <w:tr2bl w:val="nil"/>
            </w:tcBorders>
            <w:vAlign w:val="center"/>
          </w:tcPr>
          <w:p>
            <w:pPr>
              <w:pStyle w:val="17"/>
              <w:bidi w:val="0"/>
              <w:rPr>
                <w:rFonts w:hint="eastAsia"/>
                <w:lang w:eastAsia="zh-CN"/>
              </w:rPr>
            </w:pPr>
            <w:r>
              <w:rPr>
                <w:rFonts w:hint="default"/>
              </w:rPr>
              <w:t>mg/</w:t>
            </w:r>
            <w:r>
              <w:rPr>
                <w:rFonts w:hint="eastAsia"/>
                <w:lang w:eastAsia="zh-CN"/>
              </w:rPr>
              <w:t>m³</w:t>
            </w:r>
          </w:p>
        </w:tc>
        <w:tc>
          <w:tcPr>
            <w:tcW w:w="1962" w:type="dxa"/>
            <w:gridSpan w:val="2"/>
            <w:tcBorders>
              <w:tl2br w:val="nil"/>
              <w:tr2bl w:val="nil"/>
            </w:tcBorders>
            <w:vAlign w:val="center"/>
          </w:tcPr>
          <w:p>
            <w:pPr>
              <w:pStyle w:val="17"/>
              <w:bidi w:val="0"/>
              <w:rPr>
                <w:rFonts w:hint="default"/>
              </w:rPr>
            </w:pPr>
            <w:r>
              <w:rPr>
                <w:rFonts w:hint="default"/>
              </w:rPr>
              <w:t>1小时平均</w:t>
            </w:r>
          </w:p>
        </w:tc>
        <w:tc>
          <w:tcPr>
            <w:tcW w:w="1401" w:type="dxa"/>
            <w:tcBorders>
              <w:tl2br w:val="nil"/>
              <w:tr2bl w:val="nil"/>
            </w:tcBorders>
            <w:vAlign w:val="center"/>
          </w:tcPr>
          <w:p>
            <w:pPr>
              <w:pStyle w:val="17"/>
              <w:bidi w:val="0"/>
              <w:rPr>
                <w:rFonts w:hint="default"/>
              </w:rPr>
            </w:pPr>
            <w:r>
              <w:rPr>
                <w:rFonts w:hint="default"/>
              </w:rPr>
              <w:t>2</w:t>
            </w:r>
          </w:p>
        </w:tc>
        <w:tc>
          <w:tcPr>
            <w:tcW w:w="2217" w:type="dxa"/>
            <w:tcBorders>
              <w:tl2br w:val="nil"/>
              <w:tr2bl w:val="nil"/>
            </w:tcBorders>
            <w:vAlign w:val="center"/>
          </w:tcPr>
          <w:p>
            <w:pPr>
              <w:pStyle w:val="17"/>
              <w:bidi w:val="0"/>
              <w:rPr>
                <w:rFonts w:hint="default"/>
              </w:rPr>
            </w:pPr>
            <w:r>
              <w:rPr>
                <w:rFonts w:hint="default"/>
              </w:rPr>
              <w:t>大气污染物综合排放标准详解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restart"/>
            <w:tcBorders>
              <w:tl2br w:val="nil"/>
              <w:tr2bl w:val="nil"/>
            </w:tcBorders>
            <w:vAlign w:val="center"/>
          </w:tcPr>
          <w:p>
            <w:pPr>
              <w:pStyle w:val="17"/>
              <w:bidi w:val="0"/>
              <w:rPr>
                <w:rFonts w:hint="default"/>
              </w:rPr>
            </w:pPr>
            <w:r>
              <w:rPr>
                <w:rFonts w:hint="default"/>
              </w:rPr>
              <w:t>地下水</w:t>
            </w:r>
          </w:p>
        </w:tc>
        <w:tc>
          <w:tcPr>
            <w:tcW w:w="1765" w:type="dxa"/>
            <w:tcBorders>
              <w:tl2br w:val="nil"/>
              <w:tr2bl w:val="nil"/>
            </w:tcBorders>
            <w:vAlign w:val="center"/>
          </w:tcPr>
          <w:p>
            <w:pPr>
              <w:pStyle w:val="17"/>
              <w:bidi w:val="0"/>
              <w:rPr>
                <w:rFonts w:hint="default"/>
              </w:rPr>
            </w:pPr>
            <w:r>
              <w:rPr>
                <w:rFonts w:hint="default"/>
              </w:rPr>
              <w:t>pH值</w:t>
            </w:r>
          </w:p>
        </w:tc>
        <w:tc>
          <w:tcPr>
            <w:tcW w:w="982" w:type="dxa"/>
            <w:tcBorders>
              <w:tl2br w:val="nil"/>
              <w:tr2bl w:val="nil"/>
            </w:tcBorders>
            <w:vAlign w:val="center"/>
          </w:tcPr>
          <w:p>
            <w:pPr>
              <w:pStyle w:val="17"/>
              <w:bidi w:val="0"/>
              <w:rPr>
                <w:rFonts w:hint="default"/>
              </w:rPr>
            </w:pPr>
            <w:r>
              <w:rPr>
                <w:rFonts w:hint="default"/>
              </w:rPr>
              <w:t>无量纲</w:t>
            </w:r>
          </w:p>
        </w:tc>
        <w:tc>
          <w:tcPr>
            <w:tcW w:w="3363" w:type="dxa"/>
            <w:gridSpan w:val="3"/>
            <w:tcBorders>
              <w:tl2br w:val="nil"/>
              <w:tr2bl w:val="nil"/>
            </w:tcBorders>
            <w:vAlign w:val="center"/>
          </w:tcPr>
          <w:p>
            <w:pPr>
              <w:pStyle w:val="17"/>
              <w:bidi w:val="0"/>
              <w:rPr>
                <w:rFonts w:hint="default"/>
              </w:rPr>
            </w:pPr>
            <w:r>
              <w:rPr>
                <w:rFonts w:hint="default"/>
              </w:rPr>
              <w:t>6.5～8.5</w:t>
            </w:r>
          </w:p>
        </w:tc>
        <w:tc>
          <w:tcPr>
            <w:tcW w:w="2217" w:type="dxa"/>
            <w:vMerge w:val="restart"/>
            <w:tcBorders>
              <w:tl2br w:val="nil"/>
              <w:tr2bl w:val="nil"/>
            </w:tcBorders>
            <w:vAlign w:val="center"/>
          </w:tcPr>
          <w:p>
            <w:pPr>
              <w:pStyle w:val="17"/>
              <w:bidi w:val="0"/>
              <w:rPr>
                <w:rFonts w:hint="default"/>
              </w:rPr>
            </w:pPr>
            <w:r>
              <w:rPr>
                <w:rFonts w:hint="default"/>
              </w:rPr>
              <w:t>《地下水质量标准》(GB／T14848-2017)</w:t>
            </w:r>
          </w:p>
          <w:p>
            <w:pPr>
              <w:pStyle w:val="17"/>
              <w:bidi w:val="0"/>
              <w:rPr>
                <w:rFonts w:hint="default"/>
              </w:rPr>
            </w:pPr>
            <w:r>
              <w:rPr>
                <w:rFonts w:hint="default"/>
              </w:rPr>
              <w:t>中Ⅲ类标准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eastAsia="zh-CN"/>
              </w:rPr>
            </w:pPr>
            <w:r>
              <w:rPr>
                <w:rFonts w:hint="eastAsia"/>
                <w:lang w:val="en-US" w:eastAsia="zh-CN"/>
              </w:rPr>
              <w:t>总硬度</w:t>
            </w:r>
          </w:p>
        </w:tc>
        <w:tc>
          <w:tcPr>
            <w:tcW w:w="982" w:type="dxa"/>
            <w:vMerge w:val="restart"/>
            <w:tcBorders>
              <w:tl2br w:val="nil"/>
              <w:tr2bl w:val="nil"/>
            </w:tcBorders>
            <w:vAlign w:val="center"/>
          </w:tcPr>
          <w:p>
            <w:pPr>
              <w:pStyle w:val="17"/>
              <w:bidi w:val="0"/>
              <w:rPr>
                <w:rFonts w:hint="default"/>
              </w:rPr>
            </w:pPr>
            <w:r>
              <w:rPr>
                <w:rFonts w:hint="default"/>
              </w:rPr>
              <w:t>mg/L</w:t>
            </w: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450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default"/>
                <w:lang w:val="en-US" w:eastAsia="zh-CN"/>
              </w:rPr>
            </w:pPr>
            <w:r>
              <w:rPr>
                <w:rFonts w:hint="eastAsia"/>
                <w:lang w:val="en-US" w:eastAsia="zh-CN"/>
              </w:rPr>
              <w:t>溶解性总固体</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1000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氯化物</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250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硝酸盐</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20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氨氮</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0.50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default"/>
                <w:lang w:val="en-US" w:eastAsia="zh-CN"/>
              </w:rPr>
            </w:pPr>
            <w:r>
              <w:rPr>
                <w:rFonts w:hint="eastAsia"/>
                <w:lang w:val="en-US" w:eastAsia="zh-CN"/>
              </w:rPr>
              <w:t>挥发酚</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0.002</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氰化物</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0.05</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氟化物</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1.0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硫酸盐</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250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砷</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0.01</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汞</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0.001</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铅</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0.01</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铜</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1.00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镉</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0.005</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铁</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0.3</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锰</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0.10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锌</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1.00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铝</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0.20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耗氧量</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3.0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eastAsia"/>
                <w:lang w:val="en-US" w:eastAsia="zh-CN"/>
              </w:rPr>
            </w:pPr>
            <w:r>
              <w:rPr>
                <w:rFonts w:hint="eastAsia"/>
                <w:lang w:val="en-US" w:eastAsia="zh-CN"/>
              </w:rPr>
              <w:t>六价铬</w:t>
            </w:r>
          </w:p>
        </w:tc>
        <w:tc>
          <w:tcPr>
            <w:tcW w:w="982" w:type="dxa"/>
            <w:vMerge w:val="continue"/>
            <w:tcBorders>
              <w:tl2br w:val="nil"/>
              <w:tr2bl w:val="nil"/>
            </w:tcBorders>
            <w:vAlign w:val="center"/>
          </w:tcPr>
          <w:p>
            <w:pPr>
              <w:pStyle w:val="17"/>
              <w:bidi w:val="0"/>
              <w:rPr>
                <w:rFonts w:hint="default"/>
              </w:rPr>
            </w:pPr>
          </w:p>
        </w:tc>
        <w:tc>
          <w:tcPr>
            <w:tcW w:w="3363" w:type="dxa"/>
            <w:gridSpan w:val="3"/>
            <w:tcBorders>
              <w:tl2br w:val="nil"/>
              <w:tr2bl w:val="nil"/>
            </w:tcBorders>
            <w:vAlign w:val="center"/>
          </w:tcPr>
          <w:p>
            <w:pPr>
              <w:pStyle w:val="17"/>
              <w:bidi w:val="0"/>
              <w:rPr>
                <w:rFonts w:hint="default"/>
                <w:lang w:val="en-US" w:eastAsia="zh-CN"/>
              </w:rPr>
            </w:pPr>
            <w:r>
              <w:rPr>
                <w:rFonts w:hint="default"/>
              </w:rPr>
              <w:t>≤</w:t>
            </w:r>
            <w:r>
              <w:rPr>
                <w:rFonts w:hint="eastAsia"/>
                <w:lang w:val="en-US" w:eastAsia="zh-CN"/>
              </w:rPr>
              <w:t>0.05</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default"/>
                <w:lang w:val="en-US" w:eastAsia="zh-CN"/>
              </w:rPr>
            </w:pPr>
            <w:r>
              <w:rPr>
                <w:rFonts w:hint="eastAsia"/>
                <w:lang w:val="en-US" w:eastAsia="zh-CN"/>
              </w:rPr>
              <w:t>总大肠菌群</w:t>
            </w:r>
          </w:p>
        </w:tc>
        <w:tc>
          <w:tcPr>
            <w:tcW w:w="982" w:type="dxa"/>
            <w:tcBorders>
              <w:tl2br w:val="nil"/>
              <w:tr2bl w:val="nil"/>
            </w:tcBorders>
            <w:vAlign w:val="center"/>
          </w:tcPr>
          <w:p>
            <w:pPr>
              <w:pStyle w:val="17"/>
              <w:bidi w:val="0"/>
              <w:rPr>
                <w:rFonts w:hint="default"/>
              </w:rPr>
            </w:pPr>
            <w:r>
              <w:rPr>
                <w:rFonts w:hint="eastAsia"/>
                <w:lang w:val="en-US" w:eastAsia="zh-CN"/>
              </w:rPr>
              <w:t>MPN</w:t>
            </w:r>
            <w:r>
              <w:rPr>
                <w:rFonts w:hint="default"/>
              </w:rPr>
              <w:t>/</w:t>
            </w:r>
            <w:r>
              <w:rPr>
                <w:rFonts w:hint="eastAsia"/>
                <w:lang w:val="en-US" w:eastAsia="zh-CN"/>
              </w:rPr>
              <w:t>100m</w:t>
            </w:r>
            <w:r>
              <w:rPr>
                <w:rFonts w:hint="default"/>
              </w:rPr>
              <w:t>L</w:t>
            </w:r>
          </w:p>
        </w:tc>
        <w:tc>
          <w:tcPr>
            <w:tcW w:w="3363" w:type="dxa"/>
            <w:gridSpan w:val="3"/>
            <w:tcBorders>
              <w:tl2br w:val="nil"/>
              <w:tr2bl w:val="nil"/>
            </w:tcBorders>
            <w:vAlign w:val="center"/>
          </w:tcPr>
          <w:p>
            <w:pPr>
              <w:pStyle w:val="17"/>
              <w:bidi w:val="0"/>
              <w:rPr>
                <w:rFonts w:hint="default"/>
              </w:rPr>
            </w:pPr>
            <w:r>
              <w:rPr>
                <w:rFonts w:hint="default"/>
              </w:rPr>
              <w:t>≤3.0</w:t>
            </w:r>
          </w:p>
        </w:tc>
        <w:tc>
          <w:tcPr>
            <w:tcW w:w="22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restart"/>
            <w:tcBorders>
              <w:tl2br w:val="nil"/>
              <w:tr2bl w:val="nil"/>
            </w:tcBorders>
            <w:vAlign w:val="center"/>
          </w:tcPr>
          <w:p>
            <w:pPr>
              <w:pStyle w:val="17"/>
              <w:bidi w:val="0"/>
              <w:rPr>
                <w:rFonts w:hint="default"/>
              </w:rPr>
            </w:pPr>
            <w:r>
              <w:rPr>
                <w:rFonts w:hint="default"/>
              </w:rPr>
              <w:t>声环境</w:t>
            </w:r>
          </w:p>
        </w:tc>
        <w:tc>
          <w:tcPr>
            <w:tcW w:w="1765" w:type="dxa"/>
            <w:tcBorders>
              <w:tl2br w:val="nil"/>
              <w:tr2bl w:val="nil"/>
            </w:tcBorders>
            <w:vAlign w:val="center"/>
          </w:tcPr>
          <w:p>
            <w:pPr>
              <w:pStyle w:val="17"/>
              <w:bidi w:val="0"/>
              <w:rPr>
                <w:rFonts w:hint="default"/>
              </w:rPr>
            </w:pPr>
            <w:r>
              <w:rPr>
                <w:rFonts w:hint="default"/>
              </w:rPr>
              <w:t>功能区类别</w:t>
            </w:r>
          </w:p>
        </w:tc>
        <w:tc>
          <w:tcPr>
            <w:tcW w:w="982" w:type="dxa"/>
            <w:vMerge w:val="restart"/>
            <w:tcBorders>
              <w:tl2br w:val="nil"/>
              <w:tr2bl w:val="nil"/>
            </w:tcBorders>
            <w:vAlign w:val="center"/>
          </w:tcPr>
          <w:p>
            <w:pPr>
              <w:pStyle w:val="17"/>
              <w:bidi w:val="0"/>
              <w:rPr>
                <w:rFonts w:hint="default"/>
              </w:rPr>
            </w:pPr>
            <w:r>
              <w:rPr>
                <w:rFonts w:hint="default"/>
              </w:rPr>
              <w:t>dB（A）</w:t>
            </w:r>
          </w:p>
        </w:tc>
        <w:tc>
          <w:tcPr>
            <w:tcW w:w="1730" w:type="dxa"/>
            <w:tcBorders>
              <w:tl2br w:val="nil"/>
              <w:tr2bl w:val="nil"/>
            </w:tcBorders>
            <w:vAlign w:val="center"/>
          </w:tcPr>
          <w:p>
            <w:pPr>
              <w:pStyle w:val="17"/>
              <w:bidi w:val="0"/>
              <w:rPr>
                <w:rFonts w:hint="default"/>
              </w:rPr>
            </w:pPr>
            <w:r>
              <w:rPr>
                <w:rFonts w:hint="default"/>
              </w:rPr>
              <w:t>昼间</w:t>
            </w:r>
          </w:p>
        </w:tc>
        <w:tc>
          <w:tcPr>
            <w:tcW w:w="1633" w:type="dxa"/>
            <w:gridSpan w:val="2"/>
            <w:tcBorders>
              <w:tl2br w:val="nil"/>
              <w:tr2bl w:val="nil"/>
            </w:tcBorders>
            <w:vAlign w:val="center"/>
          </w:tcPr>
          <w:p>
            <w:pPr>
              <w:pStyle w:val="17"/>
              <w:bidi w:val="0"/>
              <w:rPr>
                <w:rFonts w:hint="default"/>
              </w:rPr>
            </w:pPr>
            <w:r>
              <w:rPr>
                <w:rFonts w:hint="default"/>
              </w:rPr>
              <w:t>夜间</w:t>
            </w:r>
          </w:p>
        </w:tc>
        <w:tc>
          <w:tcPr>
            <w:tcW w:w="2217" w:type="dxa"/>
            <w:vMerge w:val="restart"/>
            <w:tcBorders>
              <w:tl2br w:val="nil"/>
              <w:tr2bl w:val="nil"/>
            </w:tcBorders>
            <w:vAlign w:val="center"/>
          </w:tcPr>
          <w:p>
            <w:pPr>
              <w:pStyle w:val="17"/>
              <w:bidi w:val="0"/>
              <w:rPr>
                <w:rFonts w:hint="default"/>
              </w:rPr>
            </w:pPr>
            <w:r>
              <w:rPr>
                <w:rFonts w:hint="default"/>
              </w:rPr>
              <w:t>《声环境质量标准》(GB3096-2008)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44" w:type="dxa"/>
            <w:vMerge w:val="continue"/>
            <w:tcBorders>
              <w:tl2br w:val="nil"/>
              <w:tr2bl w:val="nil"/>
            </w:tcBorders>
            <w:vAlign w:val="center"/>
          </w:tcPr>
          <w:p>
            <w:pPr>
              <w:pStyle w:val="17"/>
              <w:bidi w:val="0"/>
              <w:rPr>
                <w:rFonts w:hint="default"/>
              </w:rPr>
            </w:pPr>
          </w:p>
        </w:tc>
        <w:tc>
          <w:tcPr>
            <w:tcW w:w="1765" w:type="dxa"/>
            <w:tcBorders>
              <w:tl2br w:val="nil"/>
              <w:tr2bl w:val="nil"/>
            </w:tcBorders>
            <w:vAlign w:val="center"/>
          </w:tcPr>
          <w:p>
            <w:pPr>
              <w:pStyle w:val="17"/>
              <w:bidi w:val="0"/>
              <w:rPr>
                <w:rFonts w:hint="default"/>
              </w:rPr>
            </w:pPr>
            <w:r>
              <w:rPr>
                <w:rFonts w:hint="eastAsia"/>
                <w:lang w:val="en-US" w:eastAsia="zh-CN"/>
              </w:rPr>
              <w:t>2</w:t>
            </w:r>
            <w:r>
              <w:rPr>
                <w:rFonts w:hint="default"/>
              </w:rPr>
              <w:t>类</w:t>
            </w:r>
          </w:p>
        </w:tc>
        <w:tc>
          <w:tcPr>
            <w:tcW w:w="982" w:type="dxa"/>
            <w:vMerge w:val="continue"/>
            <w:tcBorders>
              <w:tl2br w:val="nil"/>
              <w:tr2bl w:val="nil"/>
            </w:tcBorders>
            <w:vAlign w:val="center"/>
          </w:tcPr>
          <w:p>
            <w:pPr>
              <w:pStyle w:val="17"/>
              <w:bidi w:val="0"/>
              <w:rPr>
                <w:rFonts w:hint="default"/>
              </w:rPr>
            </w:pPr>
          </w:p>
        </w:tc>
        <w:tc>
          <w:tcPr>
            <w:tcW w:w="1730" w:type="dxa"/>
            <w:tcBorders>
              <w:tl2br w:val="nil"/>
              <w:tr2bl w:val="nil"/>
            </w:tcBorders>
            <w:vAlign w:val="center"/>
          </w:tcPr>
          <w:p>
            <w:pPr>
              <w:pStyle w:val="17"/>
              <w:bidi w:val="0"/>
              <w:rPr>
                <w:rFonts w:hint="default" w:eastAsia="宋体"/>
                <w:lang w:val="en-US" w:eastAsia="zh-CN"/>
              </w:rPr>
            </w:pPr>
            <w:r>
              <w:rPr>
                <w:rFonts w:hint="eastAsia"/>
                <w:lang w:val="en-US" w:eastAsia="zh-CN"/>
              </w:rPr>
              <w:t>60</w:t>
            </w:r>
          </w:p>
        </w:tc>
        <w:tc>
          <w:tcPr>
            <w:tcW w:w="1633" w:type="dxa"/>
            <w:gridSpan w:val="2"/>
            <w:tcBorders>
              <w:tl2br w:val="nil"/>
              <w:tr2bl w:val="nil"/>
            </w:tcBorders>
            <w:vAlign w:val="center"/>
          </w:tcPr>
          <w:p>
            <w:pPr>
              <w:pStyle w:val="17"/>
              <w:bidi w:val="0"/>
              <w:rPr>
                <w:rFonts w:hint="default" w:eastAsia="宋体"/>
                <w:lang w:val="en-US" w:eastAsia="zh-CN"/>
              </w:rPr>
            </w:pPr>
            <w:r>
              <w:rPr>
                <w:rFonts w:hint="eastAsia"/>
                <w:lang w:val="en-US" w:eastAsia="zh-CN"/>
              </w:rPr>
              <w:t>50</w:t>
            </w:r>
          </w:p>
        </w:tc>
        <w:tc>
          <w:tcPr>
            <w:tcW w:w="2217" w:type="dxa"/>
            <w:vMerge w:val="continue"/>
            <w:tcBorders>
              <w:tl2br w:val="nil"/>
              <w:tr2bl w:val="nil"/>
            </w:tcBorders>
            <w:vAlign w:val="center"/>
          </w:tcPr>
          <w:p>
            <w:pPr>
              <w:pStyle w:val="17"/>
              <w:bidi w:val="0"/>
              <w:rPr>
                <w:rFonts w:hint="default"/>
              </w:rPr>
            </w:pPr>
          </w:p>
        </w:tc>
      </w:tr>
    </w:tbl>
    <w:p>
      <w:pPr>
        <w:pStyle w:val="17"/>
        <w:bidi w:val="0"/>
        <w:rPr>
          <w:rFonts w:hint="default"/>
          <w:b/>
          <w:bCs/>
        </w:rPr>
      </w:pPr>
      <w:r>
        <w:rPr>
          <w:rFonts w:hint="default"/>
          <w:b/>
          <w:bCs/>
        </w:rPr>
        <w:t>表2.5-6</w:t>
      </w:r>
      <w:r>
        <w:rPr>
          <w:rFonts w:hint="eastAsia"/>
          <w:b/>
          <w:bCs/>
          <w:lang w:val="en-US" w:eastAsia="zh-CN"/>
        </w:rPr>
        <w:t xml:space="preserve">  </w:t>
      </w:r>
      <w:r>
        <w:rPr>
          <w:rFonts w:hint="default"/>
          <w:b/>
          <w:bCs/>
        </w:rPr>
        <w:t xml:space="preserve"> 土壤环境质量标准（GB36600-2018）</w:t>
      </w:r>
      <w:r>
        <w:rPr>
          <w:rFonts w:hint="eastAsia"/>
          <w:b/>
          <w:bCs/>
          <w:lang w:val="en-US" w:eastAsia="zh-CN"/>
        </w:rPr>
        <w:t xml:space="preserve"> </w:t>
      </w:r>
      <w:r>
        <w:rPr>
          <w:rFonts w:hint="default"/>
          <w:b/>
          <w:bCs/>
        </w:rPr>
        <w:t xml:space="preserve">  单位：mg/kg</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024"/>
        <w:gridCol w:w="1867"/>
        <w:gridCol w:w="826"/>
        <w:gridCol w:w="1585"/>
        <w:gridCol w:w="19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tcBorders>
              <w:tl2br w:val="nil"/>
              <w:tr2bl w:val="nil"/>
            </w:tcBorders>
            <w:vAlign w:val="center"/>
          </w:tcPr>
          <w:p>
            <w:pPr>
              <w:pStyle w:val="17"/>
              <w:bidi w:val="0"/>
              <w:rPr>
                <w:rFonts w:hint="default"/>
                <w:b/>
                <w:bCs/>
              </w:rPr>
            </w:pPr>
            <w:r>
              <w:rPr>
                <w:rFonts w:hint="default"/>
                <w:b/>
                <w:bCs/>
              </w:rPr>
              <w:t>序号</w:t>
            </w:r>
          </w:p>
        </w:tc>
        <w:tc>
          <w:tcPr>
            <w:tcW w:w="2024" w:type="dxa"/>
            <w:tcBorders>
              <w:tl2br w:val="nil"/>
              <w:tr2bl w:val="nil"/>
            </w:tcBorders>
            <w:vAlign w:val="center"/>
          </w:tcPr>
          <w:p>
            <w:pPr>
              <w:pStyle w:val="17"/>
              <w:bidi w:val="0"/>
              <w:rPr>
                <w:rFonts w:hint="default"/>
                <w:b/>
                <w:bCs/>
              </w:rPr>
            </w:pPr>
            <w:r>
              <w:rPr>
                <w:rFonts w:hint="default"/>
                <w:b/>
                <w:bCs/>
              </w:rPr>
              <w:t>污染物项目</w:t>
            </w:r>
          </w:p>
        </w:tc>
        <w:tc>
          <w:tcPr>
            <w:tcW w:w="1867" w:type="dxa"/>
            <w:tcBorders>
              <w:tl2br w:val="nil"/>
              <w:tr2bl w:val="nil"/>
            </w:tcBorders>
            <w:vAlign w:val="center"/>
          </w:tcPr>
          <w:p>
            <w:pPr>
              <w:pStyle w:val="17"/>
              <w:bidi w:val="0"/>
              <w:rPr>
                <w:rFonts w:hint="default"/>
                <w:b/>
                <w:bCs/>
              </w:rPr>
            </w:pPr>
            <w:r>
              <w:rPr>
                <w:rFonts w:hint="default"/>
                <w:b/>
                <w:bCs/>
              </w:rPr>
              <w:t>第二类用地</w:t>
            </w:r>
          </w:p>
          <w:p>
            <w:pPr>
              <w:pStyle w:val="17"/>
              <w:bidi w:val="0"/>
              <w:rPr>
                <w:rFonts w:hint="default"/>
                <w:b/>
                <w:bCs/>
              </w:rPr>
            </w:pPr>
            <w:r>
              <w:rPr>
                <w:rFonts w:hint="default"/>
                <w:b/>
                <w:bCs/>
              </w:rPr>
              <w:t>筛选值</w:t>
            </w:r>
          </w:p>
        </w:tc>
        <w:tc>
          <w:tcPr>
            <w:tcW w:w="826" w:type="dxa"/>
            <w:tcBorders>
              <w:tl2br w:val="nil"/>
              <w:tr2bl w:val="nil"/>
            </w:tcBorders>
            <w:vAlign w:val="center"/>
          </w:tcPr>
          <w:p>
            <w:pPr>
              <w:pStyle w:val="17"/>
              <w:bidi w:val="0"/>
              <w:rPr>
                <w:rFonts w:hint="default"/>
                <w:b/>
                <w:bCs/>
              </w:rPr>
            </w:pPr>
            <w:r>
              <w:rPr>
                <w:rFonts w:hint="default"/>
                <w:b/>
                <w:bCs/>
              </w:rPr>
              <w:t>序号</w:t>
            </w:r>
          </w:p>
        </w:tc>
        <w:tc>
          <w:tcPr>
            <w:tcW w:w="1585" w:type="dxa"/>
            <w:tcBorders>
              <w:tl2br w:val="nil"/>
              <w:tr2bl w:val="nil"/>
            </w:tcBorders>
            <w:vAlign w:val="center"/>
          </w:tcPr>
          <w:p>
            <w:pPr>
              <w:pStyle w:val="17"/>
              <w:bidi w:val="0"/>
              <w:rPr>
                <w:rFonts w:hint="default"/>
                <w:b/>
                <w:bCs/>
              </w:rPr>
            </w:pPr>
            <w:r>
              <w:rPr>
                <w:rFonts w:hint="default"/>
                <w:b/>
                <w:bCs/>
              </w:rPr>
              <w:t>污染物项目</w:t>
            </w:r>
          </w:p>
        </w:tc>
        <w:tc>
          <w:tcPr>
            <w:tcW w:w="1944" w:type="dxa"/>
            <w:tcBorders>
              <w:tl2br w:val="nil"/>
              <w:tr2bl w:val="nil"/>
            </w:tcBorders>
            <w:vAlign w:val="center"/>
          </w:tcPr>
          <w:p>
            <w:pPr>
              <w:pStyle w:val="17"/>
              <w:bidi w:val="0"/>
              <w:rPr>
                <w:rFonts w:hint="default"/>
                <w:b/>
                <w:bCs/>
              </w:rPr>
            </w:pPr>
            <w:r>
              <w:rPr>
                <w:rFonts w:hint="default"/>
                <w:b/>
                <w:bCs/>
              </w:rPr>
              <w:t>第二类用地</w:t>
            </w:r>
          </w:p>
          <w:p>
            <w:pPr>
              <w:pStyle w:val="17"/>
              <w:bidi w:val="0"/>
              <w:rPr>
                <w:rFonts w:hint="default"/>
                <w:b/>
                <w:bCs/>
              </w:rPr>
            </w:pPr>
            <w:r>
              <w:rPr>
                <w:rFonts w:hint="default"/>
                <w:b/>
                <w:bCs/>
              </w:rPr>
              <w:t>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071" w:type="dxa"/>
            <w:gridSpan w:val="6"/>
            <w:tcBorders>
              <w:tl2br w:val="nil"/>
              <w:tr2bl w:val="nil"/>
            </w:tcBorders>
            <w:vAlign w:val="center"/>
          </w:tcPr>
          <w:p>
            <w:pPr>
              <w:pStyle w:val="17"/>
              <w:bidi w:val="0"/>
              <w:rPr>
                <w:rFonts w:hint="default"/>
              </w:rPr>
            </w:pPr>
            <w:r>
              <w:rPr>
                <w:rFonts w:hint="default"/>
              </w:rPr>
              <w:t>重金属和无机物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tcBorders>
              <w:tl2br w:val="nil"/>
              <w:tr2bl w:val="nil"/>
            </w:tcBorders>
            <w:vAlign w:val="center"/>
          </w:tcPr>
          <w:p>
            <w:pPr>
              <w:pStyle w:val="17"/>
              <w:bidi w:val="0"/>
              <w:rPr>
                <w:rFonts w:hint="default"/>
              </w:rPr>
            </w:pPr>
            <w:r>
              <w:rPr>
                <w:rFonts w:hint="default"/>
              </w:rPr>
              <w:t>1</w:t>
            </w:r>
          </w:p>
        </w:tc>
        <w:tc>
          <w:tcPr>
            <w:tcW w:w="2024" w:type="dxa"/>
            <w:tcBorders>
              <w:tl2br w:val="nil"/>
              <w:tr2bl w:val="nil"/>
            </w:tcBorders>
            <w:vAlign w:val="center"/>
          </w:tcPr>
          <w:p>
            <w:pPr>
              <w:pStyle w:val="17"/>
              <w:bidi w:val="0"/>
              <w:rPr>
                <w:rFonts w:hint="default"/>
              </w:rPr>
            </w:pPr>
            <w:r>
              <w:rPr>
                <w:rFonts w:hint="default"/>
              </w:rPr>
              <w:t>砷</w:t>
            </w:r>
          </w:p>
        </w:tc>
        <w:tc>
          <w:tcPr>
            <w:tcW w:w="1867" w:type="dxa"/>
            <w:tcBorders>
              <w:tl2br w:val="nil"/>
              <w:tr2bl w:val="nil"/>
            </w:tcBorders>
            <w:vAlign w:val="center"/>
          </w:tcPr>
          <w:p>
            <w:pPr>
              <w:pStyle w:val="17"/>
              <w:bidi w:val="0"/>
              <w:rPr>
                <w:rFonts w:hint="default"/>
              </w:rPr>
            </w:pPr>
            <w:r>
              <w:rPr>
                <w:rFonts w:hint="default"/>
              </w:rPr>
              <w:t>≤60</w:t>
            </w:r>
          </w:p>
        </w:tc>
        <w:tc>
          <w:tcPr>
            <w:tcW w:w="826" w:type="dxa"/>
            <w:tcBorders>
              <w:tl2br w:val="nil"/>
              <w:tr2bl w:val="nil"/>
            </w:tcBorders>
            <w:vAlign w:val="center"/>
          </w:tcPr>
          <w:p>
            <w:pPr>
              <w:pStyle w:val="17"/>
              <w:bidi w:val="0"/>
              <w:rPr>
                <w:rFonts w:hint="default"/>
              </w:rPr>
            </w:pPr>
            <w:r>
              <w:rPr>
                <w:rFonts w:hint="default"/>
              </w:rPr>
              <w:t>5</w:t>
            </w:r>
          </w:p>
        </w:tc>
        <w:tc>
          <w:tcPr>
            <w:tcW w:w="1585" w:type="dxa"/>
            <w:tcBorders>
              <w:tl2br w:val="nil"/>
              <w:tr2bl w:val="nil"/>
            </w:tcBorders>
            <w:vAlign w:val="center"/>
          </w:tcPr>
          <w:p>
            <w:pPr>
              <w:pStyle w:val="17"/>
              <w:bidi w:val="0"/>
              <w:rPr>
                <w:rFonts w:hint="default"/>
              </w:rPr>
            </w:pPr>
            <w:r>
              <w:rPr>
                <w:rFonts w:hint="default"/>
              </w:rPr>
              <w:t>铅</w:t>
            </w:r>
          </w:p>
        </w:tc>
        <w:tc>
          <w:tcPr>
            <w:tcW w:w="1944" w:type="dxa"/>
            <w:tcBorders>
              <w:tl2br w:val="nil"/>
              <w:tr2bl w:val="nil"/>
            </w:tcBorders>
            <w:vAlign w:val="center"/>
          </w:tcPr>
          <w:p>
            <w:pPr>
              <w:pStyle w:val="17"/>
              <w:bidi w:val="0"/>
              <w:rPr>
                <w:rFonts w:hint="default"/>
              </w:rPr>
            </w:pPr>
            <w:r>
              <w:rPr>
                <w:rFonts w:hint="default"/>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tcBorders>
              <w:tl2br w:val="nil"/>
              <w:tr2bl w:val="nil"/>
            </w:tcBorders>
            <w:vAlign w:val="center"/>
          </w:tcPr>
          <w:p>
            <w:pPr>
              <w:pStyle w:val="17"/>
              <w:bidi w:val="0"/>
              <w:rPr>
                <w:rFonts w:hint="default"/>
              </w:rPr>
            </w:pPr>
            <w:r>
              <w:rPr>
                <w:rFonts w:hint="default"/>
              </w:rPr>
              <w:t>2</w:t>
            </w:r>
          </w:p>
        </w:tc>
        <w:tc>
          <w:tcPr>
            <w:tcW w:w="2024" w:type="dxa"/>
            <w:tcBorders>
              <w:tl2br w:val="nil"/>
              <w:tr2bl w:val="nil"/>
            </w:tcBorders>
            <w:vAlign w:val="center"/>
          </w:tcPr>
          <w:p>
            <w:pPr>
              <w:pStyle w:val="17"/>
              <w:bidi w:val="0"/>
              <w:rPr>
                <w:rFonts w:hint="default"/>
              </w:rPr>
            </w:pPr>
            <w:r>
              <w:rPr>
                <w:rFonts w:hint="default"/>
              </w:rPr>
              <w:t>镉</w:t>
            </w:r>
          </w:p>
        </w:tc>
        <w:tc>
          <w:tcPr>
            <w:tcW w:w="1867" w:type="dxa"/>
            <w:tcBorders>
              <w:tl2br w:val="nil"/>
              <w:tr2bl w:val="nil"/>
            </w:tcBorders>
            <w:vAlign w:val="center"/>
          </w:tcPr>
          <w:p>
            <w:pPr>
              <w:pStyle w:val="17"/>
              <w:bidi w:val="0"/>
              <w:rPr>
                <w:rFonts w:hint="default"/>
              </w:rPr>
            </w:pPr>
            <w:r>
              <w:rPr>
                <w:rFonts w:hint="default"/>
              </w:rPr>
              <w:t>≤65</w:t>
            </w:r>
          </w:p>
        </w:tc>
        <w:tc>
          <w:tcPr>
            <w:tcW w:w="826" w:type="dxa"/>
            <w:tcBorders>
              <w:tl2br w:val="nil"/>
              <w:tr2bl w:val="nil"/>
            </w:tcBorders>
            <w:vAlign w:val="center"/>
          </w:tcPr>
          <w:p>
            <w:pPr>
              <w:pStyle w:val="17"/>
              <w:bidi w:val="0"/>
              <w:rPr>
                <w:rFonts w:hint="default"/>
              </w:rPr>
            </w:pPr>
            <w:r>
              <w:rPr>
                <w:rFonts w:hint="default"/>
              </w:rPr>
              <w:t>6</w:t>
            </w:r>
          </w:p>
        </w:tc>
        <w:tc>
          <w:tcPr>
            <w:tcW w:w="1585" w:type="dxa"/>
            <w:tcBorders>
              <w:tl2br w:val="nil"/>
              <w:tr2bl w:val="nil"/>
            </w:tcBorders>
            <w:vAlign w:val="center"/>
          </w:tcPr>
          <w:p>
            <w:pPr>
              <w:pStyle w:val="17"/>
              <w:bidi w:val="0"/>
              <w:rPr>
                <w:rFonts w:hint="default"/>
              </w:rPr>
            </w:pPr>
            <w:r>
              <w:rPr>
                <w:rFonts w:hint="default"/>
              </w:rPr>
              <w:t>汞</w:t>
            </w:r>
          </w:p>
        </w:tc>
        <w:tc>
          <w:tcPr>
            <w:tcW w:w="1944" w:type="dxa"/>
            <w:tcBorders>
              <w:tl2br w:val="nil"/>
              <w:tr2bl w:val="nil"/>
            </w:tcBorders>
            <w:vAlign w:val="center"/>
          </w:tcPr>
          <w:p>
            <w:pPr>
              <w:pStyle w:val="17"/>
              <w:bidi w:val="0"/>
              <w:rPr>
                <w:rFonts w:hint="default"/>
              </w:rPr>
            </w:pPr>
            <w:r>
              <w:rPr>
                <w:rFonts w:hint="default"/>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tcBorders>
              <w:tl2br w:val="nil"/>
              <w:tr2bl w:val="nil"/>
            </w:tcBorders>
            <w:vAlign w:val="center"/>
          </w:tcPr>
          <w:p>
            <w:pPr>
              <w:pStyle w:val="17"/>
              <w:bidi w:val="0"/>
              <w:rPr>
                <w:rFonts w:hint="default"/>
              </w:rPr>
            </w:pPr>
            <w:r>
              <w:rPr>
                <w:rFonts w:hint="default"/>
              </w:rPr>
              <w:t>3</w:t>
            </w:r>
          </w:p>
        </w:tc>
        <w:tc>
          <w:tcPr>
            <w:tcW w:w="2024" w:type="dxa"/>
            <w:tcBorders>
              <w:tl2br w:val="nil"/>
              <w:tr2bl w:val="nil"/>
            </w:tcBorders>
            <w:vAlign w:val="center"/>
          </w:tcPr>
          <w:p>
            <w:pPr>
              <w:pStyle w:val="17"/>
              <w:bidi w:val="0"/>
              <w:rPr>
                <w:rFonts w:hint="default"/>
              </w:rPr>
            </w:pPr>
            <w:r>
              <w:rPr>
                <w:rFonts w:hint="default"/>
              </w:rPr>
              <w:t>铬（六价）</w:t>
            </w:r>
          </w:p>
        </w:tc>
        <w:tc>
          <w:tcPr>
            <w:tcW w:w="1867" w:type="dxa"/>
            <w:tcBorders>
              <w:tl2br w:val="nil"/>
              <w:tr2bl w:val="nil"/>
            </w:tcBorders>
            <w:vAlign w:val="center"/>
          </w:tcPr>
          <w:p>
            <w:pPr>
              <w:pStyle w:val="17"/>
              <w:bidi w:val="0"/>
              <w:rPr>
                <w:rFonts w:hint="default"/>
              </w:rPr>
            </w:pPr>
            <w:r>
              <w:rPr>
                <w:rFonts w:hint="default"/>
              </w:rPr>
              <w:t>≤5.7</w:t>
            </w:r>
          </w:p>
        </w:tc>
        <w:tc>
          <w:tcPr>
            <w:tcW w:w="826" w:type="dxa"/>
            <w:tcBorders>
              <w:tl2br w:val="nil"/>
              <w:tr2bl w:val="nil"/>
            </w:tcBorders>
            <w:vAlign w:val="center"/>
          </w:tcPr>
          <w:p>
            <w:pPr>
              <w:pStyle w:val="17"/>
              <w:bidi w:val="0"/>
              <w:rPr>
                <w:rFonts w:hint="default"/>
              </w:rPr>
            </w:pPr>
            <w:r>
              <w:rPr>
                <w:rFonts w:hint="default"/>
              </w:rPr>
              <w:t>7</w:t>
            </w:r>
          </w:p>
        </w:tc>
        <w:tc>
          <w:tcPr>
            <w:tcW w:w="1585" w:type="dxa"/>
            <w:tcBorders>
              <w:tl2br w:val="nil"/>
              <w:tr2bl w:val="nil"/>
            </w:tcBorders>
            <w:vAlign w:val="center"/>
          </w:tcPr>
          <w:p>
            <w:pPr>
              <w:pStyle w:val="17"/>
              <w:bidi w:val="0"/>
              <w:rPr>
                <w:rFonts w:hint="default"/>
              </w:rPr>
            </w:pPr>
            <w:r>
              <w:rPr>
                <w:rFonts w:hint="default"/>
              </w:rPr>
              <w:t>镍</w:t>
            </w:r>
          </w:p>
        </w:tc>
        <w:tc>
          <w:tcPr>
            <w:tcW w:w="1944" w:type="dxa"/>
            <w:tcBorders>
              <w:tl2br w:val="nil"/>
              <w:tr2bl w:val="nil"/>
            </w:tcBorders>
          </w:tcPr>
          <w:p>
            <w:pPr>
              <w:pStyle w:val="17"/>
              <w:bidi w:val="0"/>
              <w:rPr>
                <w:rFonts w:hint="default"/>
              </w:rPr>
            </w:pPr>
            <w:r>
              <w:rPr>
                <w:rFonts w:hint="default"/>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5" w:type="dxa"/>
            <w:tcBorders>
              <w:tl2br w:val="nil"/>
              <w:tr2bl w:val="nil"/>
            </w:tcBorders>
            <w:vAlign w:val="center"/>
          </w:tcPr>
          <w:p>
            <w:pPr>
              <w:pStyle w:val="17"/>
              <w:bidi w:val="0"/>
              <w:rPr>
                <w:rFonts w:hint="default"/>
              </w:rPr>
            </w:pPr>
            <w:r>
              <w:rPr>
                <w:rFonts w:hint="default"/>
              </w:rPr>
              <w:t>4</w:t>
            </w:r>
          </w:p>
        </w:tc>
        <w:tc>
          <w:tcPr>
            <w:tcW w:w="2024" w:type="dxa"/>
            <w:tcBorders>
              <w:tl2br w:val="nil"/>
              <w:tr2bl w:val="nil"/>
            </w:tcBorders>
            <w:vAlign w:val="center"/>
          </w:tcPr>
          <w:p>
            <w:pPr>
              <w:pStyle w:val="17"/>
              <w:bidi w:val="0"/>
              <w:rPr>
                <w:rFonts w:hint="default"/>
              </w:rPr>
            </w:pPr>
            <w:r>
              <w:rPr>
                <w:rFonts w:hint="default"/>
              </w:rPr>
              <w:t>铜</w:t>
            </w:r>
          </w:p>
        </w:tc>
        <w:tc>
          <w:tcPr>
            <w:tcW w:w="1867" w:type="dxa"/>
            <w:tcBorders>
              <w:tl2br w:val="nil"/>
              <w:tr2bl w:val="nil"/>
            </w:tcBorders>
            <w:vAlign w:val="center"/>
          </w:tcPr>
          <w:p>
            <w:pPr>
              <w:pStyle w:val="17"/>
              <w:bidi w:val="0"/>
              <w:rPr>
                <w:rFonts w:hint="default"/>
              </w:rPr>
            </w:pPr>
            <w:r>
              <w:rPr>
                <w:rFonts w:hint="default"/>
              </w:rPr>
              <w:t>≤18000</w:t>
            </w:r>
          </w:p>
        </w:tc>
        <w:tc>
          <w:tcPr>
            <w:tcW w:w="826" w:type="dxa"/>
            <w:tcBorders>
              <w:tl2br w:val="nil"/>
              <w:tr2bl w:val="nil"/>
            </w:tcBorders>
            <w:vAlign w:val="center"/>
          </w:tcPr>
          <w:p>
            <w:pPr>
              <w:pStyle w:val="17"/>
              <w:bidi w:val="0"/>
              <w:rPr>
                <w:rFonts w:hint="default"/>
              </w:rPr>
            </w:pPr>
          </w:p>
        </w:tc>
        <w:tc>
          <w:tcPr>
            <w:tcW w:w="1585" w:type="dxa"/>
            <w:tcBorders>
              <w:tl2br w:val="nil"/>
              <w:tr2bl w:val="nil"/>
            </w:tcBorders>
            <w:vAlign w:val="center"/>
          </w:tcPr>
          <w:p>
            <w:pPr>
              <w:pStyle w:val="17"/>
              <w:bidi w:val="0"/>
              <w:rPr>
                <w:rFonts w:hint="default"/>
              </w:rPr>
            </w:pPr>
          </w:p>
        </w:tc>
        <w:tc>
          <w:tcPr>
            <w:tcW w:w="1944" w:type="dxa"/>
            <w:tcBorders>
              <w:tl2br w:val="nil"/>
              <w:tr2bl w:val="nil"/>
            </w:tcBorders>
            <w:vAlign w:val="center"/>
          </w:tcPr>
          <w:p>
            <w:pPr>
              <w:pStyle w:val="17"/>
              <w:bidi w:val="0"/>
              <w:rPr>
                <w:rFonts w:hint="default"/>
              </w:rPr>
            </w:pPr>
          </w:p>
        </w:tc>
      </w:tr>
    </w:tbl>
    <w:p>
      <w:pPr>
        <w:pStyle w:val="5"/>
        <w:bidi w:val="0"/>
        <w:rPr>
          <w:rFonts w:hint="default"/>
        </w:rPr>
      </w:pPr>
      <w:r>
        <w:rPr>
          <w:rFonts w:hint="default"/>
        </w:rPr>
        <w:t>2.5.5</w:t>
      </w:r>
      <w:r>
        <w:rPr>
          <w:rFonts w:hint="eastAsia"/>
          <w:lang w:eastAsia="zh-CN"/>
        </w:rPr>
        <w:t>、</w:t>
      </w:r>
      <w:r>
        <w:rPr>
          <w:rFonts w:hint="default"/>
        </w:rPr>
        <w:t>污染物排放标准</w:t>
      </w:r>
    </w:p>
    <w:p>
      <w:pPr>
        <w:bidi w:val="0"/>
        <w:rPr>
          <w:rFonts w:hint="default" w:eastAsia="宋体"/>
          <w:lang w:val="en-US" w:eastAsia="zh-CN"/>
        </w:rPr>
      </w:pPr>
      <w:r>
        <w:rPr>
          <w:rFonts w:hint="default"/>
        </w:rPr>
        <w:t>本项目生产过程中会产生一定量的非甲烷总烃和颗粒物，执行《合成树脂工业污染物排放标准》(GB-31572-2015)表</w:t>
      </w:r>
      <w:r>
        <w:rPr>
          <w:rFonts w:hint="eastAsia"/>
          <w:lang w:val="en-US" w:eastAsia="zh-CN"/>
        </w:rPr>
        <w:t>5</w:t>
      </w:r>
      <w:r>
        <w:rPr>
          <w:rFonts w:hint="default"/>
        </w:rPr>
        <w:t>中</w:t>
      </w:r>
      <w:r>
        <w:rPr>
          <w:rFonts w:hint="eastAsia"/>
          <w:lang w:val="en-US" w:eastAsia="zh-CN"/>
        </w:rPr>
        <w:t>特别</w:t>
      </w:r>
      <w:r>
        <w:rPr>
          <w:rFonts w:hint="default"/>
        </w:rPr>
        <w:t>浓度限值；食堂油烟执行《饮食业油烟排放标准（试行）》（GB18483-2001）排放浓度标准。</w:t>
      </w:r>
      <w:r>
        <w:rPr>
          <w:rFonts w:hint="eastAsia"/>
          <w:lang w:val="en-US" w:eastAsia="zh-CN"/>
        </w:rPr>
        <w:t>厂界</w:t>
      </w:r>
      <w:r>
        <w:rPr>
          <w:rFonts w:hint="default"/>
        </w:rPr>
        <w:t>非甲烷总烃无组织排放执行《合成树脂工业污染物排放标准》(GB-31572-2015)表9中浓度限值。</w:t>
      </w:r>
      <w:r>
        <w:rPr>
          <w:rFonts w:hint="eastAsia"/>
          <w:lang w:val="en-US" w:eastAsia="zh-CN"/>
        </w:rPr>
        <w:t>厂区内</w:t>
      </w:r>
      <w:r>
        <w:rPr>
          <w:rFonts w:hint="default" w:ascii="Times New Roman" w:hAnsi="Times New Roman" w:eastAsia="宋体" w:cs="Times New Roman"/>
          <w:bCs/>
          <w:kern w:val="0"/>
          <w:sz w:val="24"/>
          <w:szCs w:val="24"/>
        </w:rPr>
        <w:t>无组织排放废气厂区内执行《挥发性有机物无组织排放控制标准》（GB37822-2019）表A.1的无组织排放特别限值。</w:t>
      </w:r>
    </w:p>
    <w:p>
      <w:pPr>
        <w:bidi w:val="0"/>
        <w:rPr>
          <w:rFonts w:hint="default"/>
          <w:lang w:val="en-US" w:eastAsia="zh-CN"/>
        </w:rPr>
      </w:pPr>
      <w:r>
        <w:rPr>
          <w:rFonts w:hint="default"/>
        </w:rPr>
        <w:t>拟建项目生活污水</w:t>
      </w:r>
      <w:r>
        <w:rPr>
          <w:rFonts w:hint="eastAsia"/>
          <w:lang w:val="en-US" w:eastAsia="zh-CN"/>
        </w:rPr>
        <w:t>经隔油池隔油、化粪池预处理后满足</w:t>
      </w:r>
      <w:r>
        <w:rPr>
          <w:rFonts w:hint="default"/>
        </w:rPr>
        <w:t>《污水综合排放标准》（GB8978-1996）中三级标准后</w:t>
      </w:r>
      <w:r>
        <w:rPr>
          <w:rFonts w:hint="default"/>
          <w:lang w:eastAsia="zh-CN"/>
        </w:rPr>
        <w:t>，</w:t>
      </w:r>
      <w:r>
        <w:rPr>
          <w:rFonts w:hint="eastAsia"/>
          <w:lang w:val="en-US" w:eastAsia="zh-CN"/>
        </w:rPr>
        <w:t>定期抽运至</w:t>
      </w:r>
      <w:r>
        <w:rPr>
          <w:rFonts w:hint="eastAsia"/>
          <w:lang w:eastAsia="zh-CN"/>
        </w:rPr>
        <w:t>吉木萨尔县</w:t>
      </w:r>
      <w:r>
        <w:rPr>
          <w:rFonts w:hint="eastAsia"/>
          <w:lang w:val="en-US" w:eastAsia="zh-CN"/>
        </w:rPr>
        <w:t>二工镇</w:t>
      </w:r>
      <w:r>
        <w:rPr>
          <w:rFonts w:hint="eastAsia"/>
          <w:lang w:eastAsia="zh-CN"/>
        </w:rPr>
        <w:t>污水处理厂</w:t>
      </w:r>
      <w:r>
        <w:rPr>
          <w:rFonts w:hint="default"/>
        </w:rPr>
        <w:t>处理达《城镇污水处理厂污染物排放标准》（GB18918-2002）中一级A标准</w:t>
      </w:r>
      <w:r>
        <w:rPr>
          <w:rFonts w:hint="default"/>
          <w:lang w:eastAsia="zh-CN"/>
        </w:rPr>
        <w:t>，</w:t>
      </w:r>
      <w:r>
        <w:rPr>
          <w:rFonts w:hint="default"/>
          <w:lang w:val="en-US" w:eastAsia="zh-CN"/>
        </w:rPr>
        <w:t>用于生态林灌溉。</w:t>
      </w:r>
    </w:p>
    <w:p>
      <w:pPr>
        <w:bidi w:val="0"/>
        <w:rPr>
          <w:rFonts w:hint="default"/>
        </w:rPr>
      </w:pPr>
      <w:r>
        <w:rPr>
          <w:rFonts w:hint="default"/>
        </w:rPr>
        <w:t>拟建项目清洗废水经沉淀</w:t>
      </w:r>
      <w:r>
        <w:rPr>
          <w:rFonts w:hint="eastAsia"/>
          <w:lang w:val="en-US" w:eastAsia="zh-CN"/>
        </w:rPr>
        <w:t>池和配套污水处理设施处置达标</w:t>
      </w:r>
      <w:r>
        <w:rPr>
          <w:rFonts w:hint="default"/>
        </w:rPr>
        <w:t>后</w:t>
      </w:r>
      <w:r>
        <w:rPr>
          <w:rFonts w:hint="default"/>
          <w:lang w:val="en-US"/>
        </w:rPr>
        <w:t>，</w:t>
      </w:r>
      <w:r>
        <w:rPr>
          <w:rFonts w:hint="default"/>
        </w:rPr>
        <w:t>回用于原料清洗和喷淋工序，不外排。</w:t>
      </w:r>
    </w:p>
    <w:p>
      <w:pPr>
        <w:bidi w:val="0"/>
        <w:rPr>
          <w:rFonts w:hint="default"/>
        </w:rPr>
      </w:pPr>
      <w:r>
        <w:rPr>
          <w:rFonts w:hint="default"/>
        </w:rPr>
        <w:t>本项目运营期厂界噪声排放执行《工业企业厂界环境噪声排放标准》（GB12348-2008）</w:t>
      </w:r>
      <w:r>
        <w:rPr>
          <w:rFonts w:hint="eastAsia"/>
          <w:lang w:val="en-US" w:eastAsia="zh-CN"/>
        </w:rPr>
        <w:t>2</w:t>
      </w:r>
      <w:r>
        <w:rPr>
          <w:rFonts w:hint="default"/>
        </w:rPr>
        <w:t>类标准；建设期施工噪声排放执行《建筑施工厂界环境噪声排放标准》（GB12523-2011）。</w:t>
      </w:r>
    </w:p>
    <w:p>
      <w:pPr>
        <w:bidi w:val="0"/>
        <w:rPr>
          <w:rFonts w:hint="default"/>
        </w:rPr>
      </w:pPr>
      <w:r>
        <w:rPr>
          <w:rFonts w:hint="default"/>
        </w:rPr>
        <w:t>根据本项目污染物排放特征，污染物排放标准详见表2.5-7。</w:t>
      </w:r>
    </w:p>
    <w:p>
      <w:pPr>
        <w:pStyle w:val="17"/>
        <w:bidi w:val="0"/>
        <w:rPr>
          <w:rFonts w:hint="default"/>
          <w:b/>
          <w:bCs/>
        </w:rPr>
      </w:pPr>
      <w:r>
        <w:rPr>
          <w:rFonts w:hint="default"/>
          <w:b/>
          <w:bCs/>
        </w:rPr>
        <w:t xml:space="preserve">表2.5-7 </w:t>
      </w:r>
      <w:r>
        <w:rPr>
          <w:rFonts w:hint="eastAsia"/>
          <w:b/>
          <w:bCs/>
          <w:lang w:val="en-US" w:eastAsia="zh-CN"/>
        </w:rPr>
        <w:t xml:space="preserve"> </w:t>
      </w:r>
      <w:r>
        <w:rPr>
          <w:rFonts w:hint="default"/>
          <w:b/>
          <w:bCs/>
        </w:rPr>
        <w:t xml:space="preserve"> 污染物排放标准</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503"/>
        <w:gridCol w:w="813"/>
        <w:gridCol w:w="1306"/>
        <w:gridCol w:w="2841"/>
        <w:gridCol w:w="13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1296" w:type="dxa"/>
            <w:tcBorders>
              <w:tl2br w:val="nil"/>
              <w:tr2bl w:val="nil"/>
            </w:tcBorders>
            <w:vAlign w:val="center"/>
          </w:tcPr>
          <w:p>
            <w:pPr>
              <w:pStyle w:val="17"/>
              <w:bidi w:val="0"/>
              <w:rPr>
                <w:rFonts w:hint="default"/>
                <w:b/>
                <w:bCs/>
                <w:lang w:val="zh-CN"/>
              </w:rPr>
            </w:pPr>
            <w:r>
              <w:rPr>
                <w:rFonts w:hint="default"/>
                <w:b/>
                <w:bCs/>
                <w:lang w:val="zh-CN"/>
              </w:rPr>
              <w:t>污染源</w:t>
            </w:r>
          </w:p>
          <w:p>
            <w:pPr>
              <w:pStyle w:val="17"/>
              <w:bidi w:val="0"/>
              <w:rPr>
                <w:rFonts w:hint="default"/>
                <w:b/>
                <w:bCs/>
                <w:lang w:val="zh-CN"/>
              </w:rPr>
            </w:pPr>
            <w:r>
              <w:rPr>
                <w:rFonts w:hint="default"/>
                <w:b/>
                <w:bCs/>
              </w:rPr>
              <w:t>（</w:t>
            </w:r>
            <w:r>
              <w:rPr>
                <w:rFonts w:hint="default"/>
                <w:b/>
                <w:bCs/>
                <w:lang w:val="zh-CN"/>
              </w:rPr>
              <w:t>类型</w:t>
            </w:r>
            <w:r>
              <w:rPr>
                <w:rFonts w:hint="default"/>
                <w:b/>
                <w:bCs/>
              </w:rPr>
              <w:t>）</w:t>
            </w:r>
          </w:p>
        </w:tc>
        <w:tc>
          <w:tcPr>
            <w:tcW w:w="1503" w:type="dxa"/>
            <w:tcBorders>
              <w:tl2br w:val="nil"/>
              <w:tr2bl w:val="nil"/>
            </w:tcBorders>
            <w:vAlign w:val="center"/>
          </w:tcPr>
          <w:p>
            <w:pPr>
              <w:pStyle w:val="17"/>
              <w:bidi w:val="0"/>
              <w:rPr>
                <w:rFonts w:hint="default"/>
                <w:b/>
                <w:bCs/>
                <w:lang w:val="zh-CN"/>
              </w:rPr>
            </w:pPr>
            <w:r>
              <w:rPr>
                <w:rFonts w:hint="default"/>
                <w:b/>
                <w:bCs/>
                <w:lang w:val="zh-CN"/>
              </w:rPr>
              <w:t>污染物</w:t>
            </w:r>
          </w:p>
        </w:tc>
        <w:tc>
          <w:tcPr>
            <w:tcW w:w="2119" w:type="dxa"/>
            <w:gridSpan w:val="2"/>
            <w:tcBorders>
              <w:tl2br w:val="nil"/>
              <w:tr2bl w:val="nil"/>
            </w:tcBorders>
            <w:vAlign w:val="center"/>
          </w:tcPr>
          <w:p>
            <w:pPr>
              <w:pStyle w:val="17"/>
              <w:bidi w:val="0"/>
              <w:rPr>
                <w:rFonts w:hint="default"/>
                <w:b/>
                <w:bCs/>
              </w:rPr>
            </w:pPr>
            <w:r>
              <w:rPr>
                <w:rFonts w:hint="default"/>
                <w:b/>
                <w:bCs/>
              </w:rPr>
              <w:t>污染物排放限值</w:t>
            </w:r>
          </w:p>
          <w:p>
            <w:pPr>
              <w:pStyle w:val="17"/>
              <w:bidi w:val="0"/>
              <w:rPr>
                <w:rFonts w:hint="default"/>
                <w:b/>
                <w:bCs/>
                <w:lang w:val="zh-CN"/>
              </w:rPr>
            </w:pPr>
            <w:r>
              <w:rPr>
                <w:rFonts w:hint="default"/>
                <w:b/>
                <w:bCs/>
                <w:lang w:val="zh-CN"/>
              </w:rPr>
              <w:t>（浓度，速率）</w:t>
            </w:r>
          </w:p>
        </w:tc>
        <w:tc>
          <w:tcPr>
            <w:tcW w:w="2841" w:type="dxa"/>
            <w:tcBorders>
              <w:tl2br w:val="nil"/>
              <w:tr2bl w:val="nil"/>
            </w:tcBorders>
            <w:vAlign w:val="center"/>
          </w:tcPr>
          <w:p>
            <w:pPr>
              <w:pStyle w:val="17"/>
              <w:bidi w:val="0"/>
              <w:rPr>
                <w:rFonts w:hint="default"/>
                <w:b/>
                <w:bCs/>
                <w:lang w:val="zh-CN"/>
              </w:rPr>
            </w:pPr>
            <w:r>
              <w:rPr>
                <w:rFonts w:hint="default"/>
                <w:b/>
                <w:bCs/>
              </w:rPr>
              <w:t>标准来源</w:t>
            </w:r>
          </w:p>
        </w:tc>
        <w:tc>
          <w:tcPr>
            <w:tcW w:w="1312" w:type="dxa"/>
            <w:tcBorders>
              <w:tl2br w:val="nil"/>
              <w:tr2bl w:val="nil"/>
            </w:tcBorders>
            <w:vAlign w:val="center"/>
          </w:tcPr>
          <w:p>
            <w:pPr>
              <w:pStyle w:val="17"/>
              <w:bidi w:val="0"/>
              <w:rPr>
                <w:rFonts w:hint="default"/>
                <w:b/>
                <w:bCs/>
                <w:lang w:val="zh-CN"/>
              </w:rPr>
            </w:pPr>
            <w:r>
              <w:rPr>
                <w:rFonts w:hint="default"/>
                <w:b/>
                <w:bCs/>
                <w:lang w:val="zh-CN"/>
              </w:rPr>
              <w:t>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6" w:type="dxa"/>
            <w:vMerge w:val="restart"/>
            <w:tcBorders>
              <w:tl2br w:val="nil"/>
              <w:tr2bl w:val="nil"/>
            </w:tcBorders>
            <w:vAlign w:val="center"/>
          </w:tcPr>
          <w:p>
            <w:pPr>
              <w:pStyle w:val="17"/>
              <w:bidi w:val="0"/>
              <w:rPr>
                <w:rFonts w:hint="default"/>
                <w:lang w:val="zh-CN"/>
              </w:rPr>
            </w:pPr>
            <w:r>
              <w:rPr>
                <w:rFonts w:hint="default"/>
              </w:rPr>
              <w:t>生产设备及储存区</w:t>
            </w:r>
          </w:p>
        </w:tc>
        <w:tc>
          <w:tcPr>
            <w:tcW w:w="1503" w:type="dxa"/>
            <w:tcBorders>
              <w:tl2br w:val="nil"/>
              <w:tr2bl w:val="nil"/>
            </w:tcBorders>
            <w:vAlign w:val="center"/>
          </w:tcPr>
          <w:p>
            <w:pPr>
              <w:pStyle w:val="17"/>
              <w:bidi w:val="0"/>
              <w:rPr>
                <w:rFonts w:hint="default"/>
              </w:rPr>
            </w:pPr>
            <w:r>
              <w:rPr>
                <w:rFonts w:hint="default"/>
              </w:rPr>
              <w:t>非甲烷总烃</w:t>
            </w:r>
          </w:p>
        </w:tc>
        <w:tc>
          <w:tcPr>
            <w:tcW w:w="2119" w:type="dxa"/>
            <w:gridSpan w:val="2"/>
            <w:tcBorders>
              <w:tl2br w:val="nil"/>
              <w:tr2bl w:val="nil"/>
            </w:tcBorders>
            <w:vAlign w:val="center"/>
          </w:tcPr>
          <w:p>
            <w:pPr>
              <w:pStyle w:val="17"/>
              <w:bidi w:val="0"/>
              <w:rPr>
                <w:rFonts w:hint="eastAsia"/>
                <w:lang w:eastAsia="zh-CN"/>
              </w:rPr>
            </w:pPr>
            <w:r>
              <w:rPr>
                <w:rFonts w:hint="eastAsia"/>
                <w:lang w:val="en-US" w:eastAsia="zh-CN"/>
              </w:rPr>
              <w:t>60</w:t>
            </w:r>
            <w:r>
              <w:rPr>
                <w:rFonts w:hint="default"/>
              </w:rPr>
              <w:t>mg/</w:t>
            </w:r>
            <w:r>
              <w:rPr>
                <w:rFonts w:hint="eastAsia"/>
                <w:lang w:eastAsia="zh-CN"/>
              </w:rPr>
              <w:t>m³</w:t>
            </w:r>
          </w:p>
        </w:tc>
        <w:tc>
          <w:tcPr>
            <w:tcW w:w="2841" w:type="dxa"/>
            <w:vMerge w:val="restart"/>
            <w:tcBorders>
              <w:tl2br w:val="nil"/>
              <w:tr2bl w:val="nil"/>
            </w:tcBorders>
            <w:vAlign w:val="center"/>
          </w:tcPr>
          <w:p>
            <w:pPr>
              <w:pStyle w:val="17"/>
              <w:bidi w:val="0"/>
              <w:rPr>
                <w:rFonts w:hint="default"/>
              </w:rPr>
            </w:pPr>
            <w:r>
              <w:rPr>
                <w:rFonts w:hint="default"/>
              </w:rPr>
              <w:t>《合成树脂工业污染物排放标准》(GB-31572-2015)表</w:t>
            </w:r>
            <w:r>
              <w:rPr>
                <w:rFonts w:hint="eastAsia"/>
                <w:lang w:val="en-US" w:eastAsia="zh-CN"/>
              </w:rPr>
              <w:t>5</w:t>
            </w:r>
            <w:r>
              <w:rPr>
                <w:rFonts w:hint="default"/>
              </w:rPr>
              <w:t>中</w:t>
            </w:r>
            <w:r>
              <w:rPr>
                <w:rFonts w:hint="eastAsia"/>
                <w:lang w:val="en-US" w:eastAsia="zh-CN"/>
              </w:rPr>
              <w:t>特别</w:t>
            </w:r>
            <w:r>
              <w:rPr>
                <w:rFonts w:hint="default"/>
              </w:rPr>
              <w:t>浓度限值</w:t>
            </w:r>
          </w:p>
        </w:tc>
        <w:tc>
          <w:tcPr>
            <w:tcW w:w="1312" w:type="dxa"/>
            <w:vMerge w:val="restart"/>
            <w:tcBorders>
              <w:tl2br w:val="nil"/>
              <w:tr2bl w:val="nil"/>
            </w:tcBorders>
            <w:vAlign w:val="center"/>
          </w:tcPr>
          <w:p>
            <w:pPr>
              <w:pStyle w:val="17"/>
              <w:bidi w:val="0"/>
              <w:rPr>
                <w:rFonts w:hint="default"/>
              </w:rPr>
            </w:pPr>
            <w:r>
              <w:rPr>
                <w:rFonts w:hint="default"/>
              </w:rPr>
              <w:t>15m高排气筒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6" w:type="dxa"/>
            <w:vMerge w:val="continue"/>
            <w:tcBorders>
              <w:tl2br w:val="nil"/>
              <w:tr2bl w:val="nil"/>
            </w:tcBorders>
            <w:vAlign w:val="center"/>
          </w:tcPr>
          <w:p>
            <w:pPr>
              <w:pStyle w:val="17"/>
              <w:bidi w:val="0"/>
              <w:rPr>
                <w:rFonts w:hint="default"/>
                <w:lang w:val="zh-CN"/>
              </w:rPr>
            </w:pPr>
          </w:p>
        </w:tc>
        <w:tc>
          <w:tcPr>
            <w:tcW w:w="1503" w:type="dxa"/>
            <w:tcBorders>
              <w:tl2br w:val="nil"/>
              <w:tr2bl w:val="nil"/>
            </w:tcBorders>
            <w:vAlign w:val="center"/>
          </w:tcPr>
          <w:p>
            <w:pPr>
              <w:pStyle w:val="17"/>
              <w:bidi w:val="0"/>
              <w:rPr>
                <w:rFonts w:hint="default"/>
              </w:rPr>
            </w:pPr>
            <w:r>
              <w:rPr>
                <w:rFonts w:hint="default"/>
              </w:rPr>
              <w:t>颗粒物</w:t>
            </w:r>
          </w:p>
        </w:tc>
        <w:tc>
          <w:tcPr>
            <w:tcW w:w="2119" w:type="dxa"/>
            <w:gridSpan w:val="2"/>
            <w:tcBorders>
              <w:tl2br w:val="nil"/>
              <w:tr2bl w:val="nil"/>
            </w:tcBorders>
            <w:vAlign w:val="center"/>
          </w:tcPr>
          <w:p>
            <w:pPr>
              <w:pStyle w:val="17"/>
              <w:bidi w:val="0"/>
              <w:rPr>
                <w:rFonts w:hint="eastAsia"/>
                <w:lang w:eastAsia="zh-CN"/>
              </w:rPr>
            </w:pPr>
            <w:r>
              <w:rPr>
                <w:rFonts w:hint="eastAsia"/>
                <w:lang w:val="en-US" w:eastAsia="zh-CN"/>
              </w:rPr>
              <w:t>20</w:t>
            </w:r>
            <w:r>
              <w:rPr>
                <w:rFonts w:hint="default"/>
              </w:rPr>
              <w:t>mg/</w:t>
            </w:r>
            <w:r>
              <w:rPr>
                <w:rFonts w:hint="eastAsia"/>
                <w:lang w:eastAsia="zh-CN"/>
              </w:rPr>
              <w:t>m³</w:t>
            </w:r>
          </w:p>
        </w:tc>
        <w:tc>
          <w:tcPr>
            <w:tcW w:w="2841" w:type="dxa"/>
            <w:vMerge w:val="continue"/>
            <w:tcBorders>
              <w:tl2br w:val="nil"/>
              <w:tr2bl w:val="nil"/>
            </w:tcBorders>
            <w:vAlign w:val="center"/>
          </w:tcPr>
          <w:p>
            <w:pPr>
              <w:pStyle w:val="17"/>
              <w:bidi w:val="0"/>
              <w:rPr>
                <w:rFonts w:hint="default"/>
              </w:rPr>
            </w:pPr>
          </w:p>
        </w:tc>
        <w:tc>
          <w:tcPr>
            <w:tcW w:w="1312" w:type="dxa"/>
            <w:vMerge w:val="continue"/>
            <w:tcBorders>
              <w:tl2br w:val="nil"/>
              <w:tr2bl w:val="nil"/>
            </w:tcBorders>
            <w:vAlign w:val="center"/>
          </w:tcPr>
          <w:p>
            <w:pPr>
              <w:pStyle w:val="17"/>
              <w:bidi w:val="0"/>
              <w:rPr>
                <w:rFonts w:hint="default"/>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1296" w:type="dxa"/>
            <w:tcBorders>
              <w:tl2br w:val="nil"/>
              <w:tr2bl w:val="nil"/>
            </w:tcBorders>
            <w:vAlign w:val="center"/>
          </w:tcPr>
          <w:p>
            <w:pPr>
              <w:pStyle w:val="17"/>
              <w:bidi w:val="0"/>
              <w:rPr>
                <w:rFonts w:hint="default"/>
              </w:rPr>
            </w:pPr>
            <w:r>
              <w:rPr>
                <w:rFonts w:hint="default"/>
              </w:rPr>
              <w:t>食堂油烟气</w:t>
            </w:r>
          </w:p>
        </w:tc>
        <w:tc>
          <w:tcPr>
            <w:tcW w:w="1503" w:type="dxa"/>
            <w:tcBorders>
              <w:tl2br w:val="nil"/>
              <w:tr2bl w:val="nil"/>
            </w:tcBorders>
            <w:vAlign w:val="center"/>
          </w:tcPr>
          <w:p>
            <w:pPr>
              <w:pStyle w:val="17"/>
              <w:bidi w:val="0"/>
              <w:rPr>
                <w:rFonts w:hint="default"/>
              </w:rPr>
            </w:pPr>
            <w:r>
              <w:rPr>
                <w:rFonts w:hint="default"/>
              </w:rPr>
              <w:t>油烟</w:t>
            </w:r>
          </w:p>
        </w:tc>
        <w:tc>
          <w:tcPr>
            <w:tcW w:w="2119" w:type="dxa"/>
            <w:gridSpan w:val="2"/>
            <w:tcBorders>
              <w:tl2br w:val="nil"/>
              <w:tr2bl w:val="nil"/>
            </w:tcBorders>
            <w:vAlign w:val="center"/>
          </w:tcPr>
          <w:p>
            <w:pPr>
              <w:pStyle w:val="17"/>
              <w:bidi w:val="0"/>
              <w:rPr>
                <w:rFonts w:hint="eastAsia"/>
                <w:lang w:eastAsia="zh-CN"/>
              </w:rPr>
            </w:pPr>
            <w:r>
              <w:rPr>
                <w:rFonts w:hint="default"/>
              </w:rPr>
              <w:t>2.0mg/</w:t>
            </w:r>
            <w:r>
              <w:rPr>
                <w:rFonts w:hint="eastAsia"/>
                <w:lang w:eastAsia="zh-CN"/>
              </w:rPr>
              <w:t>m³</w:t>
            </w:r>
          </w:p>
        </w:tc>
        <w:tc>
          <w:tcPr>
            <w:tcW w:w="2841" w:type="dxa"/>
            <w:tcBorders>
              <w:tl2br w:val="nil"/>
              <w:tr2bl w:val="nil"/>
            </w:tcBorders>
            <w:vAlign w:val="center"/>
          </w:tcPr>
          <w:p>
            <w:pPr>
              <w:pStyle w:val="17"/>
              <w:bidi w:val="0"/>
              <w:rPr>
                <w:rFonts w:hint="default"/>
              </w:rPr>
            </w:pPr>
            <w:r>
              <w:rPr>
                <w:rFonts w:hint="default"/>
              </w:rPr>
              <w:t>《饮食业油烟排放标准（试行）》（GB18483-2001）</w:t>
            </w:r>
          </w:p>
        </w:tc>
        <w:tc>
          <w:tcPr>
            <w:tcW w:w="1312" w:type="dxa"/>
            <w:tcBorders>
              <w:tl2br w:val="nil"/>
              <w:tr2bl w:val="nil"/>
            </w:tcBorders>
            <w:vAlign w:val="center"/>
          </w:tcPr>
          <w:p>
            <w:pPr>
              <w:pStyle w:val="17"/>
              <w:bidi w:val="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96" w:type="dxa"/>
            <w:vMerge w:val="restart"/>
            <w:tcBorders>
              <w:tl2br w:val="nil"/>
              <w:tr2bl w:val="nil"/>
            </w:tcBorders>
            <w:vAlign w:val="center"/>
          </w:tcPr>
          <w:p>
            <w:pPr>
              <w:pStyle w:val="17"/>
              <w:bidi w:val="0"/>
              <w:rPr>
                <w:rFonts w:hint="default"/>
              </w:rPr>
            </w:pPr>
            <w:r>
              <w:rPr>
                <w:rFonts w:hint="default"/>
              </w:rPr>
              <w:t>无组织废气</w:t>
            </w:r>
          </w:p>
        </w:tc>
        <w:tc>
          <w:tcPr>
            <w:tcW w:w="1503" w:type="dxa"/>
            <w:tcBorders>
              <w:tl2br w:val="nil"/>
              <w:tr2bl w:val="nil"/>
            </w:tcBorders>
            <w:vAlign w:val="center"/>
          </w:tcPr>
          <w:p>
            <w:pPr>
              <w:pStyle w:val="17"/>
              <w:bidi w:val="0"/>
              <w:rPr>
                <w:rFonts w:hint="default"/>
              </w:rPr>
            </w:pPr>
            <w:r>
              <w:rPr>
                <w:rFonts w:hint="default"/>
              </w:rPr>
              <w:t>非甲烷总烃</w:t>
            </w:r>
          </w:p>
        </w:tc>
        <w:tc>
          <w:tcPr>
            <w:tcW w:w="2119" w:type="dxa"/>
            <w:gridSpan w:val="2"/>
            <w:tcBorders>
              <w:tl2br w:val="nil"/>
              <w:tr2bl w:val="nil"/>
            </w:tcBorders>
            <w:vAlign w:val="center"/>
          </w:tcPr>
          <w:p>
            <w:pPr>
              <w:pStyle w:val="17"/>
              <w:bidi w:val="0"/>
              <w:rPr>
                <w:rFonts w:hint="eastAsia"/>
                <w:lang w:eastAsia="zh-CN"/>
              </w:rPr>
            </w:pPr>
            <w:r>
              <w:rPr>
                <w:rFonts w:hint="default"/>
              </w:rPr>
              <w:t>4.0mg/</w:t>
            </w:r>
            <w:r>
              <w:rPr>
                <w:rFonts w:hint="eastAsia"/>
                <w:lang w:eastAsia="zh-CN"/>
              </w:rPr>
              <w:t>m³</w:t>
            </w:r>
          </w:p>
        </w:tc>
        <w:tc>
          <w:tcPr>
            <w:tcW w:w="2841" w:type="dxa"/>
            <w:vMerge w:val="restart"/>
            <w:tcBorders>
              <w:tl2br w:val="nil"/>
              <w:tr2bl w:val="nil"/>
            </w:tcBorders>
            <w:vAlign w:val="center"/>
          </w:tcPr>
          <w:p>
            <w:pPr>
              <w:pStyle w:val="17"/>
              <w:bidi w:val="0"/>
              <w:rPr>
                <w:rFonts w:hint="default"/>
              </w:rPr>
            </w:pPr>
            <w:r>
              <w:rPr>
                <w:rFonts w:hint="default"/>
              </w:rPr>
              <w:t>《合成树脂工业污染物排放标准》(GB-31572-2015)表9中浓度限值</w:t>
            </w:r>
          </w:p>
        </w:tc>
        <w:tc>
          <w:tcPr>
            <w:tcW w:w="1312" w:type="dxa"/>
            <w:vMerge w:val="restart"/>
            <w:tcBorders>
              <w:tl2br w:val="nil"/>
              <w:tr2bl w:val="nil"/>
            </w:tcBorders>
            <w:vAlign w:val="center"/>
          </w:tcPr>
          <w:p>
            <w:pPr>
              <w:pStyle w:val="17"/>
              <w:bidi w:val="0"/>
              <w:rPr>
                <w:rFonts w:hint="default"/>
              </w:rPr>
            </w:pPr>
            <w:r>
              <w:rPr>
                <w:rFonts w:hint="default"/>
                <w:lang w:val="zh-CN"/>
              </w:rPr>
              <w:t>厂界外1m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96" w:type="dxa"/>
            <w:vMerge w:val="continue"/>
            <w:tcBorders>
              <w:tl2br w:val="nil"/>
              <w:tr2bl w:val="nil"/>
            </w:tcBorders>
            <w:vAlign w:val="center"/>
          </w:tcPr>
          <w:p>
            <w:pPr>
              <w:pStyle w:val="17"/>
              <w:bidi w:val="0"/>
              <w:rPr>
                <w:rFonts w:hint="default"/>
              </w:rPr>
            </w:pPr>
          </w:p>
        </w:tc>
        <w:tc>
          <w:tcPr>
            <w:tcW w:w="1503" w:type="dxa"/>
            <w:tcBorders>
              <w:tl2br w:val="nil"/>
              <w:tr2bl w:val="nil"/>
            </w:tcBorders>
            <w:vAlign w:val="center"/>
          </w:tcPr>
          <w:p>
            <w:pPr>
              <w:pStyle w:val="17"/>
              <w:bidi w:val="0"/>
              <w:rPr>
                <w:rFonts w:hint="default"/>
              </w:rPr>
            </w:pPr>
            <w:r>
              <w:rPr>
                <w:rFonts w:hint="default"/>
              </w:rPr>
              <w:t>颗粒物</w:t>
            </w:r>
          </w:p>
        </w:tc>
        <w:tc>
          <w:tcPr>
            <w:tcW w:w="2119" w:type="dxa"/>
            <w:gridSpan w:val="2"/>
            <w:tcBorders>
              <w:tl2br w:val="nil"/>
              <w:tr2bl w:val="nil"/>
            </w:tcBorders>
            <w:vAlign w:val="center"/>
          </w:tcPr>
          <w:p>
            <w:pPr>
              <w:pStyle w:val="17"/>
              <w:bidi w:val="0"/>
              <w:rPr>
                <w:rFonts w:hint="eastAsia"/>
                <w:lang w:eastAsia="zh-CN"/>
              </w:rPr>
            </w:pPr>
            <w:r>
              <w:rPr>
                <w:rFonts w:hint="default"/>
              </w:rPr>
              <w:t>1.0mg/</w:t>
            </w:r>
            <w:r>
              <w:rPr>
                <w:rFonts w:hint="eastAsia"/>
                <w:lang w:eastAsia="zh-CN"/>
              </w:rPr>
              <w:t>m³</w:t>
            </w:r>
          </w:p>
        </w:tc>
        <w:tc>
          <w:tcPr>
            <w:tcW w:w="2841" w:type="dxa"/>
            <w:vMerge w:val="continue"/>
            <w:tcBorders>
              <w:tl2br w:val="nil"/>
              <w:tr2bl w:val="nil"/>
            </w:tcBorders>
            <w:vAlign w:val="center"/>
          </w:tcPr>
          <w:p>
            <w:pPr>
              <w:pStyle w:val="17"/>
              <w:bidi w:val="0"/>
              <w:rPr>
                <w:rFonts w:hint="default"/>
              </w:rPr>
            </w:pPr>
          </w:p>
        </w:tc>
        <w:tc>
          <w:tcPr>
            <w:tcW w:w="1312" w:type="dxa"/>
            <w:vMerge w:val="continue"/>
            <w:tcBorders>
              <w:tl2br w:val="nil"/>
              <w:tr2bl w:val="nil"/>
            </w:tcBorders>
            <w:vAlign w:val="center"/>
          </w:tcPr>
          <w:p>
            <w:pPr>
              <w:pStyle w:val="17"/>
              <w:bidi w:val="0"/>
              <w:rPr>
                <w:rFonts w:hint="default"/>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96" w:type="dxa"/>
            <w:vMerge w:val="restart"/>
            <w:tcBorders>
              <w:tl2br w:val="nil"/>
              <w:tr2bl w:val="nil"/>
            </w:tcBorders>
            <w:vAlign w:val="center"/>
          </w:tcPr>
          <w:p>
            <w:pPr>
              <w:pStyle w:val="17"/>
              <w:bidi w:val="0"/>
              <w:rPr>
                <w:rFonts w:hint="default"/>
              </w:rPr>
            </w:pPr>
            <w:r>
              <w:rPr>
                <w:rFonts w:hint="default"/>
              </w:rPr>
              <w:t>无组织废气</w:t>
            </w:r>
          </w:p>
        </w:tc>
        <w:tc>
          <w:tcPr>
            <w:tcW w:w="1503" w:type="dxa"/>
            <w:vMerge w:val="restart"/>
            <w:tcBorders>
              <w:tl2br w:val="nil"/>
              <w:tr2bl w:val="nil"/>
            </w:tcBorders>
            <w:vAlign w:val="center"/>
          </w:tcPr>
          <w:p>
            <w:pPr>
              <w:pStyle w:val="17"/>
              <w:bidi w:val="0"/>
              <w:rPr>
                <w:rFonts w:hint="default"/>
              </w:rPr>
            </w:pPr>
            <w:r>
              <w:rPr>
                <w:rFonts w:hint="default"/>
              </w:rPr>
              <w:t>非甲烷总烃</w:t>
            </w:r>
          </w:p>
        </w:tc>
        <w:tc>
          <w:tcPr>
            <w:tcW w:w="2119" w:type="dxa"/>
            <w:gridSpan w:val="2"/>
            <w:tcBorders>
              <w:tl2br w:val="nil"/>
              <w:tr2bl w:val="nil"/>
            </w:tcBorders>
            <w:vAlign w:val="center"/>
          </w:tcPr>
          <w:p>
            <w:pPr>
              <w:pStyle w:val="17"/>
              <w:bidi w:val="0"/>
              <w:rPr>
                <w:rFonts w:hint="eastAsia"/>
                <w:lang w:val="en-US" w:eastAsia="zh-CN"/>
              </w:rPr>
            </w:pPr>
            <w:r>
              <w:rPr>
                <w:rFonts w:hint="eastAsia"/>
                <w:lang w:val="en-US" w:eastAsia="zh-CN"/>
              </w:rPr>
              <w:t>6</w:t>
            </w:r>
            <w:r>
              <w:rPr>
                <w:rFonts w:hint="default"/>
              </w:rPr>
              <w:t>mg/</w:t>
            </w:r>
            <w:r>
              <w:rPr>
                <w:rFonts w:hint="eastAsia"/>
                <w:lang w:eastAsia="zh-CN"/>
              </w:rPr>
              <w:t>m³</w:t>
            </w:r>
          </w:p>
        </w:tc>
        <w:tc>
          <w:tcPr>
            <w:tcW w:w="2841" w:type="dxa"/>
            <w:vMerge w:val="restart"/>
            <w:tcBorders>
              <w:tl2br w:val="nil"/>
              <w:tr2bl w:val="nil"/>
            </w:tcBorders>
            <w:vAlign w:val="center"/>
          </w:tcPr>
          <w:p>
            <w:pPr>
              <w:pStyle w:val="17"/>
              <w:bidi w:val="0"/>
              <w:rPr>
                <w:rFonts w:hint="default"/>
              </w:rPr>
            </w:pPr>
            <w:r>
              <w:rPr>
                <w:rFonts w:hint="default"/>
              </w:rPr>
              <w:t>《挥发性有机物无组织排放控制标准》（GB37822-2019）</w:t>
            </w:r>
          </w:p>
        </w:tc>
        <w:tc>
          <w:tcPr>
            <w:tcW w:w="1312" w:type="dxa"/>
            <w:tcBorders>
              <w:tl2br w:val="nil"/>
              <w:tr2bl w:val="nil"/>
            </w:tcBorders>
            <w:vAlign w:val="center"/>
          </w:tcPr>
          <w:p>
            <w:pPr>
              <w:pStyle w:val="17"/>
              <w:bidi w:val="0"/>
              <w:rPr>
                <w:rFonts w:hint="default"/>
                <w:lang w:val="en-US" w:eastAsia="zh-CN"/>
              </w:rPr>
            </w:pPr>
            <w:r>
              <w:rPr>
                <w:rFonts w:hint="eastAsia"/>
                <w:lang w:val="en-US" w:eastAsia="zh-CN"/>
              </w:rPr>
              <w:t>厂房外监控点1h平均浓度值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96" w:type="dxa"/>
            <w:vMerge w:val="continue"/>
            <w:tcBorders>
              <w:tl2br w:val="nil"/>
              <w:tr2bl w:val="nil"/>
            </w:tcBorders>
            <w:vAlign w:val="center"/>
          </w:tcPr>
          <w:p>
            <w:pPr>
              <w:pStyle w:val="17"/>
              <w:bidi w:val="0"/>
              <w:rPr>
                <w:rFonts w:hint="default"/>
              </w:rPr>
            </w:pPr>
          </w:p>
        </w:tc>
        <w:tc>
          <w:tcPr>
            <w:tcW w:w="1503" w:type="dxa"/>
            <w:vMerge w:val="continue"/>
            <w:tcBorders>
              <w:tl2br w:val="nil"/>
              <w:tr2bl w:val="nil"/>
            </w:tcBorders>
            <w:vAlign w:val="center"/>
          </w:tcPr>
          <w:p>
            <w:pPr>
              <w:pStyle w:val="17"/>
              <w:bidi w:val="0"/>
              <w:rPr>
                <w:rFonts w:hint="default"/>
              </w:rPr>
            </w:pPr>
          </w:p>
        </w:tc>
        <w:tc>
          <w:tcPr>
            <w:tcW w:w="2119" w:type="dxa"/>
            <w:gridSpan w:val="2"/>
            <w:tcBorders>
              <w:tl2br w:val="nil"/>
              <w:tr2bl w:val="nil"/>
            </w:tcBorders>
            <w:vAlign w:val="center"/>
          </w:tcPr>
          <w:p>
            <w:pPr>
              <w:pStyle w:val="17"/>
              <w:bidi w:val="0"/>
              <w:rPr>
                <w:rFonts w:hint="default"/>
                <w:lang w:val="en-US" w:eastAsia="zh-CN"/>
              </w:rPr>
            </w:pPr>
            <w:r>
              <w:rPr>
                <w:rFonts w:hint="eastAsia"/>
                <w:lang w:val="en-US" w:eastAsia="zh-CN"/>
              </w:rPr>
              <w:t>20</w:t>
            </w:r>
          </w:p>
        </w:tc>
        <w:tc>
          <w:tcPr>
            <w:tcW w:w="2841" w:type="dxa"/>
            <w:vMerge w:val="continue"/>
            <w:tcBorders>
              <w:tl2br w:val="nil"/>
              <w:tr2bl w:val="nil"/>
            </w:tcBorders>
            <w:vAlign w:val="center"/>
          </w:tcPr>
          <w:p>
            <w:pPr>
              <w:pStyle w:val="17"/>
              <w:bidi w:val="0"/>
              <w:rPr>
                <w:rFonts w:hint="default"/>
              </w:rPr>
            </w:pPr>
          </w:p>
        </w:tc>
        <w:tc>
          <w:tcPr>
            <w:tcW w:w="1312" w:type="dxa"/>
            <w:tcBorders>
              <w:tl2br w:val="nil"/>
              <w:tr2bl w:val="nil"/>
            </w:tcBorders>
            <w:vAlign w:val="center"/>
          </w:tcPr>
          <w:p>
            <w:pPr>
              <w:pStyle w:val="17"/>
              <w:bidi w:val="0"/>
              <w:rPr>
                <w:rFonts w:hint="eastAsia"/>
                <w:lang w:val="en-US" w:eastAsia="zh-CN"/>
              </w:rPr>
            </w:pPr>
            <w:r>
              <w:rPr>
                <w:rFonts w:hint="eastAsia"/>
                <w:lang w:val="en-US" w:eastAsia="zh-CN"/>
              </w:rPr>
              <w:t>厂房外</w:t>
            </w:r>
            <w:r>
              <w:rPr>
                <w:rFonts w:hint="default"/>
              </w:rPr>
              <w:t>监控点处任意一次浓度值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1296" w:type="dxa"/>
            <w:vMerge w:val="restart"/>
            <w:tcBorders>
              <w:tl2br w:val="nil"/>
              <w:tr2bl w:val="nil"/>
            </w:tcBorders>
            <w:vAlign w:val="center"/>
          </w:tcPr>
          <w:p>
            <w:pPr>
              <w:pStyle w:val="17"/>
              <w:bidi w:val="0"/>
              <w:rPr>
                <w:rFonts w:hint="default"/>
              </w:rPr>
            </w:pPr>
            <w:r>
              <w:rPr>
                <w:rFonts w:hint="default"/>
              </w:rPr>
              <w:t>生活污水</w:t>
            </w:r>
          </w:p>
        </w:tc>
        <w:tc>
          <w:tcPr>
            <w:tcW w:w="1503" w:type="dxa"/>
            <w:tcBorders>
              <w:tl2br w:val="nil"/>
              <w:tr2bl w:val="nil"/>
            </w:tcBorders>
            <w:vAlign w:val="center"/>
          </w:tcPr>
          <w:p>
            <w:pPr>
              <w:pStyle w:val="17"/>
              <w:bidi w:val="0"/>
              <w:rPr>
                <w:rFonts w:hint="default"/>
              </w:rPr>
            </w:pPr>
            <w:r>
              <w:rPr>
                <w:rFonts w:hint="default"/>
              </w:rPr>
              <w:t>pH</w:t>
            </w:r>
          </w:p>
        </w:tc>
        <w:tc>
          <w:tcPr>
            <w:tcW w:w="2119" w:type="dxa"/>
            <w:gridSpan w:val="2"/>
            <w:tcBorders>
              <w:tl2br w:val="nil"/>
              <w:tr2bl w:val="nil"/>
            </w:tcBorders>
            <w:vAlign w:val="center"/>
          </w:tcPr>
          <w:p>
            <w:pPr>
              <w:pStyle w:val="17"/>
              <w:bidi w:val="0"/>
              <w:rPr>
                <w:rFonts w:hint="default"/>
              </w:rPr>
            </w:pPr>
            <w:r>
              <w:rPr>
                <w:rFonts w:hint="default"/>
              </w:rPr>
              <w:t>6.0～9.0</w:t>
            </w:r>
          </w:p>
        </w:tc>
        <w:tc>
          <w:tcPr>
            <w:tcW w:w="2841" w:type="dxa"/>
            <w:vMerge w:val="restart"/>
            <w:tcBorders>
              <w:tl2br w:val="nil"/>
              <w:tr2bl w:val="nil"/>
            </w:tcBorders>
            <w:vAlign w:val="center"/>
          </w:tcPr>
          <w:p>
            <w:pPr>
              <w:pStyle w:val="17"/>
              <w:bidi w:val="0"/>
              <w:rPr>
                <w:rFonts w:hint="default"/>
              </w:rPr>
            </w:pPr>
            <w:r>
              <w:rPr>
                <w:rFonts w:hint="default"/>
              </w:rPr>
              <w:t>《污水综合排放标准》（GB8978-1996）中</w:t>
            </w:r>
            <w:r>
              <w:rPr>
                <w:rFonts w:hint="default"/>
                <w:lang w:val="en-US" w:eastAsia="zh-CN"/>
              </w:rPr>
              <w:t>三</w:t>
            </w:r>
            <w:r>
              <w:rPr>
                <w:rFonts w:hint="default"/>
              </w:rPr>
              <w:t>级标准</w:t>
            </w:r>
          </w:p>
        </w:tc>
        <w:tc>
          <w:tcPr>
            <w:tcW w:w="1312" w:type="dxa"/>
            <w:vMerge w:val="restart"/>
            <w:tcBorders>
              <w:tl2br w:val="nil"/>
              <w:tr2bl w:val="nil"/>
            </w:tcBorders>
            <w:vAlign w:val="center"/>
          </w:tcPr>
          <w:p>
            <w:pPr>
              <w:pStyle w:val="17"/>
              <w:bidi w:val="0"/>
              <w:rPr>
                <w:rFonts w:hint="default"/>
              </w:rPr>
            </w:pPr>
            <w:r>
              <w:rPr>
                <w:rFonts w:hint="default"/>
              </w:rPr>
              <w:t>总排口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1296" w:type="dxa"/>
            <w:vMerge w:val="continue"/>
            <w:tcBorders>
              <w:tl2br w:val="nil"/>
              <w:tr2bl w:val="nil"/>
            </w:tcBorders>
            <w:vAlign w:val="center"/>
          </w:tcPr>
          <w:p>
            <w:pPr>
              <w:pStyle w:val="17"/>
              <w:bidi w:val="0"/>
              <w:rPr>
                <w:rFonts w:hint="default"/>
              </w:rPr>
            </w:pPr>
          </w:p>
        </w:tc>
        <w:tc>
          <w:tcPr>
            <w:tcW w:w="1503" w:type="dxa"/>
            <w:tcBorders>
              <w:tl2br w:val="nil"/>
              <w:tr2bl w:val="nil"/>
            </w:tcBorders>
            <w:vAlign w:val="center"/>
          </w:tcPr>
          <w:p>
            <w:pPr>
              <w:pStyle w:val="17"/>
              <w:bidi w:val="0"/>
              <w:rPr>
                <w:rFonts w:hint="default"/>
              </w:rPr>
            </w:pPr>
            <w:r>
              <w:rPr>
                <w:rFonts w:hint="default"/>
              </w:rPr>
              <w:t>BOD</w:t>
            </w:r>
            <w:r>
              <w:rPr>
                <w:rFonts w:hint="default"/>
                <w:vertAlign w:val="subscript"/>
              </w:rPr>
              <w:t>5</w:t>
            </w:r>
          </w:p>
        </w:tc>
        <w:tc>
          <w:tcPr>
            <w:tcW w:w="2119" w:type="dxa"/>
            <w:gridSpan w:val="2"/>
            <w:tcBorders>
              <w:tl2br w:val="nil"/>
              <w:tr2bl w:val="nil"/>
            </w:tcBorders>
            <w:vAlign w:val="center"/>
          </w:tcPr>
          <w:p>
            <w:pPr>
              <w:pStyle w:val="17"/>
              <w:bidi w:val="0"/>
              <w:rPr>
                <w:rFonts w:hint="default"/>
              </w:rPr>
            </w:pPr>
            <w:r>
              <w:rPr>
                <w:rFonts w:hint="default"/>
                <w:lang w:val="en-US" w:eastAsia="zh-CN"/>
              </w:rPr>
              <w:t>300</w:t>
            </w:r>
            <w:r>
              <w:rPr>
                <w:rFonts w:hint="default"/>
              </w:rPr>
              <w:t>mg/L</w:t>
            </w:r>
          </w:p>
        </w:tc>
        <w:tc>
          <w:tcPr>
            <w:tcW w:w="2841" w:type="dxa"/>
            <w:vMerge w:val="continue"/>
            <w:tcBorders>
              <w:tl2br w:val="nil"/>
              <w:tr2bl w:val="nil"/>
            </w:tcBorders>
            <w:vAlign w:val="center"/>
          </w:tcPr>
          <w:p>
            <w:pPr>
              <w:pStyle w:val="17"/>
              <w:bidi w:val="0"/>
              <w:rPr>
                <w:rFonts w:hint="default"/>
              </w:rPr>
            </w:pPr>
          </w:p>
        </w:tc>
        <w:tc>
          <w:tcPr>
            <w:tcW w:w="1312"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1296" w:type="dxa"/>
            <w:vMerge w:val="continue"/>
            <w:tcBorders>
              <w:tl2br w:val="nil"/>
              <w:tr2bl w:val="nil"/>
            </w:tcBorders>
            <w:vAlign w:val="center"/>
          </w:tcPr>
          <w:p>
            <w:pPr>
              <w:pStyle w:val="17"/>
              <w:bidi w:val="0"/>
              <w:rPr>
                <w:rFonts w:hint="default"/>
              </w:rPr>
            </w:pPr>
          </w:p>
        </w:tc>
        <w:tc>
          <w:tcPr>
            <w:tcW w:w="1503" w:type="dxa"/>
            <w:tcBorders>
              <w:tl2br w:val="nil"/>
              <w:tr2bl w:val="nil"/>
            </w:tcBorders>
            <w:vAlign w:val="center"/>
          </w:tcPr>
          <w:p>
            <w:pPr>
              <w:pStyle w:val="17"/>
              <w:bidi w:val="0"/>
              <w:rPr>
                <w:rFonts w:hint="default"/>
              </w:rPr>
            </w:pPr>
            <w:r>
              <w:rPr>
                <w:rFonts w:hint="default"/>
              </w:rPr>
              <w:t>COD</w:t>
            </w:r>
          </w:p>
        </w:tc>
        <w:tc>
          <w:tcPr>
            <w:tcW w:w="2119" w:type="dxa"/>
            <w:gridSpan w:val="2"/>
            <w:tcBorders>
              <w:tl2br w:val="nil"/>
              <w:tr2bl w:val="nil"/>
            </w:tcBorders>
            <w:vAlign w:val="center"/>
          </w:tcPr>
          <w:p>
            <w:pPr>
              <w:pStyle w:val="17"/>
              <w:bidi w:val="0"/>
              <w:rPr>
                <w:rFonts w:hint="default"/>
              </w:rPr>
            </w:pPr>
            <w:r>
              <w:rPr>
                <w:rFonts w:hint="default"/>
                <w:lang w:val="en-US" w:eastAsia="zh-CN"/>
              </w:rPr>
              <w:t>500</w:t>
            </w:r>
            <w:r>
              <w:rPr>
                <w:rFonts w:hint="default"/>
              </w:rPr>
              <w:t>mg/L</w:t>
            </w:r>
          </w:p>
        </w:tc>
        <w:tc>
          <w:tcPr>
            <w:tcW w:w="2841" w:type="dxa"/>
            <w:vMerge w:val="continue"/>
            <w:tcBorders>
              <w:tl2br w:val="nil"/>
              <w:tr2bl w:val="nil"/>
            </w:tcBorders>
            <w:vAlign w:val="center"/>
          </w:tcPr>
          <w:p>
            <w:pPr>
              <w:pStyle w:val="17"/>
              <w:bidi w:val="0"/>
              <w:rPr>
                <w:rFonts w:hint="default"/>
              </w:rPr>
            </w:pPr>
          </w:p>
        </w:tc>
        <w:tc>
          <w:tcPr>
            <w:tcW w:w="1312"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1296" w:type="dxa"/>
            <w:vMerge w:val="continue"/>
            <w:tcBorders>
              <w:tl2br w:val="nil"/>
              <w:tr2bl w:val="nil"/>
            </w:tcBorders>
            <w:vAlign w:val="center"/>
          </w:tcPr>
          <w:p>
            <w:pPr>
              <w:pStyle w:val="17"/>
              <w:bidi w:val="0"/>
              <w:rPr>
                <w:rFonts w:hint="default"/>
              </w:rPr>
            </w:pPr>
          </w:p>
        </w:tc>
        <w:tc>
          <w:tcPr>
            <w:tcW w:w="1503" w:type="dxa"/>
            <w:tcBorders>
              <w:tl2br w:val="nil"/>
              <w:tr2bl w:val="nil"/>
            </w:tcBorders>
            <w:vAlign w:val="center"/>
          </w:tcPr>
          <w:p>
            <w:pPr>
              <w:pStyle w:val="17"/>
              <w:bidi w:val="0"/>
              <w:rPr>
                <w:rFonts w:hint="default"/>
              </w:rPr>
            </w:pPr>
            <w:r>
              <w:rPr>
                <w:rFonts w:hint="default"/>
              </w:rPr>
              <w:t>氨氮</w:t>
            </w:r>
          </w:p>
        </w:tc>
        <w:tc>
          <w:tcPr>
            <w:tcW w:w="2119" w:type="dxa"/>
            <w:gridSpan w:val="2"/>
            <w:tcBorders>
              <w:tl2br w:val="nil"/>
              <w:tr2bl w:val="nil"/>
            </w:tcBorders>
            <w:vAlign w:val="center"/>
          </w:tcPr>
          <w:p>
            <w:pPr>
              <w:pStyle w:val="17"/>
              <w:bidi w:val="0"/>
              <w:rPr>
                <w:rFonts w:hint="default"/>
                <w:lang w:eastAsia="zh-CN"/>
              </w:rPr>
            </w:pPr>
            <w:r>
              <w:rPr>
                <w:rFonts w:hint="default"/>
                <w:lang w:val="en-US" w:eastAsia="zh-CN"/>
              </w:rPr>
              <w:t>-</w:t>
            </w:r>
          </w:p>
        </w:tc>
        <w:tc>
          <w:tcPr>
            <w:tcW w:w="2841" w:type="dxa"/>
            <w:vMerge w:val="continue"/>
            <w:tcBorders>
              <w:tl2br w:val="nil"/>
              <w:tr2bl w:val="nil"/>
            </w:tcBorders>
            <w:vAlign w:val="center"/>
          </w:tcPr>
          <w:p>
            <w:pPr>
              <w:pStyle w:val="17"/>
              <w:bidi w:val="0"/>
              <w:rPr>
                <w:rFonts w:hint="default"/>
              </w:rPr>
            </w:pPr>
          </w:p>
        </w:tc>
        <w:tc>
          <w:tcPr>
            <w:tcW w:w="1312"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1296" w:type="dxa"/>
            <w:vMerge w:val="continue"/>
            <w:tcBorders>
              <w:tl2br w:val="nil"/>
              <w:tr2bl w:val="nil"/>
            </w:tcBorders>
            <w:vAlign w:val="center"/>
          </w:tcPr>
          <w:p>
            <w:pPr>
              <w:pStyle w:val="17"/>
              <w:bidi w:val="0"/>
              <w:rPr>
                <w:rFonts w:hint="default"/>
              </w:rPr>
            </w:pPr>
          </w:p>
        </w:tc>
        <w:tc>
          <w:tcPr>
            <w:tcW w:w="1503" w:type="dxa"/>
            <w:tcBorders>
              <w:tl2br w:val="nil"/>
              <w:tr2bl w:val="nil"/>
            </w:tcBorders>
            <w:vAlign w:val="center"/>
          </w:tcPr>
          <w:p>
            <w:pPr>
              <w:pStyle w:val="17"/>
              <w:bidi w:val="0"/>
              <w:rPr>
                <w:rFonts w:hint="default"/>
              </w:rPr>
            </w:pPr>
            <w:r>
              <w:rPr>
                <w:rFonts w:hint="default"/>
              </w:rPr>
              <w:t>SS</w:t>
            </w:r>
          </w:p>
        </w:tc>
        <w:tc>
          <w:tcPr>
            <w:tcW w:w="2119" w:type="dxa"/>
            <w:gridSpan w:val="2"/>
            <w:tcBorders>
              <w:tl2br w:val="nil"/>
              <w:tr2bl w:val="nil"/>
            </w:tcBorders>
            <w:vAlign w:val="center"/>
          </w:tcPr>
          <w:p>
            <w:pPr>
              <w:pStyle w:val="17"/>
              <w:bidi w:val="0"/>
              <w:rPr>
                <w:rFonts w:hint="default"/>
              </w:rPr>
            </w:pPr>
            <w:r>
              <w:rPr>
                <w:rFonts w:hint="default"/>
              </w:rPr>
              <w:t>400mg/L</w:t>
            </w:r>
          </w:p>
        </w:tc>
        <w:tc>
          <w:tcPr>
            <w:tcW w:w="2841" w:type="dxa"/>
            <w:vMerge w:val="continue"/>
            <w:tcBorders>
              <w:tl2br w:val="nil"/>
              <w:tr2bl w:val="nil"/>
            </w:tcBorders>
            <w:vAlign w:val="center"/>
          </w:tcPr>
          <w:p>
            <w:pPr>
              <w:pStyle w:val="17"/>
              <w:bidi w:val="0"/>
              <w:rPr>
                <w:rFonts w:hint="default"/>
              </w:rPr>
            </w:pPr>
          </w:p>
        </w:tc>
        <w:tc>
          <w:tcPr>
            <w:tcW w:w="1312"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1296" w:type="dxa"/>
            <w:vMerge w:val="continue"/>
            <w:tcBorders>
              <w:tl2br w:val="nil"/>
              <w:tr2bl w:val="nil"/>
            </w:tcBorders>
            <w:vAlign w:val="center"/>
          </w:tcPr>
          <w:p>
            <w:pPr>
              <w:pStyle w:val="17"/>
              <w:bidi w:val="0"/>
              <w:rPr>
                <w:rFonts w:hint="default"/>
              </w:rPr>
            </w:pPr>
          </w:p>
        </w:tc>
        <w:tc>
          <w:tcPr>
            <w:tcW w:w="1503" w:type="dxa"/>
            <w:tcBorders>
              <w:tl2br w:val="nil"/>
              <w:tr2bl w:val="nil"/>
            </w:tcBorders>
            <w:vAlign w:val="center"/>
          </w:tcPr>
          <w:p>
            <w:pPr>
              <w:pStyle w:val="17"/>
              <w:bidi w:val="0"/>
              <w:rPr>
                <w:rFonts w:hint="default"/>
              </w:rPr>
            </w:pPr>
            <w:r>
              <w:rPr>
                <w:rFonts w:hint="default"/>
              </w:rPr>
              <w:t>动植物油</w:t>
            </w:r>
          </w:p>
        </w:tc>
        <w:tc>
          <w:tcPr>
            <w:tcW w:w="2119" w:type="dxa"/>
            <w:gridSpan w:val="2"/>
            <w:tcBorders>
              <w:tl2br w:val="nil"/>
              <w:tr2bl w:val="nil"/>
            </w:tcBorders>
            <w:vAlign w:val="center"/>
          </w:tcPr>
          <w:p>
            <w:pPr>
              <w:pStyle w:val="17"/>
              <w:bidi w:val="0"/>
              <w:rPr>
                <w:rFonts w:hint="default"/>
              </w:rPr>
            </w:pPr>
            <w:r>
              <w:rPr>
                <w:rFonts w:hint="default"/>
                <w:lang w:val="en-US" w:eastAsia="zh-CN"/>
              </w:rPr>
              <w:t>100</w:t>
            </w:r>
            <w:r>
              <w:rPr>
                <w:rFonts w:hint="default"/>
              </w:rPr>
              <w:t>mg/L</w:t>
            </w:r>
          </w:p>
        </w:tc>
        <w:tc>
          <w:tcPr>
            <w:tcW w:w="2841" w:type="dxa"/>
            <w:vMerge w:val="continue"/>
            <w:tcBorders>
              <w:tl2br w:val="nil"/>
              <w:tr2bl w:val="nil"/>
            </w:tcBorders>
            <w:vAlign w:val="center"/>
          </w:tcPr>
          <w:p>
            <w:pPr>
              <w:pStyle w:val="17"/>
              <w:bidi w:val="0"/>
              <w:rPr>
                <w:rFonts w:hint="default"/>
              </w:rPr>
            </w:pPr>
          </w:p>
        </w:tc>
        <w:tc>
          <w:tcPr>
            <w:tcW w:w="1312"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6" w:type="dxa"/>
            <w:vMerge w:val="restart"/>
            <w:tcBorders>
              <w:tl2br w:val="nil"/>
              <w:tr2bl w:val="nil"/>
            </w:tcBorders>
            <w:vAlign w:val="center"/>
          </w:tcPr>
          <w:p>
            <w:pPr>
              <w:pStyle w:val="17"/>
              <w:bidi w:val="0"/>
              <w:rPr>
                <w:rFonts w:hint="default"/>
              </w:rPr>
            </w:pPr>
            <w:r>
              <w:rPr>
                <w:rFonts w:hint="default"/>
              </w:rPr>
              <w:t>施工噪声</w:t>
            </w:r>
          </w:p>
        </w:tc>
        <w:tc>
          <w:tcPr>
            <w:tcW w:w="1503" w:type="dxa"/>
            <w:vMerge w:val="restart"/>
            <w:tcBorders>
              <w:tl2br w:val="nil"/>
              <w:tr2bl w:val="nil"/>
            </w:tcBorders>
            <w:vAlign w:val="center"/>
          </w:tcPr>
          <w:p>
            <w:pPr>
              <w:pStyle w:val="17"/>
              <w:bidi w:val="0"/>
              <w:rPr>
                <w:rFonts w:hint="default"/>
              </w:rPr>
            </w:pPr>
            <w:r>
              <w:rPr>
                <w:rFonts w:hint="default"/>
                <w:lang w:val="zh-CN"/>
              </w:rPr>
              <w:t>场界噪声</w:t>
            </w:r>
          </w:p>
        </w:tc>
        <w:tc>
          <w:tcPr>
            <w:tcW w:w="813" w:type="dxa"/>
            <w:tcBorders>
              <w:tl2br w:val="nil"/>
              <w:tr2bl w:val="nil"/>
            </w:tcBorders>
            <w:vAlign w:val="center"/>
          </w:tcPr>
          <w:p>
            <w:pPr>
              <w:pStyle w:val="17"/>
              <w:bidi w:val="0"/>
              <w:rPr>
                <w:rFonts w:hint="default"/>
                <w:lang w:val="zh-CN"/>
              </w:rPr>
            </w:pPr>
            <w:r>
              <w:rPr>
                <w:rFonts w:hint="default"/>
              </w:rPr>
              <w:t>昼间</w:t>
            </w:r>
          </w:p>
        </w:tc>
        <w:tc>
          <w:tcPr>
            <w:tcW w:w="1306" w:type="dxa"/>
            <w:tcBorders>
              <w:tl2br w:val="nil"/>
              <w:tr2bl w:val="nil"/>
            </w:tcBorders>
            <w:vAlign w:val="center"/>
          </w:tcPr>
          <w:p>
            <w:pPr>
              <w:pStyle w:val="17"/>
              <w:bidi w:val="0"/>
              <w:rPr>
                <w:rFonts w:hint="default"/>
                <w:lang w:val="zh-CN"/>
              </w:rPr>
            </w:pPr>
            <w:r>
              <w:rPr>
                <w:rFonts w:hint="default"/>
              </w:rPr>
              <w:t>70dB（A）</w:t>
            </w:r>
          </w:p>
        </w:tc>
        <w:tc>
          <w:tcPr>
            <w:tcW w:w="2841" w:type="dxa"/>
            <w:vMerge w:val="restart"/>
            <w:tcBorders>
              <w:tl2br w:val="nil"/>
              <w:tr2bl w:val="nil"/>
            </w:tcBorders>
            <w:vAlign w:val="center"/>
          </w:tcPr>
          <w:p>
            <w:pPr>
              <w:pStyle w:val="17"/>
              <w:bidi w:val="0"/>
              <w:rPr>
                <w:rFonts w:hint="default"/>
                <w:lang w:val="zh-CN"/>
              </w:rPr>
            </w:pPr>
            <w:r>
              <w:rPr>
                <w:rFonts w:hint="default"/>
              </w:rPr>
              <w:t>《建筑施工场界环境噪声排放标准》（GB12523-2011）</w:t>
            </w:r>
          </w:p>
        </w:tc>
        <w:tc>
          <w:tcPr>
            <w:tcW w:w="1312" w:type="dxa"/>
            <w:vMerge w:val="restart"/>
            <w:tcBorders>
              <w:tl2br w:val="nil"/>
              <w:tr2bl w:val="nil"/>
            </w:tcBorders>
            <w:vAlign w:val="center"/>
          </w:tcPr>
          <w:p>
            <w:pPr>
              <w:pStyle w:val="17"/>
              <w:bidi w:val="0"/>
              <w:rPr>
                <w:rFonts w:hint="default"/>
                <w:lang w:val="zh-CN"/>
              </w:rPr>
            </w:pPr>
            <w:r>
              <w:rPr>
                <w:rFonts w:hint="default"/>
                <w:lang w:val="zh-CN"/>
              </w:rPr>
              <w:t>施工场界外1m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6" w:type="dxa"/>
            <w:vMerge w:val="continue"/>
            <w:tcBorders>
              <w:tl2br w:val="nil"/>
              <w:tr2bl w:val="nil"/>
            </w:tcBorders>
            <w:vAlign w:val="center"/>
          </w:tcPr>
          <w:p>
            <w:pPr>
              <w:pStyle w:val="17"/>
              <w:bidi w:val="0"/>
              <w:rPr>
                <w:rFonts w:hint="default"/>
              </w:rPr>
            </w:pPr>
          </w:p>
        </w:tc>
        <w:tc>
          <w:tcPr>
            <w:tcW w:w="1503" w:type="dxa"/>
            <w:vMerge w:val="continue"/>
            <w:tcBorders>
              <w:tl2br w:val="nil"/>
              <w:tr2bl w:val="nil"/>
            </w:tcBorders>
            <w:vAlign w:val="center"/>
          </w:tcPr>
          <w:p>
            <w:pPr>
              <w:pStyle w:val="17"/>
              <w:bidi w:val="0"/>
              <w:rPr>
                <w:rFonts w:hint="default"/>
              </w:rPr>
            </w:pPr>
          </w:p>
        </w:tc>
        <w:tc>
          <w:tcPr>
            <w:tcW w:w="813" w:type="dxa"/>
            <w:tcBorders>
              <w:tl2br w:val="nil"/>
              <w:tr2bl w:val="nil"/>
            </w:tcBorders>
            <w:vAlign w:val="center"/>
          </w:tcPr>
          <w:p>
            <w:pPr>
              <w:pStyle w:val="17"/>
              <w:bidi w:val="0"/>
              <w:rPr>
                <w:rFonts w:hint="default"/>
                <w:lang w:val="zh-CN"/>
              </w:rPr>
            </w:pPr>
            <w:r>
              <w:rPr>
                <w:rFonts w:hint="default"/>
              </w:rPr>
              <w:t>夜间</w:t>
            </w:r>
          </w:p>
        </w:tc>
        <w:tc>
          <w:tcPr>
            <w:tcW w:w="1306" w:type="dxa"/>
            <w:tcBorders>
              <w:tl2br w:val="nil"/>
              <w:tr2bl w:val="nil"/>
            </w:tcBorders>
            <w:vAlign w:val="center"/>
          </w:tcPr>
          <w:p>
            <w:pPr>
              <w:pStyle w:val="17"/>
              <w:bidi w:val="0"/>
              <w:rPr>
                <w:rFonts w:hint="default"/>
                <w:lang w:val="zh-CN"/>
              </w:rPr>
            </w:pPr>
            <w:r>
              <w:rPr>
                <w:rFonts w:hint="default"/>
              </w:rPr>
              <w:t>55dB（A）</w:t>
            </w:r>
          </w:p>
        </w:tc>
        <w:tc>
          <w:tcPr>
            <w:tcW w:w="2841" w:type="dxa"/>
            <w:vMerge w:val="continue"/>
            <w:tcBorders>
              <w:tl2br w:val="nil"/>
              <w:tr2bl w:val="nil"/>
            </w:tcBorders>
            <w:vAlign w:val="center"/>
          </w:tcPr>
          <w:p>
            <w:pPr>
              <w:pStyle w:val="17"/>
              <w:bidi w:val="0"/>
              <w:rPr>
                <w:rFonts w:hint="default"/>
              </w:rPr>
            </w:pPr>
          </w:p>
        </w:tc>
        <w:tc>
          <w:tcPr>
            <w:tcW w:w="1312"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6" w:type="dxa"/>
            <w:vMerge w:val="restart"/>
            <w:tcBorders>
              <w:tl2br w:val="nil"/>
              <w:tr2bl w:val="nil"/>
            </w:tcBorders>
            <w:vAlign w:val="center"/>
          </w:tcPr>
          <w:p>
            <w:pPr>
              <w:pStyle w:val="17"/>
              <w:bidi w:val="0"/>
              <w:rPr>
                <w:rFonts w:hint="default"/>
                <w:lang w:val="zh-CN"/>
              </w:rPr>
            </w:pPr>
            <w:r>
              <w:rPr>
                <w:rFonts w:hint="default"/>
                <w:lang w:val="zh-CN"/>
              </w:rPr>
              <w:t>运营噪声</w:t>
            </w:r>
          </w:p>
        </w:tc>
        <w:tc>
          <w:tcPr>
            <w:tcW w:w="1503" w:type="dxa"/>
            <w:vMerge w:val="restart"/>
            <w:tcBorders>
              <w:tl2br w:val="nil"/>
              <w:tr2bl w:val="nil"/>
            </w:tcBorders>
            <w:vAlign w:val="center"/>
          </w:tcPr>
          <w:p>
            <w:pPr>
              <w:pStyle w:val="17"/>
              <w:bidi w:val="0"/>
              <w:rPr>
                <w:rFonts w:hint="default"/>
                <w:lang w:val="zh-CN"/>
              </w:rPr>
            </w:pPr>
            <w:r>
              <w:rPr>
                <w:rFonts w:hint="default"/>
                <w:lang w:val="zh-CN"/>
              </w:rPr>
              <w:t>厂界噪声</w:t>
            </w:r>
          </w:p>
        </w:tc>
        <w:tc>
          <w:tcPr>
            <w:tcW w:w="813" w:type="dxa"/>
            <w:tcBorders>
              <w:tl2br w:val="nil"/>
              <w:tr2bl w:val="nil"/>
            </w:tcBorders>
            <w:vAlign w:val="center"/>
          </w:tcPr>
          <w:p>
            <w:pPr>
              <w:pStyle w:val="17"/>
              <w:bidi w:val="0"/>
              <w:rPr>
                <w:rFonts w:hint="default"/>
                <w:lang w:val="zh-CN"/>
              </w:rPr>
            </w:pPr>
            <w:r>
              <w:rPr>
                <w:rFonts w:hint="default"/>
              </w:rPr>
              <w:t>昼间</w:t>
            </w:r>
          </w:p>
        </w:tc>
        <w:tc>
          <w:tcPr>
            <w:tcW w:w="1306" w:type="dxa"/>
            <w:tcBorders>
              <w:tl2br w:val="nil"/>
              <w:tr2bl w:val="nil"/>
            </w:tcBorders>
            <w:vAlign w:val="center"/>
          </w:tcPr>
          <w:p>
            <w:pPr>
              <w:pStyle w:val="17"/>
              <w:bidi w:val="0"/>
              <w:rPr>
                <w:rFonts w:hint="default"/>
                <w:lang w:val="zh-CN"/>
              </w:rPr>
            </w:pPr>
            <w:r>
              <w:rPr>
                <w:rFonts w:hint="eastAsia"/>
                <w:lang w:val="en-US" w:eastAsia="zh-CN"/>
              </w:rPr>
              <w:t>60</w:t>
            </w:r>
            <w:r>
              <w:rPr>
                <w:rFonts w:hint="default"/>
              </w:rPr>
              <w:t>dB（A）</w:t>
            </w:r>
          </w:p>
        </w:tc>
        <w:tc>
          <w:tcPr>
            <w:tcW w:w="2841" w:type="dxa"/>
            <w:vMerge w:val="restart"/>
            <w:tcBorders>
              <w:tl2br w:val="nil"/>
              <w:tr2bl w:val="nil"/>
            </w:tcBorders>
            <w:vAlign w:val="center"/>
          </w:tcPr>
          <w:p>
            <w:pPr>
              <w:pStyle w:val="17"/>
              <w:bidi w:val="0"/>
              <w:rPr>
                <w:rFonts w:hint="default"/>
                <w:lang w:val="zh-CN"/>
              </w:rPr>
            </w:pPr>
            <w:r>
              <w:rPr>
                <w:rFonts w:hint="default"/>
              </w:rPr>
              <w:t>《工业企业厂界环境噪声排放标准》（GB12348-2008）</w:t>
            </w:r>
          </w:p>
        </w:tc>
        <w:tc>
          <w:tcPr>
            <w:tcW w:w="1312" w:type="dxa"/>
            <w:vMerge w:val="restart"/>
            <w:tcBorders>
              <w:tl2br w:val="nil"/>
              <w:tr2bl w:val="nil"/>
            </w:tcBorders>
            <w:vAlign w:val="center"/>
          </w:tcPr>
          <w:p>
            <w:pPr>
              <w:pStyle w:val="17"/>
              <w:bidi w:val="0"/>
              <w:rPr>
                <w:rFonts w:hint="default"/>
                <w:lang w:val="zh-CN"/>
              </w:rPr>
            </w:pPr>
            <w:r>
              <w:rPr>
                <w:rFonts w:hint="default"/>
                <w:lang w:val="zh-CN"/>
              </w:rPr>
              <w:t>占地厂界外1m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1296" w:type="dxa"/>
            <w:vMerge w:val="continue"/>
            <w:tcBorders>
              <w:tl2br w:val="nil"/>
              <w:tr2bl w:val="nil"/>
            </w:tcBorders>
            <w:vAlign w:val="center"/>
          </w:tcPr>
          <w:p>
            <w:pPr>
              <w:pStyle w:val="17"/>
              <w:bidi w:val="0"/>
              <w:rPr>
                <w:rFonts w:hint="default"/>
              </w:rPr>
            </w:pPr>
          </w:p>
        </w:tc>
        <w:tc>
          <w:tcPr>
            <w:tcW w:w="1503" w:type="dxa"/>
            <w:vMerge w:val="continue"/>
            <w:tcBorders>
              <w:tl2br w:val="nil"/>
              <w:tr2bl w:val="nil"/>
            </w:tcBorders>
            <w:vAlign w:val="center"/>
          </w:tcPr>
          <w:p>
            <w:pPr>
              <w:pStyle w:val="17"/>
              <w:bidi w:val="0"/>
              <w:rPr>
                <w:rFonts w:hint="default"/>
              </w:rPr>
            </w:pPr>
          </w:p>
        </w:tc>
        <w:tc>
          <w:tcPr>
            <w:tcW w:w="813" w:type="dxa"/>
            <w:tcBorders>
              <w:tl2br w:val="nil"/>
              <w:tr2bl w:val="nil"/>
            </w:tcBorders>
            <w:vAlign w:val="center"/>
          </w:tcPr>
          <w:p>
            <w:pPr>
              <w:pStyle w:val="17"/>
              <w:bidi w:val="0"/>
              <w:rPr>
                <w:rFonts w:hint="default"/>
                <w:lang w:val="zh-CN"/>
              </w:rPr>
            </w:pPr>
            <w:r>
              <w:rPr>
                <w:rFonts w:hint="default"/>
              </w:rPr>
              <w:t>夜间</w:t>
            </w:r>
          </w:p>
        </w:tc>
        <w:tc>
          <w:tcPr>
            <w:tcW w:w="1306" w:type="dxa"/>
            <w:tcBorders>
              <w:tl2br w:val="nil"/>
              <w:tr2bl w:val="nil"/>
            </w:tcBorders>
            <w:vAlign w:val="center"/>
          </w:tcPr>
          <w:p>
            <w:pPr>
              <w:pStyle w:val="17"/>
              <w:bidi w:val="0"/>
              <w:rPr>
                <w:rFonts w:hint="default"/>
                <w:lang w:val="zh-CN"/>
              </w:rPr>
            </w:pPr>
            <w:r>
              <w:rPr>
                <w:rFonts w:hint="eastAsia"/>
                <w:lang w:val="en-US" w:eastAsia="zh-CN"/>
              </w:rPr>
              <w:t>50</w:t>
            </w:r>
            <w:r>
              <w:rPr>
                <w:rFonts w:hint="default"/>
              </w:rPr>
              <w:t>dB（A）</w:t>
            </w:r>
          </w:p>
        </w:tc>
        <w:tc>
          <w:tcPr>
            <w:tcW w:w="2841" w:type="dxa"/>
            <w:vMerge w:val="continue"/>
            <w:tcBorders>
              <w:tl2br w:val="nil"/>
              <w:tr2bl w:val="nil"/>
            </w:tcBorders>
            <w:vAlign w:val="center"/>
          </w:tcPr>
          <w:p>
            <w:pPr>
              <w:pStyle w:val="17"/>
              <w:bidi w:val="0"/>
              <w:rPr>
                <w:rFonts w:hint="default"/>
              </w:rPr>
            </w:pPr>
          </w:p>
        </w:tc>
        <w:tc>
          <w:tcPr>
            <w:tcW w:w="1312" w:type="dxa"/>
            <w:vMerge w:val="continue"/>
            <w:tcBorders>
              <w:tl2br w:val="nil"/>
              <w:tr2bl w:val="nil"/>
            </w:tcBorders>
            <w:vAlign w:val="center"/>
          </w:tcPr>
          <w:p>
            <w:pPr>
              <w:pStyle w:val="17"/>
              <w:bidi w:val="0"/>
              <w:rPr>
                <w:rFonts w:hint="default"/>
              </w:rPr>
            </w:pPr>
          </w:p>
        </w:tc>
      </w:tr>
    </w:tbl>
    <w:p>
      <w:pPr>
        <w:pStyle w:val="5"/>
        <w:bidi w:val="0"/>
        <w:rPr>
          <w:rFonts w:hint="default"/>
        </w:rPr>
      </w:pPr>
      <w:bookmarkStart w:id="68" w:name="_Toc332975153"/>
      <w:bookmarkStart w:id="69" w:name="_Toc341867047"/>
      <w:bookmarkStart w:id="70" w:name="_Toc11449"/>
      <w:bookmarkStart w:id="71" w:name="_Toc327373178"/>
      <w:r>
        <w:rPr>
          <w:rFonts w:hint="default"/>
        </w:rPr>
        <w:t>2.5.6</w:t>
      </w:r>
      <w:r>
        <w:rPr>
          <w:rFonts w:hint="eastAsia"/>
          <w:lang w:eastAsia="zh-CN"/>
        </w:rPr>
        <w:t>、</w:t>
      </w:r>
      <w:r>
        <w:rPr>
          <w:rFonts w:hint="default"/>
        </w:rPr>
        <w:t>控制标准</w:t>
      </w:r>
    </w:p>
    <w:p>
      <w:pPr>
        <w:bidi w:val="0"/>
        <w:rPr>
          <w:rFonts w:hint="default"/>
        </w:rPr>
      </w:pPr>
      <w:r>
        <w:rPr>
          <w:rFonts w:hint="default"/>
        </w:rPr>
        <w:t>（1）</w:t>
      </w:r>
      <w:r>
        <w:rPr>
          <w:rFonts w:hint="eastAsia"/>
          <w:lang w:eastAsia="zh-CN"/>
        </w:rPr>
        <w:t>《一般工业固体废物贮存和填埋污染控制标准》（GB 18599-2020）</w:t>
      </w:r>
      <w:r>
        <w:rPr>
          <w:rFonts w:hint="default"/>
        </w:rPr>
        <w:t>；</w:t>
      </w:r>
    </w:p>
    <w:p>
      <w:pPr>
        <w:bidi w:val="0"/>
        <w:rPr>
          <w:rFonts w:hint="default"/>
        </w:rPr>
      </w:pPr>
      <w:r>
        <w:rPr>
          <w:rFonts w:hint="default"/>
        </w:rPr>
        <w:t>（</w:t>
      </w:r>
      <w:r>
        <w:rPr>
          <w:rFonts w:hint="eastAsia"/>
          <w:lang w:val="en-US" w:eastAsia="zh-CN"/>
        </w:rPr>
        <w:t>2</w:t>
      </w:r>
      <w:r>
        <w:rPr>
          <w:rFonts w:hint="default"/>
        </w:rPr>
        <w:t>）《环境保护图形标志排放口（源）》（GB15562.1-1995）；</w:t>
      </w:r>
    </w:p>
    <w:p>
      <w:pPr>
        <w:bidi w:val="0"/>
        <w:rPr>
          <w:rFonts w:hint="default"/>
        </w:rPr>
      </w:pPr>
      <w:r>
        <w:rPr>
          <w:rFonts w:hint="default"/>
        </w:rPr>
        <w:t>（</w:t>
      </w:r>
      <w:r>
        <w:rPr>
          <w:rFonts w:hint="eastAsia"/>
          <w:lang w:val="en-US" w:eastAsia="zh-CN"/>
        </w:rPr>
        <w:t>3</w:t>
      </w:r>
      <w:r>
        <w:rPr>
          <w:rFonts w:hint="default"/>
        </w:rPr>
        <w:t>）《工作场所有害因素职业接触限值 化学有害因素》（GBZ2-2007）。</w:t>
      </w:r>
    </w:p>
    <w:p>
      <w:pPr>
        <w:bidi w:val="0"/>
        <w:rPr>
          <w:rFonts w:hint="default" w:ascii="Times New Roman" w:hAnsi="Times New Roman" w:eastAsia="宋体" w:cs="Times New Roman"/>
          <w:bCs/>
          <w:kern w:val="0"/>
          <w:sz w:val="24"/>
          <w:szCs w:val="24"/>
        </w:rPr>
      </w:pPr>
      <w:r>
        <w:rPr>
          <w:rFonts w:hint="eastAsia"/>
          <w:lang w:eastAsia="zh-CN"/>
        </w:rPr>
        <w:t>（</w:t>
      </w:r>
      <w:r>
        <w:rPr>
          <w:rFonts w:hint="eastAsia"/>
          <w:lang w:val="en-US" w:eastAsia="zh-CN"/>
        </w:rPr>
        <w:t>4</w:t>
      </w:r>
      <w:r>
        <w:rPr>
          <w:rFonts w:hint="eastAsia"/>
          <w:lang w:eastAsia="zh-CN"/>
        </w:rPr>
        <w:t>）</w:t>
      </w:r>
      <w:r>
        <w:rPr>
          <w:rFonts w:hint="default" w:ascii="Times New Roman" w:hAnsi="Times New Roman" w:eastAsia="宋体" w:cs="Times New Roman"/>
          <w:bCs/>
          <w:kern w:val="0"/>
          <w:sz w:val="24"/>
          <w:szCs w:val="24"/>
        </w:rPr>
        <w:t>《挥发性有机物无组织排放控制标准》（GB37822-2019）表A.1的无组织排放特别限值。</w:t>
      </w:r>
    </w:p>
    <w:p>
      <w:pPr>
        <w:bidi w:val="0"/>
        <w:rPr>
          <w:rFonts w:hint="eastAsia" w:ascii="Times New Roman" w:hAnsi="Times New Roman" w:eastAsia="宋体" w:cs="Times New Roman"/>
          <w:bCs/>
          <w:kern w:val="0"/>
          <w:sz w:val="24"/>
          <w:szCs w:val="24"/>
          <w:lang w:eastAsia="zh-CN"/>
        </w:rPr>
      </w:pPr>
      <w:r>
        <w:rPr>
          <w:rFonts w:hint="eastAsia" w:ascii="Times New Roman" w:hAnsi="Times New Roman" w:eastAsia="宋体" w:cs="Times New Roman"/>
          <w:bCs/>
          <w:kern w:val="0"/>
          <w:sz w:val="24"/>
          <w:szCs w:val="24"/>
          <w:lang w:eastAsia="zh-CN"/>
        </w:rPr>
        <w:t>（</w:t>
      </w:r>
      <w:r>
        <w:rPr>
          <w:rFonts w:hint="eastAsia" w:ascii="Times New Roman" w:hAnsi="Times New Roman" w:eastAsia="宋体" w:cs="Times New Roman"/>
          <w:bCs/>
          <w:kern w:val="0"/>
          <w:sz w:val="24"/>
          <w:szCs w:val="24"/>
          <w:lang w:val="en-US" w:eastAsia="zh-CN"/>
        </w:rPr>
        <w:t>5</w:t>
      </w:r>
      <w:r>
        <w:rPr>
          <w:rFonts w:hint="eastAsia" w:ascii="Times New Roman" w:hAnsi="Times New Roman" w:eastAsia="宋体" w:cs="Times New Roman"/>
          <w:bCs/>
          <w:kern w:val="0"/>
          <w:sz w:val="24"/>
          <w:szCs w:val="24"/>
          <w:lang w:eastAsia="zh-CN"/>
        </w:rPr>
        <w:t>）</w:t>
      </w:r>
      <w:r>
        <w:rPr>
          <w:rFonts w:hint="default" w:ascii="Times New Roman" w:hAnsi="Times New Roman" w:eastAsia="宋体" w:cs="Times New Roman"/>
          <w:sz w:val="24"/>
          <w:szCs w:val="24"/>
        </w:rPr>
        <w:t>危险废物执行《危险废物贮存污染控制标准》（GB18597-2001）及其修改单。</w:t>
      </w:r>
    </w:p>
    <w:p>
      <w:pPr>
        <w:pStyle w:val="4"/>
        <w:bidi w:val="0"/>
        <w:rPr>
          <w:rFonts w:hint="default"/>
          <w:lang w:val="en-US" w:eastAsia="zh-CN"/>
        </w:rPr>
      </w:pPr>
      <w:bookmarkStart w:id="72" w:name="_Toc18077"/>
      <w:bookmarkStart w:id="73" w:name="_Toc15761"/>
      <w:r>
        <w:rPr>
          <w:rFonts w:hint="default"/>
        </w:rPr>
        <w:t>2.6</w:t>
      </w:r>
      <w:r>
        <w:rPr>
          <w:rFonts w:hint="eastAsia"/>
          <w:lang w:eastAsia="zh-CN"/>
        </w:rPr>
        <w:t>、</w:t>
      </w:r>
      <w:r>
        <w:rPr>
          <w:rFonts w:hint="default"/>
        </w:rPr>
        <w:t>评价工作等级和评价</w:t>
      </w:r>
      <w:bookmarkEnd w:id="68"/>
      <w:bookmarkEnd w:id="69"/>
      <w:bookmarkEnd w:id="70"/>
      <w:bookmarkEnd w:id="71"/>
      <w:bookmarkEnd w:id="72"/>
      <w:r>
        <w:rPr>
          <w:rFonts w:hint="default"/>
          <w:lang w:val="en-US" w:eastAsia="zh-CN"/>
        </w:rPr>
        <w:t>范围</w:t>
      </w:r>
      <w:bookmarkEnd w:id="73"/>
    </w:p>
    <w:p>
      <w:pPr>
        <w:pStyle w:val="5"/>
        <w:bidi w:val="0"/>
        <w:rPr>
          <w:rFonts w:hint="default"/>
        </w:rPr>
      </w:pPr>
      <w:bookmarkStart w:id="74" w:name="_Toc327373179"/>
      <w:bookmarkStart w:id="75" w:name="_Toc341867048"/>
      <w:bookmarkStart w:id="76" w:name="_Toc332975154"/>
      <w:r>
        <w:rPr>
          <w:rFonts w:hint="default"/>
        </w:rPr>
        <w:t>2.6.1</w:t>
      </w:r>
      <w:r>
        <w:rPr>
          <w:rFonts w:hint="eastAsia"/>
          <w:lang w:eastAsia="zh-CN"/>
        </w:rPr>
        <w:t>、</w:t>
      </w:r>
      <w:r>
        <w:rPr>
          <w:rFonts w:hint="default"/>
        </w:rPr>
        <w:t>评价工作等级</w:t>
      </w:r>
      <w:bookmarkEnd w:id="74"/>
      <w:bookmarkEnd w:id="75"/>
      <w:bookmarkEnd w:id="76"/>
    </w:p>
    <w:p>
      <w:pPr>
        <w:pStyle w:val="6"/>
        <w:bidi w:val="0"/>
        <w:rPr>
          <w:rFonts w:hint="default"/>
        </w:rPr>
      </w:pPr>
      <w:r>
        <w:rPr>
          <w:rFonts w:hint="default"/>
        </w:rPr>
        <w:t>2.6.1.1</w:t>
      </w:r>
      <w:r>
        <w:rPr>
          <w:rFonts w:hint="eastAsia"/>
          <w:lang w:eastAsia="zh-CN"/>
        </w:rPr>
        <w:t>、</w:t>
      </w:r>
      <w:r>
        <w:rPr>
          <w:rFonts w:hint="default"/>
        </w:rPr>
        <w:t>环境空气</w:t>
      </w:r>
    </w:p>
    <w:p>
      <w:pPr>
        <w:bidi w:val="0"/>
        <w:rPr>
          <w:rFonts w:hint="default"/>
          <w:lang w:val="en-US"/>
        </w:rPr>
      </w:pPr>
      <w:r>
        <w:rPr>
          <w:rFonts w:hint="default"/>
        </w:rPr>
        <w:t>（1）</w:t>
      </w:r>
      <w:r>
        <w:rPr>
          <w:rFonts w:hint="default"/>
          <w:lang w:val="en-US"/>
        </w:rPr>
        <w:t>判定依据</w:t>
      </w:r>
    </w:p>
    <w:p>
      <w:pPr>
        <w:bidi w:val="0"/>
        <w:rPr>
          <w:rFonts w:hint="default"/>
        </w:rPr>
      </w:pPr>
      <w:r>
        <w:rPr>
          <w:rFonts w:hint="default"/>
        </w:rPr>
        <w:t>根据《环境影响评价技术导则 大气环境》（HJ2.2-2018）对项目大气环境影响评价工作的分级要求，结合初步工程分析，本项目选择主要污染物为非甲烷总烃，计算其最大地面浓度占标率</w:t>
      </w:r>
      <w:r>
        <w:rPr>
          <w:rFonts w:hint="default" w:ascii="Times New Roman" w:hAnsi="Times New Roman" w:eastAsia="宋体" w:cs="Times New Roman"/>
          <w:position w:val="-12"/>
        </w:rPr>
        <w:object>
          <v:shape id="_x0000_i1025" o:spt="75" type="#_x0000_t75" style="height:18pt;width:12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default"/>
        </w:rPr>
        <w:t>及第i个污染物的地面浓度达标准限值10%时所对应的最远距离</w:t>
      </w:r>
      <w:r>
        <w:rPr>
          <w:rFonts w:hint="default" w:ascii="Times New Roman" w:hAnsi="Times New Roman" w:eastAsia="宋体" w:cs="Times New Roman"/>
          <w:position w:val="-12"/>
        </w:rPr>
        <w:object>
          <v:shape id="_x0000_i1026" o:spt="75" type="#_x0000_t75" style="height:18pt;width:26.2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default"/>
        </w:rPr>
        <w:t>。其中</w:t>
      </w:r>
      <w:r>
        <w:rPr>
          <w:rFonts w:hint="default" w:ascii="Times New Roman" w:hAnsi="Times New Roman" w:eastAsia="宋体" w:cs="Times New Roman"/>
          <w:position w:val="-12"/>
        </w:rPr>
        <w:object>
          <v:shape id="_x0000_i1027" o:spt="75" type="#_x0000_t75" style="height:18pt;width:12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default"/>
        </w:rPr>
        <w:t>定义为：</w:t>
      </w:r>
    </w:p>
    <w:p>
      <w:pPr>
        <w:bidi w:val="0"/>
        <w:rPr>
          <w:rFonts w:hint="default"/>
        </w:rPr>
      </w:pPr>
      <w:r>
        <w:rPr>
          <w:rFonts w:hint="default"/>
          <w:lang w:val="en-US"/>
        </w:rPr>
        <w:drawing>
          <wp:anchor distT="0" distB="0" distL="114300" distR="114300" simplePos="0" relativeHeight="251660288" behindDoc="0" locked="0" layoutInCell="1" allowOverlap="1">
            <wp:simplePos x="0" y="0"/>
            <wp:positionH relativeFrom="column">
              <wp:posOffset>1973580</wp:posOffset>
            </wp:positionH>
            <wp:positionV relativeFrom="paragraph">
              <wp:posOffset>53975</wp:posOffset>
            </wp:positionV>
            <wp:extent cx="1114425" cy="456565"/>
            <wp:effectExtent l="0" t="0" r="9525" b="635"/>
            <wp:wrapTopAndBottom/>
            <wp:docPr id="3" name="对象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对象 5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14425" cy="456565"/>
                    </a:xfrm>
                    <a:prstGeom prst="rect">
                      <a:avLst/>
                    </a:prstGeom>
                    <a:noFill/>
                  </pic:spPr>
                </pic:pic>
              </a:graphicData>
            </a:graphic>
          </wp:anchor>
        </w:drawing>
      </w:r>
      <w:r>
        <w:rPr>
          <w:rFonts w:hint="default"/>
        </w:rPr>
        <w:t>式中：</w:t>
      </w:r>
      <w:r>
        <w:rPr>
          <w:rFonts w:hint="default" w:ascii="Times New Roman" w:hAnsi="Times New Roman" w:eastAsia="宋体" w:cs="Times New Roman"/>
          <w:position w:val="-12"/>
        </w:rPr>
        <w:object>
          <v:shape id="_x0000_i1028" o:spt="75" type="#_x0000_t75" style="height:18pt;width:12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default"/>
        </w:rPr>
        <w:t>—第i个污染物的最大地面空气质量浓度占标率，%；</w:t>
      </w:r>
    </w:p>
    <w:p>
      <w:pPr>
        <w:bidi w:val="0"/>
        <w:rPr>
          <w:rFonts w:hint="default"/>
        </w:rPr>
      </w:pPr>
      <w:r>
        <w:rPr>
          <w:rFonts w:hint="default" w:ascii="Times New Roman" w:hAnsi="Times New Roman" w:eastAsia="宋体" w:cs="Times New Roman"/>
          <w:position w:val="-12"/>
        </w:rPr>
        <w:object>
          <v:shape id="_x0000_i1029" o:spt="75" type="#_x0000_t75" style="height:18pt;width:12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default"/>
        </w:rPr>
        <w:t>—采用估算模式计算出的第i个污染物的最大1h地面空气质量浓度，μ</w:t>
      </w:r>
      <w:r>
        <w:rPr>
          <w:rFonts w:hint="default"/>
          <w:lang w:val="en-US" w:eastAsia="zh-CN"/>
        </w:rPr>
        <w:t>g</w:t>
      </w:r>
      <w:r>
        <w:rPr>
          <w:rFonts w:hint="default"/>
        </w:rPr>
        <w:t>/</w:t>
      </w:r>
      <w:r>
        <w:rPr>
          <w:rFonts w:hint="eastAsia"/>
          <w:lang w:eastAsia="zh-CN"/>
        </w:rPr>
        <w:t>m³</w:t>
      </w:r>
      <w:r>
        <w:rPr>
          <w:rFonts w:hint="default"/>
        </w:rPr>
        <w:t>；</w:t>
      </w:r>
    </w:p>
    <w:p>
      <w:pPr>
        <w:bidi w:val="0"/>
        <w:rPr>
          <w:rFonts w:hint="default"/>
        </w:rPr>
      </w:pPr>
      <w:r>
        <w:rPr>
          <w:rFonts w:hint="default" w:ascii="Times New Roman" w:hAnsi="Times New Roman" w:eastAsia="宋体" w:cs="Times New Roman"/>
          <w:position w:val="-12"/>
        </w:rPr>
        <w:object>
          <v:shape id="_x0000_i1030" o:spt="75" type="#_x0000_t75" style="height:18pt;width:1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default"/>
        </w:rPr>
        <w:t>—第i个污染物的环境空气质量浓度标准，μg/</w:t>
      </w:r>
      <w:r>
        <w:rPr>
          <w:rFonts w:hint="eastAsia"/>
          <w:lang w:eastAsia="zh-CN"/>
        </w:rPr>
        <w:t>m³</w:t>
      </w:r>
      <w:r>
        <w:rPr>
          <w:rFonts w:hint="default"/>
        </w:rPr>
        <w:t>。</w:t>
      </w:r>
    </w:p>
    <w:p>
      <w:pPr>
        <w:bidi w:val="0"/>
        <w:rPr>
          <w:rFonts w:hint="default"/>
        </w:rPr>
      </w:pPr>
      <w:r>
        <w:rPr>
          <w:rFonts w:hint="default"/>
        </w:rPr>
        <w:t>大气评价工作等级判定表如表2.6-1所示。</w:t>
      </w:r>
    </w:p>
    <w:p>
      <w:pPr>
        <w:pStyle w:val="17"/>
        <w:bidi w:val="0"/>
        <w:rPr>
          <w:rFonts w:hint="default"/>
          <w:b/>
          <w:bCs/>
        </w:rPr>
      </w:pPr>
      <w:r>
        <w:rPr>
          <w:rFonts w:hint="default"/>
          <w:b/>
          <w:bCs/>
        </w:rPr>
        <w:t xml:space="preserve">表2.6-1  </w:t>
      </w:r>
      <w:r>
        <w:rPr>
          <w:rFonts w:hint="eastAsia"/>
          <w:b/>
          <w:bCs/>
          <w:lang w:val="en-US" w:eastAsia="zh-CN"/>
        </w:rPr>
        <w:t xml:space="preserve"> </w:t>
      </w:r>
      <w:r>
        <w:rPr>
          <w:rFonts w:hint="default"/>
          <w:b/>
          <w:bCs/>
        </w:rPr>
        <w:t>大气评价工作等级判别表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06"/>
        <w:gridCol w:w="68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2206" w:type="dxa"/>
            <w:tcBorders>
              <w:tl2br w:val="nil"/>
              <w:tr2bl w:val="nil"/>
            </w:tcBorders>
            <w:vAlign w:val="center"/>
          </w:tcPr>
          <w:p>
            <w:pPr>
              <w:pStyle w:val="17"/>
              <w:bidi w:val="0"/>
              <w:rPr>
                <w:rFonts w:hint="default"/>
                <w:b/>
                <w:bCs/>
              </w:rPr>
            </w:pPr>
            <w:r>
              <w:rPr>
                <w:rFonts w:hint="default"/>
                <w:b/>
                <w:bCs/>
              </w:rPr>
              <w:t>评价工作等级</w:t>
            </w:r>
          </w:p>
        </w:tc>
        <w:tc>
          <w:tcPr>
            <w:tcW w:w="6865" w:type="dxa"/>
            <w:tcBorders>
              <w:tl2br w:val="nil"/>
              <w:tr2bl w:val="nil"/>
            </w:tcBorders>
            <w:vAlign w:val="center"/>
          </w:tcPr>
          <w:p>
            <w:pPr>
              <w:pStyle w:val="17"/>
              <w:bidi w:val="0"/>
              <w:rPr>
                <w:rFonts w:hint="default"/>
                <w:b/>
                <w:bCs/>
              </w:rPr>
            </w:pPr>
            <w:r>
              <w:rPr>
                <w:rFonts w:hint="default"/>
                <w:b/>
                <w:bCs/>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2206" w:type="dxa"/>
            <w:tcBorders>
              <w:tl2br w:val="nil"/>
              <w:tr2bl w:val="nil"/>
            </w:tcBorders>
            <w:vAlign w:val="center"/>
          </w:tcPr>
          <w:p>
            <w:pPr>
              <w:pStyle w:val="17"/>
              <w:bidi w:val="0"/>
              <w:rPr>
                <w:rFonts w:hint="default"/>
              </w:rPr>
            </w:pPr>
            <w:r>
              <w:rPr>
                <w:rFonts w:hint="default"/>
              </w:rPr>
              <w:t>一级</w:t>
            </w:r>
          </w:p>
        </w:tc>
        <w:tc>
          <w:tcPr>
            <w:tcW w:w="6865" w:type="dxa"/>
            <w:tcBorders>
              <w:tl2br w:val="nil"/>
              <w:tr2bl w:val="nil"/>
            </w:tcBorders>
            <w:vAlign w:val="center"/>
          </w:tcPr>
          <w:p>
            <w:pPr>
              <w:pStyle w:val="17"/>
              <w:bidi w:val="0"/>
              <w:rPr>
                <w:rFonts w:hint="default"/>
              </w:rPr>
            </w:pPr>
            <w:r>
              <w:rPr>
                <w:rFonts w:hint="default" w:ascii="Times New Roman" w:hAnsi="Times New Roman" w:eastAsia="宋体" w:cs="Times New Roman"/>
                <w:position w:val="-12"/>
                <w:szCs w:val="21"/>
              </w:rPr>
              <w:object>
                <v:shape id="_x0000_i1031" o:spt="75" type="#_x0000_t75" style="height:18pt;width:23.25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default"/>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2206" w:type="dxa"/>
            <w:tcBorders>
              <w:tl2br w:val="nil"/>
              <w:tr2bl w:val="nil"/>
            </w:tcBorders>
            <w:vAlign w:val="center"/>
          </w:tcPr>
          <w:p>
            <w:pPr>
              <w:pStyle w:val="17"/>
              <w:bidi w:val="0"/>
              <w:rPr>
                <w:rFonts w:hint="default"/>
              </w:rPr>
            </w:pPr>
            <w:r>
              <w:rPr>
                <w:rFonts w:hint="default"/>
              </w:rPr>
              <w:t>二级</w:t>
            </w:r>
          </w:p>
        </w:tc>
        <w:tc>
          <w:tcPr>
            <w:tcW w:w="6865" w:type="dxa"/>
            <w:tcBorders>
              <w:tl2br w:val="nil"/>
              <w:tr2bl w:val="nil"/>
            </w:tcBorders>
            <w:vAlign w:val="center"/>
          </w:tcPr>
          <w:p>
            <w:pPr>
              <w:pStyle w:val="17"/>
              <w:bidi w:val="0"/>
              <w:rPr>
                <w:rFonts w:hint="default"/>
              </w:rPr>
            </w:pPr>
            <w:r>
              <w:rPr>
                <w:rFonts w:hint="default"/>
              </w:rPr>
              <w:t>1%≤</w:t>
            </w:r>
            <w:r>
              <w:rPr>
                <w:rFonts w:hint="default" w:ascii="Times New Roman" w:hAnsi="Times New Roman" w:eastAsia="宋体" w:cs="Times New Roman"/>
                <w:position w:val="-12"/>
                <w:szCs w:val="21"/>
              </w:rPr>
              <w:object>
                <v:shape id="_x0000_i1032" o:spt="75" type="#_x0000_t75" style="height:18pt;width:23.25pt;" o:ole="t" filled="f" o:preferrelative="t" stroked="f" coordsize="21600,21600">
                  <v:path/>
                  <v:fill on="f" focussize="0,0"/>
                  <v:stroke on="f" joinstyle="miter"/>
                  <v:imagedata r:id="rId29" o:title=""/>
                  <o:lock v:ext="edit" aspectratio="t"/>
                  <w10:wrap type="none"/>
                  <w10:anchorlock/>
                </v:shape>
                <o:OLEObject Type="Embed" ProgID="Equation.3" ShapeID="_x0000_i1032" DrawAspect="Content" ObjectID="_1468075732" r:id="rId30">
                  <o:LockedField>false</o:LockedField>
                </o:OLEObject>
              </w:object>
            </w:r>
            <w:r>
              <w:rPr>
                <w:rFonts w:hint="default"/>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2206" w:type="dxa"/>
            <w:tcBorders>
              <w:tl2br w:val="nil"/>
              <w:tr2bl w:val="nil"/>
            </w:tcBorders>
            <w:vAlign w:val="center"/>
          </w:tcPr>
          <w:p>
            <w:pPr>
              <w:pStyle w:val="17"/>
              <w:bidi w:val="0"/>
              <w:rPr>
                <w:rFonts w:hint="default"/>
              </w:rPr>
            </w:pPr>
            <w:r>
              <w:rPr>
                <w:rFonts w:hint="default"/>
              </w:rPr>
              <w:t>三级</w:t>
            </w:r>
          </w:p>
        </w:tc>
        <w:tc>
          <w:tcPr>
            <w:tcW w:w="6865" w:type="dxa"/>
            <w:tcBorders>
              <w:tl2br w:val="nil"/>
              <w:tr2bl w:val="nil"/>
            </w:tcBorders>
            <w:vAlign w:val="center"/>
          </w:tcPr>
          <w:p>
            <w:pPr>
              <w:pStyle w:val="17"/>
              <w:bidi w:val="0"/>
              <w:rPr>
                <w:rFonts w:hint="default"/>
              </w:rPr>
            </w:pPr>
            <w:r>
              <w:rPr>
                <w:rFonts w:hint="default" w:ascii="Times New Roman" w:hAnsi="Times New Roman" w:eastAsia="宋体" w:cs="Times New Roman"/>
                <w:position w:val="-12"/>
                <w:szCs w:val="21"/>
              </w:rPr>
              <w:object>
                <v:shape id="_x0000_i1033" o:spt="75" type="#_x0000_t75" style="height:18pt;width:22.5pt;" o:ole="t" filled="f" o:preferrelative="t" stroked="f" coordsize="21600,21600">
                  <v:path/>
                  <v:fill on="f" focussize="0,0"/>
                  <v:stroke on="f" joinstyle="miter"/>
                  <v:imagedata r:id="rId32" o:title=""/>
                  <o:lock v:ext="edit" aspectratio="t"/>
                  <w10:wrap type="none"/>
                  <w10:anchorlock/>
                </v:shape>
                <o:OLEObject Type="Embed" ProgID="Equation.3" ShapeID="_x0000_i1033" DrawAspect="Content" ObjectID="_1468075733" r:id="rId31">
                  <o:LockedField>false</o:LockedField>
                </o:OLEObject>
              </w:object>
            </w:r>
            <w:r>
              <w:rPr>
                <w:rFonts w:hint="default"/>
              </w:rPr>
              <w:t>＜1%</w:t>
            </w:r>
          </w:p>
        </w:tc>
      </w:tr>
    </w:tbl>
    <w:p>
      <w:pPr>
        <w:bidi w:val="0"/>
        <w:rPr>
          <w:rFonts w:hint="default"/>
          <w:lang w:val="zh-CN"/>
        </w:rPr>
      </w:pPr>
      <w:r>
        <w:rPr>
          <w:rFonts w:hint="default"/>
          <w:lang w:val="zh-CN"/>
        </w:rPr>
        <w:t>评价等级的确定还应符合以下规定：</w:t>
      </w:r>
    </w:p>
    <w:p>
      <w:pPr>
        <w:bidi w:val="0"/>
        <w:rPr>
          <w:rFonts w:hint="default"/>
          <w:lang w:val="zh-CN"/>
        </w:rPr>
      </w:pPr>
      <w:r>
        <w:rPr>
          <w:rFonts w:hint="default"/>
          <w:lang w:val="zh-CN"/>
        </w:rPr>
        <w:t>同一评价项目有多个（两个以上，含两个）污染源排放同一种污染物时，则按各污染源分别确定其评价等级，并取评价级别最高者作为项目的评价等级。</w:t>
      </w:r>
    </w:p>
    <w:p>
      <w:pPr>
        <w:bidi w:val="0"/>
        <w:rPr>
          <w:rFonts w:hint="default"/>
          <w:lang w:val="zh-CN"/>
        </w:rPr>
      </w:pPr>
      <w:r>
        <w:rPr>
          <w:rFonts w:hint="default"/>
          <w:lang w:val="zh-CN"/>
        </w:rPr>
        <w:t>对于高耗能行业的多源（两个以上，含两个）项目，评价等级应不低于二级。</w:t>
      </w:r>
    </w:p>
    <w:p>
      <w:pPr>
        <w:bidi w:val="0"/>
        <w:rPr>
          <w:rFonts w:hint="default"/>
        </w:rPr>
      </w:pPr>
      <w:r>
        <w:rPr>
          <w:rFonts w:hint="default"/>
          <w:lang w:val="zh-CN"/>
        </w:rPr>
        <w:t>对于建成后全厂的主要污染物排放总量都有明显减少的改、新建项目，评价等级可低于一级。</w:t>
      </w:r>
    </w:p>
    <w:p>
      <w:pPr>
        <w:bidi w:val="0"/>
        <w:rPr>
          <w:rFonts w:hint="default"/>
        </w:rPr>
      </w:pPr>
      <w:r>
        <w:rPr>
          <w:rFonts w:hint="default"/>
        </w:rPr>
        <w:t>（2）判别估算过程</w:t>
      </w:r>
    </w:p>
    <w:p>
      <w:pPr>
        <w:bidi w:val="0"/>
        <w:rPr>
          <w:rFonts w:hint="default"/>
        </w:rPr>
      </w:pPr>
      <w:r>
        <w:rPr>
          <w:rFonts w:hint="default"/>
        </w:rPr>
        <w:t>估算模式所用参数见表2.6-2。</w:t>
      </w:r>
    </w:p>
    <w:p>
      <w:pPr>
        <w:pStyle w:val="17"/>
        <w:bidi w:val="0"/>
        <w:rPr>
          <w:rFonts w:hint="default"/>
          <w:b/>
          <w:bCs/>
        </w:rPr>
      </w:pPr>
      <w:r>
        <w:rPr>
          <w:rFonts w:hint="default"/>
          <w:b/>
          <w:bCs/>
        </w:rPr>
        <w:t xml:space="preserve">表2.6-2  </w:t>
      </w:r>
      <w:r>
        <w:rPr>
          <w:rFonts w:hint="eastAsia"/>
          <w:b/>
          <w:bCs/>
          <w:lang w:val="en-US" w:eastAsia="zh-CN"/>
        </w:rPr>
        <w:t xml:space="preserve"> </w:t>
      </w:r>
      <w:r>
        <w:rPr>
          <w:rFonts w:hint="default"/>
          <w:b/>
          <w:bCs/>
        </w:rPr>
        <w:t>估算模式参数一览表</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69"/>
        <w:gridCol w:w="3251"/>
        <w:gridCol w:w="32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20" w:type="dxa"/>
            <w:gridSpan w:val="2"/>
            <w:tcBorders>
              <w:tl2br w:val="nil"/>
              <w:tr2bl w:val="nil"/>
            </w:tcBorders>
            <w:vAlign w:val="center"/>
          </w:tcPr>
          <w:p>
            <w:pPr>
              <w:pStyle w:val="17"/>
              <w:bidi w:val="0"/>
              <w:rPr>
                <w:rFonts w:hint="default"/>
                <w:b/>
                <w:bCs/>
              </w:rPr>
            </w:pPr>
            <w:r>
              <w:rPr>
                <w:rFonts w:hint="default"/>
                <w:b/>
                <w:bCs/>
              </w:rPr>
              <w:t>参数</w:t>
            </w:r>
          </w:p>
        </w:tc>
        <w:tc>
          <w:tcPr>
            <w:tcW w:w="3251" w:type="dxa"/>
            <w:tcBorders>
              <w:tl2br w:val="nil"/>
              <w:tr2bl w:val="nil"/>
            </w:tcBorders>
            <w:vAlign w:val="center"/>
          </w:tcPr>
          <w:p>
            <w:pPr>
              <w:pStyle w:val="17"/>
              <w:bidi w:val="0"/>
              <w:rPr>
                <w:rFonts w:hint="default"/>
                <w:b/>
                <w:bCs/>
              </w:rPr>
            </w:pPr>
            <w:r>
              <w:rPr>
                <w:rFonts w:hint="default"/>
                <w:b/>
                <w:bCs/>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9" w:type="dxa"/>
            <w:vMerge w:val="restart"/>
            <w:tcBorders>
              <w:tl2br w:val="nil"/>
              <w:tr2bl w:val="nil"/>
            </w:tcBorders>
            <w:vAlign w:val="center"/>
          </w:tcPr>
          <w:p>
            <w:pPr>
              <w:pStyle w:val="17"/>
              <w:bidi w:val="0"/>
              <w:rPr>
                <w:rFonts w:hint="default"/>
              </w:rPr>
            </w:pPr>
            <w:r>
              <w:rPr>
                <w:rFonts w:hint="default"/>
              </w:rPr>
              <w:t>城市农村/选项</w:t>
            </w:r>
          </w:p>
        </w:tc>
        <w:tc>
          <w:tcPr>
            <w:tcW w:w="3251" w:type="dxa"/>
            <w:tcBorders>
              <w:tl2br w:val="nil"/>
              <w:tr2bl w:val="nil"/>
            </w:tcBorders>
            <w:vAlign w:val="center"/>
          </w:tcPr>
          <w:p>
            <w:pPr>
              <w:pStyle w:val="17"/>
              <w:bidi w:val="0"/>
              <w:rPr>
                <w:rFonts w:hint="default"/>
              </w:rPr>
            </w:pPr>
            <w:r>
              <w:rPr>
                <w:rFonts w:hint="default"/>
              </w:rPr>
              <w:t>城市/农村</w:t>
            </w:r>
          </w:p>
        </w:tc>
        <w:tc>
          <w:tcPr>
            <w:tcW w:w="3251" w:type="dxa"/>
            <w:tcBorders>
              <w:tl2br w:val="nil"/>
              <w:tr2bl w:val="nil"/>
            </w:tcBorders>
            <w:vAlign w:val="center"/>
          </w:tcPr>
          <w:p>
            <w:pPr>
              <w:pStyle w:val="17"/>
              <w:bidi w:val="0"/>
              <w:rPr>
                <w:rFonts w:hint="default"/>
                <w:lang w:val="en-US" w:eastAsia="zh-CN"/>
              </w:rPr>
            </w:pPr>
            <w:r>
              <w:rPr>
                <w:rFonts w:hint="eastAsia"/>
                <w:lang w:val="en-US" w:eastAsia="zh-CN"/>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9" w:type="dxa"/>
            <w:vMerge w:val="continue"/>
            <w:tcBorders>
              <w:tl2br w:val="nil"/>
              <w:tr2bl w:val="nil"/>
            </w:tcBorders>
            <w:vAlign w:val="center"/>
          </w:tcPr>
          <w:p>
            <w:pPr>
              <w:pStyle w:val="17"/>
              <w:bidi w:val="0"/>
              <w:rPr>
                <w:rFonts w:hint="default"/>
              </w:rPr>
            </w:pPr>
          </w:p>
        </w:tc>
        <w:tc>
          <w:tcPr>
            <w:tcW w:w="3251" w:type="dxa"/>
            <w:tcBorders>
              <w:tl2br w:val="nil"/>
              <w:tr2bl w:val="nil"/>
            </w:tcBorders>
            <w:vAlign w:val="center"/>
          </w:tcPr>
          <w:p>
            <w:pPr>
              <w:pStyle w:val="17"/>
              <w:bidi w:val="0"/>
              <w:rPr>
                <w:rFonts w:hint="default"/>
              </w:rPr>
            </w:pPr>
            <w:r>
              <w:rPr>
                <w:rFonts w:hint="default"/>
              </w:rPr>
              <w:t>人口数（城市人口数）</w:t>
            </w:r>
          </w:p>
        </w:tc>
        <w:tc>
          <w:tcPr>
            <w:tcW w:w="3251" w:type="dxa"/>
            <w:tcBorders>
              <w:tl2br w:val="nil"/>
              <w:tr2bl w:val="nil"/>
            </w:tcBorders>
            <w:vAlign w:val="center"/>
          </w:tcPr>
          <w:p>
            <w:pPr>
              <w:pStyle w:val="17"/>
              <w:bidi w:val="0"/>
              <w:rPr>
                <w:rFonts w:hint="default" w:eastAsia="宋体"/>
                <w:lang w:val="en-US" w:eastAsia="zh-CN"/>
              </w:rPr>
            </w:pPr>
            <w:r>
              <w:rPr>
                <w:rFonts w:hint="eastAsia"/>
                <w:lang w:val="en-US" w:eastAsia="zh-CN"/>
              </w:rPr>
              <w:t>0.03万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9" w:type="dxa"/>
            <w:tcBorders>
              <w:tl2br w:val="nil"/>
              <w:tr2bl w:val="nil"/>
            </w:tcBorders>
            <w:vAlign w:val="center"/>
          </w:tcPr>
          <w:p>
            <w:pPr>
              <w:pStyle w:val="17"/>
              <w:bidi w:val="0"/>
              <w:rPr>
                <w:rFonts w:hint="default"/>
              </w:rPr>
            </w:pPr>
            <w:r>
              <w:rPr>
                <w:rFonts w:hint="default"/>
              </w:rPr>
              <w:t>最高环境温度</w:t>
            </w:r>
          </w:p>
        </w:tc>
        <w:tc>
          <w:tcPr>
            <w:tcW w:w="6502" w:type="dxa"/>
            <w:gridSpan w:val="2"/>
            <w:tcBorders>
              <w:tl2br w:val="nil"/>
              <w:tr2bl w:val="nil"/>
            </w:tcBorders>
            <w:vAlign w:val="center"/>
          </w:tcPr>
          <w:p>
            <w:pPr>
              <w:pStyle w:val="17"/>
              <w:bidi w:val="0"/>
              <w:rPr>
                <w:rFonts w:hint="default"/>
              </w:rPr>
            </w:pPr>
            <w:r>
              <w:rPr>
                <w:rFonts w:hint="eastAsia"/>
                <w:lang w:val="en-US" w:eastAsia="zh-CN"/>
              </w:rPr>
              <w:t>41.0</w:t>
            </w: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9" w:type="dxa"/>
            <w:tcBorders>
              <w:tl2br w:val="nil"/>
              <w:tr2bl w:val="nil"/>
            </w:tcBorders>
            <w:vAlign w:val="center"/>
          </w:tcPr>
          <w:p>
            <w:pPr>
              <w:pStyle w:val="17"/>
              <w:bidi w:val="0"/>
              <w:rPr>
                <w:rFonts w:hint="default"/>
              </w:rPr>
            </w:pPr>
            <w:r>
              <w:rPr>
                <w:rFonts w:hint="default"/>
              </w:rPr>
              <w:t>最低环境温度</w:t>
            </w:r>
          </w:p>
        </w:tc>
        <w:tc>
          <w:tcPr>
            <w:tcW w:w="6502" w:type="dxa"/>
            <w:gridSpan w:val="2"/>
            <w:tcBorders>
              <w:tl2br w:val="nil"/>
              <w:tr2bl w:val="nil"/>
            </w:tcBorders>
            <w:vAlign w:val="center"/>
          </w:tcPr>
          <w:p>
            <w:pPr>
              <w:pStyle w:val="17"/>
              <w:bidi w:val="0"/>
              <w:rPr>
                <w:rFonts w:hint="default"/>
              </w:rPr>
            </w:pPr>
            <w:r>
              <w:rPr>
                <w:rFonts w:hint="default"/>
              </w:rPr>
              <w:t>-</w:t>
            </w:r>
            <w:r>
              <w:rPr>
                <w:rFonts w:hint="eastAsia"/>
                <w:lang w:val="en-US" w:eastAsia="zh-CN"/>
              </w:rPr>
              <w:t>36.8</w:t>
            </w: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9" w:type="dxa"/>
            <w:tcBorders>
              <w:tl2br w:val="nil"/>
              <w:tr2bl w:val="nil"/>
            </w:tcBorders>
            <w:vAlign w:val="center"/>
          </w:tcPr>
          <w:p>
            <w:pPr>
              <w:pStyle w:val="17"/>
              <w:bidi w:val="0"/>
              <w:rPr>
                <w:rFonts w:hint="default"/>
              </w:rPr>
            </w:pPr>
            <w:r>
              <w:rPr>
                <w:rFonts w:hint="default"/>
              </w:rPr>
              <w:t>土地利用类型</w:t>
            </w:r>
          </w:p>
        </w:tc>
        <w:tc>
          <w:tcPr>
            <w:tcW w:w="6502" w:type="dxa"/>
            <w:gridSpan w:val="2"/>
            <w:tcBorders>
              <w:tl2br w:val="nil"/>
              <w:tr2bl w:val="nil"/>
            </w:tcBorders>
            <w:vAlign w:val="center"/>
          </w:tcPr>
          <w:p>
            <w:pPr>
              <w:pStyle w:val="17"/>
              <w:bidi w:val="0"/>
              <w:rPr>
                <w:rFonts w:hint="default"/>
              </w:rPr>
            </w:pPr>
            <w:r>
              <w:rPr>
                <w:rFonts w:hint="default"/>
              </w:rPr>
              <w:t>规划</w:t>
            </w:r>
            <w:r>
              <w:rPr>
                <w:rFonts w:hint="eastAsia"/>
                <w:lang w:val="en-US" w:eastAsia="zh-CN"/>
              </w:rPr>
              <w:t>建设用地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9" w:type="dxa"/>
            <w:tcBorders>
              <w:tl2br w:val="nil"/>
              <w:tr2bl w:val="nil"/>
            </w:tcBorders>
            <w:vAlign w:val="center"/>
          </w:tcPr>
          <w:p>
            <w:pPr>
              <w:pStyle w:val="17"/>
              <w:bidi w:val="0"/>
              <w:rPr>
                <w:rFonts w:hint="default"/>
              </w:rPr>
            </w:pPr>
            <w:r>
              <w:rPr>
                <w:rFonts w:hint="default"/>
              </w:rPr>
              <w:t>区域湿度条件</w:t>
            </w:r>
          </w:p>
        </w:tc>
        <w:tc>
          <w:tcPr>
            <w:tcW w:w="6502" w:type="dxa"/>
            <w:gridSpan w:val="2"/>
            <w:tcBorders>
              <w:tl2br w:val="nil"/>
              <w:tr2bl w:val="nil"/>
            </w:tcBorders>
            <w:vAlign w:val="center"/>
          </w:tcPr>
          <w:p>
            <w:pPr>
              <w:pStyle w:val="17"/>
              <w:bidi w:val="0"/>
              <w:rPr>
                <w:rFonts w:hint="eastAsia"/>
                <w:lang w:eastAsia="zh-CN"/>
              </w:rPr>
            </w:pPr>
            <w:r>
              <w:rPr>
                <w:rFonts w:hint="eastAsia"/>
                <w:lang w:val="en-US" w:eastAsia="zh-CN"/>
              </w:rPr>
              <w:t>干旱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jc w:val="center"/>
        </w:trPr>
        <w:tc>
          <w:tcPr>
            <w:tcW w:w="2569" w:type="dxa"/>
            <w:tcBorders>
              <w:tl2br w:val="nil"/>
              <w:tr2bl w:val="nil"/>
            </w:tcBorders>
            <w:vAlign w:val="center"/>
          </w:tcPr>
          <w:p>
            <w:pPr>
              <w:pStyle w:val="17"/>
              <w:bidi w:val="0"/>
              <w:rPr>
                <w:rFonts w:hint="default"/>
              </w:rPr>
            </w:pPr>
            <w:r>
              <w:rPr>
                <w:rFonts w:hint="default"/>
              </w:rPr>
              <w:t>是否考虑地形</w:t>
            </w:r>
          </w:p>
        </w:tc>
        <w:tc>
          <w:tcPr>
            <w:tcW w:w="6502" w:type="dxa"/>
            <w:gridSpan w:val="2"/>
            <w:tcBorders>
              <w:tl2br w:val="nil"/>
              <w:tr2bl w:val="nil"/>
            </w:tcBorders>
            <w:vAlign w:val="center"/>
          </w:tcPr>
          <w:p>
            <w:pPr>
              <w:pStyle w:val="17"/>
              <w:bidi w:val="0"/>
              <w:rPr>
                <w:rFonts w:hint="default"/>
              </w:rPr>
            </w:pPr>
            <w:r>
              <w:rPr>
                <w:rFonts w:hint="default"/>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69" w:type="dxa"/>
            <w:tcBorders>
              <w:tl2br w:val="nil"/>
              <w:tr2bl w:val="nil"/>
            </w:tcBorders>
            <w:vAlign w:val="center"/>
          </w:tcPr>
          <w:p>
            <w:pPr>
              <w:pStyle w:val="17"/>
              <w:bidi w:val="0"/>
              <w:rPr>
                <w:rFonts w:hint="default"/>
              </w:rPr>
            </w:pPr>
            <w:r>
              <w:rPr>
                <w:rFonts w:hint="default"/>
              </w:rPr>
              <w:t>地形数据分辨率/m</w:t>
            </w:r>
          </w:p>
        </w:tc>
        <w:tc>
          <w:tcPr>
            <w:tcW w:w="6502" w:type="dxa"/>
            <w:gridSpan w:val="2"/>
            <w:tcBorders>
              <w:tl2br w:val="nil"/>
              <w:tr2bl w:val="nil"/>
            </w:tcBorders>
            <w:vAlign w:val="center"/>
          </w:tcPr>
          <w:p>
            <w:pPr>
              <w:pStyle w:val="17"/>
              <w:bidi w:val="0"/>
              <w:rPr>
                <w:rFonts w:hint="default"/>
              </w:rPr>
            </w:pPr>
            <w:r>
              <w:rPr>
                <w:rFonts w:hint="default"/>
              </w:rPr>
              <w:t>90</w:t>
            </w:r>
          </w:p>
        </w:tc>
      </w:tr>
    </w:tbl>
    <w:p>
      <w:pPr>
        <w:bidi w:val="0"/>
        <w:rPr>
          <w:rFonts w:hint="default"/>
          <w:lang w:val="en-US" w:eastAsia="zh-CN"/>
        </w:rPr>
      </w:pPr>
      <w:r>
        <w:rPr>
          <w:rFonts w:hint="default"/>
        </w:rPr>
        <w:t>根据本项目工程分析结果，选择正常工况下主要污染物排放参数，采取《环境影响评价技术导则-大气环境》（HJ2.2-2018）附录A推荐模型中估算模型（AERSCREEN）分别计算污染物的最大环境影响，然后按照评价工作等级判据进行分级。项目</w:t>
      </w:r>
      <w:r>
        <w:rPr>
          <w:rFonts w:hint="default"/>
          <w:lang w:val="en-US" w:eastAsia="zh-CN"/>
        </w:rPr>
        <w:t>各</w:t>
      </w:r>
      <w:r>
        <w:rPr>
          <w:rFonts w:hint="default"/>
        </w:rPr>
        <w:t>污染源</w:t>
      </w:r>
      <w:r>
        <w:rPr>
          <w:rFonts w:hint="default"/>
          <w:lang w:val="en-US" w:eastAsia="zh-CN"/>
        </w:rPr>
        <w:t>参数选取</w:t>
      </w:r>
      <w:r>
        <w:rPr>
          <w:rFonts w:hint="default"/>
        </w:rPr>
        <w:t>见表2.6-3，正常工况下有组织废气大气污染物落地浓度估算见表2.6-4</w:t>
      </w:r>
      <w:r>
        <w:rPr>
          <w:rFonts w:hint="default"/>
          <w:lang w:eastAsia="zh-CN"/>
        </w:rPr>
        <w:t>，</w:t>
      </w:r>
      <w:r>
        <w:rPr>
          <w:rFonts w:hint="default"/>
        </w:rPr>
        <w:t>无组织废气大气污染物落地浓度估算见表2.6-</w:t>
      </w:r>
      <w:r>
        <w:rPr>
          <w:rFonts w:hint="default"/>
          <w:lang w:val="en-US" w:eastAsia="zh-CN"/>
        </w:rPr>
        <w:t>5。</w:t>
      </w:r>
    </w:p>
    <w:p>
      <w:pPr>
        <w:pStyle w:val="17"/>
        <w:bidi w:val="0"/>
        <w:rPr>
          <w:rFonts w:hint="default"/>
          <w:b/>
          <w:bCs/>
        </w:rPr>
      </w:pPr>
      <w:r>
        <w:rPr>
          <w:rFonts w:hint="default"/>
          <w:b/>
          <w:bCs/>
        </w:rPr>
        <w:t xml:space="preserve">表2.6-3 </w:t>
      </w:r>
      <w:r>
        <w:rPr>
          <w:rFonts w:hint="eastAsia"/>
          <w:b/>
          <w:bCs/>
          <w:lang w:val="en-US" w:eastAsia="zh-CN"/>
        </w:rPr>
        <w:t xml:space="preserve">  </w:t>
      </w:r>
      <w:r>
        <w:rPr>
          <w:rFonts w:hint="default"/>
          <w:b/>
          <w:bCs/>
        </w:rPr>
        <w:t>各污染源参数选取</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61"/>
        <w:gridCol w:w="1356"/>
        <w:gridCol w:w="906"/>
        <w:gridCol w:w="1015"/>
        <w:gridCol w:w="1140"/>
        <w:gridCol w:w="1140"/>
        <w:gridCol w:w="1142"/>
        <w:gridCol w:w="11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jc w:val="center"/>
        </w:trPr>
        <w:tc>
          <w:tcPr>
            <w:tcW w:w="1261" w:type="dxa"/>
            <w:vMerge w:val="restart"/>
            <w:tcBorders>
              <w:tl2br w:val="nil"/>
              <w:tr2bl w:val="nil"/>
            </w:tcBorders>
            <w:vAlign w:val="center"/>
          </w:tcPr>
          <w:p>
            <w:pPr>
              <w:pStyle w:val="17"/>
              <w:bidi w:val="0"/>
              <w:rPr>
                <w:rFonts w:hint="default"/>
                <w:b/>
                <w:bCs/>
              </w:rPr>
            </w:pPr>
            <w:r>
              <w:rPr>
                <w:rFonts w:hint="default"/>
                <w:b/>
                <w:bCs/>
              </w:rPr>
              <w:t>污染源</w:t>
            </w:r>
          </w:p>
        </w:tc>
        <w:tc>
          <w:tcPr>
            <w:tcW w:w="1356" w:type="dxa"/>
            <w:vMerge w:val="restart"/>
            <w:tcBorders>
              <w:tl2br w:val="nil"/>
              <w:tr2bl w:val="nil"/>
            </w:tcBorders>
            <w:vAlign w:val="center"/>
          </w:tcPr>
          <w:p>
            <w:pPr>
              <w:pStyle w:val="17"/>
              <w:bidi w:val="0"/>
              <w:rPr>
                <w:rFonts w:hint="default"/>
                <w:b/>
                <w:bCs/>
              </w:rPr>
            </w:pPr>
            <w:r>
              <w:rPr>
                <w:rFonts w:hint="default"/>
                <w:b/>
                <w:bCs/>
              </w:rPr>
              <w:t>污染物</w:t>
            </w:r>
          </w:p>
        </w:tc>
        <w:tc>
          <w:tcPr>
            <w:tcW w:w="906" w:type="dxa"/>
            <w:vMerge w:val="restart"/>
            <w:tcBorders>
              <w:tl2br w:val="nil"/>
              <w:tr2bl w:val="nil"/>
            </w:tcBorders>
            <w:vAlign w:val="center"/>
          </w:tcPr>
          <w:p>
            <w:pPr>
              <w:pStyle w:val="17"/>
              <w:bidi w:val="0"/>
              <w:rPr>
                <w:rFonts w:hint="default"/>
                <w:b/>
                <w:bCs/>
              </w:rPr>
            </w:pPr>
            <w:r>
              <w:rPr>
                <w:rFonts w:hint="default"/>
                <w:b/>
                <w:bCs/>
              </w:rPr>
              <w:t>废气量</w:t>
            </w:r>
            <w:r>
              <w:rPr>
                <w:rFonts w:hint="eastAsia"/>
                <w:b/>
                <w:bCs/>
                <w:lang w:eastAsia="zh-CN"/>
              </w:rPr>
              <w:t>m³</w:t>
            </w:r>
            <w:r>
              <w:rPr>
                <w:rFonts w:hint="default"/>
                <w:b/>
                <w:bCs/>
              </w:rPr>
              <w:t>/h</w:t>
            </w:r>
          </w:p>
        </w:tc>
        <w:tc>
          <w:tcPr>
            <w:tcW w:w="1015" w:type="dxa"/>
            <w:vMerge w:val="restart"/>
            <w:tcBorders>
              <w:tl2br w:val="nil"/>
              <w:tr2bl w:val="nil"/>
            </w:tcBorders>
            <w:vAlign w:val="center"/>
          </w:tcPr>
          <w:p>
            <w:pPr>
              <w:pStyle w:val="17"/>
              <w:bidi w:val="0"/>
              <w:rPr>
                <w:rFonts w:hint="default"/>
                <w:b/>
                <w:bCs/>
              </w:rPr>
            </w:pPr>
            <w:r>
              <w:rPr>
                <w:rFonts w:hint="default"/>
                <w:b/>
                <w:bCs/>
              </w:rPr>
              <w:t>排放速率kg/h</w:t>
            </w:r>
          </w:p>
        </w:tc>
        <w:tc>
          <w:tcPr>
            <w:tcW w:w="1140" w:type="dxa"/>
            <w:vMerge w:val="restart"/>
            <w:tcBorders>
              <w:tl2br w:val="nil"/>
              <w:tr2bl w:val="nil"/>
            </w:tcBorders>
            <w:vAlign w:val="center"/>
          </w:tcPr>
          <w:p>
            <w:pPr>
              <w:pStyle w:val="17"/>
              <w:bidi w:val="0"/>
              <w:rPr>
                <w:rFonts w:hint="default"/>
                <w:b/>
                <w:bCs/>
              </w:rPr>
            </w:pPr>
            <w:r>
              <w:rPr>
                <w:rFonts w:hint="default"/>
                <w:b/>
                <w:bCs/>
              </w:rPr>
              <w:t>排气温度（℃）</w:t>
            </w:r>
          </w:p>
        </w:tc>
        <w:tc>
          <w:tcPr>
            <w:tcW w:w="2282" w:type="dxa"/>
            <w:gridSpan w:val="2"/>
            <w:tcBorders>
              <w:tl2br w:val="nil"/>
              <w:tr2bl w:val="nil"/>
            </w:tcBorders>
            <w:vAlign w:val="center"/>
          </w:tcPr>
          <w:p>
            <w:pPr>
              <w:pStyle w:val="17"/>
              <w:bidi w:val="0"/>
              <w:rPr>
                <w:rFonts w:hint="default"/>
                <w:b/>
                <w:bCs/>
              </w:rPr>
            </w:pPr>
            <w:r>
              <w:rPr>
                <w:rFonts w:hint="default"/>
                <w:b/>
                <w:bCs/>
              </w:rPr>
              <w:t>排气筒（m）</w:t>
            </w:r>
          </w:p>
        </w:tc>
        <w:tc>
          <w:tcPr>
            <w:tcW w:w="1111" w:type="dxa"/>
            <w:vMerge w:val="restart"/>
            <w:tcBorders>
              <w:tl2br w:val="nil"/>
              <w:tr2bl w:val="nil"/>
            </w:tcBorders>
            <w:vAlign w:val="center"/>
          </w:tcPr>
          <w:p>
            <w:pPr>
              <w:pStyle w:val="17"/>
              <w:bidi w:val="0"/>
              <w:rPr>
                <w:rFonts w:hint="default"/>
                <w:b/>
                <w:bCs/>
              </w:rPr>
            </w:pPr>
            <w:r>
              <w:rPr>
                <w:rFonts w:hint="default"/>
                <w:b/>
                <w:bCs/>
              </w:rPr>
              <w:t>污染源</w:t>
            </w:r>
          </w:p>
          <w:p>
            <w:pPr>
              <w:pStyle w:val="17"/>
              <w:bidi w:val="0"/>
              <w:rPr>
                <w:rFonts w:hint="default"/>
                <w:b/>
                <w:bCs/>
              </w:rPr>
            </w:pPr>
            <w:r>
              <w:rPr>
                <w:rFonts w:hint="default"/>
                <w:b/>
                <w:bCs/>
              </w:rPr>
              <w:t>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7" w:hRule="atLeast"/>
          <w:jc w:val="center"/>
        </w:trPr>
        <w:tc>
          <w:tcPr>
            <w:tcW w:w="1261" w:type="dxa"/>
            <w:vMerge w:val="continue"/>
            <w:tcBorders>
              <w:tl2br w:val="nil"/>
              <w:tr2bl w:val="nil"/>
            </w:tcBorders>
            <w:vAlign w:val="center"/>
          </w:tcPr>
          <w:p>
            <w:pPr>
              <w:pStyle w:val="17"/>
              <w:bidi w:val="0"/>
              <w:rPr>
                <w:rFonts w:hint="default"/>
                <w:b/>
                <w:bCs/>
              </w:rPr>
            </w:pPr>
          </w:p>
        </w:tc>
        <w:tc>
          <w:tcPr>
            <w:tcW w:w="1356" w:type="dxa"/>
            <w:vMerge w:val="continue"/>
            <w:tcBorders>
              <w:tl2br w:val="nil"/>
              <w:tr2bl w:val="nil"/>
            </w:tcBorders>
            <w:vAlign w:val="center"/>
          </w:tcPr>
          <w:p>
            <w:pPr>
              <w:pStyle w:val="17"/>
              <w:bidi w:val="0"/>
              <w:rPr>
                <w:rFonts w:hint="default"/>
                <w:b/>
                <w:bCs/>
              </w:rPr>
            </w:pPr>
          </w:p>
        </w:tc>
        <w:tc>
          <w:tcPr>
            <w:tcW w:w="906" w:type="dxa"/>
            <w:vMerge w:val="continue"/>
            <w:tcBorders>
              <w:tl2br w:val="nil"/>
              <w:tr2bl w:val="nil"/>
            </w:tcBorders>
            <w:vAlign w:val="center"/>
          </w:tcPr>
          <w:p>
            <w:pPr>
              <w:pStyle w:val="17"/>
              <w:bidi w:val="0"/>
              <w:rPr>
                <w:rFonts w:hint="default"/>
                <w:b/>
                <w:bCs/>
              </w:rPr>
            </w:pPr>
          </w:p>
        </w:tc>
        <w:tc>
          <w:tcPr>
            <w:tcW w:w="1015" w:type="dxa"/>
            <w:vMerge w:val="continue"/>
            <w:tcBorders>
              <w:tl2br w:val="nil"/>
              <w:tr2bl w:val="nil"/>
            </w:tcBorders>
            <w:vAlign w:val="center"/>
          </w:tcPr>
          <w:p>
            <w:pPr>
              <w:pStyle w:val="17"/>
              <w:bidi w:val="0"/>
              <w:rPr>
                <w:rFonts w:hint="default"/>
                <w:b/>
                <w:bCs/>
              </w:rPr>
            </w:pPr>
          </w:p>
        </w:tc>
        <w:tc>
          <w:tcPr>
            <w:tcW w:w="1140" w:type="dxa"/>
            <w:vMerge w:val="continue"/>
            <w:tcBorders>
              <w:tl2br w:val="nil"/>
              <w:tr2bl w:val="nil"/>
            </w:tcBorders>
            <w:vAlign w:val="center"/>
          </w:tcPr>
          <w:p>
            <w:pPr>
              <w:pStyle w:val="17"/>
              <w:bidi w:val="0"/>
              <w:rPr>
                <w:rFonts w:hint="default"/>
                <w:b/>
                <w:bCs/>
              </w:rPr>
            </w:pPr>
          </w:p>
        </w:tc>
        <w:tc>
          <w:tcPr>
            <w:tcW w:w="1140" w:type="dxa"/>
            <w:tcBorders>
              <w:tl2br w:val="nil"/>
              <w:tr2bl w:val="nil"/>
            </w:tcBorders>
            <w:vAlign w:val="center"/>
          </w:tcPr>
          <w:p>
            <w:pPr>
              <w:pStyle w:val="17"/>
              <w:bidi w:val="0"/>
              <w:rPr>
                <w:rFonts w:hint="default"/>
                <w:b/>
                <w:bCs/>
              </w:rPr>
            </w:pPr>
            <w:r>
              <w:rPr>
                <w:rFonts w:hint="default"/>
                <w:b/>
                <w:bCs/>
              </w:rPr>
              <w:t>高度</w:t>
            </w:r>
          </w:p>
        </w:tc>
        <w:tc>
          <w:tcPr>
            <w:tcW w:w="1142" w:type="dxa"/>
            <w:tcBorders>
              <w:tl2br w:val="nil"/>
              <w:tr2bl w:val="nil"/>
            </w:tcBorders>
            <w:vAlign w:val="center"/>
          </w:tcPr>
          <w:p>
            <w:pPr>
              <w:pStyle w:val="17"/>
              <w:bidi w:val="0"/>
              <w:rPr>
                <w:rFonts w:hint="default"/>
                <w:b/>
                <w:bCs/>
              </w:rPr>
            </w:pPr>
            <w:r>
              <w:rPr>
                <w:rFonts w:hint="default"/>
                <w:b/>
                <w:bCs/>
              </w:rPr>
              <w:t>内径</w:t>
            </w:r>
          </w:p>
        </w:tc>
        <w:tc>
          <w:tcPr>
            <w:tcW w:w="1111" w:type="dxa"/>
            <w:vMerge w:val="continue"/>
            <w:tcBorders>
              <w:tl2br w:val="nil"/>
              <w:tr2bl w:val="nil"/>
            </w:tcBorders>
            <w:vAlign w:val="center"/>
          </w:tcPr>
          <w:p>
            <w:pPr>
              <w:pStyle w:val="17"/>
              <w:bidi w:val="0"/>
              <w:rPr>
                <w:rFonts w:hint="default"/>
                <w:b/>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41" w:hRule="atLeast"/>
          <w:jc w:val="center"/>
        </w:trPr>
        <w:tc>
          <w:tcPr>
            <w:tcW w:w="1261" w:type="dxa"/>
            <w:tcBorders>
              <w:tl2br w:val="nil"/>
              <w:tr2bl w:val="nil"/>
            </w:tcBorders>
            <w:vAlign w:val="center"/>
          </w:tcPr>
          <w:p>
            <w:pPr>
              <w:pStyle w:val="17"/>
              <w:bidi w:val="0"/>
              <w:rPr>
                <w:rFonts w:hint="default" w:eastAsia="宋体"/>
                <w:lang w:val="en-US" w:eastAsia="zh-CN"/>
              </w:rPr>
            </w:pPr>
            <w:r>
              <w:rPr>
                <w:rFonts w:hint="eastAsia"/>
                <w:lang w:val="en-US" w:eastAsia="zh-CN"/>
              </w:rPr>
              <w:t>造粒车间</w:t>
            </w:r>
          </w:p>
        </w:tc>
        <w:tc>
          <w:tcPr>
            <w:tcW w:w="1356" w:type="dxa"/>
            <w:tcBorders>
              <w:tl2br w:val="nil"/>
              <w:tr2bl w:val="nil"/>
            </w:tcBorders>
            <w:vAlign w:val="center"/>
          </w:tcPr>
          <w:p>
            <w:pPr>
              <w:pStyle w:val="17"/>
              <w:bidi w:val="0"/>
              <w:rPr>
                <w:rFonts w:hint="default"/>
              </w:rPr>
            </w:pPr>
            <w:r>
              <w:rPr>
                <w:rFonts w:hint="default"/>
              </w:rPr>
              <w:t>非甲烷总烃</w:t>
            </w:r>
          </w:p>
        </w:tc>
        <w:tc>
          <w:tcPr>
            <w:tcW w:w="906" w:type="dxa"/>
            <w:tcBorders>
              <w:tl2br w:val="nil"/>
              <w:tr2bl w:val="nil"/>
            </w:tcBorders>
            <w:vAlign w:val="center"/>
          </w:tcPr>
          <w:p>
            <w:pPr>
              <w:pStyle w:val="17"/>
              <w:bidi w:val="0"/>
              <w:rPr>
                <w:rFonts w:hint="default"/>
              </w:rPr>
            </w:pPr>
            <w:r>
              <w:rPr>
                <w:rFonts w:hint="eastAsia"/>
                <w:lang w:val="en-US" w:eastAsia="zh-CN"/>
              </w:rPr>
              <w:t>10</w:t>
            </w:r>
            <w:r>
              <w:rPr>
                <w:rFonts w:hint="default"/>
              </w:rPr>
              <w:t>000</w:t>
            </w:r>
          </w:p>
        </w:tc>
        <w:tc>
          <w:tcPr>
            <w:tcW w:w="1015" w:type="dxa"/>
            <w:tcBorders>
              <w:tl2br w:val="nil"/>
              <w:tr2bl w:val="nil"/>
            </w:tcBorders>
            <w:vAlign w:val="center"/>
          </w:tcPr>
          <w:p>
            <w:pPr>
              <w:pStyle w:val="17"/>
              <w:bidi w:val="0"/>
              <w:rPr>
                <w:rFonts w:hint="default" w:eastAsia="宋体"/>
                <w:lang w:val="en-US" w:eastAsia="zh-CN"/>
              </w:rPr>
            </w:pPr>
            <w:r>
              <w:rPr>
                <w:rFonts w:hint="default"/>
              </w:rPr>
              <w:t>0</w:t>
            </w:r>
            <w:r>
              <w:rPr>
                <w:rFonts w:hint="eastAsia"/>
                <w:lang w:val="en-US" w:eastAsia="zh-CN"/>
              </w:rPr>
              <w:t>.113</w:t>
            </w:r>
          </w:p>
        </w:tc>
        <w:tc>
          <w:tcPr>
            <w:tcW w:w="1140" w:type="dxa"/>
            <w:tcBorders>
              <w:tl2br w:val="nil"/>
              <w:tr2bl w:val="nil"/>
            </w:tcBorders>
            <w:vAlign w:val="center"/>
          </w:tcPr>
          <w:p>
            <w:pPr>
              <w:pStyle w:val="17"/>
              <w:bidi w:val="0"/>
              <w:rPr>
                <w:rFonts w:hint="default"/>
              </w:rPr>
            </w:pPr>
            <w:r>
              <w:rPr>
                <w:rFonts w:hint="default"/>
              </w:rPr>
              <w:t>20</w:t>
            </w:r>
          </w:p>
        </w:tc>
        <w:tc>
          <w:tcPr>
            <w:tcW w:w="1140" w:type="dxa"/>
            <w:tcBorders>
              <w:tl2br w:val="nil"/>
              <w:tr2bl w:val="nil"/>
            </w:tcBorders>
            <w:vAlign w:val="center"/>
          </w:tcPr>
          <w:p>
            <w:pPr>
              <w:pStyle w:val="17"/>
              <w:bidi w:val="0"/>
              <w:rPr>
                <w:rFonts w:hint="default"/>
              </w:rPr>
            </w:pPr>
            <w:r>
              <w:rPr>
                <w:rFonts w:hint="default"/>
              </w:rPr>
              <w:t>15</w:t>
            </w:r>
          </w:p>
        </w:tc>
        <w:tc>
          <w:tcPr>
            <w:tcW w:w="1142" w:type="dxa"/>
            <w:tcBorders>
              <w:tl2br w:val="nil"/>
              <w:tr2bl w:val="nil"/>
            </w:tcBorders>
            <w:vAlign w:val="center"/>
          </w:tcPr>
          <w:p>
            <w:pPr>
              <w:pStyle w:val="17"/>
              <w:bidi w:val="0"/>
              <w:rPr>
                <w:rFonts w:hint="default"/>
                <w:lang w:val="en-US" w:eastAsia="zh-CN"/>
              </w:rPr>
            </w:pPr>
            <w:r>
              <w:rPr>
                <w:rFonts w:hint="eastAsia"/>
                <w:lang w:val="en-US" w:eastAsia="zh-CN"/>
              </w:rPr>
              <w:t>0.5</w:t>
            </w:r>
          </w:p>
        </w:tc>
        <w:tc>
          <w:tcPr>
            <w:tcW w:w="1111" w:type="dxa"/>
            <w:tcBorders>
              <w:tl2br w:val="nil"/>
              <w:tr2bl w:val="nil"/>
            </w:tcBorders>
            <w:vAlign w:val="center"/>
          </w:tcPr>
          <w:p>
            <w:pPr>
              <w:pStyle w:val="17"/>
              <w:bidi w:val="0"/>
              <w:rPr>
                <w:rFonts w:hint="default"/>
              </w:rPr>
            </w:pPr>
            <w:r>
              <w:rPr>
                <w:rFonts w:hint="default"/>
              </w:rPr>
              <w:t>点源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41" w:hRule="atLeast"/>
          <w:jc w:val="center"/>
        </w:trPr>
        <w:tc>
          <w:tcPr>
            <w:tcW w:w="1261" w:type="dxa"/>
            <w:tcBorders>
              <w:tl2br w:val="nil"/>
              <w:tr2bl w:val="nil"/>
            </w:tcBorders>
            <w:vAlign w:val="center"/>
          </w:tcPr>
          <w:p>
            <w:pPr>
              <w:pStyle w:val="17"/>
              <w:bidi w:val="0"/>
              <w:rPr>
                <w:rFonts w:hint="default" w:eastAsia="宋体"/>
                <w:lang w:val="en-US" w:eastAsia="zh-CN"/>
              </w:rPr>
            </w:pPr>
            <w:r>
              <w:rPr>
                <w:rFonts w:hint="eastAsia"/>
                <w:lang w:val="en-US" w:eastAsia="zh-CN"/>
              </w:rPr>
              <w:t>生产车间</w:t>
            </w:r>
          </w:p>
        </w:tc>
        <w:tc>
          <w:tcPr>
            <w:tcW w:w="1356" w:type="dxa"/>
            <w:tcBorders>
              <w:tl2br w:val="nil"/>
              <w:tr2bl w:val="nil"/>
            </w:tcBorders>
            <w:vAlign w:val="center"/>
          </w:tcPr>
          <w:p>
            <w:pPr>
              <w:pStyle w:val="17"/>
              <w:bidi w:val="0"/>
              <w:rPr>
                <w:rFonts w:hint="default"/>
              </w:rPr>
            </w:pPr>
            <w:r>
              <w:rPr>
                <w:rFonts w:hint="default"/>
              </w:rPr>
              <w:t>非甲烷总烃</w:t>
            </w:r>
          </w:p>
        </w:tc>
        <w:tc>
          <w:tcPr>
            <w:tcW w:w="906" w:type="dxa"/>
            <w:tcBorders>
              <w:tl2br w:val="nil"/>
              <w:tr2bl w:val="nil"/>
            </w:tcBorders>
            <w:vAlign w:val="center"/>
          </w:tcPr>
          <w:p>
            <w:pPr>
              <w:pStyle w:val="17"/>
              <w:bidi w:val="0"/>
              <w:rPr>
                <w:rFonts w:hint="default"/>
              </w:rPr>
            </w:pPr>
            <w:r>
              <w:rPr>
                <w:rFonts w:hint="eastAsia"/>
                <w:lang w:val="en-US" w:eastAsia="zh-CN"/>
              </w:rPr>
              <w:t>20</w:t>
            </w:r>
            <w:r>
              <w:rPr>
                <w:rFonts w:hint="default"/>
              </w:rPr>
              <w:t>000</w:t>
            </w:r>
          </w:p>
        </w:tc>
        <w:tc>
          <w:tcPr>
            <w:tcW w:w="1015" w:type="dxa"/>
            <w:tcBorders>
              <w:tl2br w:val="nil"/>
              <w:tr2bl w:val="nil"/>
            </w:tcBorders>
            <w:vAlign w:val="center"/>
          </w:tcPr>
          <w:p>
            <w:pPr>
              <w:pStyle w:val="17"/>
              <w:bidi w:val="0"/>
              <w:rPr>
                <w:rFonts w:hint="default"/>
                <w:lang w:val="en-US"/>
              </w:rPr>
            </w:pPr>
            <w:r>
              <w:rPr>
                <w:rFonts w:hint="default"/>
              </w:rPr>
              <w:t>0.</w:t>
            </w:r>
            <w:r>
              <w:rPr>
                <w:rFonts w:hint="eastAsia"/>
                <w:lang w:val="en-US" w:eastAsia="zh-CN"/>
              </w:rPr>
              <w:t>535</w:t>
            </w:r>
          </w:p>
        </w:tc>
        <w:tc>
          <w:tcPr>
            <w:tcW w:w="1140" w:type="dxa"/>
            <w:tcBorders>
              <w:tl2br w:val="nil"/>
              <w:tr2bl w:val="nil"/>
            </w:tcBorders>
            <w:vAlign w:val="center"/>
          </w:tcPr>
          <w:p>
            <w:pPr>
              <w:pStyle w:val="17"/>
              <w:bidi w:val="0"/>
              <w:rPr>
                <w:rFonts w:hint="default"/>
              </w:rPr>
            </w:pPr>
            <w:r>
              <w:rPr>
                <w:rFonts w:hint="default"/>
              </w:rPr>
              <w:t>20</w:t>
            </w:r>
          </w:p>
        </w:tc>
        <w:tc>
          <w:tcPr>
            <w:tcW w:w="1140" w:type="dxa"/>
            <w:tcBorders>
              <w:tl2br w:val="nil"/>
              <w:tr2bl w:val="nil"/>
            </w:tcBorders>
            <w:vAlign w:val="center"/>
          </w:tcPr>
          <w:p>
            <w:pPr>
              <w:pStyle w:val="17"/>
              <w:bidi w:val="0"/>
              <w:rPr>
                <w:rFonts w:hint="default"/>
              </w:rPr>
            </w:pPr>
            <w:r>
              <w:rPr>
                <w:rFonts w:hint="default"/>
              </w:rPr>
              <w:t>15</w:t>
            </w:r>
          </w:p>
        </w:tc>
        <w:tc>
          <w:tcPr>
            <w:tcW w:w="1142" w:type="dxa"/>
            <w:tcBorders>
              <w:tl2br w:val="nil"/>
              <w:tr2bl w:val="nil"/>
            </w:tcBorders>
            <w:vAlign w:val="center"/>
          </w:tcPr>
          <w:p>
            <w:pPr>
              <w:pStyle w:val="17"/>
              <w:bidi w:val="0"/>
              <w:rPr>
                <w:rFonts w:hint="default"/>
              </w:rPr>
            </w:pPr>
            <w:r>
              <w:rPr>
                <w:rFonts w:hint="eastAsia"/>
                <w:lang w:val="en-US" w:eastAsia="zh-CN"/>
              </w:rPr>
              <w:t>0.5</w:t>
            </w:r>
          </w:p>
        </w:tc>
        <w:tc>
          <w:tcPr>
            <w:tcW w:w="1111" w:type="dxa"/>
            <w:tcBorders>
              <w:tl2br w:val="nil"/>
              <w:tr2bl w:val="nil"/>
            </w:tcBorders>
            <w:vAlign w:val="center"/>
          </w:tcPr>
          <w:p>
            <w:pPr>
              <w:pStyle w:val="17"/>
              <w:bidi w:val="0"/>
              <w:rPr>
                <w:rFonts w:hint="default"/>
              </w:rPr>
            </w:pPr>
            <w:r>
              <w:rPr>
                <w:rFonts w:hint="default"/>
              </w:rPr>
              <w:t>点源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41" w:hRule="atLeast"/>
          <w:jc w:val="center"/>
        </w:trPr>
        <w:tc>
          <w:tcPr>
            <w:tcW w:w="1261" w:type="dxa"/>
            <w:tcBorders>
              <w:tl2br w:val="nil"/>
              <w:tr2bl w:val="nil"/>
            </w:tcBorders>
            <w:vAlign w:val="center"/>
          </w:tcPr>
          <w:p>
            <w:pPr>
              <w:pStyle w:val="17"/>
              <w:bidi w:val="0"/>
              <w:rPr>
                <w:rFonts w:hint="default"/>
              </w:rPr>
            </w:pPr>
            <w:r>
              <w:rPr>
                <w:rFonts w:hint="default"/>
              </w:rPr>
              <w:t>污染源</w:t>
            </w:r>
          </w:p>
        </w:tc>
        <w:tc>
          <w:tcPr>
            <w:tcW w:w="1356" w:type="dxa"/>
            <w:tcBorders>
              <w:tl2br w:val="nil"/>
              <w:tr2bl w:val="nil"/>
            </w:tcBorders>
            <w:vAlign w:val="center"/>
          </w:tcPr>
          <w:p>
            <w:pPr>
              <w:pStyle w:val="17"/>
              <w:bidi w:val="0"/>
              <w:rPr>
                <w:rFonts w:hint="default"/>
              </w:rPr>
            </w:pPr>
            <w:r>
              <w:rPr>
                <w:rFonts w:hint="default"/>
              </w:rPr>
              <w:t>污染物</w:t>
            </w:r>
          </w:p>
        </w:tc>
        <w:tc>
          <w:tcPr>
            <w:tcW w:w="906" w:type="dxa"/>
            <w:tcBorders>
              <w:tl2br w:val="nil"/>
              <w:tr2bl w:val="nil"/>
            </w:tcBorders>
            <w:vAlign w:val="center"/>
          </w:tcPr>
          <w:p>
            <w:pPr>
              <w:pStyle w:val="17"/>
              <w:bidi w:val="0"/>
              <w:rPr>
                <w:rFonts w:hint="default"/>
              </w:rPr>
            </w:pPr>
            <w:r>
              <w:rPr>
                <w:rFonts w:hint="default"/>
              </w:rPr>
              <w:t>污染</w:t>
            </w:r>
          </w:p>
          <w:p>
            <w:pPr>
              <w:pStyle w:val="17"/>
              <w:bidi w:val="0"/>
              <w:rPr>
                <w:rFonts w:hint="default"/>
              </w:rPr>
            </w:pPr>
            <w:r>
              <w:rPr>
                <w:rFonts w:hint="default"/>
              </w:rPr>
              <w:t>源强（t/a）</w:t>
            </w:r>
          </w:p>
        </w:tc>
        <w:tc>
          <w:tcPr>
            <w:tcW w:w="1015" w:type="dxa"/>
            <w:tcBorders>
              <w:tl2br w:val="nil"/>
              <w:tr2bl w:val="nil"/>
            </w:tcBorders>
            <w:vAlign w:val="center"/>
          </w:tcPr>
          <w:p>
            <w:pPr>
              <w:pStyle w:val="17"/>
              <w:bidi w:val="0"/>
              <w:rPr>
                <w:rFonts w:hint="default"/>
              </w:rPr>
            </w:pPr>
            <w:r>
              <w:rPr>
                <w:rFonts w:hint="default"/>
              </w:rPr>
              <w:t>面源宽度</w:t>
            </w:r>
          </w:p>
        </w:tc>
        <w:tc>
          <w:tcPr>
            <w:tcW w:w="1140" w:type="dxa"/>
            <w:tcBorders>
              <w:tl2br w:val="nil"/>
              <w:tr2bl w:val="nil"/>
            </w:tcBorders>
            <w:vAlign w:val="center"/>
          </w:tcPr>
          <w:p>
            <w:pPr>
              <w:pStyle w:val="17"/>
              <w:bidi w:val="0"/>
              <w:rPr>
                <w:rFonts w:hint="default"/>
              </w:rPr>
            </w:pPr>
            <w:r>
              <w:rPr>
                <w:rFonts w:hint="default"/>
              </w:rPr>
              <w:t>面源长度</w:t>
            </w:r>
          </w:p>
        </w:tc>
        <w:tc>
          <w:tcPr>
            <w:tcW w:w="1140" w:type="dxa"/>
            <w:tcBorders>
              <w:tl2br w:val="nil"/>
              <w:tr2bl w:val="nil"/>
            </w:tcBorders>
            <w:vAlign w:val="center"/>
          </w:tcPr>
          <w:p>
            <w:pPr>
              <w:pStyle w:val="17"/>
              <w:bidi w:val="0"/>
              <w:rPr>
                <w:rFonts w:hint="default"/>
              </w:rPr>
            </w:pPr>
            <w:r>
              <w:rPr>
                <w:rFonts w:hint="default"/>
              </w:rPr>
              <w:t>有效高He</w:t>
            </w:r>
          </w:p>
        </w:tc>
        <w:tc>
          <w:tcPr>
            <w:tcW w:w="2253" w:type="dxa"/>
            <w:gridSpan w:val="2"/>
            <w:tcBorders>
              <w:tl2br w:val="nil"/>
              <w:tr2bl w:val="nil"/>
            </w:tcBorders>
            <w:vAlign w:val="center"/>
          </w:tcPr>
          <w:p>
            <w:pPr>
              <w:pStyle w:val="17"/>
              <w:bidi w:val="0"/>
              <w:rPr>
                <w:rFonts w:hint="default"/>
              </w:rPr>
            </w:pPr>
            <w:r>
              <w:rPr>
                <w:rFonts w:hint="default"/>
              </w:rPr>
              <w:t>污染源性质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41" w:hRule="atLeast"/>
          <w:jc w:val="center"/>
        </w:trPr>
        <w:tc>
          <w:tcPr>
            <w:tcW w:w="1261"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造粒车间</w:t>
            </w:r>
          </w:p>
        </w:tc>
        <w:tc>
          <w:tcPr>
            <w:tcW w:w="1356" w:type="dxa"/>
            <w:tcBorders>
              <w:tl2br w:val="nil"/>
              <w:tr2bl w:val="nil"/>
            </w:tcBorders>
            <w:vAlign w:val="center"/>
          </w:tcPr>
          <w:p>
            <w:pPr>
              <w:pStyle w:val="17"/>
              <w:bidi w:val="0"/>
              <w:rPr>
                <w:rFonts w:hint="default"/>
              </w:rPr>
            </w:pPr>
            <w:r>
              <w:rPr>
                <w:rFonts w:hint="default"/>
              </w:rPr>
              <w:t>非甲烷总烃</w:t>
            </w:r>
          </w:p>
        </w:tc>
        <w:tc>
          <w:tcPr>
            <w:tcW w:w="906" w:type="dxa"/>
            <w:tcBorders>
              <w:tl2br w:val="nil"/>
              <w:tr2bl w:val="nil"/>
            </w:tcBorders>
            <w:vAlign w:val="center"/>
          </w:tcPr>
          <w:p>
            <w:pPr>
              <w:pStyle w:val="17"/>
              <w:bidi w:val="0"/>
              <w:rPr>
                <w:rFonts w:hint="default"/>
                <w:lang w:val="en-US" w:eastAsia="zh-CN"/>
              </w:rPr>
            </w:pPr>
            <w:r>
              <w:rPr>
                <w:rFonts w:hint="eastAsia"/>
                <w:lang w:val="en-US" w:eastAsia="zh-CN"/>
              </w:rPr>
              <w:t>0.158</w:t>
            </w:r>
          </w:p>
        </w:tc>
        <w:tc>
          <w:tcPr>
            <w:tcW w:w="1015" w:type="dxa"/>
            <w:tcBorders>
              <w:tl2br w:val="nil"/>
              <w:tr2bl w:val="nil"/>
            </w:tcBorders>
            <w:vAlign w:val="center"/>
          </w:tcPr>
          <w:p>
            <w:pPr>
              <w:pStyle w:val="17"/>
              <w:bidi w:val="0"/>
              <w:rPr>
                <w:rFonts w:hint="default"/>
                <w:lang w:val="en-US"/>
              </w:rPr>
            </w:pPr>
            <w:r>
              <w:rPr>
                <w:rFonts w:hint="eastAsia"/>
                <w:lang w:val="en-US" w:eastAsia="zh-CN"/>
              </w:rPr>
              <w:t>12</w:t>
            </w:r>
          </w:p>
        </w:tc>
        <w:tc>
          <w:tcPr>
            <w:tcW w:w="1140" w:type="dxa"/>
            <w:tcBorders>
              <w:tl2br w:val="nil"/>
              <w:tr2bl w:val="nil"/>
            </w:tcBorders>
            <w:vAlign w:val="center"/>
          </w:tcPr>
          <w:p>
            <w:pPr>
              <w:pStyle w:val="17"/>
              <w:bidi w:val="0"/>
              <w:rPr>
                <w:rFonts w:hint="default"/>
                <w:lang w:val="en-US"/>
              </w:rPr>
            </w:pPr>
            <w:r>
              <w:rPr>
                <w:rFonts w:hint="eastAsia"/>
                <w:lang w:val="en-US" w:eastAsia="zh-CN"/>
              </w:rPr>
              <w:t>32.5</w:t>
            </w:r>
          </w:p>
        </w:tc>
        <w:tc>
          <w:tcPr>
            <w:tcW w:w="1140" w:type="dxa"/>
            <w:tcBorders>
              <w:tl2br w:val="nil"/>
              <w:tr2bl w:val="nil"/>
            </w:tcBorders>
            <w:vAlign w:val="center"/>
          </w:tcPr>
          <w:p>
            <w:pPr>
              <w:pStyle w:val="17"/>
              <w:bidi w:val="0"/>
              <w:rPr>
                <w:rFonts w:hint="default"/>
                <w:lang w:val="en-US"/>
              </w:rPr>
            </w:pPr>
            <w:r>
              <w:rPr>
                <w:rFonts w:hint="eastAsia"/>
                <w:lang w:val="en-US" w:eastAsia="zh-CN"/>
              </w:rPr>
              <w:t>10</w:t>
            </w:r>
          </w:p>
        </w:tc>
        <w:tc>
          <w:tcPr>
            <w:tcW w:w="2253" w:type="dxa"/>
            <w:gridSpan w:val="2"/>
            <w:tcBorders>
              <w:tl2br w:val="nil"/>
              <w:tr2bl w:val="nil"/>
            </w:tcBorders>
            <w:vAlign w:val="center"/>
          </w:tcPr>
          <w:p>
            <w:pPr>
              <w:pStyle w:val="17"/>
              <w:bidi w:val="0"/>
              <w:rPr>
                <w:rFonts w:hint="default"/>
              </w:rPr>
            </w:pPr>
            <w:r>
              <w:rPr>
                <w:rFonts w:hint="default"/>
              </w:rPr>
              <w:t>面源排放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41" w:hRule="atLeast"/>
          <w:jc w:val="center"/>
        </w:trPr>
        <w:tc>
          <w:tcPr>
            <w:tcW w:w="1261" w:type="dxa"/>
            <w:vMerge w:val="continue"/>
            <w:tcBorders>
              <w:tl2br w:val="nil"/>
              <w:tr2bl w:val="nil"/>
            </w:tcBorders>
            <w:vAlign w:val="center"/>
          </w:tcPr>
          <w:p>
            <w:pPr>
              <w:pStyle w:val="17"/>
              <w:bidi w:val="0"/>
              <w:rPr>
                <w:rFonts w:hint="default"/>
              </w:rPr>
            </w:pPr>
          </w:p>
        </w:tc>
        <w:tc>
          <w:tcPr>
            <w:tcW w:w="1356" w:type="dxa"/>
            <w:tcBorders>
              <w:tl2br w:val="nil"/>
              <w:tr2bl w:val="nil"/>
            </w:tcBorders>
            <w:vAlign w:val="center"/>
          </w:tcPr>
          <w:p>
            <w:pPr>
              <w:pStyle w:val="17"/>
              <w:bidi w:val="0"/>
              <w:rPr>
                <w:rFonts w:hint="default"/>
              </w:rPr>
            </w:pPr>
            <w:r>
              <w:rPr>
                <w:rFonts w:hint="default"/>
              </w:rPr>
              <w:t>颗粒物</w:t>
            </w:r>
          </w:p>
        </w:tc>
        <w:tc>
          <w:tcPr>
            <w:tcW w:w="906" w:type="dxa"/>
            <w:tcBorders>
              <w:tl2br w:val="nil"/>
              <w:tr2bl w:val="nil"/>
            </w:tcBorders>
            <w:vAlign w:val="center"/>
          </w:tcPr>
          <w:p>
            <w:pPr>
              <w:pStyle w:val="17"/>
              <w:bidi w:val="0"/>
              <w:rPr>
                <w:rFonts w:hint="default"/>
                <w:lang w:val="en-US" w:eastAsia="zh-CN"/>
              </w:rPr>
            </w:pPr>
            <w:r>
              <w:rPr>
                <w:rFonts w:hint="eastAsia"/>
                <w:lang w:val="en-US" w:eastAsia="zh-CN"/>
              </w:rPr>
              <w:t>0.033</w:t>
            </w:r>
          </w:p>
        </w:tc>
        <w:tc>
          <w:tcPr>
            <w:tcW w:w="1015" w:type="dxa"/>
            <w:tcBorders>
              <w:tl2br w:val="nil"/>
              <w:tr2bl w:val="nil"/>
            </w:tcBorders>
            <w:vAlign w:val="center"/>
          </w:tcPr>
          <w:p>
            <w:pPr>
              <w:pStyle w:val="17"/>
              <w:bidi w:val="0"/>
              <w:ind w:firstLine="0" w:firstLineChars="0"/>
              <w:rPr>
                <w:rFonts w:hint="default"/>
              </w:rPr>
            </w:pPr>
            <w:r>
              <w:rPr>
                <w:rFonts w:hint="eastAsia"/>
                <w:lang w:val="en-US" w:eastAsia="zh-CN"/>
              </w:rPr>
              <w:t>12</w:t>
            </w:r>
          </w:p>
        </w:tc>
        <w:tc>
          <w:tcPr>
            <w:tcW w:w="1140" w:type="dxa"/>
            <w:tcBorders>
              <w:tl2br w:val="nil"/>
              <w:tr2bl w:val="nil"/>
            </w:tcBorders>
            <w:vAlign w:val="center"/>
          </w:tcPr>
          <w:p>
            <w:pPr>
              <w:pStyle w:val="17"/>
              <w:bidi w:val="0"/>
              <w:ind w:firstLine="0" w:firstLineChars="0"/>
              <w:rPr>
                <w:rFonts w:hint="default"/>
              </w:rPr>
            </w:pPr>
            <w:r>
              <w:rPr>
                <w:rFonts w:hint="eastAsia"/>
                <w:lang w:val="en-US" w:eastAsia="zh-CN"/>
              </w:rPr>
              <w:t>32.5</w:t>
            </w:r>
          </w:p>
        </w:tc>
        <w:tc>
          <w:tcPr>
            <w:tcW w:w="1140" w:type="dxa"/>
            <w:tcBorders>
              <w:tl2br w:val="nil"/>
              <w:tr2bl w:val="nil"/>
            </w:tcBorders>
            <w:vAlign w:val="center"/>
          </w:tcPr>
          <w:p>
            <w:pPr>
              <w:pStyle w:val="17"/>
              <w:bidi w:val="0"/>
              <w:rPr>
                <w:rFonts w:hint="default"/>
                <w:lang w:val="en-US"/>
              </w:rPr>
            </w:pPr>
            <w:r>
              <w:rPr>
                <w:rFonts w:hint="eastAsia"/>
                <w:lang w:val="en-US" w:eastAsia="zh-CN"/>
              </w:rPr>
              <w:t>10</w:t>
            </w:r>
          </w:p>
        </w:tc>
        <w:tc>
          <w:tcPr>
            <w:tcW w:w="2253" w:type="dxa"/>
            <w:gridSpan w:val="2"/>
            <w:tcBorders>
              <w:tl2br w:val="nil"/>
              <w:tr2bl w:val="nil"/>
            </w:tcBorders>
            <w:vAlign w:val="center"/>
          </w:tcPr>
          <w:p>
            <w:pPr>
              <w:pStyle w:val="17"/>
              <w:bidi w:val="0"/>
              <w:rPr>
                <w:rFonts w:hint="default"/>
              </w:rPr>
            </w:pPr>
            <w:r>
              <w:rPr>
                <w:rFonts w:hint="default"/>
              </w:rPr>
              <w:t>面源排放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5" w:hRule="atLeast"/>
          <w:jc w:val="center"/>
        </w:trPr>
        <w:tc>
          <w:tcPr>
            <w:tcW w:w="1261" w:type="dxa"/>
            <w:tcBorders>
              <w:tl2br w:val="nil"/>
              <w:tr2bl w:val="nil"/>
            </w:tcBorders>
            <w:vAlign w:val="center"/>
          </w:tcPr>
          <w:p>
            <w:pPr>
              <w:pStyle w:val="17"/>
              <w:bidi w:val="0"/>
              <w:rPr>
                <w:rFonts w:hint="default" w:eastAsia="宋体"/>
                <w:lang w:val="en-US" w:eastAsia="zh-CN"/>
              </w:rPr>
            </w:pPr>
            <w:r>
              <w:rPr>
                <w:rFonts w:hint="eastAsia"/>
                <w:lang w:val="en-US" w:eastAsia="zh-CN"/>
              </w:rPr>
              <w:t>生产车间</w:t>
            </w:r>
          </w:p>
        </w:tc>
        <w:tc>
          <w:tcPr>
            <w:tcW w:w="1356" w:type="dxa"/>
            <w:tcBorders>
              <w:tl2br w:val="nil"/>
              <w:tr2bl w:val="nil"/>
            </w:tcBorders>
            <w:vAlign w:val="center"/>
          </w:tcPr>
          <w:p>
            <w:pPr>
              <w:pStyle w:val="17"/>
              <w:bidi w:val="0"/>
              <w:rPr>
                <w:rFonts w:hint="default"/>
              </w:rPr>
            </w:pPr>
            <w:r>
              <w:rPr>
                <w:rFonts w:hint="default"/>
              </w:rPr>
              <w:t>非甲烷总烃</w:t>
            </w:r>
          </w:p>
        </w:tc>
        <w:tc>
          <w:tcPr>
            <w:tcW w:w="906" w:type="dxa"/>
            <w:tcBorders>
              <w:tl2br w:val="nil"/>
              <w:tr2bl w:val="nil"/>
            </w:tcBorders>
            <w:vAlign w:val="center"/>
          </w:tcPr>
          <w:p>
            <w:pPr>
              <w:pStyle w:val="17"/>
              <w:bidi w:val="0"/>
              <w:rPr>
                <w:rFonts w:hint="default"/>
                <w:lang w:val="en-US"/>
              </w:rPr>
            </w:pPr>
            <w:r>
              <w:rPr>
                <w:rFonts w:hint="eastAsia"/>
                <w:lang w:val="en-US" w:eastAsia="zh-CN"/>
              </w:rPr>
              <w:t>0.57</w:t>
            </w:r>
          </w:p>
        </w:tc>
        <w:tc>
          <w:tcPr>
            <w:tcW w:w="1015" w:type="dxa"/>
            <w:tcBorders>
              <w:tl2br w:val="nil"/>
              <w:tr2bl w:val="nil"/>
            </w:tcBorders>
            <w:vAlign w:val="center"/>
          </w:tcPr>
          <w:p>
            <w:pPr>
              <w:pStyle w:val="17"/>
              <w:bidi w:val="0"/>
              <w:rPr>
                <w:rFonts w:hint="default"/>
                <w:lang w:val="en-US"/>
              </w:rPr>
            </w:pPr>
            <w:r>
              <w:rPr>
                <w:rFonts w:hint="eastAsia"/>
                <w:lang w:val="en-US" w:eastAsia="zh-CN"/>
              </w:rPr>
              <w:t>20</w:t>
            </w:r>
          </w:p>
        </w:tc>
        <w:tc>
          <w:tcPr>
            <w:tcW w:w="1140" w:type="dxa"/>
            <w:tcBorders>
              <w:tl2br w:val="nil"/>
              <w:tr2bl w:val="nil"/>
            </w:tcBorders>
            <w:vAlign w:val="center"/>
          </w:tcPr>
          <w:p>
            <w:pPr>
              <w:pStyle w:val="17"/>
              <w:bidi w:val="0"/>
              <w:rPr>
                <w:rFonts w:hint="default"/>
                <w:lang w:val="en-US"/>
              </w:rPr>
            </w:pPr>
            <w:r>
              <w:rPr>
                <w:rFonts w:hint="eastAsia"/>
                <w:lang w:val="en-US" w:eastAsia="zh-CN"/>
              </w:rPr>
              <w:t>16</w:t>
            </w:r>
          </w:p>
        </w:tc>
        <w:tc>
          <w:tcPr>
            <w:tcW w:w="1140" w:type="dxa"/>
            <w:tcBorders>
              <w:tl2br w:val="nil"/>
              <w:tr2bl w:val="nil"/>
            </w:tcBorders>
            <w:vAlign w:val="center"/>
          </w:tcPr>
          <w:p>
            <w:pPr>
              <w:pStyle w:val="17"/>
              <w:bidi w:val="0"/>
              <w:rPr>
                <w:rFonts w:hint="default"/>
                <w:lang w:val="en-US"/>
              </w:rPr>
            </w:pPr>
            <w:r>
              <w:rPr>
                <w:rFonts w:hint="eastAsia"/>
                <w:lang w:val="en-US" w:eastAsia="zh-CN"/>
              </w:rPr>
              <w:t>10</w:t>
            </w:r>
          </w:p>
        </w:tc>
        <w:tc>
          <w:tcPr>
            <w:tcW w:w="2253" w:type="dxa"/>
            <w:gridSpan w:val="2"/>
            <w:tcBorders>
              <w:tl2br w:val="nil"/>
              <w:tr2bl w:val="nil"/>
            </w:tcBorders>
            <w:vAlign w:val="center"/>
          </w:tcPr>
          <w:p>
            <w:pPr>
              <w:pStyle w:val="17"/>
              <w:bidi w:val="0"/>
              <w:rPr>
                <w:rFonts w:hint="default"/>
              </w:rPr>
            </w:pPr>
            <w:r>
              <w:rPr>
                <w:rFonts w:hint="default"/>
              </w:rPr>
              <w:t>面源排放</w:t>
            </w:r>
          </w:p>
        </w:tc>
      </w:tr>
    </w:tbl>
    <w:p>
      <w:pPr>
        <w:pStyle w:val="17"/>
        <w:bidi w:val="0"/>
        <w:rPr>
          <w:rFonts w:hint="default"/>
          <w:b/>
          <w:bCs/>
          <w:color w:val="0000FF"/>
        </w:rPr>
      </w:pPr>
      <w:r>
        <w:rPr>
          <w:rFonts w:hint="default"/>
          <w:b/>
          <w:bCs/>
          <w:color w:val="0000FF"/>
        </w:rPr>
        <w:t>表</w:t>
      </w:r>
      <w:r>
        <w:rPr>
          <w:rFonts w:hint="default"/>
          <w:b/>
          <w:bCs/>
          <w:color w:val="0000FF"/>
          <w:lang w:val="en-US" w:eastAsia="zh-CN"/>
        </w:rPr>
        <w:t>2.6-4</w:t>
      </w:r>
      <w:r>
        <w:rPr>
          <w:rFonts w:hint="default"/>
          <w:b/>
          <w:bCs/>
          <w:color w:val="0000FF"/>
        </w:rPr>
        <w:t xml:space="preserve"> </w:t>
      </w:r>
      <w:r>
        <w:rPr>
          <w:rFonts w:hint="eastAsia"/>
          <w:b/>
          <w:bCs/>
          <w:color w:val="0000FF"/>
          <w:lang w:val="en-US" w:eastAsia="zh-CN"/>
        </w:rPr>
        <w:t xml:space="preserve">  </w:t>
      </w:r>
      <w:r>
        <w:rPr>
          <w:rFonts w:hint="default"/>
          <w:b/>
          <w:bCs/>
          <w:color w:val="0000FF"/>
        </w:rPr>
        <w:t>正常工况下有组织废气大气污染物落地浓度估算</w:t>
      </w:r>
    </w:p>
    <w:tbl>
      <w:tblPr>
        <w:tblStyle w:val="12"/>
        <w:tblW w:w="913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349"/>
        <w:gridCol w:w="1696"/>
        <w:gridCol w:w="1698"/>
        <w:gridCol w:w="1697"/>
        <w:gridCol w:w="16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vMerge w:val="restart"/>
            <w:tcBorders>
              <w:tl2br w:val="nil"/>
              <w:tr2bl w:val="nil"/>
            </w:tcBorders>
            <w:vAlign w:val="center"/>
          </w:tcPr>
          <w:p>
            <w:pPr>
              <w:pStyle w:val="17"/>
              <w:bidi w:val="0"/>
              <w:rPr>
                <w:rFonts w:hint="default"/>
                <w:b/>
                <w:bCs/>
              </w:rPr>
            </w:pPr>
            <w:r>
              <w:rPr>
                <w:rFonts w:hint="default"/>
                <w:b/>
                <w:bCs/>
              </w:rPr>
              <w:t>下风向距离（m）</w:t>
            </w:r>
          </w:p>
        </w:tc>
        <w:tc>
          <w:tcPr>
            <w:tcW w:w="3394" w:type="dxa"/>
            <w:gridSpan w:val="2"/>
            <w:tcBorders>
              <w:tl2br w:val="nil"/>
              <w:tr2bl w:val="nil"/>
            </w:tcBorders>
            <w:vAlign w:val="center"/>
          </w:tcPr>
          <w:p>
            <w:pPr>
              <w:pStyle w:val="17"/>
              <w:bidi w:val="0"/>
              <w:rPr>
                <w:rFonts w:hint="default"/>
                <w:b/>
                <w:bCs/>
              </w:rPr>
            </w:pPr>
            <w:r>
              <w:rPr>
                <w:rFonts w:hint="eastAsia"/>
                <w:b/>
                <w:bCs/>
                <w:lang w:val="en-US" w:eastAsia="zh-CN"/>
              </w:rPr>
              <w:t>生产车间</w:t>
            </w:r>
            <w:r>
              <w:rPr>
                <w:rFonts w:hint="default"/>
                <w:b/>
                <w:bCs/>
              </w:rPr>
              <w:t>非甲烷总烃</w:t>
            </w:r>
          </w:p>
        </w:tc>
        <w:tc>
          <w:tcPr>
            <w:tcW w:w="3396" w:type="dxa"/>
            <w:gridSpan w:val="2"/>
            <w:tcBorders>
              <w:tl2br w:val="nil"/>
              <w:tr2bl w:val="nil"/>
            </w:tcBorders>
            <w:vAlign w:val="center"/>
          </w:tcPr>
          <w:p>
            <w:pPr>
              <w:pStyle w:val="17"/>
              <w:bidi w:val="0"/>
              <w:rPr>
                <w:rFonts w:hint="default"/>
                <w:b/>
                <w:bCs/>
              </w:rPr>
            </w:pPr>
            <w:r>
              <w:rPr>
                <w:rFonts w:hint="eastAsia"/>
                <w:b/>
                <w:bCs/>
                <w:lang w:val="en-US" w:eastAsia="zh-CN"/>
              </w:rPr>
              <w:t>造粒车间</w:t>
            </w:r>
            <w:r>
              <w:rPr>
                <w:rFonts w:hint="default"/>
                <w:b/>
                <w:bCs/>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vMerge w:val="continue"/>
            <w:tcBorders>
              <w:tl2br w:val="nil"/>
              <w:tr2bl w:val="nil"/>
            </w:tcBorders>
            <w:vAlign w:val="center"/>
          </w:tcPr>
          <w:p>
            <w:pPr>
              <w:pStyle w:val="17"/>
              <w:bidi w:val="0"/>
              <w:rPr>
                <w:rFonts w:hint="default"/>
                <w:b/>
                <w:bCs/>
              </w:rPr>
            </w:pPr>
          </w:p>
        </w:tc>
        <w:tc>
          <w:tcPr>
            <w:tcW w:w="1696" w:type="dxa"/>
            <w:tcBorders>
              <w:tl2br w:val="nil"/>
              <w:tr2bl w:val="nil"/>
            </w:tcBorders>
            <w:vAlign w:val="center"/>
          </w:tcPr>
          <w:p>
            <w:pPr>
              <w:pStyle w:val="17"/>
              <w:bidi w:val="0"/>
              <w:rPr>
                <w:rFonts w:hint="default"/>
                <w:b/>
                <w:bCs/>
                <w:lang w:val="en-US" w:eastAsia="zh-CN"/>
              </w:rPr>
            </w:pPr>
            <w:r>
              <w:rPr>
                <w:rFonts w:hint="default"/>
                <w:b/>
                <w:bCs/>
              </w:rPr>
              <w:t>预测质量浓度（μg/</w:t>
            </w:r>
            <w:r>
              <w:rPr>
                <w:rFonts w:hint="eastAsia"/>
                <w:b/>
                <w:bCs/>
                <w:lang w:eastAsia="zh-CN"/>
              </w:rPr>
              <w:t>m³</w:t>
            </w:r>
            <w:r>
              <w:rPr>
                <w:rFonts w:hint="default"/>
                <w:b/>
                <w:bCs/>
              </w:rPr>
              <w:t>）</w:t>
            </w:r>
          </w:p>
        </w:tc>
        <w:tc>
          <w:tcPr>
            <w:tcW w:w="1698" w:type="dxa"/>
            <w:tcBorders>
              <w:tl2br w:val="nil"/>
              <w:tr2bl w:val="nil"/>
            </w:tcBorders>
            <w:vAlign w:val="center"/>
          </w:tcPr>
          <w:p>
            <w:pPr>
              <w:pStyle w:val="17"/>
              <w:bidi w:val="0"/>
              <w:rPr>
                <w:rFonts w:hint="default"/>
                <w:b/>
                <w:bCs/>
                <w:lang w:val="en-US" w:eastAsia="zh-CN"/>
              </w:rPr>
            </w:pPr>
            <w:r>
              <w:rPr>
                <w:rFonts w:hint="default"/>
                <w:b/>
                <w:bCs/>
              </w:rPr>
              <w:t>占标率（%）</w:t>
            </w:r>
          </w:p>
        </w:tc>
        <w:tc>
          <w:tcPr>
            <w:tcW w:w="1697" w:type="dxa"/>
            <w:tcBorders>
              <w:tl2br w:val="nil"/>
              <w:tr2bl w:val="nil"/>
            </w:tcBorders>
            <w:vAlign w:val="center"/>
          </w:tcPr>
          <w:p>
            <w:pPr>
              <w:pStyle w:val="17"/>
              <w:bidi w:val="0"/>
              <w:rPr>
                <w:rFonts w:hint="default"/>
                <w:b/>
                <w:bCs/>
                <w:lang w:val="en-US" w:eastAsia="zh-CN"/>
              </w:rPr>
            </w:pPr>
            <w:r>
              <w:rPr>
                <w:rFonts w:hint="default"/>
                <w:b/>
                <w:bCs/>
              </w:rPr>
              <w:t>预测质量浓度（μg/</w:t>
            </w:r>
            <w:r>
              <w:rPr>
                <w:rFonts w:hint="eastAsia"/>
                <w:b/>
                <w:bCs/>
                <w:lang w:eastAsia="zh-CN"/>
              </w:rPr>
              <w:t>m³</w:t>
            </w:r>
            <w:r>
              <w:rPr>
                <w:rFonts w:hint="default"/>
                <w:b/>
                <w:bCs/>
              </w:rPr>
              <w:t>）</w:t>
            </w:r>
          </w:p>
        </w:tc>
        <w:tc>
          <w:tcPr>
            <w:tcW w:w="1699" w:type="dxa"/>
            <w:tcBorders>
              <w:tl2br w:val="nil"/>
              <w:tr2bl w:val="nil"/>
            </w:tcBorders>
            <w:vAlign w:val="center"/>
          </w:tcPr>
          <w:p>
            <w:pPr>
              <w:pStyle w:val="17"/>
              <w:bidi w:val="0"/>
              <w:rPr>
                <w:rFonts w:hint="default"/>
                <w:b/>
                <w:bCs/>
                <w:lang w:val="en-US" w:eastAsia="zh-CN"/>
              </w:rPr>
            </w:pPr>
            <w:r>
              <w:rPr>
                <w:rFonts w:hint="default"/>
                <w:b/>
                <w:bCs/>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tcBorders>
              <w:tl2br w:val="nil"/>
              <w:tr2bl w:val="nil"/>
            </w:tcBorders>
            <w:vAlign w:val="top"/>
          </w:tcPr>
          <w:p>
            <w:pPr>
              <w:pStyle w:val="17"/>
              <w:bidi w:val="0"/>
              <w:ind w:firstLine="0" w:firstLineChars="0"/>
              <w:rPr>
                <w:rFonts w:hint="default"/>
              </w:rPr>
            </w:pPr>
            <w:r>
              <w:rPr>
                <w:rFonts w:hint="default"/>
              </w:rPr>
              <w:t>10</w:t>
            </w:r>
          </w:p>
        </w:tc>
        <w:tc>
          <w:tcPr>
            <w:tcW w:w="1696" w:type="dxa"/>
            <w:tcBorders>
              <w:tl2br w:val="nil"/>
              <w:tr2bl w:val="nil"/>
            </w:tcBorders>
            <w:vAlign w:val="top"/>
          </w:tcPr>
          <w:p>
            <w:pPr>
              <w:pStyle w:val="17"/>
              <w:bidi w:val="0"/>
              <w:ind w:firstLine="0" w:firstLineChars="0"/>
              <w:rPr>
                <w:rFonts w:hint="default"/>
              </w:rPr>
            </w:pPr>
            <w:r>
              <w:rPr>
                <w:rFonts w:hint="default"/>
              </w:rPr>
              <w:t>0.1</w:t>
            </w:r>
            <w:r>
              <w:rPr>
                <w:rFonts w:hint="eastAsia"/>
                <w:lang w:val="en-US" w:eastAsia="zh-CN"/>
              </w:rPr>
              <w:t>85</w:t>
            </w:r>
          </w:p>
        </w:tc>
        <w:tc>
          <w:tcPr>
            <w:tcW w:w="1698" w:type="dxa"/>
            <w:tcBorders>
              <w:tl2br w:val="nil"/>
              <w:tr2bl w:val="nil"/>
            </w:tcBorders>
            <w:vAlign w:val="top"/>
          </w:tcPr>
          <w:p>
            <w:pPr>
              <w:pStyle w:val="17"/>
              <w:bidi w:val="0"/>
              <w:ind w:firstLine="0" w:firstLineChars="0"/>
              <w:rPr>
                <w:rFonts w:hint="default"/>
              </w:rPr>
            </w:pPr>
            <w:r>
              <w:rPr>
                <w:rFonts w:hint="default"/>
              </w:rPr>
              <w:t>0.009</w:t>
            </w:r>
          </w:p>
        </w:tc>
        <w:tc>
          <w:tcPr>
            <w:tcW w:w="1697" w:type="dxa"/>
            <w:tcBorders>
              <w:tl2br w:val="nil"/>
              <w:tr2bl w:val="nil"/>
            </w:tcBorders>
            <w:vAlign w:val="top"/>
          </w:tcPr>
          <w:p>
            <w:pPr>
              <w:pStyle w:val="17"/>
              <w:bidi w:val="0"/>
              <w:ind w:firstLine="0" w:firstLineChars="0"/>
              <w:rPr>
                <w:rFonts w:hint="default"/>
              </w:rPr>
            </w:pPr>
            <w:r>
              <w:rPr>
                <w:rFonts w:hint="default"/>
              </w:rPr>
              <w:t>0.1</w:t>
            </w:r>
            <w:r>
              <w:rPr>
                <w:rFonts w:hint="eastAsia"/>
                <w:lang w:val="en-US" w:eastAsia="zh-CN"/>
              </w:rPr>
              <w:t>85</w:t>
            </w:r>
          </w:p>
        </w:tc>
        <w:tc>
          <w:tcPr>
            <w:tcW w:w="1699" w:type="dxa"/>
            <w:tcBorders>
              <w:tl2br w:val="nil"/>
              <w:tr2bl w:val="nil"/>
            </w:tcBorders>
            <w:vAlign w:val="top"/>
          </w:tcPr>
          <w:p>
            <w:pPr>
              <w:pStyle w:val="17"/>
              <w:bidi w:val="0"/>
              <w:ind w:firstLine="0" w:firstLineChars="0"/>
              <w:rPr>
                <w:rFonts w:hint="default"/>
              </w:rPr>
            </w:pPr>
            <w:r>
              <w:rPr>
                <w:rFonts w:hint="default"/>
              </w:rPr>
              <w:t>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tcBorders>
              <w:tl2br w:val="nil"/>
              <w:tr2bl w:val="nil"/>
            </w:tcBorders>
            <w:vAlign w:val="top"/>
          </w:tcPr>
          <w:p>
            <w:pPr>
              <w:pStyle w:val="17"/>
              <w:bidi w:val="0"/>
              <w:ind w:firstLine="0" w:firstLineChars="0"/>
              <w:rPr>
                <w:rFonts w:hint="default"/>
              </w:rPr>
            </w:pPr>
            <w:r>
              <w:rPr>
                <w:rFonts w:hint="default"/>
              </w:rPr>
              <w:t>50</w:t>
            </w:r>
          </w:p>
        </w:tc>
        <w:tc>
          <w:tcPr>
            <w:tcW w:w="1696" w:type="dxa"/>
            <w:tcBorders>
              <w:tl2br w:val="nil"/>
              <w:tr2bl w:val="nil"/>
            </w:tcBorders>
            <w:vAlign w:val="top"/>
          </w:tcPr>
          <w:p>
            <w:pPr>
              <w:pStyle w:val="17"/>
              <w:bidi w:val="0"/>
              <w:ind w:firstLine="0" w:firstLineChars="0"/>
              <w:rPr>
                <w:rFonts w:hint="default"/>
              </w:rPr>
            </w:pPr>
            <w:r>
              <w:rPr>
                <w:rFonts w:hint="eastAsia"/>
                <w:lang w:val="en-US" w:eastAsia="zh-CN"/>
              </w:rPr>
              <w:t>8</w:t>
            </w:r>
            <w:r>
              <w:rPr>
                <w:rFonts w:hint="default"/>
              </w:rPr>
              <w:t>.054</w:t>
            </w:r>
          </w:p>
        </w:tc>
        <w:tc>
          <w:tcPr>
            <w:tcW w:w="1698"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403</w:t>
            </w:r>
          </w:p>
        </w:tc>
        <w:tc>
          <w:tcPr>
            <w:tcW w:w="1697" w:type="dxa"/>
            <w:tcBorders>
              <w:tl2br w:val="nil"/>
              <w:tr2bl w:val="nil"/>
            </w:tcBorders>
            <w:vAlign w:val="top"/>
          </w:tcPr>
          <w:p>
            <w:pPr>
              <w:pStyle w:val="17"/>
              <w:bidi w:val="0"/>
              <w:ind w:firstLine="0" w:firstLineChars="0"/>
              <w:rPr>
                <w:rFonts w:hint="default"/>
              </w:rPr>
            </w:pPr>
            <w:r>
              <w:rPr>
                <w:rFonts w:hint="eastAsia"/>
                <w:lang w:val="en-US" w:eastAsia="zh-CN"/>
              </w:rPr>
              <w:t>8</w:t>
            </w:r>
            <w:r>
              <w:rPr>
                <w:rFonts w:hint="default"/>
              </w:rPr>
              <w:t>.054</w:t>
            </w:r>
          </w:p>
        </w:tc>
        <w:tc>
          <w:tcPr>
            <w:tcW w:w="1699"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403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tcBorders>
              <w:tl2br w:val="nil"/>
              <w:tr2bl w:val="nil"/>
            </w:tcBorders>
            <w:vAlign w:val="top"/>
          </w:tcPr>
          <w:p>
            <w:pPr>
              <w:pStyle w:val="17"/>
              <w:bidi w:val="0"/>
              <w:ind w:firstLine="0" w:firstLineChars="0"/>
              <w:rPr>
                <w:rFonts w:hint="default"/>
              </w:rPr>
            </w:pPr>
            <w:r>
              <w:rPr>
                <w:rFonts w:hint="default"/>
              </w:rPr>
              <w:t>100</w:t>
            </w:r>
          </w:p>
        </w:tc>
        <w:tc>
          <w:tcPr>
            <w:tcW w:w="1696" w:type="dxa"/>
            <w:tcBorders>
              <w:tl2br w:val="nil"/>
              <w:tr2bl w:val="nil"/>
            </w:tcBorders>
            <w:vAlign w:val="top"/>
          </w:tcPr>
          <w:p>
            <w:pPr>
              <w:pStyle w:val="17"/>
              <w:bidi w:val="0"/>
              <w:ind w:firstLine="0" w:firstLineChars="0"/>
              <w:rPr>
                <w:rFonts w:hint="default"/>
              </w:rPr>
            </w:pPr>
            <w:r>
              <w:rPr>
                <w:rFonts w:hint="default"/>
              </w:rPr>
              <w:t>1</w:t>
            </w:r>
            <w:r>
              <w:rPr>
                <w:rFonts w:hint="eastAsia"/>
                <w:lang w:val="en-US" w:eastAsia="zh-CN"/>
              </w:rPr>
              <w:t>2</w:t>
            </w:r>
            <w:r>
              <w:rPr>
                <w:rFonts w:hint="default"/>
              </w:rPr>
              <w:t>.250</w:t>
            </w:r>
          </w:p>
        </w:tc>
        <w:tc>
          <w:tcPr>
            <w:tcW w:w="1698"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613</w:t>
            </w:r>
          </w:p>
        </w:tc>
        <w:tc>
          <w:tcPr>
            <w:tcW w:w="1697" w:type="dxa"/>
            <w:tcBorders>
              <w:tl2br w:val="nil"/>
              <w:tr2bl w:val="nil"/>
            </w:tcBorders>
            <w:vAlign w:val="top"/>
          </w:tcPr>
          <w:p>
            <w:pPr>
              <w:pStyle w:val="17"/>
              <w:bidi w:val="0"/>
              <w:ind w:firstLine="0" w:firstLineChars="0"/>
              <w:rPr>
                <w:rFonts w:hint="default"/>
              </w:rPr>
            </w:pPr>
            <w:r>
              <w:rPr>
                <w:rFonts w:hint="default"/>
              </w:rPr>
              <w:t>1</w:t>
            </w:r>
            <w:r>
              <w:rPr>
                <w:rFonts w:hint="eastAsia"/>
                <w:lang w:val="en-US" w:eastAsia="zh-CN"/>
              </w:rPr>
              <w:t>2</w:t>
            </w:r>
            <w:r>
              <w:rPr>
                <w:rFonts w:hint="default"/>
              </w:rPr>
              <w:t>.250</w:t>
            </w:r>
          </w:p>
        </w:tc>
        <w:tc>
          <w:tcPr>
            <w:tcW w:w="1699"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613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85" w:hRule="atLeast"/>
          <w:jc w:val="center"/>
        </w:trPr>
        <w:tc>
          <w:tcPr>
            <w:tcW w:w="2349" w:type="dxa"/>
            <w:tcBorders>
              <w:tl2br w:val="nil"/>
              <w:tr2bl w:val="nil"/>
            </w:tcBorders>
            <w:vAlign w:val="top"/>
          </w:tcPr>
          <w:p>
            <w:pPr>
              <w:pStyle w:val="17"/>
              <w:bidi w:val="0"/>
              <w:ind w:firstLine="0" w:firstLineChars="0"/>
              <w:rPr>
                <w:rFonts w:hint="default"/>
              </w:rPr>
            </w:pPr>
            <w:r>
              <w:rPr>
                <w:rFonts w:hint="default"/>
              </w:rPr>
              <w:t>200</w:t>
            </w:r>
          </w:p>
        </w:tc>
        <w:tc>
          <w:tcPr>
            <w:tcW w:w="1696" w:type="dxa"/>
            <w:tcBorders>
              <w:tl2br w:val="nil"/>
              <w:tr2bl w:val="nil"/>
            </w:tcBorders>
            <w:vAlign w:val="top"/>
          </w:tcPr>
          <w:p>
            <w:pPr>
              <w:pStyle w:val="17"/>
              <w:bidi w:val="0"/>
              <w:ind w:firstLine="0" w:firstLineChars="0"/>
              <w:rPr>
                <w:rFonts w:hint="default"/>
              </w:rPr>
            </w:pPr>
            <w:r>
              <w:rPr>
                <w:rFonts w:hint="default"/>
              </w:rPr>
              <w:t>1</w:t>
            </w:r>
            <w:r>
              <w:rPr>
                <w:rFonts w:hint="eastAsia"/>
                <w:lang w:val="en-US" w:eastAsia="zh-CN"/>
              </w:rPr>
              <w:t>4</w:t>
            </w:r>
            <w:r>
              <w:rPr>
                <w:rFonts w:hint="default"/>
              </w:rPr>
              <w:t>.</w:t>
            </w:r>
            <w:r>
              <w:rPr>
                <w:rFonts w:hint="eastAsia"/>
                <w:lang w:val="en-US" w:eastAsia="zh-CN"/>
              </w:rPr>
              <w:t>9</w:t>
            </w:r>
            <w:r>
              <w:rPr>
                <w:rFonts w:hint="default"/>
              </w:rPr>
              <w:t>20</w:t>
            </w:r>
          </w:p>
        </w:tc>
        <w:tc>
          <w:tcPr>
            <w:tcW w:w="1698"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746</w:t>
            </w:r>
          </w:p>
        </w:tc>
        <w:tc>
          <w:tcPr>
            <w:tcW w:w="1697" w:type="dxa"/>
            <w:tcBorders>
              <w:tl2br w:val="nil"/>
              <w:tr2bl w:val="nil"/>
            </w:tcBorders>
            <w:vAlign w:val="top"/>
          </w:tcPr>
          <w:p>
            <w:pPr>
              <w:pStyle w:val="17"/>
              <w:bidi w:val="0"/>
              <w:ind w:firstLine="0" w:firstLineChars="0"/>
              <w:rPr>
                <w:rFonts w:hint="default"/>
              </w:rPr>
            </w:pPr>
            <w:r>
              <w:rPr>
                <w:rFonts w:hint="default"/>
              </w:rPr>
              <w:t>1</w:t>
            </w:r>
            <w:r>
              <w:rPr>
                <w:rFonts w:hint="eastAsia"/>
                <w:lang w:val="en-US" w:eastAsia="zh-CN"/>
              </w:rPr>
              <w:t>3</w:t>
            </w:r>
            <w:r>
              <w:rPr>
                <w:rFonts w:hint="default"/>
              </w:rPr>
              <w:t>.</w:t>
            </w:r>
            <w:r>
              <w:rPr>
                <w:rFonts w:hint="eastAsia"/>
                <w:lang w:val="en-US" w:eastAsia="zh-CN"/>
              </w:rPr>
              <w:t>9</w:t>
            </w:r>
            <w:r>
              <w:rPr>
                <w:rFonts w:hint="default"/>
              </w:rPr>
              <w:t>20</w:t>
            </w:r>
          </w:p>
        </w:tc>
        <w:tc>
          <w:tcPr>
            <w:tcW w:w="1699" w:type="dxa"/>
            <w:tcBorders>
              <w:tl2br w:val="nil"/>
              <w:tr2bl w:val="nil"/>
            </w:tcBorders>
            <w:vAlign w:val="top"/>
          </w:tcPr>
          <w:p>
            <w:pPr>
              <w:pStyle w:val="17"/>
              <w:bidi w:val="0"/>
              <w:ind w:firstLine="0" w:firstLineChars="0"/>
              <w:rPr>
                <w:rFonts w:hint="default"/>
                <w:lang w:val="en-US"/>
              </w:rPr>
            </w:pPr>
            <w:r>
              <w:rPr>
                <w:rFonts w:hint="default"/>
              </w:rPr>
              <w:t>0.</w:t>
            </w:r>
            <w:r>
              <w:rPr>
                <w:rFonts w:hint="eastAsia"/>
                <w:lang w:val="en-US" w:eastAsia="zh-CN"/>
              </w:rPr>
              <w:t>696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tcBorders>
              <w:tl2br w:val="nil"/>
              <w:tr2bl w:val="nil"/>
            </w:tcBorders>
            <w:vAlign w:val="top"/>
          </w:tcPr>
          <w:p>
            <w:pPr>
              <w:pStyle w:val="17"/>
              <w:bidi w:val="0"/>
              <w:ind w:firstLine="0" w:firstLineChars="0"/>
              <w:rPr>
                <w:rFonts w:hint="default"/>
              </w:rPr>
            </w:pPr>
            <w:r>
              <w:rPr>
                <w:rFonts w:hint="default"/>
              </w:rPr>
              <w:t>300</w:t>
            </w:r>
          </w:p>
        </w:tc>
        <w:tc>
          <w:tcPr>
            <w:tcW w:w="1696" w:type="dxa"/>
            <w:tcBorders>
              <w:tl2br w:val="nil"/>
              <w:tr2bl w:val="nil"/>
            </w:tcBorders>
            <w:vAlign w:val="top"/>
          </w:tcPr>
          <w:p>
            <w:pPr>
              <w:pStyle w:val="17"/>
              <w:bidi w:val="0"/>
              <w:ind w:firstLine="0" w:firstLineChars="0"/>
              <w:rPr>
                <w:rFonts w:hint="default"/>
              </w:rPr>
            </w:pPr>
            <w:r>
              <w:rPr>
                <w:rFonts w:hint="eastAsia"/>
                <w:lang w:val="en-US" w:eastAsia="zh-CN"/>
              </w:rPr>
              <w:t>12</w:t>
            </w:r>
            <w:r>
              <w:rPr>
                <w:rFonts w:hint="default"/>
              </w:rPr>
              <w:t>.262</w:t>
            </w:r>
          </w:p>
        </w:tc>
        <w:tc>
          <w:tcPr>
            <w:tcW w:w="1698"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613</w:t>
            </w:r>
          </w:p>
        </w:tc>
        <w:tc>
          <w:tcPr>
            <w:tcW w:w="1697" w:type="dxa"/>
            <w:tcBorders>
              <w:tl2br w:val="nil"/>
              <w:tr2bl w:val="nil"/>
            </w:tcBorders>
            <w:vAlign w:val="top"/>
          </w:tcPr>
          <w:p>
            <w:pPr>
              <w:pStyle w:val="17"/>
              <w:bidi w:val="0"/>
              <w:ind w:firstLine="0" w:firstLineChars="0"/>
              <w:rPr>
                <w:rFonts w:hint="default"/>
              </w:rPr>
            </w:pPr>
            <w:r>
              <w:rPr>
                <w:rFonts w:hint="eastAsia"/>
                <w:lang w:val="en-US" w:eastAsia="zh-CN"/>
              </w:rPr>
              <w:t>12</w:t>
            </w:r>
            <w:r>
              <w:rPr>
                <w:rFonts w:hint="default"/>
              </w:rPr>
              <w:t>.262</w:t>
            </w:r>
          </w:p>
        </w:tc>
        <w:tc>
          <w:tcPr>
            <w:tcW w:w="1699"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613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tcBorders>
              <w:tl2br w:val="nil"/>
              <w:tr2bl w:val="nil"/>
            </w:tcBorders>
            <w:vAlign w:val="top"/>
          </w:tcPr>
          <w:p>
            <w:pPr>
              <w:pStyle w:val="17"/>
              <w:bidi w:val="0"/>
              <w:ind w:firstLine="0" w:firstLineChars="0"/>
              <w:rPr>
                <w:rFonts w:hint="default"/>
              </w:rPr>
            </w:pPr>
            <w:r>
              <w:rPr>
                <w:rFonts w:hint="default"/>
              </w:rPr>
              <w:t>400</w:t>
            </w:r>
          </w:p>
        </w:tc>
        <w:tc>
          <w:tcPr>
            <w:tcW w:w="1696" w:type="dxa"/>
            <w:tcBorders>
              <w:tl2br w:val="nil"/>
              <w:tr2bl w:val="nil"/>
            </w:tcBorders>
            <w:vAlign w:val="top"/>
          </w:tcPr>
          <w:p>
            <w:pPr>
              <w:pStyle w:val="17"/>
              <w:bidi w:val="0"/>
              <w:ind w:firstLine="0" w:firstLineChars="0"/>
              <w:rPr>
                <w:rFonts w:hint="default"/>
              </w:rPr>
            </w:pPr>
            <w:r>
              <w:rPr>
                <w:rFonts w:hint="eastAsia"/>
                <w:lang w:val="en-US" w:eastAsia="zh-CN"/>
              </w:rPr>
              <w:t>9</w:t>
            </w:r>
            <w:r>
              <w:rPr>
                <w:rFonts w:hint="default"/>
              </w:rPr>
              <w:t>.3</w:t>
            </w:r>
            <w:r>
              <w:rPr>
                <w:rFonts w:hint="eastAsia"/>
                <w:lang w:val="en-US" w:eastAsia="zh-CN"/>
              </w:rPr>
              <w:t>7</w:t>
            </w:r>
            <w:r>
              <w:rPr>
                <w:rFonts w:hint="default"/>
              </w:rPr>
              <w:t>9</w:t>
            </w:r>
          </w:p>
        </w:tc>
        <w:tc>
          <w:tcPr>
            <w:tcW w:w="1698"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469</w:t>
            </w:r>
          </w:p>
        </w:tc>
        <w:tc>
          <w:tcPr>
            <w:tcW w:w="1697" w:type="dxa"/>
            <w:tcBorders>
              <w:tl2br w:val="nil"/>
              <w:tr2bl w:val="nil"/>
            </w:tcBorders>
            <w:vAlign w:val="top"/>
          </w:tcPr>
          <w:p>
            <w:pPr>
              <w:pStyle w:val="17"/>
              <w:bidi w:val="0"/>
              <w:ind w:firstLine="0" w:firstLineChars="0"/>
              <w:rPr>
                <w:rFonts w:hint="default"/>
              </w:rPr>
            </w:pPr>
            <w:r>
              <w:rPr>
                <w:rFonts w:hint="eastAsia"/>
                <w:lang w:val="en-US" w:eastAsia="zh-CN"/>
              </w:rPr>
              <w:t>9</w:t>
            </w:r>
            <w:r>
              <w:rPr>
                <w:rFonts w:hint="default"/>
              </w:rPr>
              <w:t>.3</w:t>
            </w:r>
            <w:r>
              <w:rPr>
                <w:rFonts w:hint="eastAsia"/>
                <w:lang w:val="en-US" w:eastAsia="zh-CN"/>
              </w:rPr>
              <w:t>7</w:t>
            </w:r>
            <w:r>
              <w:rPr>
                <w:rFonts w:hint="default"/>
              </w:rPr>
              <w:t>9</w:t>
            </w:r>
          </w:p>
        </w:tc>
        <w:tc>
          <w:tcPr>
            <w:tcW w:w="1699"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469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tcBorders>
              <w:tl2br w:val="nil"/>
              <w:tr2bl w:val="nil"/>
            </w:tcBorders>
            <w:vAlign w:val="top"/>
          </w:tcPr>
          <w:p>
            <w:pPr>
              <w:pStyle w:val="17"/>
              <w:bidi w:val="0"/>
              <w:ind w:firstLine="0" w:firstLineChars="0"/>
              <w:rPr>
                <w:rFonts w:hint="default"/>
              </w:rPr>
            </w:pPr>
            <w:r>
              <w:rPr>
                <w:rFonts w:hint="default"/>
              </w:rPr>
              <w:t>500</w:t>
            </w:r>
          </w:p>
        </w:tc>
        <w:tc>
          <w:tcPr>
            <w:tcW w:w="1696" w:type="dxa"/>
            <w:tcBorders>
              <w:tl2br w:val="nil"/>
              <w:tr2bl w:val="nil"/>
            </w:tcBorders>
            <w:vAlign w:val="top"/>
          </w:tcPr>
          <w:p>
            <w:pPr>
              <w:pStyle w:val="17"/>
              <w:bidi w:val="0"/>
              <w:ind w:firstLine="0" w:firstLineChars="0"/>
              <w:rPr>
                <w:rFonts w:hint="default"/>
              </w:rPr>
            </w:pPr>
            <w:r>
              <w:rPr>
                <w:rFonts w:hint="eastAsia"/>
                <w:lang w:val="en-US" w:eastAsia="zh-CN"/>
              </w:rPr>
              <w:t>8</w:t>
            </w:r>
            <w:r>
              <w:rPr>
                <w:rFonts w:hint="default"/>
              </w:rPr>
              <w:t>.</w:t>
            </w:r>
            <w:r>
              <w:rPr>
                <w:rFonts w:hint="eastAsia"/>
                <w:lang w:val="en-US" w:eastAsia="zh-CN"/>
              </w:rPr>
              <w:t>482</w:t>
            </w:r>
          </w:p>
        </w:tc>
        <w:tc>
          <w:tcPr>
            <w:tcW w:w="1698"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.424</w:t>
            </w:r>
          </w:p>
        </w:tc>
        <w:tc>
          <w:tcPr>
            <w:tcW w:w="1697" w:type="dxa"/>
            <w:tcBorders>
              <w:tl2br w:val="nil"/>
              <w:tr2bl w:val="nil"/>
            </w:tcBorders>
            <w:vAlign w:val="top"/>
          </w:tcPr>
          <w:p>
            <w:pPr>
              <w:pStyle w:val="17"/>
              <w:bidi w:val="0"/>
              <w:ind w:firstLine="0" w:firstLineChars="0"/>
              <w:rPr>
                <w:rFonts w:hint="default"/>
              </w:rPr>
            </w:pPr>
            <w:r>
              <w:rPr>
                <w:rFonts w:hint="eastAsia"/>
                <w:lang w:val="en-US" w:eastAsia="zh-CN"/>
              </w:rPr>
              <w:t>8</w:t>
            </w:r>
            <w:r>
              <w:rPr>
                <w:rFonts w:hint="default"/>
              </w:rPr>
              <w:t>.</w:t>
            </w:r>
            <w:r>
              <w:rPr>
                <w:rFonts w:hint="eastAsia"/>
                <w:lang w:val="en-US" w:eastAsia="zh-CN"/>
              </w:rPr>
              <w:t>482</w:t>
            </w:r>
          </w:p>
        </w:tc>
        <w:tc>
          <w:tcPr>
            <w:tcW w:w="1699"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.424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tcBorders>
              <w:tl2br w:val="nil"/>
              <w:tr2bl w:val="nil"/>
            </w:tcBorders>
            <w:vAlign w:val="top"/>
          </w:tcPr>
          <w:p>
            <w:pPr>
              <w:pStyle w:val="17"/>
              <w:bidi w:val="0"/>
              <w:ind w:firstLine="0" w:firstLineChars="0"/>
              <w:rPr>
                <w:rFonts w:hint="default"/>
              </w:rPr>
            </w:pPr>
            <w:r>
              <w:rPr>
                <w:rFonts w:hint="default"/>
              </w:rPr>
              <w:t>600</w:t>
            </w:r>
          </w:p>
        </w:tc>
        <w:tc>
          <w:tcPr>
            <w:tcW w:w="1696" w:type="dxa"/>
            <w:tcBorders>
              <w:tl2br w:val="nil"/>
              <w:tr2bl w:val="nil"/>
            </w:tcBorders>
            <w:vAlign w:val="top"/>
          </w:tcPr>
          <w:p>
            <w:pPr>
              <w:pStyle w:val="17"/>
              <w:bidi w:val="0"/>
              <w:ind w:firstLine="0" w:firstLineChars="0"/>
              <w:rPr>
                <w:rFonts w:hint="default"/>
              </w:rPr>
            </w:pPr>
            <w:r>
              <w:rPr>
                <w:rFonts w:hint="eastAsia"/>
                <w:lang w:val="en-US" w:eastAsia="zh-CN"/>
              </w:rPr>
              <w:t>6.352</w:t>
            </w:r>
          </w:p>
        </w:tc>
        <w:tc>
          <w:tcPr>
            <w:tcW w:w="1698"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318</w:t>
            </w:r>
          </w:p>
        </w:tc>
        <w:tc>
          <w:tcPr>
            <w:tcW w:w="1697" w:type="dxa"/>
            <w:tcBorders>
              <w:tl2br w:val="nil"/>
              <w:tr2bl w:val="nil"/>
            </w:tcBorders>
            <w:vAlign w:val="top"/>
          </w:tcPr>
          <w:p>
            <w:pPr>
              <w:pStyle w:val="17"/>
              <w:bidi w:val="0"/>
              <w:ind w:firstLine="0" w:firstLineChars="0"/>
              <w:rPr>
                <w:rFonts w:hint="default"/>
              </w:rPr>
            </w:pPr>
            <w:r>
              <w:rPr>
                <w:rFonts w:hint="eastAsia"/>
                <w:lang w:val="en-US" w:eastAsia="zh-CN"/>
              </w:rPr>
              <w:t>6.352</w:t>
            </w:r>
          </w:p>
        </w:tc>
        <w:tc>
          <w:tcPr>
            <w:tcW w:w="1699"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318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tcBorders>
              <w:tl2br w:val="nil"/>
              <w:tr2bl w:val="nil"/>
            </w:tcBorders>
            <w:vAlign w:val="top"/>
          </w:tcPr>
          <w:p>
            <w:pPr>
              <w:pStyle w:val="17"/>
              <w:bidi w:val="0"/>
              <w:ind w:firstLine="0" w:firstLineChars="0"/>
              <w:rPr>
                <w:rFonts w:hint="default"/>
              </w:rPr>
            </w:pPr>
            <w:r>
              <w:rPr>
                <w:rFonts w:hint="default"/>
              </w:rPr>
              <w:t>700</w:t>
            </w:r>
          </w:p>
        </w:tc>
        <w:tc>
          <w:tcPr>
            <w:tcW w:w="1696" w:type="dxa"/>
            <w:tcBorders>
              <w:tl2br w:val="nil"/>
              <w:tr2bl w:val="nil"/>
            </w:tcBorders>
            <w:vAlign w:val="top"/>
          </w:tcPr>
          <w:p>
            <w:pPr>
              <w:pStyle w:val="17"/>
              <w:bidi w:val="0"/>
              <w:ind w:firstLine="0" w:firstLineChars="0"/>
              <w:rPr>
                <w:rFonts w:hint="default"/>
              </w:rPr>
            </w:pPr>
            <w:r>
              <w:rPr>
                <w:rFonts w:hint="eastAsia"/>
                <w:lang w:val="en-US" w:eastAsia="zh-CN"/>
              </w:rPr>
              <w:t>6.210</w:t>
            </w:r>
          </w:p>
        </w:tc>
        <w:tc>
          <w:tcPr>
            <w:tcW w:w="1698"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311</w:t>
            </w:r>
          </w:p>
        </w:tc>
        <w:tc>
          <w:tcPr>
            <w:tcW w:w="1697" w:type="dxa"/>
            <w:tcBorders>
              <w:tl2br w:val="nil"/>
              <w:tr2bl w:val="nil"/>
            </w:tcBorders>
            <w:vAlign w:val="top"/>
          </w:tcPr>
          <w:p>
            <w:pPr>
              <w:pStyle w:val="17"/>
              <w:bidi w:val="0"/>
              <w:ind w:firstLine="0" w:firstLineChars="0"/>
              <w:rPr>
                <w:rFonts w:hint="default"/>
              </w:rPr>
            </w:pPr>
            <w:r>
              <w:rPr>
                <w:rFonts w:hint="eastAsia"/>
                <w:lang w:val="en-US" w:eastAsia="zh-CN"/>
              </w:rPr>
              <w:t>6.210</w:t>
            </w:r>
          </w:p>
        </w:tc>
        <w:tc>
          <w:tcPr>
            <w:tcW w:w="1699"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311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tcBorders>
              <w:tl2br w:val="nil"/>
              <w:tr2bl w:val="nil"/>
            </w:tcBorders>
            <w:vAlign w:val="top"/>
          </w:tcPr>
          <w:p>
            <w:pPr>
              <w:pStyle w:val="17"/>
              <w:bidi w:val="0"/>
              <w:ind w:firstLine="0" w:firstLineChars="0"/>
              <w:rPr>
                <w:rFonts w:hint="default"/>
              </w:rPr>
            </w:pPr>
            <w:r>
              <w:rPr>
                <w:rFonts w:hint="default"/>
              </w:rPr>
              <w:t>800</w:t>
            </w:r>
          </w:p>
        </w:tc>
        <w:tc>
          <w:tcPr>
            <w:tcW w:w="1696" w:type="dxa"/>
            <w:tcBorders>
              <w:tl2br w:val="nil"/>
              <w:tr2bl w:val="nil"/>
            </w:tcBorders>
            <w:vAlign w:val="top"/>
          </w:tcPr>
          <w:p>
            <w:pPr>
              <w:pStyle w:val="17"/>
              <w:bidi w:val="0"/>
              <w:ind w:firstLine="0" w:firstLineChars="0"/>
              <w:rPr>
                <w:rFonts w:hint="default"/>
              </w:rPr>
            </w:pPr>
            <w:r>
              <w:rPr>
                <w:rFonts w:hint="eastAsia"/>
                <w:lang w:val="en-US" w:eastAsia="zh-CN"/>
              </w:rPr>
              <w:t>5.789</w:t>
            </w:r>
          </w:p>
        </w:tc>
        <w:tc>
          <w:tcPr>
            <w:tcW w:w="1698" w:type="dxa"/>
            <w:tcBorders>
              <w:tl2br w:val="nil"/>
              <w:tr2bl w:val="nil"/>
            </w:tcBorders>
            <w:vAlign w:val="top"/>
          </w:tcPr>
          <w:p>
            <w:pPr>
              <w:pStyle w:val="17"/>
              <w:bidi w:val="0"/>
              <w:ind w:firstLine="0" w:firstLineChars="0"/>
              <w:rPr>
                <w:rFonts w:hint="default"/>
              </w:rPr>
            </w:pPr>
            <w:r>
              <w:rPr>
                <w:rFonts w:hint="default"/>
              </w:rPr>
              <w:t>0.2</w:t>
            </w:r>
            <w:r>
              <w:rPr>
                <w:rFonts w:hint="eastAsia"/>
                <w:lang w:val="en-US" w:eastAsia="zh-CN"/>
              </w:rPr>
              <w:t>89</w:t>
            </w:r>
          </w:p>
        </w:tc>
        <w:tc>
          <w:tcPr>
            <w:tcW w:w="1697" w:type="dxa"/>
            <w:tcBorders>
              <w:tl2br w:val="nil"/>
              <w:tr2bl w:val="nil"/>
            </w:tcBorders>
            <w:vAlign w:val="top"/>
          </w:tcPr>
          <w:p>
            <w:pPr>
              <w:pStyle w:val="17"/>
              <w:bidi w:val="0"/>
              <w:ind w:firstLine="0" w:firstLineChars="0"/>
              <w:rPr>
                <w:rFonts w:hint="default"/>
              </w:rPr>
            </w:pPr>
            <w:r>
              <w:rPr>
                <w:rFonts w:hint="eastAsia"/>
                <w:lang w:val="en-US" w:eastAsia="zh-CN"/>
              </w:rPr>
              <w:t>5.789</w:t>
            </w:r>
          </w:p>
        </w:tc>
        <w:tc>
          <w:tcPr>
            <w:tcW w:w="1699" w:type="dxa"/>
            <w:tcBorders>
              <w:tl2br w:val="nil"/>
              <w:tr2bl w:val="nil"/>
            </w:tcBorders>
            <w:vAlign w:val="top"/>
          </w:tcPr>
          <w:p>
            <w:pPr>
              <w:pStyle w:val="17"/>
              <w:bidi w:val="0"/>
              <w:ind w:firstLine="0" w:firstLineChars="0"/>
              <w:rPr>
                <w:rFonts w:hint="default"/>
              </w:rPr>
            </w:pPr>
            <w:r>
              <w:rPr>
                <w:rFonts w:hint="default"/>
              </w:rPr>
              <w:t>0.2</w:t>
            </w:r>
            <w:r>
              <w:rPr>
                <w:rFonts w:hint="eastAsia"/>
                <w:lang w:val="en-US" w:eastAsia="zh-CN"/>
              </w:rPr>
              <w:t>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tcBorders>
              <w:tl2br w:val="nil"/>
              <w:tr2bl w:val="nil"/>
            </w:tcBorders>
            <w:vAlign w:val="top"/>
          </w:tcPr>
          <w:p>
            <w:pPr>
              <w:pStyle w:val="17"/>
              <w:bidi w:val="0"/>
              <w:ind w:firstLine="0" w:firstLineChars="0"/>
              <w:rPr>
                <w:rFonts w:hint="default"/>
              </w:rPr>
            </w:pPr>
            <w:r>
              <w:rPr>
                <w:rFonts w:hint="default"/>
              </w:rPr>
              <w:t>900</w:t>
            </w:r>
          </w:p>
        </w:tc>
        <w:tc>
          <w:tcPr>
            <w:tcW w:w="1696" w:type="dxa"/>
            <w:tcBorders>
              <w:tl2br w:val="nil"/>
              <w:tr2bl w:val="nil"/>
            </w:tcBorders>
            <w:vAlign w:val="top"/>
          </w:tcPr>
          <w:p>
            <w:pPr>
              <w:pStyle w:val="17"/>
              <w:bidi w:val="0"/>
              <w:ind w:firstLine="0" w:firstLineChars="0"/>
              <w:rPr>
                <w:rFonts w:hint="default"/>
              </w:rPr>
            </w:pPr>
            <w:r>
              <w:rPr>
                <w:rFonts w:hint="eastAsia"/>
                <w:lang w:val="en-US" w:eastAsia="zh-CN"/>
              </w:rPr>
              <w:t>5.432</w:t>
            </w:r>
          </w:p>
        </w:tc>
        <w:tc>
          <w:tcPr>
            <w:tcW w:w="1698"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272</w:t>
            </w:r>
          </w:p>
        </w:tc>
        <w:tc>
          <w:tcPr>
            <w:tcW w:w="1697" w:type="dxa"/>
            <w:tcBorders>
              <w:tl2br w:val="nil"/>
              <w:tr2bl w:val="nil"/>
            </w:tcBorders>
            <w:vAlign w:val="top"/>
          </w:tcPr>
          <w:p>
            <w:pPr>
              <w:pStyle w:val="17"/>
              <w:bidi w:val="0"/>
              <w:ind w:firstLine="0" w:firstLineChars="0"/>
              <w:rPr>
                <w:rFonts w:hint="default"/>
              </w:rPr>
            </w:pPr>
            <w:r>
              <w:rPr>
                <w:rFonts w:hint="eastAsia"/>
                <w:lang w:val="en-US" w:eastAsia="zh-CN"/>
              </w:rPr>
              <w:t>5.432</w:t>
            </w:r>
          </w:p>
        </w:tc>
        <w:tc>
          <w:tcPr>
            <w:tcW w:w="1699"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272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tcBorders>
              <w:tl2br w:val="nil"/>
              <w:tr2bl w:val="nil"/>
            </w:tcBorders>
            <w:vAlign w:val="top"/>
          </w:tcPr>
          <w:p>
            <w:pPr>
              <w:pStyle w:val="17"/>
              <w:bidi w:val="0"/>
              <w:ind w:firstLine="0" w:firstLineChars="0"/>
              <w:rPr>
                <w:rFonts w:hint="default"/>
              </w:rPr>
            </w:pPr>
            <w:r>
              <w:rPr>
                <w:rFonts w:hint="default"/>
              </w:rPr>
              <w:t>1000</w:t>
            </w:r>
          </w:p>
        </w:tc>
        <w:tc>
          <w:tcPr>
            <w:tcW w:w="1696" w:type="dxa"/>
            <w:tcBorders>
              <w:tl2br w:val="nil"/>
              <w:tr2bl w:val="nil"/>
            </w:tcBorders>
            <w:vAlign w:val="top"/>
          </w:tcPr>
          <w:p>
            <w:pPr>
              <w:pStyle w:val="17"/>
              <w:bidi w:val="0"/>
              <w:ind w:firstLine="0" w:firstLineChars="0"/>
              <w:rPr>
                <w:rFonts w:hint="default"/>
              </w:rPr>
            </w:pPr>
            <w:r>
              <w:rPr>
                <w:rFonts w:hint="eastAsia"/>
                <w:lang w:val="en-US" w:eastAsia="zh-CN"/>
              </w:rPr>
              <w:t>4.890</w:t>
            </w:r>
          </w:p>
        </w:tc>
        <w:tc>
          <w:tcPr>
            <w:tcW w:w="1698"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245</w:t>
            </w:r>
          </w:p>
        </w:tc>
        <w:tc>
          <w:tcPr>
            <w:tcW w:w="1697" w:type="dxa"/>
            <w:tcBorders>
              <w:tl2br w:val="nil"/>
              <w:tr2bl w:val="nil"/>
            </w:tcBorders>
            <w:vAlign w:val="top"/>
          </w:tcPr>
          <w:p>
            <w:pPr>
              <w:pStyle w:val="17"/>
              <w:bidi w:val="0"/>
              <w:ind w:firstLine="0" w:firstLineChars="0"/>
              <w:rPr>
                <w:rFonts w:hint="default"/>
              </w:rPr>
            </w:pPr>
            <w:r>
              <w:rPr>
                <w:rFonts w:hint="eastAsia"/>
                <w:lang w:val="en-US" w:eastAsia="zh-CN"/>
              </w:rPr>
              <w:t>4.890</w:t>
            </w:r>
          </w:p>
        </w:tc>
        <w:tc>
          <w:tcPr>
            <w:tcW w:w="1699"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245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tcBorders>
              <w:tl2br w:val="nil"/>
              <w:tr2bl w:val="nil"/>
            </w:tcBorders>
            <w:vAlign w:val="top"/>
          </w:tcPr>
          <w:p>
            <w:pPr>
              <w:pStyle w:val="17"/>
              <w:bidi w:val="0"/>
              <w:ind w:firstLine="0" w:firstLineChars="0"/>
              <w:rPr>
                <w:rFonts w:hint="default"/>
              </w:rPr>
            </w:pPr>
            <w:r>
              <w:rPr>
                <w:rFonts w:hint="default"/>
              </w:rPr>
              <w:t>1500</w:t>
            </w:r>
          </w:p>
        </w:tc>
        <w:tc>
          <w:tcPr>
            <w:tcW w:w="1696" w:type="dxa"/>
            <w:tcBorders>
              <w:tl2br w:val="nil"/>
              <w:tr2bl w:val="nil"/>
            </w:tcBorders>
            <w:vAlign w:val="top"/>
          </w:tcPr>
          <w:p>
            <w:pPr>
              <w:pStyle w:val="17"/>
              <w:bidi w:val="0"/>
              <w:ind w:firstLine="0" w:firstLineChars="0"/>
              <w:rPr>
                <w:rFonts w:hint="default"/>
              </w:rPr>
            </w:pPr>
            <w:r>
              <w:rPr>
                <w:rFonts w:hint="eastAsia"/>
                <w:lang w:val="en-US" w:eastAsia="zh-CN"/>
              </w:rPr>
              <w:t>3.652</w:t>
            </w:r>
          </w:p>
        </w:tc>
        <w:tc>
          <w:tcPr>
            <w:tcW w:w="1698"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183</w:t>
            </w:r>
          </w:p>
        </w:tc>
        <w:tc>
          <w:tcPr>
            <w:tcW w:w="1697" w:type="dxa"/>
            <w:tcBorders>
              <w:tl2br w:val="nil"/>
              <w:tr2bl w:val="nil"/>
            </w:tcBorders>
            <w:vAlign w:val="top"/>
          </w:tcPr>
          <w:p>
            <w:pPr>
              <w:pStyle w:val="17"/>
              <w:bidi w:val="0"/>
              <w:ind w:firstLine="0" w:firstLineChars="0"/>
              <w:rPr>
                <w:rFonts w:hint="default"/>
              </w:rPr>
            </w:pPr>
            <w:r>
              <w:rPr>
                <w:rFonts w:hint="eastAsia"/>
                <w:lang w:val="en-US" w:eastAsia="zh-CN"/>
              </w:rPr>
              <w:t>3.652</w:t>
            </w:r>
          </w:p>
        </w:tc>
        <w:tc>
          <w:tcPr>
            <w:tcW w:w="1699"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183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tcBorders>
              <w:tl2br w:val="nil"/>
              <w:tr2bl w:val="nil"/>
            </w:tcBorders>
            <w:vAlign w:val="top"/>
          </w:tcPr>
          <w:p>
            <w:pPr>
              <w:pStyle w:val="17"/>
              <w:bidi w:val="0"/>
              <w:ind w:firstLine="0" w:firstLineChars="0"/>
              <w:rPr>
                <w:rFonts w:hint="default"/>
              </w:rPr>
            </w:pPr>
            <w:r>
              <w:rPr>
                <w:rFonts w:hint="default"/>
              </w:rPr>
              <w:t>2000</w:t>
            </w:r>
          </w:p>
        </w:tc>
        <w:tc>
          <w:tcPr>
            <w:tcW w:w="1696" w:type="dxa"/>
            <w:tcBorders>
              <w:tl2br w:val="nil"/>
              <w:tr2bl w:val="nil"/>
            </w:tcBorders>
            <w:vAlign w:val="top"/>
          </w:tcPr>
          <w:p>
            <w:pPr>
              <w:pStyle w:val="17"/>
              <w:bidi w:val="0"/>
              <w:ind w:firstLine="0" w:firstLineChars="0"/>
              <w:rPr>
                <w:rFonts w:hint="default"/>
              </w:rPr>
            </w:pPr>
            <w:r>
              <w:rPr>
                <w:rFonts w:hint="eastAsia"/>
                <w:lang w:val="en-US" w:eastAsia="zh-CN"/>
              </w:rPr>
              <w:t>3.182</w:t>
            </w:r>
          </w:p>
        </w:tc>
        <w:tc>
          <w:tcPr>
            <w:tcW w:w="1698"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159</w:t>
            </w:r>
          </w:p>
        </w:tc>
        <w:tc>
          <w:tcPr>
            <w:tcW w:w="1697" w:type="dxa"/>
            <w:tcBorders>
              <w:tl2br w:val="nil"/>
              <w:tr2bl w:val="nil"/>
            </w:tcBorders>
            <w:vAlign w:val="top"/>
          </w:tcPr>
          <w:p>
            <w:pPr>
              <w:pStyle w:val="17"/>
              <w:bidi w:val="0"/>
              <w:ind w:firstLine="0" w:firstLineChars="0"/>
              <w:rPr>
                <w:rFonts w:hint="default"/>
              </w:rPr>
            </w:pPr>
            <w:r>
              <w:rPr>
                <w:rFonts w:hint="eastAsia"/>
                <w:lang w:val="en-US" w:eastAsia="zh-CN"/>
              </w:rPr>
              <w:t>3.182</w:t>
            </w:r>
          </w:p>
        </w:tc>
        <w:tc>
          <w:tcPr>
            <w:tcW w:w="1699"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tcBorders>
              <w:tl2br w:val="nil"/>
              <w:tr2bl w:val="nil"/>
            </w:tcBorders>
            <w:vAlign w:val="top"/>
          </w:tcPr>
          <w:p>
            <w:pPr>
              <w:pStyle w:val="17"/>
              <w:bidi w:val="0"/>
              <w:ind w:firstLine="0" w:firstLineChars="0"/>
              <w:rPr>
                <w:rFonts w:hint="default"/>
              </w:rPr>
            </w:pPr>
            <w:r>
              <w:rPr>
                <w:rFonts w:hint="default"/>
              </w:rPr>
              <w:t>2500</w:t>
            </w:r>
          </w:p>
        </w:tc>
        <w:tc>
          <w:tcPr>
            <w:tcW w:w="1696" w:type="dxa"/>
            <w:tcBorders>
              <w:tl2br w:val="nil"/>
              <w:tr2bl w:val="nil"/>
            </w:tcBorders>
            <w:vAlign w:val="top"/>
          </w:tcPr>
          <w:p>
            <w:pPr>
              <w:pStyle w:val="17"/>
              <w:bidi w:val="0"/>
              <w:ind w:firstLine="0" w:firstLineChars="0"/>
              <w:rPr>
                <w:rFonts w:hint="default"/>
              </w:rPr>
            </w:pPr>
            <w:r>
              <w:rPr>
                <w:rFonts w:hint="eastAsia"/>
                <w:lang w:val="en-US" w:eastAsia="zh-CN"/>
              </w:rPr>
              <w:t>2.946</w:t>
            </w:r>
          </w:p>
        </w:tc>
        <w:tc>
          <w:tcPr>
            <w:tcW w:w="1698"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147</w:t>
            </w:r>
          </w:p>
        </w:tc>
        <w:tc>
          <w:tcPr>
            <w:tcW w:w="1697" w:type="dxa"/>
            <w:tcBorders>
              <w:tl2br w:val="nil"/>
              <w:tr2bl w:val="nil"/>
            </w:tcBorders>
            <w:vAlign w:val="top"/>
          </w:tcPr>
          <w:p>
            <w:pPr>
              <w:pStyle w:val="17"/>
              <w:bidi w:val="0"/>
              <w:ind w:firstLine="0" w:firstLineChars="0"/>
              <w:rPr>
                <w:rFonts w:hint="default"/>
              </w:rPr>
            </w:pPr>
            <w:r>
              <w:rPr>
                <w:rFonts w:hint="eastAsia"/>
                <w:lang w:val="en-US" w:eastAsia="zh-CN"/>
              </w:rPr>
              <w:t>2.946</w:t>
            </w:r>
          </w:p>
        </w:tc>
        <w:tc>
          <w:tcPr>
            <w:tcW w:w="1699"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147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tcBorders>
              <w:tl2br w:val="nil"/>
              <w:tr2bl w:val="nil"/>
            </w:tcBorders>
            <w:vAlign w:val="center"/>
          </w:tcPr>
          <w:p>
            <w:pPr>
              <w:pStyle w:val="17"/>
              <w:bidi w:val="0"/>
              <w:ind w:firstLine="0" w:firstLineChars="0"/>
              <w:rPr>
                <w:rFonts w:hint="default"/>
              </w:rPr>
            </w:pPr>
            <w:r>
              <w:rPr>
                <w:rFonts w:hint="default"/>
              </w:rPr>
              <w:t>下风向最大质量浓度及占标率%</w:t>
            </w:r>
          </w:p>
        </w:tc>
        <w:tc>
          <w:tcPr>
            <w:tcW w:w="1696" w:type="dxa"/>
            <w:tcBorders>
              <w:tl2br w:val="nil"/>
              <w:tr2bl w:val="nil"/>
            </w:tcBorders>
            <w:vAlign w:val="center"/>
          </w:tcPr>
          <w:p>
            <w:pPr>
              <w:pStyle w:val="17"/>
              <w:bidi w:val="0"/>
              <w:ind w:firstLine="0" w:firstLineChars="0"/>
              <w:rPr>
                <w:rFonts w:hint="default"/>
              </w:rPr>
            </w:pPr>
            <w:r>
              <w:rPr>
                <w:rFonts w:hint="eastAsia"/>
                <w:lang w:val="en-US" w:eastAsia="zh-CN"/>
              </w:rPr>
              <w:t>14.92</w:t>
            </w:r>
          </w:p>
        </w:tc>
        <w:tc>
          <w:tcPr>
            <w:tcW w:w="1698" w:type="dxa"/>
            <w:tcBorders>
              <w:tl2br w:val="nil"/>
              <w:tr2bl w:val="nil"/>
            </w:tcBorders>
            <w:vAlign w:val="center"/>
          </w:tcPr>
          <w:p>
            <w:pPr>
              <w:pStyle w:val="17"/>
              <w:bidi w:val="0"/>
              <w:ind w:firstLine="0" w:firstLineChars="0"/>
              <w:rPr>
                <w:rFonts w:hint="default"/>
              </w:rPr>
            </w:pPr>
            <w:r>
              <w:rPr>
                <w:rFonts w:hint="default"/>
              </w:rPr>
              <w:t>0.</w:t>
            </w:r>
            <w:r>
              <w:rPr>
                <w:rFonts w:hint="eastAsia"/>
                <w:lang w:val="en-US" w:eastAsia="zh-CN"/>
              </w:rPr>
              <w:t>746</w:t>
            </w:r>
          </w:p>
        </w:tc>
        <w:tc>
          <w:tcPr>
            <w:tcW w:w="1697" w:type="dxa"/>
            <w:tcBorders>
              <w:tl2br w:val="nil"/>
              <w:tr2bl w:val="nil"/>
            </w:tcBorders>
            <w:vAlign w:val="center"/>
          </w:tcPr>
          <w:p>
            <w:pPr>
              <w:pStyle w:val="17"/>
              <w:bidi w:val="0"/>
              <w:ind w:firstLine="0" w:firstLineChars="0"/>
              <w:rPr>
                <w:rFonts w:hint="default"/>
                <w:lang w:val="en-US"/>
              </w:rPr>
            </w:pPr>
            <w:r>
              <w:rPr>
                <w:rFonts w:hint="eastAsia"/>
                <w:lang w:val="en-US" w:eastAsia="zh-CN"/>
              </w:rPr>
              <w:t>13.9</w:t>
            </w:r>
          </w:p>
        </w:tc>
        <w:tc>
          <w:tcPr>
            <w:tcW w:w="1699" w:type="dxa"/>
            <w:tcBorders>
              <w:tl2br w:val="nil"/>
              <w:tr2bl w:val="nil"/>
            </w:tcBorders>
            <w:vAlign w:val="center"/>
          </w:tcPr>
          <w:p>
            <w:pPr>
              <w:pStyle w:val="17"/>
              <w:bidi w:val="0"/>
              <w:ind w:firstLine="0" w:firstLineChars="0"/>
              <w:rPr>
                <w:rFonts w:hint="default"/>
                <w:lang w:val="en-US"/>
              </w:rPr>
            </w:pPr>
            <w:r>
              <w:rPr>
                <w:rFonts w:hint="default"/>
              </w:rPr>
              <w:t>0.</w:t>
            </w:r>
            <w:r>
              <w:rPr>
                <w:rFonts w:hint="eastAsia"/>
                <w:lang w:val="en-US" w:eastAsia="zh-CN"/>
              </w:rPr>
              <w:t>696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349" w:type="dxa"/>
            <w:tcBorders>
              <w:tl2br w:val="nil"/>
              <w:tr2bl w:val="nil"/>
            </w:tcBorders>
            <w:vAlign w:val="center"/>
          </w:tcPr>
          <w:p>
            <w:pPr>
              <w:pStyle w:val="17"/>
              <w:bidi w:val="0"/>
              <w:ind w:firstLine="0" w:firstLineChars="0"/>
              <w:rPr>
                <w:rFonts w:hint="default"/>
                <w:lang w:val="en-US" w:eastAsia="zh-CN"/>
              </w:rPr>
            </w:pPr>
            <w:r>
              <w:rPr>
                <w:rFonts w:hint="default"/>
              </w:rPr>
              <w:t>D10%最远距离/m</w:t>
            </w:r>
          </w:p>
        </w:tc>
        <w:tc>
          <w:tcPr>
            <w:tcW w:w="3394" w:type="dxa"/>
            <w:gridSpan w:val="2"/>
            <w:tcBorders>
              <w:tl2br w:val="nil"/>
              <w:tr2bl w:val="nil"/>
            </w:tcBorders>
            <w:vAlign w:val="center"/>
          </w:tcPr>
          <w:p>
            <w:pPr>
              <w:pStyle w:val="17"/>
              <w:bidi w:val="0"/>
              <w:ind w:firstLine="0" w:firstLineChars="0"/>
              <w:rPr>
                <w:rFonts w:hint="default"/>
              </w:rPr>
            </w:pPr>
            <w:r>
              <w:rPr>
                <w:rFonts w:hint="default"/>
              </w:rPr>
              <w:t>201</w:t>
            </w:r>
          </w:p>
        </w:tc>
        <w:tc>
          <w:tcPr>
            <w:tcW w:w="3396" w:type="dxa"/>
            <w:gridSpan w:val="2"/>
            <w:tcBorders>
              <w:tl2br w:val="nil"/>
              <w:tr2bl w:val="nil"/>
            </w:tcBorders>
            <w:vAlign w:val="center"/>
          </w:tcPr>
          <w:p>
            <w:pPr>
              <w:pStyle w:val="17"/>
              <w:bidi w:val="0"/>
              <w:ind w:firstLine="0" w:firstLineChars="0"/>
              <w:rPr>
                <w:rFonts w:hint="default"/>
                <w:lang w:val="en-US" w:eastAsia="zh-CN"/>
              </w:rPr>
            </w:pPr>
            <w:r>
              <w:rPr>
                <w:rFonts w:hint="default"/>
              </w:rPr>
              <w:t>201</w:t>
            </w:r>
          </w:p>
        </w:tc>
      </w:tr>
    </w:tbl>
    <w:p>
      <w:pPr>
        <w:pStyle w:val="17"/>
        <w:bidi w:val="0"/>
        <w:rPr>
          <w:rFonts w:hint="default"/>
          <w:b/>
          <w:bCs/>
        </w:rPr>
      </w:pPr>
      <w:r>
        <w:rPr>
          <w:rFonts w:hint="default"/>
          <w:b/>
          <w:bCs/>
        </w:rPr>
        <w:t>表</w:t>
      </w:r>
      <w:r>
        <w:rPr>
          <w:rFonts w:hint="default"/>
          <w:b/>
          <w:bCs/>
          <w:lang w:val="en-US" w:eastAsia="zh-CN"/>
        </w:rPr>
        <w:t>2.6-5</w:t>
      </w:r>
      <w:r>
        <w:rPr>
          <w:rFonts w:hint="default"/>
          <w:b/>
          <w:bCs/>
        </w:rPr>
        <w:t xml:space="preserve"> </w:t>
      </w:r>
      <w:r>
        <w:rPr>
          <w:rFonts w:hint="eastAsia"/>
          <w:b/>
          <w:bCs/>
          <w:lang w:val="en-US" w:eastAsia="zh-CN"/>
        </w:rPr>
        <w:t xml:space="preserve">  </w:t>
      </w:r>
      <w:r>
        <w:rPr>
          <w:rFonts w:hint="default"/>
          <w:b/>
          <w:bCs/>
        </w:rPr>
        <w:t>正常工况下无组织废气大气污染物落地浓度估算</w:t>
      </w:r>
    </w:p>
    <w:tbl>
      <w:tblPr>
        <w:tblStyle w:val="12"/>
        <w:tblW w:w="913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67"/>
        <w:gridCol w:w="1294"/>
        <w:gridCol w:w="1294"/>
        <w:gridCol w:w="1296"/>
        <w:gridCol w:w="1296"/>
        <w:gridCol w:w="1296"/>
        <w:gridCol w:w="12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vMerge w:val="restart"/>
            <w:tcBorders>
              <w:tl2br w:val="nil"/>
              <w:tr2bl w:val="nil"/>
            </w:tcBorders>
            <w:vAlign w:val="center"/>
          </w:tcPr>
          <w:p>
            <w:pPr>
              <w:pStyle w:val="17"/>
              <w:bidi w:val="0"/>
              <w:rPr>
                <w:rFonts w:hint="default"/>
                <w:b/>
                <w:bCs/>
              </w:rPr>
            </w:pPr>
            <w:r>
              <w:rPr>
                <w:rFonts w:hint="default"/>
                <w:b/>
                <w:bCs/>
              </w:rPr>
              <w:t>下风向</w:t>
            </w:r>
          </w:p>
          <w:p>
            <w:pPr>
              <w:pStyle w:val="17"/>
              <w:bidi w:val="0"/>
              <w:rPr>
                <w:rFonts w:hint="default"/>
                <w:b/>
                <w:bCs/>
              </w:rPr>
            </w:pPr>
            <w:r>
              <w:rPr>
                <w:rFonts w:hint="default"/>
                <w:b/>
                <w:bCs/>
              </w:rPr>
              <w:t>距离</w:t>
            </w:r>
          </w:p>
          <w:p>
            <w:pPr>
              <w:pStyle w:val="17"/>
              <w:bidi w:val="0"/>
              <w:rPr>
                <w:rFonts w:hint="default"/>
                <w:b/>
                <w:bCs/>
              </w:rPr>
            </w:pPr>
            <w:r>
              <w:rPr>
                <w:rFonts w:hint="default"/>
                <w:b/>
                <w:bCs/>
              </w:rPr>
              <w:t>（m）</w:t>
            </w:r>
          </w:p>
        </w:tc>
        <w:tc>
          <w:tcPr>
            <w:tcW w:w="5180" w:type="dxa"/>
            <w:gridSpan w:val="4"/>
            <w:tcBorders>
              <w:tl2br w:val="nil"/>
              <w:tr2bl w:val="nil"/>
            </w:tcBorders>
            <w:vAlign w:val="center"/>
          </w:tcPr>
          <w:p>
            <w:pPr>
              <w:pStyle w:val="17"/>
              <w:bidi w:val="0"/>
              <w:rPr>
                <w:rFonts w:hint="default"/>
                <w:b/>
                <w:bCs/>
              </w:rPr>
            </w:pPr>
            <w:r>
              <w:rPr>
                <w:rFonts w:hint="default"/>
                <w:b/>
                <w:bCs/>
              </w:rPr>
              <w:t>非甲烷总烃</w:t>
            </w:r>
          </w:p>
        </w:tc>
        <w:tc>
          <w:tcPr>
            <w:tcW w:w="2592" w:type="dxa"/>
            <w:gridSpan w:val="2"/>
            <w:tcBorders>
              <w:tl2br w:val="nil"/>
              <w:tr2bl w:val="nil"/>
            </w:tcBorders>
            <w:vAlign w:val="center"/>
          </w:tcPr>
          <w:p>
            <w:pPr>
              <w:pStyle w:val="17"/>
              <w:bidi w:val="0"/>
              <w:rPr>
                <w:rFonts w:hint="default"/>
                <w:b/>
                <w:bCs/>
                <w:lang w:val="en-US" w:eastAsia="zh-CN"/>
              </w:rPr>
            </w:pPr>
            <w:r>
              <w:rPr>
                <w:rFonts w:hint="default"/>
                <w:b/>
                <w:bCs/>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vMerge w:val="continue"/>
            <w:tcBorders>
              <w:tl2br w:val="nil"/>
              <w:tr2bl w:val="nil"/>
            </w:tcBorders>
            <w:vAlign w:val="center"/>
          </w:tcPr>
          <w:p>
            <w:pPr>
              <w:pStyle w:val="17"/>
              <w:bidi w:val="0"/>
              <w:rPr>
                <w:rFonts w:hint="default"/>
                <w:b/>
                <w:bCs/>
              </w:rPr>
            </w:pPr>
          </w:p>
        </w:tc>
        <w:tc>
          <w:tcPr>
            <w:tcW w:w="2588" w:type="dxa"/>
            <w:gridSpan w:val="2"/>
            <w:tcBorders>
              <w:tl2br w:val="nil"/>
              <w:tr2bl w:val="nil"/>
            </w:tcBorders>
            <w:vAlign w:val="center"/>
          </w:tcPr>
          <w:p>
            <w:pPr>
              <w:pStyle w:val="17"/>
              <w:bidi w:val="0"/>
              <w:rPr>
                <w:rFonts w:hint="default" w:eastAsia="宋体"/>
                <w:b/>
                <w:bCs/>
                <w:lang w:val="en-US" w:eastAsia="zh-CN"/>
              </w:rPr>
            </w:pPr>
            <w:r>
              <w:rPr>
                <w:rFonts w:hint="eastAsia"/>
                <w:b/>
                <w:bCs/>
                <w:lang w:val="en-US" w:eastAsia="zh-CN"/>
              </w:rPr>
              <w:t>造粒车间</w:t>
            </w:r>
          </w:p>
        </w:tc>
        <w:tc>
          <w:tcPr>
            <w:tcW w:w="2592" w:type="dxa"/>
            <w:gridSpan w:val="2"/>
            <w:tcBorders>
              <w:tl2br w:val="nil"/>
              <w:tr2bl w:val="nil"/>
            </w:tcBorders>
            <w:vAlign w:val="center"/>
          </w:tcPr>
          <w:p>
            <w:pPr>
              <w:pStyle w:val="17"/>
              <w:bidi w:val="0"/>
              <w:rPr>
                <w:rFonts w:hint="default"/>
                <w:b/>
                <w:bCs/>
                <w:lang w:val="en-US"/>
              </w:rPr>
            </w:pPr>
            <w:r>
              <w:rPr>
                <w:rFonts w:hint="eastAsia"/>
                <w:b/>
                <w:bCs/>
                <w:lang w:val="en-US" w:eastAsia="zh-CN"/>
              </w:rPr>
              <w:t>生产车间</w:t>
            </w:r>
          </w:p>
        </w:tc>
        <w:tc>
          <w:tcPr>
            <w:tcW w:w="2592" w:type="dxa"/>
            <w:gridSpan w:val="2"/>
            <w:tcBorders>
              <w:tl2br w:val="nil"/>
              <w:tr2bl w:val="nil"/>
            </w:tcBorders>
            <w:vAlign w:val="center"/>
          </w:tcPr>
          <w:p>
            <w:pPr>
              <w:pStyle w:val="17"/>
              <w:bidi w:val="0"/>
              <w:rPr>
                <w:rFonts w:hint="default" w:eastAsia="宋体"/>
                <w:b/>
                <w:bCs/>
                <w:lang w:val="en-US" w:eastAsia="zh-CN"/>
              </w:rPr>
            </w:pPr>
            <w:r>
              <w:rPr>
                <w:rFonts w:hint="eastAsia"/>
                <w:b/>
                <w:bCs/>
                <w:lang w:val="en-US" w:eastAsia="zh-CN"/>
              </w:rPr>
              <w:t>造粒车间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vMerge w:val="continue"/>
            <w:tcBorders>
              <w:tl2br w:val="nil"/>
              <w:tr2bl w:val="nil"/>
            </w:tcBorders>
            <w:vAlign w:val="center"/>
          </w:tcPr>
          <w:p>
            <w:pPr>
              <w:pStyle w:val="17"/>
              <w:bidi w:val="0"/>
              <w:rPr>
                <w:rFonts w:hint="default"/>
                <w:b/>
                <w:bCs/>
              </w:rPr>
            </w:pPr>
          </w:p>
        </w:tc>
        <w:tc>
          <w:tcPr>
            <w:tcW w:w="1294" w:type="dxa"/>
            <w:tcBorders>
              <w:tl2br w:val="nil"/>
              <w:tr2bl w:val="nil"/>
            </w:tcBorders>
            <w:vAlign w:val="center"/>
          </w:tcPr>
          <w:p>
            <w:pPr>
              <w:pStyle w:val="17"/>
              <w:bidi w:val="0"/>
              <w:rPr>
                <w:rFonts w:hint="default"/>
                <w:b/>
                <w:bCs/>
              </w:rPr>
            </w:pPr>
            <w:r>
              <w:rPr>
                <w:rFonts w:hint="default"/>
                <w:b/>
                <w:bCs/>
              </w:rPr>
              <w:t>预测质量浓度（μg/</w:t>
            </w:r>
            <w:r>
              <w:rPr>
                <w:rFonts w:hint="eastAsia"/>
                <w:b/>
                <w:bCs/>
                <w:lang w:eastAsia="zh-CN"/>
              </w:rPr>
              <w:t>m³</w:t>
            </w:r>
            <w:r>
              <w:rPr>
                <w:rFonts w:hint="default"/>
                <w:b/>
                <w:bCs/>
              </w:rPr>
              <w:t>）</w:t>
            </w:r>
          </w:p>
        </w:tc>
        <w:tc>
          <w:tcPr>
            <w:tcW w:w="1294" w:type="dxa"/>
            <w:tcBorders>
              <w:tl2br w:val="nil"/>
              <w:tr2bl w:val="nil"/>
            </w:tcBorders>
            <w:vAlign w:val="center"/>
          </w:tcPr>
          <w:p>
            <w:pPr>
              <w:pStyle w:val="17"/>
              <w:bidi w:val="0"/>
              <w:rPr>
                <w:rFonts w:hint="default"/>
                <w:b/>
                <w:bCs/>
              </w:rPr>
            </w:pPr>
            <w:r>
              <w:rPr>
                <w:rFonts w:hint="default"/>
                <w:b/>
                <w:bCs/>
              </w:rPr>
              <w:t>占标率（%）</w:t>
            </w:r>
          </w:p>
        </w:tc>
        <w:tc>
          <w:tcPr>
            <w:tcW w:w="1296" w:type="dxa"/>
            <w:tcBorders>
              <w:tl2br w:val="nil"/>
              <w:tr2bl w:val="nil"/>
            </w:tcBorders>
            <w:vAlign w:val="center"/>
          </w:tcPr>
          <w:p>
            <w:pPr>
              <w:pStyle w:val="17"/>
              <w:bidi w:val="0"/>
              <w:rPr>
                <w:rFonts w:hint="default"/>
                <w:b/>
                <w:bCs/>
              </w:rPr>
            </w:pPr>
            <w:r>
              <w:rPr>
                <w:rFonts w:hint="default"/>
                <w:b/>
                <w:bCs/>
              </w:rPr>
              <w:t>预测质量浓度（μg/</w:t>
            </w:r>
            <w:r>
              <w:rPr>
                <w:rFonts w:hint="eastAsia"/>
                <w:b/>
                <w:bCs/>
                <w:lang w:eastAsia="zh-CN"/>
              </w:rPr>
              <w:t>m³</w:t>
            </w:r>
            <w:r>
              <w:rPr>
                <w:rFonts w:hint="default"/>
                <w:b/>
                <w:bCs/>
              </w:rPr>
              <w:t>）</w:t>
            </w:r>
          </w:p>
        </w:tc>
        <w:tc>
          <w:tcPr>
            <w:tcW w:w="1296" w:type="dxa"/>
            <w:tcBorders>
              <w:tl2br w:val="nil"/>
              <w:tr2bl w:val="nil"/>
            </w:tcBorders>
            <w:vAlign w:val="center"/>
          </w:tcPr>
          <w:p>
            <w:pPr>
              <w:pStyle w:val="17"/>
              <w:bidi w:val="0"/>
              <w:rPr>
                <w:rFonts w:hint="default"/>
                <w:b/>
                <w:bCs/>
              </w:rPr>
            </w:pPr>
            <w:r>
              <w:rPr>
                <w:rFonts w:hint="default"/>
                <w:b/>
                <w:bCs/>
              </w:rPr>
              <w:t>占标率（%）</w:t>
            </w:r>
          </w:p>
        </w:tc>
        <w:tc>
          <w:tcPr>
            <w:tcW w:w="1296" w:type="dxa"/>
            <w:tcBorders>
              <w:tl2br w:val="nil"/>
              <w:tr2bl w:val="nil"/>
            </w:tcBorders>
            <w:vAlign w:val="center"/>
          </w:tcPr>
          <w:p>
            <w:pPr>
              <w:pStyle w:val="17"/>
              <w:bidi w:val="0"/>
              <w:rPr>
                <w:rFonts w:hint="default"/>
                <w:b/>
                <w:bCs/>
              </w:rPr>
            </w:pPr>
            <w:r>
              <w:rPr>
                <w:rFonts w:hint="default"/>
                <w:b/>
                <w:bCs/>
              </w:rPr>
              <w:t>预测质量浓度（μg/</w:t>
            </w:r>
            <w:r>
              <w:rPr>
                <w:rFonts w:hint="eastAsia"/>
                <w:b/>
                <w:bCs/>
                <w:lang w:eastAsia="zh-CN"/>
              </w:rPr>
              <w:t>m³</w:t>
            </w:r>
            <w:r>
              <w:rPr>
                <w:rFonts w:hint="default"/>
                <w:b/>
                <w:bCs/>
              </w:rPr>
              <w:t>）</w:t>
            </w:r>
          </w:p>
        </w:tc>
        <w:tc>
          <w:tcPr>
            <w:tcW w:w="1296" w:type="dxa"/>
            <w:tcBorders>
              <w:tl2br w:val="nil"/>
              <w:tr2bl w:val="nil"/>
            </w:tcBorders>
            <w:vAlign w:val="center"/>
          </w:tcPr>
          <w:p>
            <w:pPr>
              <w:pStyle w:val="17"/>
              <w:bidi w:val="0"/>
              <w:rPr>
                <w:rFonts w:hint="default"/>
                <w:b/>
                <w:bCs/>
              </w:rPr>
            </w:pPr>
            <w:r>
              <w:rPr>
                <w:rFonts w:hint="default"/>
                <w:b/>
                <w:bCs/>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10</w:t>
            </w:r>
          </w:p>
        </w:tc>
        <w:tc>
          <w:tcPr>
            <w:tcW w:w="1294" w:type="dxa"/>
            <w:tcBorders>
              <w:tl2br w:val="nil"/>
              <w:tr2bl w:val="nil"/>
            </w:tcBorders>
            <w:vAlign w:val="center"/>
          </w:tcPr>
          <w:p>
            <w:pPr>
              <w:pStyle w:val="17"/>
              <w:bidi w:val="0"/>
              <w:rPr>
                <w:rFonts w:hint="default"/>
              </w:rPr>
            </w:pPr>
            <w:r>
              <w:rPr>
                <w:rFonts w:hint="default"/>
              </w:rPr>
              <w:t>65.97</w:t>
            </w:r>
          </w:p>
        </w:tc>
        <w:tc>
          <w:tcPr>
            <w:tcW w:w="1294" w:type="dxa"/>
            <w:tcBorders>
              <w:tl2br w:val="nil"/>
              <w:tr2bl w:val="nil"/>
            </w:tcBorders>
            <w:vAlign w:val="center"/>
          </w:tcPr>
          <w:p>
            <w:pPr>
              <w:pStyle w:val="17"/>
              <w:bidi w:val="0"/>
              <w:rPr>
                <w:rFonts w:hint="default"/>
              </w:rPr>
            </w:pPr>
            <w:r>
              <w:rPr>
                <w:rFonts w:hint="default"/>
              </w:rPr>
              <w:t>3.30</w:t>
            </w:r>
          </w:p>
        </w:tc>
        <w:tc>
          <w:tcPr>
            <w:tcW w:w="1296" w:type="dxa"/>
            <w:tcBorders>
              <w:tl2br w:val="nil"/>
              <w:tr2bl w:val="nil"/>
            </w:tcBorders>
            <w:vAlign w:val="center"/>
          </w:tcPr>
          <w:p>
            <w:pPr>
              <w:pStyle w:val="17"/>
              <w:bidi w:val="0"/>
              <w:rPr>
                <w:rFonts w:hint="default"/>
              </w:rPr>
            </w:pPr>
            <w:r>
              <w:rPr>
                <w:rFonts w:hint="default"/>
              </w:rPr>
              <w:t>65.97</w:t>
            </w:r>
          </w:p>
        </w:tc>
        <w:tc>
          <w:tcPr>
            <w:tcW w:w="1296" w:type="dxa"/>
            <w:tcBorders>
              <w:tl2br w:val="nil"/>
              <w:tr2bl w:val="nil"/>
            </w:tcBorders>
            <w:vAlign w:val="center"/>
          </w:tcPr>
          <w:p>
            <w:pPr>
              <w:pStyle w:val="17"/>
              <w:bidi w:val="0"/>
              <w:rPr>
                <w:rFonts w:hint="default"/>
              </w:rPr>
            </w:pPr>
            <w:r>
              <w:rPr>
                <w:rFonts w:hint="default"/>
              </w:rPr>
              <w:t>3.30</w:t>
            </w:r>
          </w:p>
        </w:tc>
        <w:tc>
          <w:tcPr>
            <w:tcW w:w="1296" w:type="dxa"/>
            <w:tcBorders>
              <w:tl2br w:val="nil"/>
              <w:tr2bl w:val="nil"/>
            </w:tcBorders>
            <w:vAlign w:val="center"/>
          </w:tcPr>
          <w:p>
            <w:pPr>
              <w:pStyle w:val="17"/>
              <w:bidi w:val="0"/>
              <w:rPr>
                <w:rFonts w:hint="default"/>
              </w:rPr>
            </w:pPr>
            <w:r>
              <w:rPr>
                <w:rFonts w:hint="default"/>
              </w:rPr>
              <w:t>10.62</w:t>
            </w:r>
          </w:p>
        </w:tc>
        <w:tc>
          <w:tcPr>
            <w:tcW w:w="1296" w:type="dxa"/>
            <w:tcBorders>
              <w:tl2br w:val="nil"/>
              <w:tr2bl w:val="nil"/>
            </w:tcBorders>
            <w:vAlign w:val="center"/>
          </w:tcPr>
          <w:p>
            <w:pPr>
              <w:pStyle w:val="17"/>
              <w:bidi w:val="0"/>
              <w:rPr>
                <w:rFonts w:hint="default"/>
              </w:rPr>
            </w:pPr>
            <w:r>
              <w:rPr>
                <w:rFonts w:hint="default"/>
              </w:rPr>
              <w:t>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50</w:t>
            </w:r>
          </w:p>
        </w:tc>
        <w:tc>
          <w:tcPr>
            <w:tcW w:w="1294" w:type="dxa"/>
            <w:tcBorders>
              <w:tl2br w:val="nil"/>
              <w:tr2bl w:val="nil"/>
            </w:tcBorders>
            <w:vAlign w:val="center"/>
          </w:tcPr>
          <w:p>
            <w:pPr>
              <w:pStyle w:val="17"/>
              <w:bidi w:val="0"/>
              <w:rPr>
                <w:rFonts w:hint="default"/>
              </w:rPr>
            </w:pPr>
            <w:r>
              <w:rPr>
                <w:rFonts w:hint="default"/>
              </w:rPr>
              <w:t>98.16</w:t>
            </w:r>
          </w:p>
        </w:tc>
        <w:tc>
          <w:tcPr>
            <w:tcW w:w="1294" w:type="dxa"/>
            <w:tcBorders>
              <w:tl2br w:val="nil"/>
              <w:tr2bl w:val="nil"/>
            </w:tcBorders>
            <w:vAlign w:val="center"/>
          </w:tcPr>
          <w:p>
            <w:pPr>
              <w:pStyle w:val="17"/>
              <w:bidi w:val="0"/>
              <w:rPr>
                <w:rFonts w:hint="default"/>
              </w:rPr>
            </w:pPr>
            <w:r>
              <w:rPr>
                <w:rFonts w:hint="default"/>
              </w:rPr>
              <w:t>4.91</w:t>
            </w:r>
          </w:p>
        </w:tc>
        <w:tc>
          <w:tcPr>
            <w:tcW w:w="1296" w:type="dxa"/>
            <w:tcBorders>
              <w:tl2br w:val="nil"/>
              <w:tr2bl w:val="nil"/>
            </w:tcBorders>
            <w:vAlign w:val="center"/>
          </w:tcPr>
          <w:p>
            <w:pPr>
              <w:pStyle w:val="17"/>
              <w:bidi w:val="0"/>
              <w:rPr>
                <w:rFonts w:hint="default"/>
              </w:rPr>
            </w:pPr>
            <w:r>
              <w:rPr>
                <w:rFonts w:hint="default"/>
              </w:rPr>
              <w:t>98.16</w:t>
            </w:r>
          </w:p>
        </w:tc>
        <w:tc>
          <w:tcPr>
            <w:tcW w:w="1296" w:type="dxa"/>
            <w:tcBorders>
              <w:tl2br w:val="nil"/>
              <w:tr2bl w:val="nil"/>
            </w:tcBorders>
            <w:vAlign w:val="center"/>
          </w:tcPr>
          <w:p>
            <w:pPr>
              <w:pStyle w:val="17"/>
              <w:bidi w:val="0"/>
              <w:rPr>
                <w:rFonts w:hint="default"/>
              </w:rPr>
            </w:pPr>
            <w:r>
              <w:rPr>
                <w:rFonts w:hint="default"/>
              </w:rPr>
              <w:t>4.91</w:t>
            </w:r>
          </w:p>
        </w:tc>
        <w:tc>
          <w:tcPr>
            <w:tcW w:w="1296" w:type="dxa"/>
            <w:tcBorders>
              <w:tl2br w:val="nil"/>
              <w:tr2bl w:val="nil"/>
            </w:tcBorders>
            <w:vAlign w:val="center"/>
          </w:tcPr>
          <w:p>
            <w:pPr>
              <w:pStyle w:val="17"/>
              <w:bidi w:val="0"/>
              <w:rPr>
                <w:rFonts w:hint="default"/>
              </w:rPr>
            </w:pPr>
            <w:r>
              <w:rPr>
                <w:rFonts w:hint="default"/>
              </w:rPr>
              <w:t>15.8</w:t>
            </w:r>
          </w:p>
        </w:tc>
        <w:tc>
          <w:tcPr>
            <w:tcW w:w="1296" w:type="dxa"/>
            <w:tcBorders>
              <w:tl2br w:val="nil"/>
              <w:tr2bl w:val="nil"/>
            </w:tcBorders>
            <w:vAlign w:val="center"/>
          </w:tcPr>
          <w:p>
            <w:pPr>
              <w:pStyle w:val="17"/>
              <w:bidi w:val="0"/>
              <w:rPr>
                <w:rFonts w:hint="default"/>
              </w:rPr>
            </w:pPr>
            <w:r>
              <w:rPr>
                <w:rFonts w:hint="default"/>
              </w:rPr>
              <w:t>1.76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100</w:t>
            </w:r>
          </w:p>
        </w:tc>
        <w:tc>
          <w:tcPr>
            <w:tcW w:w="1294" w:type="dxa"/>
            <w:tcBorders>
              <w:tl2br w:val="nil"/>
              <w:tr2bl w:val="nil"/>
            </w:tcBorders>
            <w:vAlign w:val="center"/>
          </w:tcPr>
          <w:p>
            <w:pPr>
              <w:pStyle w:val="17"/>
              <w:bidi w:val="0"/>
              <w:rPr>
                <w:rFonts w:hint="default"/>
              </w:rPr>
            </w:pPr>
            <w:r>
              <w:rPr>
                <w:rFonts w:hint="default"/>
              </w:rPr>
              <w:t>83.66</w:t>
            </w:r>
          </w:p>
        </w:tc>
        <w:tc>
          <w:tcPr>
            <w:tcW w:w="1294" w:type="dxa"/>
            <w:tcBorders>
              <w:tl2br w:val="nil"/>
              <w:tr2bl w:val="nil"/>
            </w:tcBorders>
            <w:vAlign w:val="center"/>
          </w:tcPr>
          <w:p>
            <w:pPr>
              <w:pStyle w:val="17"/>
              <w:bidi w:val="0"/>
              <w:rPr>
                <w:rFonts w:hint="default"/>
              </w:rPr>
            </w:pPr>
            <w:r>
              <w:rPr>
                <w:rFonts w:hint="default"/>
              </w:rPr>
              <w:t>4.18</w:t>
            </w:r>
          </w:p>
        </w:tc>
        <w:tc>
          <w:tcPr>
            <w:tcW w:w="1296" w:type="dxa"/>
            <w:tcBorders>
              <w:tl2br w:val="nil"/>
              <w:tr2bl w:val="nil"/>
            </w:tcBorders>
            <w:vAlign w:val="center"/>
          </w:tcPr>
          <w:p>
            <w:pPr>
              <w:pStyle w:val="17"/>
              <w:bidi w:val="0"/>
              <w:rPr>
                <w:rFonts w:hint="default"/>
              </w:rPr>
            </w:pPr>
            <w:r>
              <w:rPr>
                <w:rFonts w:hint="default"/>
              </w:rPr>
              <w:t>83.66</w:t>
            </w:r>
          </w:p>
        </w:tc>
        <w:tc>
          <w:tcPr>
            <w:tcW w:w="1296" w:type="dxa"/>
            <w:tcBorders>
              <w:tl2br w:val="nil"/>
              <w:tr2bl w:val="nil"/>
            </w:tcBorders>
            <w:vAlign w:val="center"/>
          </w:tcPr>
          <w:p>
            <w:pPr>
              <w:pStyle w:val="17"/>
              <w:bidi w:val="0"/>
              <w:rPr>
                <w:rFonts w:hint="default"/>
              </w:rPr>
            </w:pPr>
            <w:r>
              <w:rPr>
                <w:rFonts w:hint="default"/>
              </w:rPr>
              <w:t>4.18</w:t>
            </w:r>
          </w:p>
        </w:tc>
        <w:tc>
          <w:tcPr>
            <w:tcW w:w="1296" w:type="dxa"/>
            <w:tcBorders>
              <w:tl2br w:val="nil"/>
              <w:tr2bl w:val="nil"/>
            </w:tcBorders>
            <w:vAlign w:val="center"/>
          </w:tcPr>
          <w:p>
            <w:pPr>
              <w:pStyle w:val="17"/>
              <w:bidi w:val="0"/>
              <w:rPr>
                <w:rFonts w:hint="default"/>
              </w:rPr>
            </w:pPr>
            <w:r>
              <w:rPr>
                <w:rFonts w:hint="default"/>
              </w:rPr>
              <w:t>13.46</w:t>
            </w:r>
          </w:p>
        </w:tc>
        <w:tc>
          <w:tcPr>
            <w:tcW w:w="1296" w:type="dxa"/>
            <w:tcBorders>
              <w:tl2br w:val="nil"/>
              <w:tr2bl w:val="nil"/>
            </w:tcBorders>
            <w:vAlign w:val="center"/>
          </w:tcPr>
          <w:p>
            <w:pPr>
              <w:pStyle w:val="17"/>
              <w:bidi w:val="0"/>
              <w:rPr>
                <w:rFonts w:hint="default"/>
              </w:rPr>
            </w:pPr>
            <w:r>
              <w:rPr>
                <w:rFonts w:hint="default"/>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200</w:t>
            </w:r>
          </w:p>
        </w:tc>
        <w:tc>
          <w:tcPr>
            <w:tcW w:w="1294" w:type="dxa"/>
            <w:tcBorders>
              <w:tl2br w:val="nil"/>
              <w:tr2bl w:val="nil"/>
            </w:tcBorders>
            <w:vAlign w:val="center"/>
          </w:tcPr>
          <w:p>
            <w:pPr>
              <w:pStyle w:val="17"/>
              <w:bidi w:val="0"/>
              <w:rPr>
                <w:rFonts w:hint="default"/>
              </w:rPr>
            </w:pPr>
            <w:r>
              <w:rPr>
                <w:rFonts w:hint="default"/>
              </w:rPr>
              <w:t>47.11</w:t>
            </w:r>
          </w:p>
        </w:tc>
        <w:tc>
          <w:tcPr>
            <w:tcW w:w="1294" w:type="dxa"/>
            <w:tcBorders>
              <w:tl2br w:val="nil"/>
              <w:tr2bl w:val="nil"/>
            </w:tcBorders>
            <w:vAlign w:val="center"/>
          </w:tcPr>
          <w:p>
            <w:pPr>
              <w:pStyle w:val="17"/>
              <w:bidi w:val="0"/>
              <w:rPr>
                <w:rFonts w:hint="default"/>
              </w:rPr>
            </w:pPr>
            <w:r>
              <w:rPr>
                <w:rFonts w:hint="default"/>
              </w:rPr>
              <w:t>2.36</w:t>
            </w:r>
          </w:p>
        </w:tc>
        <w:tc>
          <w:tcPr>
            <w:tcW w:w="1296" w:type="dxa"/>
            <w:tcBorders>
              <w:tl2br w:val="nil"/>
              <w:tr2bl w:val="nil"/>
            </w:tcBorders>
            <w:vAlign w:val="center"/>
          </w:tcPr>
          <w:p>
            <w:pPr>
              <w:pStyle w:val="17"/>
              <w:bidi w:val="0"/>
              <w:rPr>
                <w:rFonts w:hint="default"/>
              </w:rPr>
            </w:pPr>
            <w:r>
              <w:rPr>
                <w:rFonts w:hint="default"/>
              </w:rPr>
              <w:t>47.11</w:t>
            </w:r>
          </w:p>
        </w:tc>
        <w:tc>
          <w:tcPr>
            <w:tcW w:w="1296" w:type="dxa"/>
            <w:tcBorders>
              <w:tl2br w:val="nil"/>
              <w:tr2bl w:val="nil"/>
            </w:tcBorders>
            <w:vAlign w:val="center"/>
          </w:tcPr>
          <w:p>
            <w:pPr>
              <w:pStyle w:val="17"/>
              <w:bidi w:val="0"/>
              <w:rPr>
                <w:rFonts w:hint="default"/>
              </w:rPr>
            </w:pPr>
            <w:r>
              <w:rPr>
                <w:rFonts w:hint="default"/>
              </w:rPr>
              <w:t>2.36</w:t>
            </w:r>
          </w:p>
        </w:tc>
        <w:tc>
          <w:tcPr>
            <w:tcW w:w="1296" w:type="dxa"/>
            <w:tcBorders>
              <w:tl2br w:val="nil"/>
              <w:tr2bl w:val="nil"/>
            </w:tcBorders>
            <w:vAlign w:val="center"/>
          </w:tcPr>
          <w:p>
            <w:pPr>
              <w:pStyle w:val="17"/>
              <w:bidi w:val="0"/>
              <w:rPr>
                <w:rFonts w:hint="default"/>
              </w:rPr>
            </w:pPr>
            <w:r>
              <w:rPr>
                <w:rFonts w:hint="default"/>
              </w:rPr>
              <w:t>7.582</w:t>
            </w:r>
          </w:p>
        </w:tc>
        <w:tc>
          <w:tcPr>
            <w:tcW w:w="1296" w:type="dxa"/>
            <w:tcBorders>
              <w:tl2br w:val="nil"/>
              <w:tr2bl w:val="nil"/>
            </w:tcBorders>
            <w:vAlign w:val="center"/>
          </w:tcPr>
          <w:p>
            <w:pPr>
              <w:pStyle w:val="17"/>
              <w:bidi w:val="0"/>
              <w:rPr>
                <w:rFonts w:hint="default"/>
              </w:rPr>
            </w:pPr>
            <w:r>
              <w:rPr>
                <w:rFonts w:hint="default"/>
              </w:rPr>
              <w:t>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300</w:t>
            </w:r>
          </w:p>
        </w:tc>
        <w:tc>
          <w:tcPr>
            <w:tcW w:w="1294" w:type="dxa"/>
            <w:tcBorders>
              <w:tl2br w:val="nil"/>
              <w:tr2bl w:val="nil"/>
            </w:tcBorders>
            <w:vAlign w:val="center"/>
          </w:tcPr>
          <w:p>
            <w:pPr>
              <w:pStyle w:val="17"/>
              <w:bidi w:val="0"/>
              <w:rPr>
                <w:rFonts w:hint="default"/>
              </w:rPr>
            </w:pPr>
            <w:r>
              <w:rPr>
                <w:rFonts w:hint="default"/>
              </w:rPr>
              <w:t>35.27</w:t>
            </w:r>
          </w:p>
        </w:tc>
        <w:tc>
          <w:tcPr>
            <w:tcW w:w="1294" w:type="dxa"/>
            <w:tcBorders>
              <w:tl2br w:val="nil"/>
              <w:tr2bl w:val="nil"/>
            </w:tcBorders>
            <w:vAlign w:val="center"/>
          </w:tcPr>
          <w:p>
            <w:pPr>
              <w:pStyle w:val="17"/>
              <w:bidi w:val="0"/>
              <w:rPr>
                <w:rFonts w:hint="default"/>
              </w:rPr>
            </w:pPr>
            <w:r>
              <w:rPr>
                <w:rFonts w:hint="default"/>
              </w:rPr>
              <w:t>1.76</w:t>
            </w:r>
          </w:p>
        </w:tc>
        <w:tc>
          <w:tcPr>
            <w:tcW w:w="1296" w:type="dxa"/>
            <w:tcBorders>
              <w:tl2br w:val="nil"/>
              <w:tr2bl w:val="nil"/>
            </w:tcBorders>
            <w:vAlign w:val="center"/>
          </w:tcPr>
          <w:p>
            <w:pPr>
              <w:pStyle w:val="17"/>
              <w:bidi w:val="0"/>
              <w:rPr>
                <w:rFonts w:hint="default"/>
              </w:rPr>
            </w:pPr>
            <w:r>
              <w:rPr>
                <w:rFonts w:hint="default"/>
              </w:rPr>
              <w:t>35.27</w:t>
            </w:r>
          </w:p>
        </w:tc>
        <w:tc>
          <w:tcPr>
            <w:tcW w:w="1296" w:type="dxa"/>
            <w:tcBorders>
              <w:tl2br w:val="nil"/>
              <w:tr2bl w:val="nil"/>
            </w:tcBorders>
            <w:vAlign w:val="center"/>
          </w:tcPr>
          <w:p>
            <w:pPr>
              <w:pStyle w:val="17"/>
              <w:bidi w:val="0"/>
              <w:rPr>
                <w:rFonts w:hint="default"/>
              </w:rPr>
            </w:pPr>
            <w:r>
              <w:rPr>
                <w:rFonts w:hint="default"/>
              </w:rPr>
              <w:t>1.76</w:t>
            </w:r>
          </w:p>
        </w:tc>
        <w:tc>
          <w:tcPr>
            <w:tcW w:w="1296" w:type="dxa"/>
            <w:tcBorders>
              <w:tl2br w:val="nil"/>
              <w:tr2bl w:val="nil"/>
            </w:tcBorders>
            <w:vAlign w:val="center"/>
          </w:tcPr>
          <w:p>
            <w:pPr>
              <w:pStyle w:val="17"/>
              <w:bidi w:val="0"/>
              <w:rPr>
                <w:rFonts w:hint="default"/>
              </w:rPr>
            </w:pPr>
            <w:r>
              <w:rPr>
                <w:rFonts w:hint="default"/>
              </w:rPr>
              <w:t>5.677</w:t>
            </w:r>
          </w:p>
        </w:tc>
        <w:tc>
          <w:tcPr>
            <w:tcW w:w="1296" w:type="dxa"/>
            <w:tcBorders>
              <w:tl2br w:val="nil"/>
              <w:tr2bl w:val="nil"/>
            </w:tcBorders>
            <w:vAlign w:val="center"/>
          </w:tcPr>
          <w:p>
            <w:pPr>
              <w:pStyle w:val="17"/>
              <w:bidi w:val="0"/>
              <w:rPr>
                <w:rFonts w:hint="default"/>
              </w:rPr>
            </w:pPr>
            <w:r>
              <w:rPr>
                <w:rFonts w:hint="default"/>
              </w:rPr>
              <w:t>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400</w:t>
            </w:r>
          </w:p>
        </w:tc>
        <w:tc>
          <w:tcPr>
            <w:tcW w:w="1294" w:type="dxa"/>
            <w:tcBorders>
              <w:tl2br w:val="nil"/>
              <w:tr2bl w:val="nil"/>
            </w:tcBorders>
            <w:vAlign w:val="center"/>
          </w:tcPr>
          <w:p>
            <w:pPr>
              <w:pStyle w:val="17"/>
              <w:bidi w:val="0"/>
              <w:rPr>
                <w:rFonts w:hint="default"/>
              </w:rPr>
            </w:pPr>
            <w:r>
              <w:rPr>
                <w:rFonts w:hint="default"/>
              </w:rPr>
              <w:t>28.76</w:t>
            </w:r>
          </w:p>
        </w:tc>
        <w:tc>
          <w:tcPr>
            <w:tcW w:w="1294" w:type="dxa"/>
            <w:tcBorders>
              <w:tl2br w:val="nil"/>
              <w:tr2bl w:val="nil"/>
            </w:tcBorders>
            <w:vAlign w:val="center"/>
          </w:tcPr>
          <w:p>
            <w:pPr>
              <w:pStyle w:val="17"/>
              <w:bidi w:val="0"/>
              <w:rPr>
                <w:rFonts w:hint="default"/>
              </w:rPr>
            </w:pPr>
            <w:r>
              <w:rPr>
                <w:rFonts w:hint="default"/>
              </w:rPr>
              <w:t>1.44</w:t>
            </w:r>
          </w:p>
        </w:tc>
        <w:tc>
          <w:tcPr>
            <w:tcW w:w="1296" w:type="dxa"/>
            <w:tcBorders>
              <w:tl2br w:val="nil"/>
              <w:tr2bl w:val="nil"/>
            </w:tcBorders>
            <w:vAlign w:val="center"/>
          </w:tcPr>
          <w:p>
            <w:pPr>
              <w:pStyle w:val="17"/>
              <w:bidi w:val="0"/>
              <w:rPr>
                <w:rFonts w:hint="default"/>
              </w:rPr>
            </w:pPr>
            <w:r>
              <w:rPr>
                <w:rFonts w:hint="default"/>
              </w:rPr>
              <w:t>28.76</w:t>
            </w:r>
          </w:p>
        </w:tc>
        <w:tc>
          <w:tcPr>
            <w:tcW w:w="1296" w:type="dxa"/>
            <w:tcBorders>
              <w:tl2br w:val="nil"/>
              <w:tr2bl w:val="nil"/>
            </w:tcBorders>
            <w:vAlign w:val="center"/>
          </w:tcPr>
          <w:p>
            <w:pPr>
              <w:pStyle w:val="17"/>
              <w:bidi w:val="0"/>
              <w:rPr>
                <w:rFonts w:hint="default"/>
              </w:rPr>
            </w:pPr>
            <w:r>
              <w:rPr>
                <w:rFonts w:hint="default"/>
              </w:rPr>
              <w:t>1.44</w:t>
            </w:r>
          </w:p>
        </w:tc>
        <w:tc>
          <w:tcPr>
            <w:tcW w:w="1296" w:type="dxa"/>
            <w:tcBorders>
              <w:tl2br w:val="nil"/>
              <w:tr2bl w:val="nil"/>
            </w:tcBorders>
            <w:vAlign w:val="center"/>
          </w:tcPr>
          <w:p>
            <w:pPr>
              <w:pStyle w:val="17"/>
              <w:bidi w:val="0"/>
              <w:rPr>
                <w:rFonts w:hint="default"/>
              </w:rPr>
            </w:pPr>
            <w:r>
              <w:rPr>
                <w:rFonts w:hint="default"/>
              </w:rPr>
              <w:t>4.628</w:t>
            </w:r>
          </w:p>
        </w:tc>
        <w:tc>
          <w:tcPr>
            <w:tcW w:w="1296" w:type="dxa"/>
            <w:tcBorders>
              <w:tl2br w:val="nil"/>
              <w:tr2bl w:val="nil"/>
            </w:tcBorders>
            <w:vAlign w:val="center"/>
          </w:tcPr>
          <w:p>
            <w:pPr>
              <w:pStyle w:val="17"/>
              <w:bidi w:val="0"/>
              <w:rPr>
                <w:rFonts w:hint="default"/>
              </w:rPr>
            </w:pPr>
            <w:r>
              <w:rPr>
                <w:rFonts w:hint="default"/>
              </w:rPr>
              <w:t>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500</w:t>
            </w:r>
          </w:p>
        </w:tc>
        <w:tc>
          <w:tcPr>
            <w:tcW w:w="1294" w:type="dxa"/>
            <w:tcBorders>
              <w:tl2br w:val="nil"/>
              <w:tr2bl w:val="nil"/>
            </w:tcBorders>
            <w:vAlign w:val="center"/>
          </w:tcPr>
          <w:p>
            <w:pPr>
              <w:pStyle w:val="17"/>
              <w:bidi w:val="0"/>
              <w:rPr>
                <w:rFonts w:hint="default"/>
              </w:rPr>
            </w:pPr>
            <w:r>
              <w:rPr>
                <w:rFonts w:hint="default"/>
              </w:rPr>
              <w:t>24.56</w:t>
            </w:r>
          </w:p>
        </w:tc>
        <w:tc>
          <w:tcPr>
            <w:tcW w:w="1294" w:type="dxa"/>
            <w:tcBorders>
              <w:tl2br w:val="nil"/>
              <w:tr2bl w:val="nil"/>
            </w:tcBorders>
            <w:vAlign w:val="center"/>
          </w:tcPr>
          <w:p>
            <w:pPr>
              <w:pStyle w:val="17"/>
              <w:bidi w:val="0"/>
              <w:rPr>
                <w:rFonts w:hint="default"/>
              </w:rPr>
            </w:pPr>
            <w:r>
              <w:rPr>
                <w:rFonts w:hint="default"/>
              </w:rPr>
              <w:t>1.23</w:t>
            </w:r>
          </w:p>
        </w:tc>
        <w:tc>
          <w:tcPr>
            <w:tcW w:w="1296" w:type="dxa"/>
            <w:tcBorders>
              <w:tl2br w:val="nil"/>
              <w:tr2bl w:val="nil"/>
            </w:tcBorders>
            <w:vAlign w:val="center"/>
          </w:tcPr>
          <w:p>
            <w:pPr>
              <w:pStyle w:val="17"/>
              <w:bidi w:val="0"/>
              <w:rPr>
                <w:rFonts w:hint="default"/>
              </w:rPr>
            </w:pPr>
            <w:r>
              <w:rPr>
                <w:rFonts w:hint="default"/>
              </w:rPr>
              <w:t>24.56</w:t>
            </w:r>
          </w:p>
        </w:tc>
        <w:tc>
          <w:tcPr>
            <w:tcW w:w="1296" w:type="dxa"/>
            <w:tcBorders>
              <w:tl2br w:val="nil"/>
              <w:tr2bl w:val="nil"/>
            </w:tcBorders>
            <w:vAlign w:val="center"/>
          </w:tcPr>
          <w:p>
            <w:pPr>
              <w:pStyle w:val="17"/>
              <w:bidi w:val="0"/>
              <w:rPr>
                <w:rFonts w:hint="default"/>
              </w:rPr>
            </w:pPr>
            <w:r>
              <w:rPr>
                <w:rFonts w:hint="default"/>
              </w:rPr>
              <w:t>1.23</w:t>
            </w:r>
          </w:p>
        </w:tc>
        <w:tc>
          <w:tcPr>
            <w:tcW w:w="1296" w:type="dxa"/>
            <w:tcBorders>
              <w:tl2br w:val="nil"/>
              <w:tr2bl w:val="nil"/>
            </w:tcBorders>
            <w:vAlign w:val="center"/>
          </w:tcPr>
          <w:p>
            <w:pPr>
              <w:pStyle w:val="17"/>
              <w:bidi w:val="0"/>
              <w:rPr>
                <w:rFonts w:hint="default"/>
              </w:rPr>
            </w:pPr>
            <w:r>
              <w:rPr>
                <w:rFonts w:hint="default"/>
              </w:rPr>
              <w:t>3.952</w:t>
            </w:r>
          </w:p>
        </w:tc>
        <w:tc>
          <w:tcPr>
            <w:tcW w:w="1296" w:type="dxa"/>
            <w:tcBorders>
              <w:tl2br w:val="nil"/>
              <w:tr2bl w:val="nil"/>
            </w:tcBorders>
            <w:vAlign w:val="center"/>
          </w:tcPr>
          <w:p>
            <w:pPr>
              <w:pStyle w:val="17"/>
              <w:bidi w:val="0"/>
              <w:rPr>
                <w:rFonts w:hint="default"/>
              </w:rPr>
            </w:pPr>
            <w:r>
              <w:rPr>
                <w:rFonts w:hint="default"/>
              </w:rPr>
              <w:t>0.44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600</w:t>
            </w:r>
          </w:p>
        </w:tc>
        <w:tc>
          <w:tcPr>
            <w:tcW w:w="1294" w:type="dxa"/>
            <w:tcBorders>
              <w:tl2br w:val="nil"/>
              <w:tr2bl w:val="nil"/>
            </w:tcBorders>
            <w:vAlign w:val="center"/>
          </w:tcPr>
          <w:p>
            <w:pPr>
              <w:pStyle w:val="17"/>
              <w:bidi w:val="0"/>
              <w:rPr>
                <w:rFonts w:hint="default"/>
              </w:rPr>
            </w:pPr>
            <w:r>
              <w:rPr>
                <w:rFonts w:hint="default"/>
              </w:rPr>
              <w:t>21.59</w:t>
            </w:r>
          </w:p>
        </w:tc>
        <w:tc>
          <w:tcPr>
            <w:tcW w:w="1294" w:type="dxa"/>
            <w:tcBorders>
              <w:tl2br w:val="nil"/>
              <w:tr2bl w:val="nil"/>
            </w:tcBorders>
            <w:vAlign w:val="center"/>
          </w:tcPr>
          <w:p>
            <w:pPr>
              <w:pStyle w:val="17"/>
              <w:bidi w:val="0"/>
              <w:rPr>
                <w:rFonts w:hint="default"/>
              </w:rPr>
            </w:pPr>
            <w:r>
              <w:rPr>
                <w:rFonts w:hint="default"/>
              </w:rPr>
              <w:t>1.08</w:t>
            </w:r>
          </w:p>
        </w:tc>
        <w:tc>
          <w:tcPr>
            <w:tcW w:w="1296" w:type="dxa"/>
            <w:tcBorders>
              <w:tl2br w:val="nil"/>
              <w:tr2bl w:val="nil"/>
            </w:tcBorders>
            <w:vAlign w:val="center"/>
          </w:tcPr>
          <w:p>
            <w:pPr>
              <w:pStyle w:val="17"/>
              <w:bidi w:val="0"/>
              <w:rPr>
                <w:rFonts w:hint="default"/>
              </w:rPr>
            </w:pPr>
            <w:r>
              <w:rPr>
                <w:rFonts w:hint="default"/>
              </w:rPr>
              <w:t>21.59</w:t>
            </w:r>
          </w:p>
        </w:tc>
        <w:tc>
          <w:tcPr>
            <w:tcW w:w="1296" w:type="dxa"/>
            <w:tcBorders>
              <w:tl2br w:val="nil"/>
              <w:tr2bl w:val="nil"/>
            </w:tcBorders>
            <w:vAlign w:val="center"/>
          </w:tcPr>
          <w:p>
            <w:pPr>
              <w:pStyle w:val="17"/>
              <w:bidi w:val="0"/>
              <w:rPr>
                <w:rFonts w:hint="default"/>
              </w:rPr>
            </w:pPr>
            <w:r>
              <w:rPr>
                <w:rFonts w:hint="default"/>
              </w:rPr>
              <w:t>1.08</w:t>
            </w:r>
          </w:p>
        </w:tc>
        <w:tc>
          <w:tcPr>
            <w:tcW w:w="1296" w:type="dxa"/>
            <w:tcBorders>
              <w:tl2br w:val="nil"/>
              <w:tr2bl w:val="nil"/>
            </w:tcBorders>
            <w:vAlign w:val="center"/>
          </w:tcPr>
          <w:p>
            <w:pPr>
              <w:pStyle w:val="17"/>
              <w:bidi w:val="0"/>
              <w:rPr>
                <w:rFonts w:hint="default"/>
              </w:rPr>
            </w:pPr>
            <w:r>
              <w:rPr>
                <w:rFonts w:hint="default"/>
              </w:rPr>
              <w:t>3.475</w:t>
            </w:r>
          </w:p>
        </w:tc>
        <w:tc>
          <w:tcPr>
            <w:tcW w:w="1296" w:type="dxa"/>
            <w:tcBorders>
              <w:tl2br w:val="nil"/>
              <w:tr2bl w:val="nil"/>
            </w:tcBorders>
            <w:vAlign w:val="center"/>
          </w:tcPr>
          <w:p>
            <w:pPr>
              <w:pStyle w:val="17"/>
              <w:bidi w:val="0"/>
              <w:rPr>
                <w:rFonts w:hint="default"/>
              </w:rPr>
            </w:pPr>
            <w:r>
              <w:rPr>
                <w:rFonts w:hint="default"/>
              </w:rPr>
              <w:t>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700</w:t>
            </w:r>
          </w:p>
        </w:tc>
        <w:tc>
          <w:tcPr>
            <w:tcW w:w="1294" w:type="dxa"/>
            <w:tcBorders>
              <w:tl2br w:val="nil"/>
              <w:tr2bl w:val="nil"/>
            </w:tcBorders>
            <w:vAlign w:val="center"/>
          </w:tcPr>
          <w:p>
            <w:pPr>
              <w:pStyle w:val="17"/>
              <w:bidi w:val="0"/>
              <w:rPr>
                <w:rFonts w:hint="default"/>
              </w:rPr>
            </w:pPr>
            <w:r>
              <w:rPr>
                <w:rFonts w:hint="default"/>
              </w:rPr>
              <w:t>19.37</w:t>
            </w:r>
          </w:p>
        </w:tc>
        <w:tc>
          <w:tcPr>
            <w:tcW w:w="1294" w:type="dxa"/>
            <w:tcBorders>
              <w:tl2br w:val="nil"/>
              <w:tr2bl w:val="nil"/>
            </w:tcBorders>
            <w:vAlign w:val="center"/>
          </w:tcPr>
          <w:p>
            <w:pPr>
              <w:pStyle w:val="17"/>
              <w:bidi w:val="0"/>
              <w:rPr>
                <w:rFonts w:hint="default"/>
              </w:rPr>
            </w:pPr>
            <w:r>
              <w:rPr>
                <w:rFonts w:hint="default"/>
              </w:rPr>
              <w:t>0.97</w:t>
            </w:r>
          </w:p>
        </w:tc>
        <w:tc>
          <w:tcPr>
            <w:tcW w:w="1296" w:type="dxa"/>
            <w:tcBorders>
              <w:tl2br w:val="nil"/>
              <w:tr2bl w:val="nil"/>
            </w:tcBorders>
            <w:vAlign w:val="center"/>
          </w:tcPr>
          <w:p>
            <w:pPr>
              <w:pStyle w:val="17"/>
              <w:bidi w:val="0"/>
              <w:rPr>
                <w:rFonts w:hint="default"/>
              </w:rPr>
            </w:pPr>
            <w:r>
              <w:rPr>
                <w:rFonts w:hint="default"/>
              </w:rPr>
              <w:t>19.37</w:t>
            </w:r>
          </w:p>
        </w:tc>
        <w:tc>
          <w:tcPr>
            <w:tcW w:w="1296" w:type="dxa"/>
            <w:tcBorders>
              <w:tl2br w:val="nil"/>
              <w:tr2bl w:val="nil"/>
            </w:tcBorders>
            <w:vAlign w:val="center"/>
          </w:tcPr>
          <w:p>
            <w:pPr>
              <w:pStyle w:val="17"/>
              <w:bidi w:val="0"/>
              <w:rPr>
                <w:rFonts w:hint="default"/>
              </w:rPr>
            </w:pPr>
            <w:r>
              <w:rPr>
                <w:rFonts w:hint="default"/>
              </w:rPr>
              <w:t>0.97</w:t>
            </w:r>
          </w:p>
        </w:tc>
        <w:tc>
          <w:tcPr>
            <w:tcW w:w="1296" w:type="dxa"/>
            <w:tcBorders>
              <w:tl2br w:val="nil"/>
              <w:tr2bl w:val="nil"/>
            </w:tcBorders>
            <w:vAlign w:val="center"/>
          </w:tcPr>
          <w:p>
            <w:pPr>
              <w:pStyle w:val="17"/>
              <w:bidi w:val="0"/>
              <w:rPr>
                <w:rFonts w:hint="default"/>
              </w:rPr>
            </w:pPr>
            <w:r>
              <w:rPr>
                <w:rFonts w:hint="default"/>
              </w:rPr>
              <w:t>3.117</w:t>
            </w:r>
          </w:p>
        </w:tc>
        <w:tc>
          <w:tcPr>
            <w:tcW w:w="1296" w:type="dxa"/>
            <w:tcBorders>
              <w:tl2br w:val="nil"/>
              <w:tr2bl w:val="nil"/>
            </w:tcBorders>
            <w:vAlign w:val="center"/>
          </w:tcPr>
          <w:p>
            <w:pPr>
              <w:pStyle w:val="17"/>
              <w:bidi w:val="0"/>
              <w:rPr>
                <w:rFonts w:hint="default"/>
              </w:rPr>
            </w:pPr>
            <w:r>
              <w:rPr>
                <w:rFonts w:hint="default"/>
              </w:rPr>
              <w:t>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800</w:t>
            </w:r>
          </w:p>
        </w:tc>
        <w:tc>
          <w:tcPr>
            <w:tcW w:w="1294" w:type="dxa"/>
            <w:tcBorders>
              <w:tl2br w:val="nil"/>
              <w:tr2bl w:val="nil"/>
            </w:tcBorders>
            <w:vAlign w:val="center"/>
          </w:tcPr>
          <w:p>
            <w:pPr>
              <w:pStyle w:val="17"/>
              <w:bidi w:val="0"/>
              <w:rPr>
                <w:rFonts w:hint="default"/>
              </w:rPr>
            </w:pPr>
            <w:r>
              <w:rPr>
                <w:rFonts w:hint="default"/>
              </w:rPr>
              <w:t>17.63</w:t>
            </w:r>
          </w:p>
        </w:tc>
        <w:tc>
          <w:tcPr>
            <w:tcW w:w="1294" w:type="dxa"/>
            <w:tcBorders>
              <w:tl2br w:val="nil"/>
              <w:tr2bl w:val="nil"/>
            </w:tcBorders>
            <w:vAlign w:val="center"/>
          </w:tcPr>
          <w:p>
            <w:pPr>
              <w:pStyle w:val="17"/>
              <w:bidi w:val="0"/>
              <w:rPr>
                <w:rFonts w:hint="default"/>
              </w:rPr>
            </w:pPr>
            <w:r>
              <w:rPr>
                <w:rFonts w:hint="default"/>
              </w:rPr>
              <w:t>0.88</w:t>
            </w:r>
          </w:p>
        </w:tc>
        <w:tc>
          <w:tcPr>
            <w:tcW w:w="1296" w:type="dxa"/>
            <w:tcBorders>
              <w:tl2br w:val="nil"/>
              <w:tr2bl w:val="nil"/>
            </w:tcBorders>
            <w:vAlign w:val="center"/>
          </w:tcPr>
          <w:p>
            <w:pPr>
              <w:pStyle w:val="17"/>
              <w:bidi w:val="0"/>
              <w:rPr>
                <w:rFonts w:hint="default"/>
              </w:rPr>
            </w:pPr>
            <w:r>
              <w:rPr>
                <w:rFonts w:hint="default"/>
              </w:rPr>
              <w:t>17.63</w:t>
            </w:r>
          </w:p>
        </w:tc>
        <w:tc>
          <w:tcPr>
            <w:tcW w:w="1296" w:type="dxa"/>
            <w:tcBorders>
              <w:tl2br w:val="nil"/>
              <w:tr2bl w:val="nil"/>
            </w:tcBorders>
            <w:vAlign w:val="center"/>
          </w:tcPr>
          <w:p>
            <w:pPr>
              <w:pStyle w:val="17"/>
              <w:bidi w:val="0"/>
              <w:rPr>
                <w:rFonts w:hint="default"/>
              </w:rPr>
            </w:pPr>
            <w:r>
              <w:rPr>
                <w:rFonts w:hint="default"/>
              </w:rPr>
              <w:t>0.88</w:t>
            </w:r>
          </w:p>
        </w:tc>
        <w:tc>
          <w:tcPr>
            <w:tcW w:w="1296" w:type="dxa"/>
            <w:tcBorders>
              <w:tl2br w:val="nil"/>
              <w:tr2bl w:val="nil"/>
            </w:tcBorders>
            <w:vAlign w:val="center"/>
          </w:tcPr>
          <w:p>
            <w:pPr>
              <w:pStyle w:val="17"/>
              <w:bidi w:val="0"/>
              <w:rPr>
                <w:rFonts w:hint="default"/>
              </w:rPr>
            </w:pPr>
            <w:r>
              <w:rPr>
                <w:rFonts w:hint="default"/>
              </w:rPr>
              <w:t>2.837</w:t>
            </w:r>
          </w:p>
        </w:tc>
        <w:tc>
          <w:tcPr>
            <w:tcW w:w="1296" w:type="dxa"/>
            <w:tcBorders>
              <w:tl2br w:val="nil"/>
              <w:tr2bl w:val="nil"/>
            </w:tcBorders>
            <w:vAlign w:val="center"/>
          </w:tcPr>
          <w:p>
            <w:pPr>
              <w:pStyle w:val="17"/>
              <w:bidi w:val="0"/>
              <w:rPr>
                <w:rFonts w:hint="default"/>
              </w:rPr>
            </w:pPr>
            <w:r>
              <w:rPr>
                <w:rFonts w:hint="default"/>
              </w:rPr>
              <w:t>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900</w:t>
            </w:r>
          </w:p>
        </w:tc>
        <w:tc>
          <w:tcPr>
            <w:tcW w:w="1294" w:type="dxa"/>
            <w:tcBorders>
              <w:tl2br w:val="nil"/>
              <w:tr2bl w:val="nil"/>
            </w:tcBorders>
            <w:vAlign w:val="center"/>
          </w:tcPr>
          <w:p>
            <w:pPr>
              <w:pStyle w:val="17"/>
              <w:bidi w:val="0"/>
              <w:rPr>
                <w:rFonts w:hint="default"/>
              </w:rPr>
            </w:pPr>
            <w:r>
              <w:rPr>
                <w:rFonts w:hint="default"/>
              </w:rPr>
              <w:t>16.23</w:t>
            </w:r>
          </w:p>
        </w:tc>
        <w:tc>
          <w:tcPr>
            <w:tcW w:w="1294" w:type="dxa"/>
            <w:tcBorders>
              <w:tl2br w:val="nil"/>
              <w:tr2bl w:val="nil"/>
            </w:tcBorders>
            <w:vAlign w:val="center"/>
          </w:tcPr>
          <w:p>
            <w:pPr>
              <w:pStyle w:val="17"/>
              <w:bidi w:val="0"/>
              <w:rPr>
                <w:rFonts w:hint="default"/>
              </w:rPr>
            </w:pPr>
            <w:r>
              <w:rPr>
                <w:rFonts w:hint="default"/>
              </w:rPr>
              <w:t>0.81</w:t>
            </w:r>
          </w:p>
        </w:tc>
        <w:tc>
          <w:tcPr>
            <w:tcW w:w="1296" w:type="dxa"/>
            <w:tcBorders>
              <w:tl2br w:val="nil"/>
              <w:tr2bl w:val="nil"/>
            </w:tcBorders>
            <w:vAlign w:val="center"/>
          </w:tcPr>
          <w:p>
            <w:pPr>
              <w:pStyle w:val="17"/>
              <w:bidi w:val="0"/>
              <w:rPr>
                <w:rFonts w:hint="default"/>
              </w:rPr>
            </w:pPr>
            <w:r>
              <w:rPr>
                <w:rFonts w:hint="default"/>
              </w:rPr>
              <w:t>16.23</w:t>
            </w:r>
          </w:p>
        </w:tc>
        <w:tc>
          <w:tcPr>
            <w:tcW w:w="1296" w:type="dxa"/>
            <w:tcBorders>
              <w:tl2br w:val="nil"/>
              <w:tr2bl w:val="nil"/>
            </w:tcBorders>
            <w:vAlign w:val="center"/>
          </w:tcPr>
          <w:p>
            <w:pPr>
              <w:pStyle w:val="17"/>
              <w:bidi w:val="0"/>
              <w:rPr>
                <w:rFonts w:hint="default"/>
              </w:rPr>
            </w:pPr>
            <w:r>
              <w:rPr>
                <w:rFonts w:hint="default"/>
              </w:rPr>
              <w:t>0.81</w:t>
            </w:r>
          </w:p>
        </w:tc>
        <w:tc>
          <w:tcPr>
            <w:tcW w:w="1296" w:type="dxa"/>
            <w:tcBorders>
              <w:tl2br w:val="nil"/>
              <w:tr2bl w:val="nil"/>
            </w:tcBorders>
            <w:vAlign w:val="center"/>
          </w:tcPr>
          <w:p>
            <w:pPr>
              <w:pStyle w:val="17"/>
              <w:bidi w:val="0"/>
              <w:rPr>
                <w:rFonts w:hint="default"/>
              </w:rPr>
            </w:pPr>
            <w:r>
              <w:rPr>
                <w:rFonts w:hint="default"/>
              </w:rPr>
              <w:t>2.611</w:t>
            </w:r>
          </w:p>
        </w:tc>
        <w:tc>
          <w:tcPr>
            <w:tcW w:w="1296" w:type="dxa"/>
            <w:tcBorders>
              <w:tl2br w:val="nil"/>
              <w:tr2bl w:val="nil"/>
            </w:tcBorders>
            <w:vAlign w:val="center"/>
          </w:tcPr>
          <w:p>
            <w:pPr>
              <w:pStyle w:val="17"/>
              <w:bidi w:val="0"/>
              <w:rPr>
                <w:rFonts w:hint="default"/>
              </w:rPr>
            </w:pPr>
            <w:r>
              <w:rPr>
                <w:rFonts w:hint="default"/>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1000</w:t>
            </w:r>
          </w:p>
        </w:tc>
        <w:tc>
          <w:tcPr>
            <w:tcW w:w="1294" w:type="dxa"/>
            <w:tcBorders>
              <w:tl2br w:val="nil"/>
              <w:tr2bl w:val="nil"/>
            </w:tcBorders>
            <w:vAlign w:val="center"/>
          </w:tcPr>
          <w:p>
            <w:pPr>
              <w:pStyle w:val="17"/>
              <w:bidi w:val="0"/>
              <w:rPr>
                <w:rFonts w:hint="default"/>
              </w:rPr>
            </w:pPr>
            <w:r>
              <w:rPr>
                <w:rFonts w:hint="default"/>
              </w:rPr>
              <w:t>15.07</w:t>
            </w:r>
          </w:p>
        </w:tc>
        <w:tc>
          <w:tcPr>
            <w:tcW w:w="1294" w:type="dxa"/>
            <w:tcBorders>
              <w:tl2br w:val="nil"/>
              <w:tr2bl w:val="nil"/>
            </w:tcBorders>
            <w:vAlign w:val="center"/>
          </w:tcPr>
          <w:p>
            <w:pPr>
              <w:pStyle w:val="17"/>
              <w:bidi w:val="0"/>
              <w:rPr>
                <w:rFonts w:hint="default"/>
              </w:rPr>
            </w:pPr>
            <w:r>
              <w:rPr>
                <w:rFonts w:hint="default"/>
              </w:rPr>
              <w:t>0.75</w:t>
            </w:r>
          </w:p>
        </w:tc>
        <w:tc>
          <w:tcPr>
            <w:tcW w:w="1296" w:type="dxa"/>
            <w:tcBorders>
              <w:tl2br w:val="nil"/>
              <w:tr2bl w:val="nil"/>
            </w:tcBorders>
            <w:vAlign w:val="center"/>
          </w:tcPr>
          <w:p>
            <w:pPr>
              <w:pStyle w:val="17"/>
              <w:bidi w:val="0"/>
              <w:rPr>
                <w:rFonts w:hint="default"/>
              </w:rPr>
            </w:pPr>
            <w:r>
              <w:rPr>
                <w:rFonts w:hint="default"/>
              </w:rPr>
              <w:t>15.07</w:t>
            </w:r>
          </w:p>
        </w:tc>
        <w:tc>
          <w:tcPr>
            <w:tcW w:w="1296" w:type="dxa"/>
            <w:tcBorders>
              <w:tl2br w:val="nil"/>
              <w:tr2bl w:val="nil"/>
            </w:tcBorders>
            <w:vAlign w:val="center"/>
          </w:tcPr>
          <w:p>
            <w:pPr>
              <w:pStyle w:val="17"/>
              <w:bidi w:val="0"/>
              <w:rPr>
                <w:rFonts w:hint="default"/>
              </w:rPr>
            </w:pPr>
            <w:r>
              <w:rPr>
                <w:rFonts w:hint="default"/>
              </w:rPr>
              <w:t>0.75</w:t>
            </w:r>
          </w:p>
        </w:tc>
        <w:tc>
          <w:tcPr>
            <w:tcW w:w="1296" w:type="dxa"/>
            <w:tcBorders>
              <w:tl2br w:val="nil"/>
              <w:tr2bl w:val="nil"/>
            </w:tcBorders>
            <w:vAlign w:val="center"/>
          </w:tcPr>
          <w:p>
            <w:pPr>
              <w:pStyle w:val="17"/>
              <w:bidi w:val="0"/>
              <w:rPr>
                <w:rFonts w:hint="default"/>
              </w:rPr>
            </w:pPr>
            <w:r>
              <w:rPr>
                <w:rFonts w:hint="default"/>
              </w:rPr>
              <w:t>2.425</w:t>
            </w:r>
          </w:p>
        </w:tc>
        <w:tc>
          <w:tcPr>
            <w:tcW w:w="1296" w:type="dxa"/>
            <w:tcBorders>
              <w:tl2br w:val="nil"/>
              <w:tr2bl w:val="nil"/>
            </w:tcBorders>
            <w:vAlign w:val="center"/>
          </w:tcPr>
          <w:p>
            <w:pPr>
              <w:pStyle w:val="17"/>
              <w:bidi w:val="0"/>
              <w:rPr>
                <w:rFonts w:hint="default"/>
              </w:rPr>
            </w:pPr>
            <w:r>
              <w:rPr>
                <w:rFonts w:hint="default"/>
              </w:rPr>
              <w:t>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1500</w:t>
            </w:r>
          </w:p>
        </w:tc>
        <w:tc>
          <w:tcPr>
            <w:tcW w:w="1294" w:type="dxa"/>
            <w:tcBorders>
              <w:tl2br w:val="nil"/>
              <w:tr2bl w:val="nil"/>
            </w:tcBorders>
            <w:vAlign w:val="center"/>
          </w:tcPr>
          <w:p>
            <w:pPr>
              <w:pStyle w:val="17"/>
              <w:bidi w:val="0"/>
              <w:rPr>
                <w:rFonts w:hint="default"/>
              </w:rPr>
            </w:pPr>
            <w:r>
              <w:rPr>
                <w:rFonts w:hint="default"/>
              </w:rPr>
              <w:t>12.79</w:t>
            </w:r>
          </w:p>
        </w:tc>
        <w:tc>
          <w:tcPr>
            <w:tcW w:w="1294" w:type="dxa"/>
            <w:tcBorders>
              <w:tl2br w:val="nil"/>
              <w:tr2bl w:val="nil"/>
            </w:tcBorders>
            <w:vAlign w:val="center"/>
          </w:tcPr>
          <w:p>
            <w:pPr>
              <w:pStyle w:val="17"/>
              <w:bidi w:val="0"/>
              <w:rPr>
                <w:rFonts w:hint="default"/>
              </w:rPr>
            </w:pPr>
            <w:r>
              <w:rPr>
                <w:rFonts w:hint="default"/>
              </w:rPr>
              <w:t>0.64</w:t>
            </w:r>
          </w:p>
        </w:tc>
        <w:tc>
          <w:tcPr>
            <w:tcW w:w="1296" w:type="dxa"/>
            <w:tcBorders>
              <w:tl2br w:val="nil"/>
              <w:tr2bl w:val="nil"/>
            </w:tcBorders>
            <w:vAlign w:val="center"/>
          </w:tcPr>
          <w:p>
            <w:pPr>
              <w:pStyle w:val="17"/>
              <w:bidi w:val="0"/>
              <w:rPr>
                <w:rFonts w:hint="default"/>
              </w:rPr>
            </w:pPr>
            <w:r>
              <w:rPr>
                <w:rFonts w:hint="default"/>
              </w:rPr>
              <w:t>12.79</w:t>
            </w:r>
          </w:p>
        </w:tc>
        <w:tc>
          <w:tcPr>
            <w:tcW w:w="1296" w:type="dxa"/>
            <w:tcBorders>
              <w:tl2br w:val="nil"/>
              <w:tr2bl w:val="nil"/>
            </w:tcBorders>
            <w:vAlign w:val="center"/>
          </w:tcPr>
          <w:p>
            <w:pPr>
              <w:pStyle w:val="17"/>
              <w:bidi w:val="0"/>
              <w:rPr>
                <w:rFonts w:hint="default"/>
              </w:rPr>
            </w:pPr>
            <w:r>
              <w:rPr>
                <w:rFonts w:hint="default"/>
              </w:rPr>
              <w:t>0.64</w:t>
            </w:r>
          </w:p>
        </w:tc>
        <w:tc>
          <w:tcPr>
            <w:tcW w:w="1296" w:type="dxa"/>
            <w:tcBorders>
              <w:tl2br w:val="nil"/>
              <w:tr2bl w:val="nil"/>
            </w:tcBorders>
            <w:vAlign w:val="center"/>
          </w:tcPr>
          <w:p>
            <w:pPr>
              <w:pStyle w:val="17"/>
              <w:bidi w:val="0"/>
              <w:rPr>
                <w:rFonts w:hint="default"/>
              </w:rPr>
            </w:pPr>
            <w:r>
              <w:rPr>
                <w:rFonts w:hint="default"/>
              </w:rPr>
              <w:t>2.059</w:t>
            </w:r>
          </w:p>
        </w:tc>
        <w:tc>
          <w:tcPr>
            <w:tcW w:w="1296" w:type="dxa"/>
            <w:tcBorders>
              <w:tl2br w:val="nil"/>
              <w:tr2bl w:val="nil"/>
            </w:tcBorders>
            <w:vAlign w:val="center"/>
          </w:tcPr>
          <w:p>
            <w:pPr>
              <w:pStyle w:val="17"/>
              <w:bidi w:val="0"/>
              <w:rPr>
                <w:rFonts w:hint="default"/>
              </w:rPr>
            </w:pPr>
            <w:r>
              <w:rPr>
                <w:rFonts w:hint="default"/>
              </w:rPr>
              <w:t>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2000</w:t>
            </w:r>
          </w:p>
        </w:tc>
        <w:tc>
          <w:tcPr>
            <w:tcW w:w="1294" w:type="dxa"/>
            <w:tcBorders>
              <w:tl2br w:val="nil"/>
              <w:tr2bl w:val="nil"/>
            </w:tcBorders>
            <w:vAlign w:val="center"/>
          </w:tcPr>
          <w:p>
            <w:pPr>
              <w:pStyle w:val="17"/>
              <w:bidi w:val="0"/>
              <w:rPr>
                <w:rFonts w:hint="default"/>
              </w:rPr>
            </w:pPr>
            <w:r>
              <w:rPr>
                <w:rFonts w:hint="default"/>
              </w:rPr>
              <w:t>12.13</w:t>
            </w:r>
          </w:p>
        </w:tc>
        <w:tc>
          <w:tcPr>
            <w:tcW w:w="1294" w:type="dxa"/>
            <w:tcBorders>
              <w:tl2br w:val="nil"/>
              <w:tr2bl w:val="nil"/>
            </w:tcBorders>
            <w:vAlign w:val="center"/>
          </w:tcPr>
          <w:p>
            <w:pPr>
              <w:pStyle w:val="17"/>
              <w:bidi w:val="0"/>
              <w:rPr>
                <w:rFonts w:hint="default"/>
              </w:rPr>
            </w:pPr>
            <w:r>
              <w:rPr>
                <w:rFonts w:hint="default"/>
              </w:rPr>
              <w:t>0.61</w:t>
            </w:r>
          </w:p>
        </w:tc>
        <w:tc>
          <w:tcPr>
            <w:tcW w:w="1296" w:type="dxa"/>
            <w:tcBorders>
              <w:tl2br w:val="nil"/>
              <w:tr2bl w:val="nil"/>
            </w:tcBorders>
            <w:vAlign w:val="center"/>
          </w:tcPr>
          <w:p>
            <w:pPr>
              <w:pStyle w:val="17"/>
              <w:bidi w:val="0"/>
              <w:rPr>
                <w:rFonts w:hint="default"/>
              </w:rPr>
            </w:pPr>
            <w:r>
              <w:rPr>
                <w:rFonts w:hint="default"/>
              </w:rPr>
              <w:t>12.13</w:t>
            </w:r>
          </w:p>
        </w:tc>
        <w:tc>
          <w:tcPr>
            <w:tcW w:w="1296" w:type="dxa"/>
            <w:tcBorders>
              <w:tl2br w:val="nil"/>
              <w:tr2bl w:val="nil"/>
            </w:tcBorders>
            <w:vAlign w:val="center"/>
          </w:tcPr>
          <w:p>
            <w:pPr>
              <w:pStyle w:val="17"/>
              <w:bidi w:val="0"/>
              <w:rPr>
                <w:rFonts w:hint="default"/>
              </w:rPr>
            </w:pPr>
            <w:r>
              <w:rPr>
                <w:rFonts w:hint="default"/>
              </w:rPr>
              <w:t>0.61</w:t>
            </w:r>
          </w:p>
        </w:tc>
        <w:tc>
          <w:tcPr>
            <w:tcW w:w="1296" w:type="dxa"/>
            <w:tcBorders>
              <w:tl2br w:val="nil"/>
              <w:tr2bl w:val="nil"/>
            </w:tcBorders>
            <w:vAlign w:val="center"/>
          </w:tcPr>
          <w:p>
            <w:pPr>
              <w:pStyle w:val="17"/>
              <w:bidi w:val="0"/>
              <w:rPr>
                <w:rFonts w:hint="default"/>
              </w:rPr>
            </w:pPr>
            <w:r>
              <w:rPr>
                <w:rFonts w:hint="default"/>
              </w:rPr>
              <w:t>1.952</w:t>
            </w:r>
          </w:p>
        </w:tc>
        <w:tc>
          <w:tcPr>
            <w:tcW w:w="1296" w:type="dxa"/>
            <w:tcBorders>
              <w:tl2br w:val="nil"/>
              <w:tr2bl w:val="nil"/>
            </w:tcBorders>
            <w:vAlign w:val="center"/>
          </w:tcPr>
          <w:p>
            <w:pPr>
              <w:pStyle w:val="17"/>
              <w:bidi w:val="0"/>
              <w:rPr>
                <w:rFonts w:hint="default"/>
              </w:rPr>
            </w:pPr>
            <w:r>
              <w:rPr>
                <w:rFonts w:hint="default"/>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2500</w:t>
            </w:r>
          </w:p>
        </w:tc>
        <w:tc>
          <w:tcPr>
            <w:tcW w:w="1294" w:type="dxa"/>
            <w:tcBorders>
              <w:tl2br w:val="nil"/>
              <w:tr2bl w:val="nil"/>
            </w:tcBorders>
            <w:vAlign w:val="center"/>
          </w:tcPr>
          <w:p>
            <w:pPr>
              <w:pStyle w:val="17"/>
              <w:bidi w:val="0"/>
              <w:rPr>
                <w:rFonts w:hint="default"/>
              </w:rPr>
            </w:pPr>
            <w:r>
              <w:rPr>
                <w:rFonts w:hint="default"/>
              </w:rPr>
              <w:t>11.07</w:t>
            </w:r>
          </w:p>
        </w:tc>
        <w:tc>
          <w:tcPr>
            <w:tcW w:w="1294" w:type="dxa"/>
            <w:tcBorders>
              <w:tl2br w:val="nil"/>
              <w:tr2bl w:val="nil"/>
            </w:tcBorders>
            <w:vAlign w:val="center"/>
          </w:tcPr>
          <w:p>
            <w:pPr>
              <w:pStyle w:val="17"/>
              <w:bidi w:val="0"/>
              <w:rPr>
                <w:rFonts w:hint="default"/>
              </w:rPr>
            </w:pPr>
            <w:r>
              <w:rPr>
                <w:rFonts w:hint="default"/>
              </w:rPr>
              <w:t>0.55</w:t>
            </w:r>
          </w:p>
        </w:tc>
        <w:tc>
          <w:tcPr>
            <w:tcW w:w="1296" w:type="dxa"/>
            <w:tcBorders>
              <w:tl2br w:val="nil"/>
              <w:tr2bl w:val="nil"/>
            </w:tcBorders>
            <w:vAlign w:val="center"/>
          </w:tcPr>
          <w:p>
            <w:pPr>
              <w:pStyle w:val="17"/>
              <w:bidi w:val="0"/>
              <w:rPr>
                <w:rFonts w:hint="default"/>
              </w:rPr>
            </w:pPr>
            <w:r>
              <w:rPr>
                <w:rFonts w:hint="default"/>
              </w:rPr>
              <w:t>11.07</w:t>
            </w:r>
          </w:p>
        </w:tc>
        <w:tc>
          <w:tcPr>
            <w:tcW w:w="1296" w:type="dxa"/>
            <w:tcBorders>
              <w:tl2br w:val="nil"/>
              <w:tr2bl w:val="nil"/>
            </w:tcBorders>
            <w:vAlign w:val="center"/>
          </w:tcPr>
          <w:p>
            <w:pPr>
              <w:pStyle w:val="17"/>
              <w:bidi w:val="0"/>
              <w:rPr>
                <w:rFonts w:hint="default"/>
              </w:rPr>
            </w:pPr>
            <w:r>
              <w:rPr>
                <w:rFonts w:hint="default"/>
              </w:rPr>
              <w:t>0.55</w:t>
            </w:r>
          </w:p>
        </w:tc>
        <w:tc>
          <w:tcPr>
            <w:tcW w:w="1296" w:type="dxa"/>
            <w:tcBorders>
              <w:tl2br w:val="nil"/>
              <w:tr2bl w:val="nil"/>
            </w:tcBorders>
            <w:vAlign w:val="center"/>
          </w:tcPr>
          <w:p>
            <w:pPr>
              <w:pStyle w:val="17"/>
              <w:bidi w:val="0"/>
              <w:rPr>
                <w:rFonts w:hint="default"/>
              </w:rPr>
            </w:pPr>
            <w:r>
              <w:rPr>
                <w:rFonts w:hint="default"/>
              </w:rPr>
              <w:t>1.781</w:t>
            </w:r>
          </w:p>
        </w:tc>
        <w:tc>
          <w:tcPr>
            <w:tcW w:w="1296" w:type="dxa"/>
            <w:tcBorders>
              <w:tl2br w:val="nil"/>
              <w:tr2bl w:val="nil"/>
            </w:tcBorders>
            <w:vAlign w:val="center"/>
          </w:tcPr>
          <w:p>
            <w:pPr>
              <w:pStyle w:val="17"/>
              <w:bidi w:val="0"/>
              <w:rPr>
                <w:rFonts w:hint="default"/>
              </w:rPr>
            </w:pPr>
            <w:r>
              <w:rPr>
                <w:rFonts w:hint="default"/>
              </w:rPr>
              <w:t>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下风向最大质量</w:t>
            </w:r>
          </w:p>
          <w:p>
            <w:pPr>
              <w:pStyle w:val="17"/>
              <w:bidi w:val="0"/>
              <w:rPr>
                <w:rFonts w:hint="default"/>
              </w:rPr>
            </w:pPr>
            <w:r>
              <w:rPr>
                <w:rFonts w:hint="default"/>
              </w:rPr>
              <w:t>浓度及占标率/%</w:t>
            </w:r>
          </w:p>
        </w:tc>
        <w:tc>
          <w:tcPr>
            <w:tcW w:w="1294" w:type="dxa"/>
            <w:tcBorders>
              <w:tl2br w:val="nil"/>
              <w:tr2bl w:val="nil"/>
            </w:tcBorders>
            <w:vAlign w:val="center"/>
          </w:tcPr>
          <w:p>
            <w:pPr>
              <w:pStyle w:val="17"/>
              <w:bidi w:val="0"/>
              <w:rPr>
                <w:rFonts w:hint="default"/>
              </w:rPr>
            </w:pPr>
            <w:r>
              <w:rPr>
                <w:rFonts w:hint="default"/>
              </w:rPr>
              <w:t>110</w:t>
            </w:r>
          </w:p>
        </w:tc>
        <w:tc>
          <w:tcPr>
            <w:tcW w:w="1294" w:type="dxa"/>
            <w:tcBorders>
              <w:tl2br w:val="nil"/>
              <w:tr2bl w:val="nil"/>
            </w:tcBorders>
            <w:vAlign w:val="center"/>
          </w:tcPr>
          <w:p>
            <w:pPr>
              <w:pStyle w:val="17"/>
              <w:bidi w:val="0"/>
              <w:rPr>
                <w:rFonts w:hint="default"/>
              </w:rPr>
            </w:pPr>
            <w:r>
              <w:rPr>
                <w:rFonts w:hint="default"/>
              </w:rPr>
              <w:t>5.5</w:t>
            </w:r>
          </w:p>
        </w:tc>
        <w:tc>
          <w:tcPr>
            <w:tcW w:w="1296" w:type="dxa"/>
            <w:tcBorders>
              <w:tl2br w:val="nil"/>
              <w:tr2bl w:val="nil"/>
            </w:tcBorders>
            <w:vAlign w:val="center"/>
          </w:tcPr>
          <w:p>
            <w:pPr>
              <w:pStyle w:val="17"/>
              <w:bidi w:val="0"/>
              <w:rPr>
                <w:rFonts w:hint="default"/>
              </w:rPr>
            </w:pPr>
            <w:r>
              <w:rPr>
                <w:rFonts w:hint="default"/>
              </w:rPr>
              <w:t>110</w:t>
            </w:r>
          </w:p>
        </w:tc>
        <w:tc>
          <w:tcPr>
            <w:tcW w:w="1296" w:type="dxa"/>
            <w:tcBorders>
              <w:tl2br w:val="nil"/>
              <w:tr2bl w:val="nil"/>
            </w:tcBorders>
            <w:vAlign w:val="center"/>
          </w:tcPr>
          <w:p>
            <w:pPr>
              <w:pStyle w:val="17"/>
              <w:bidi w:val="0"/>
              <w:rPr>
                <w:rFonts w:hint="default"/>
              </w:rPr>
            </w:pPr>
            <w:r>
              <w:rPr>
                <w:rFonts w:hint="default"/>
              </w:rPr>
              <w:t>5.5</w:t>
            </w:r>
          </w:p>
        </w:tc>
        <w:tc>
          <w:tcPr>
            <w:tcW w:w="1296" w:type="dxa"/>
            <w:tcBorders>
              <w:tl2br w:val="nil"/>
              <w:tr2bl w:val="nil"/>
            </w:tcBorders>
            <w:vAlign w:val="center"/>
          </w:tcPr>
          <w:p>
            <w:pPr>
              <w:pStyle w:val="17"/>
              <w:bidi w:val="0"/>
              <w:rPr>
                <w:rFonts w:hint="default"/>
              </w:rPr>
            </w:pPr>
            <w:r>
              <w:rPr>
                <w:rFonts w:hint="default"/>
              </w:rPr>
              <w:t>17.7</w:t>
            </w:r>
          </w:p>
        </w:tc>
        <w:tc>
          <w:tcPr>
            <w:tcW w:w="1296" w:type="dxa"/>
            <w:tcBorders>
              <w:tl2br w:val="nil"/>
              <w:tr2bl w:val="nil"/>
            </w:tcBorders>
            <w:vAlign w:val="center"/>
          </w:tcPr>
          <w:p>
            <w:pPr>
              <w:pStyle w:val="17"/>
              <w:bidi w:val="0"/>
              <w:rPr>
                <w:rFonts w:hint="default"/>
              </w:rPr>
            </w:pPr>
            <w:r>
              <w:rPr>
                <w:rFonts w:hint="default"/>
              </w:rPr>
              <w:t>1.97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367" w:type="dxa"/>
            <w:tcBorders>
              <w:tl2br w:val="nil"/>
              <w:tr2bl w:val="nil"/>
            </w:tcBorders>
            <w:vAlign w:val="center"/>
          </w:tcPr>
          <w:p>
            <w:pPr>
              <w:pStyle w:val="17"/>
              <w:bidi w:val="0"/>
              <w:rPr>
                <w:rFonts w:hint="default"/>
              </w:rPr>
            </w:pPr>
            <w:r>
              <w:rPr>
                <w:rFonts w:hint="default"/>
              </w:rPr>
              <w:t>D10%最远距离/m</w:t>
            </w:r>
          </w:p>
        </w:tc>
        <w:tc>
          <w:tcPr>
            <w:tcW w:w="2588" w:type="dxa"/>
            <w:gridSpan w:val="2"/>
            <w:tcBorders>
              <w:tl2br w:val="nil"/>
              <w:tr2bl w:val="nil"/>
            </w:tcBorders>
            <w:vAlign w:val="center"/>
          </w:tcPr>
          <w:p>
            <w:pPr>
              <w:pStyle w:val="17"/>
              <w:bidi w:val="0"/>
              <w:rPr>
                <w:rFonts w:hint="default"/>
              </w:rPr>
            </w:pPr>
            <w:r>
              <w:rPr>
                <w:rFonts w:hint="default"/>
              </w:rPr>
              <w:t>42</w:t>
            </w:r>
          </w:p>
        </w:tc>
        <w:tc>
          <w:tcPr>
            <w:tcW w:w="2592" w:type="dxa"/>
            <w:gridSpan w:val="2"/>
            <w:tcBorders>
              <w:tl2br w:val="nil"/>
              <w:tr2bl w:val="nil"/>
            </w:tcBorders>
            <w:vAlign w:val="center"/>
          </w:tcPr>
          <w:p>
            <w:pPr>
              <w:pStyle w:val="17"/>
              <w:bidi w:val="0"/>
              <w:rPr>
                <w:rFonts w:hint="default"/>
              </w:rPr>
            </w:pPr>
            <w:r>
              <w:rPr>
                <w:rFonts w:hint="default"/>
              </w:rPr>
              <w:t>42</w:t>
            </w:r>
          </w:p>
        </w:tc>
        <w:tc>
          <w:tcPr>
            <w:tcW w:w="2592" w:type="dxa"/>
            <w:gridSpan w:val="2"/>
            <w:tcBorders>
              <w:tl2br w:val="nil"/>
              <w:tr2bl w:val="nil"/>
            </w:tcBorders>
            <w:vAlign w:val="center"/>
          </w:tcPr>
          <w:p>
            <w:pPr>
              <w:pStyle w:val="17"/>
              <w:bidi w:val="0"/>
              <w:rPr>
                <w:rFonts w:hint="default"/>
              </w:rPr>
            </w:pPr>
            <w:r>
              <w:rPr>
                <w:rFonts w:hint="default"/>
              </w:rPr>
              <w:t>42</w:t>
            </w:r>
          </w:p>
        </w:tc>
      </w:tr>
    </w:tbl>
    <w:p>
      <w:pPr>
        <w:bidi w:val="0"/>
        <w:rPr>
          <w:rFonts w:hint="default"/>
          <w:lang w:val="zh-CN"/>
        </w:rPr>
      </w:pPr>
      <w:r>
        <w:rPr>
          <w:rFonts w:hint="default"/>
        </w:rPr>
        <w:t>确定评价等级</w:t>
      </w:r>
    </w:p>
    <w:p>
      <w:pPr>
        <w:bidi w:val="0"/>
        <w:rPr>
          <w:rFonts w:hint="default"/>
        </w:rPr>
      </w:pPr>
      <w:r>
        <w:rPr>
          <w:rFonts w:hint="default"/>
        </w:rPr>
        <w:t>根据估算结果表明，本项目所有污染物最大占标率为：</w:t>
      </w:r>
      <w:r>
        <w:rPr>
          <w:rFonts w:hint="default"/>
          <w:lang w:val="en-US" w:eastAsia="zh-CN"/>
        </w:rPr>
        <w:t>5.5</w:t>
      </w:r>
      <w:r>
        <w:rPr>
          <w:rFonts w:hint="default"/>
        </w:rPr>
        <w:t>%。由所有污染物的最大占标率1%≤Pmax＜10%，确定大气环境评价等级为二级。</w:t>
      </w:r>
    </w:p>
    <w:p>
      <w:pPr>
        <w:pStyle w:val="6"/>
        <w:bidi w:val="0"/>
        <w:rPr>
          <w:rFonts w:hint="default"/>
        </w:rPr>
      </w:pPr>
      <w:r>
        <w:rPr>
          <w:rFonts w:hint="default"/>
        </w:rPr>
        <w:t>2.6.1.2</w:t>
      </w:r>
      <w:r>
        <w:rPr>
          <w:rFonts w:hint="eastAsia"/>
          <w:lang w:eastAsia="zh-CN"/>
        </w:rPr>
        <w:t>、</w:t>
      </w:r>
      <w:r>
        <w:rPr>
          <w:rFonts w:hint="default"/>
        </w:rPr>
        <w:t>地表水环境</w:t>
      </w:r>
    </w:p>
    <w:p>
      <w:pPr>
        <w:bidi w:val="0"/>
        <w:rPr>
          <w:rFonts w:hint="default"/>
        </w:rPr>
      </w:pPr>
      <w:r>
        <w:rPr>
          <w:rFonts w:hint="default"/>
        </w:rPr>
        <w:t>根据《环境影响评价技术导则 地表水环境》（HJ2.3-2018）建设项目地表水环境影响评价等级按照影响类型、排放方式、排放量或影响情况、受纳水体环境质量现状、水环境保护目标等综合确定。评价等级判定依据见表2.6-</w:t>
      </w:r>
      <w:r>
        <w:rPr>
          <w:rFonts w:hint="default"/>
          <w:lang w:val="en-US" w:eastAsia="zh-CN"/>
        </w:rPr>
        <w:t>6</w:t>
      </w:r>
      <w:r>
        <w:rPr>
          <w:rFonts w:hint="default"/>
        </w:rPr>
        <w:t>。</w:t>
      </w:r>
    </w:p>
    <w:p>
      <w:pPr>
        <w:pStyle w:val="17"/>
        <w:bidi w:val="0"/>
        <w:rPr>
          <w:rFonts w:hint="default"/>
          <w:b/>
          <w:bCs/>
        </w:rPr>
      </w:pPr>
      <w:r>
        <w:rPr>
          <w:rFonts w:hint="default"/>
          <w:b/>
          <w:bCs/>
        </w:rPr>
        <w:t>表2.6-</w:t>
      </w:r>
      <w:r>
        <w:rPr>
          <w:rFonts w:hint="default"/>
          <w:b/>
          <w:bCs/>
          <w:lang w:val="en-US" w:eastAsia="zh-CN"/>
        </w:rPr>
        <w:t>6</w:t>
      </w:r>
      <w:r>
        <w:rPr>
          <w:rFonts w:hint="default"/>
          <w:b/>
          <w:bCs/>
        </w:rPr>
        <w:t xml:space="preserve"> </w:t>
      </w:r>
      <w:r>
        <w:rPr>
          <w:rFonts w:hint="eastAsia"/>
          <w:b/>
          <w:bCs/>
          <w:lang w:val="en-US" w:eastAsia="zh-CN"/>
        </w:rPr>
        <w:t xml:space="preserve">  </w:t>
      </w:r>
      <w:r>
        <w:rPr>
          <w:rFonts w:hint="default"/>
          <w:b/>
          <w:bCs/>
        </w:rPr>
        <w:t>水污染影响型建设项目评价等级判定</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937"/>
        <w:gridCol w:w="55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1" w:type="dxa"/>
            <w:vMerge w:val="restart"/>
            <w:tcBorders>
              <w:tl2br w:val="nil"/>
              <w:tr2bl w:val="nil"/>
            </w:tcBorders>
            <w:vAlign w:val="center"/>
          </w:tcPr>
          <w:p>
            <w:pPr>
              <w:pStyle w:val="17"/>
              <w:bidi w:val="0"/>
              <w:rPr>
                <w:rFonts w:hint="default"/>
                <w:b/>
                <w:bCs/>
              </w:rPr>
            </w:pPr>
            <w:r>
              <w:rPr>
                <w:rFonts w:hint="default"/>
                <w:b/>
                <w:bCs/>
              </w:rPr>
              <w:t>评价等级</w:t>
            </w:r>
          </w:p>
        </w:tc>
        <w:tc>
          <w:tcPr>
            <w:tcW w:w="7520" w:type="dxa"/>
            <w:gridSpan w:val="2"/>
            <w:tcBorders>
              <w:tl2br w:val="nil"/>
              <w:tr2bl w:val="nil"/>
            </w:tcBorders>
            <w:vAlign w:val="center"/>
          </w:tcPr>
          <w:p>
            <w:pPr>
              <w:pStyle w:val="17"/>
              <w:bidi w:val="0"/>
              <w:rPr>
                <w:rFonts w:hint="default"/>
                <w:b/>
                <w:bCs/>
              </w:rPr>
            </w:pPr>
            <w:r>
              <w:rPr>
                <w:rFonts w:hint="default"/>
                <w:b/>
                <w:bCs/>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1551" w:type="dxa"/>
            <w:vMerge w:val="continue"/>
            <w:tcBorders>
              <w:tl2br w:val="nil"/>
              <w:tr2bl w:val="nil"/>
            </w:tcBorders>
            <w:vAlign w:val="center"/>
          </w:tcPr>
          <w:p>
            <w:pPr>
              <w:pStyle w:val="17"/>
              <w:bidi w:val="0"/>
              <w:rPr>
                <w:rFonts w:hint="default"/>
                <w:b/>
                <w:bCs/>
              </w:rPr>
            </w:pPr>
          </w:p>
        </w:tc>
        <w:tc>
          <w:tcPr>
            <w:tcW w:w="1937" w:type="dxa"/>
            <w:tcBorders>
              <w:tl2br w:val="nil"/>
              <w:tr2bl w:val="nil"/>
            </w:tcBorders>
            <w:vAlign w:val="center"/>
          </w:tcPr>
          <w:p>
            <w:pPr>
              <w:pStyle w:val="17"/>
              <w:bidi w:val="0"/>
              <w:rPr>
                <w:rFonts w:hint="default"/>
                <w:b/>
                <w:bCs/>
              </w:rPr>
            </w:pPr>
            <w:r>
              <w:rPr>
                <w:rFonts w:hint="default"/>
                <w:b/>
                <w:bCs/>
              </w:rPr>
              <w:t>排放方式</w:t>
            </w:r>
          </w:p>
        </w:tc>
        <w:tc>
          <w:tcPr>
            <w:tcW w:w="5583" w:type="dxa"/>
            <w:tcBorders>
              <w:tl2br w:val="nil"/>
              <w:tr2bl w:val="nil"/>
            </w:tcBorders>
            <w:vAlign w:val="center"/>
          </w:tcPr>
          <w:p>
            <w:pPr>
              <w:pStyle w:val="17"/>
              <w:bidi w:val="0"/>
              <w:rPr>
                <w:rFonts w:hint="default"/>
                <w:b/>
                <w:bCs/>
              </w:rPr>
            </w:pPr>
            <w:r>
              <w:rPr>
                <w:rFonts w:hint="default"/>
                <w:b/>
                <w:bCs/>
              </w:rPr>
              <w:t>废水排放量Q/（</w:t>
            </w:r>
            <w:r>
              <w:rPr>
                <w:rFonts w:hint="eastAsia"/>
                <w:b/>
                <w:bCs/>
                <w:lang w:eastAsia="zh-CN"/>
              </w:rPr>
              <w:t>m³</w:t>
            </w:r>
            <w:r>
              <w:rPr>
                <w:rFonts w:hint="default"/>
                <w:b/>
                <w:bCs/>
              </w:rPr>
              <w:t>/d）；水污染物当量数W/（无量纲）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1" w:type="dxa"/>
            <w:tcBorders>
              <w:tl2br w:val="nil"/>
              <w:tr2bl w:val="nil"/>
            </w:tcBorders>
            <w:vAlign w:val="center"/>
          </w:tcPr>
          <w:p>
            <w:pPr>
              <w:pStyle w:val="17"/>
              <w:bidi w:val="0"/>
              <w:rPr>
                <w:rFonts w:hint="default"/>
              </w:rPr>
            </w:pPr>
            <w:r>
              <w:rPr>
                <w:rFonts w:hint="default"/>
              </w:rPr>
              <w:t>一级</w:t>
            </w:r>
          </w:p>
        </w:tc>
        <w:tc>
          <w:tcPr>
            <w:tcW w:w="1937" w:type="dxa"/>
            <w:tcBorders>
              <w:tl2br w:val="nil"/>
              <w:tr2bl w:val="nil"/>
            </w:tcBorders>
            <w:vAlign w:val="center"/>
          </w:tcPr>
          <w:p>
            <w:pPr>
              <w:pStyle w:val="17"/>
              <w:bidi w:val="0"/>
              <w:rPr>
                <w:rFonts w:hint="default"/>
              </w:rPr>
            </w:pPr>
            <w:r>
              <w:rPr>
                <w:rFonts w:hint="default"/>
              </w:rPr>
              <w:t>直接排放</w:t>
            </w:r>
          </w:p>
        </w:tc>
        <w:tc>
          <w:tcPr>
            <w:tcW w:w="5583" w:type="dxa"/>
            <w:tcBorders>
              <w:tl2br w:val="nil"/>
              <w:tr2bl w:val="nil"/>
            </w:tcBorders>
            <w:vAlign w:val="center"/>
          </w:tcPr>
          <w:p>
            <w:pPr>
              <w:pStyle w:val="17"/>
              <w:bidi w:val="0"/>
              <w:rPr>
                <w:rFonts w:hint="default"/>
              </w:rPr>
            </w:pPr>
            <w:r>
              <w:rPr>
                <w:rFonts w:hint="default"/>
              </w:rP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1" w:type="dxa"/>
            <w:tcBorders>
              <w:tl2br w:val="nil"/>
              <w:tr2bl w:val="nil"/>
            </w:tcBorders>
            <w:vAlign w:val="center"/>
          </w:tcPr>
          <w:p>
            <w:pPr>
              <w:pStyle w:val="17"/>
              <w:bidi w:val="0"/>
              <w:rPr>
                <w:rFonts w:hint="default"/>
              </w:rPr>
            </w:pPr>
            <w:r>
              <w:rPr>
                <w:rFonts w:hint="default"/>
              </w:rPr>
              <w:t>二级</w:t>
            </w:r>
          </w:p>
        </w:tc>
        <w:tc>
          <w:tcPr>
            <w:tcW w:w="1937" w:type="dxa"/>
            <w:tcBorders>
              <w:tl2br w:val="nil"/>
              <w:tr2bl w:val="nil"/>
            </w:tcBorders>
            <w:vAlign w:val="center"/>
          </w:tcPr>
          <w:p>
            <w:pPr>
              <w:pStyle w:val="17"/>
              <w:bidi w:val="0"/>
              <w:rPr>
                <w:rFonts w:hint="default"/>
              </w:rPr>
            </w:pPr>
            <w:r>
              <w:rPr>
                <w:rFonts w:hint="default"/>
              </w:rPr>
              <w:t>直接排放</w:t>
            </w:r>
          </w:p>
        </w:tc>
        <w:tc>
          <w:tcPr>
            <w:tcW w:w="5583" w:type="dxa"/>
            <w:tcBorders>
              <w:tl2br w:val="nil"/>
              <w:tr2bl w:val="nil"/>
            </w:tcBorders>
            <w:vAlign w:val="center"/>
          </w:tcPr>
          <w:p>
            <w:pPr>
              <w:pStyle w:val="17"/>
              <w:bidi w:val="0"/>
              <w:rPr>
                <w:rFonts w:hint="default"/>
              </w:rPr>
            </w:pPr>
            <w:r>
              <w:rPr>
                <w:rFonts w:hint="default"/>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1" w:type="dxa"/>
            <w:tcBorders>
              <w:tl2br w:val="nil"/>
              <w:tr2bl w:val="nil"/>
            </w:tcBorders>
            <w:vAlign w:val="center"/>
          </w:tcPr>
          <w:p>
            <w:pPr>
              <w:pStyle w:val="17"/>
              <w:bidi w:val="0"/>
              <w:rPr>
                <w:rFonts w:hint="default"/>
              </w:rPr>
            </w:pPr>
            <w:r>
              <w:rPr>
                <w:rFonts w:hint="default"/>
              </w:rPr>
              <w:t>三级A</w:t>
            </w:r>
          </w:p>
        </w:tc>
        <w:tc>
          <w:tcPr>
            <w:tcW w:w="1937" w:type="dxa"/>
            <w:tcBorders>
              <w:tl2br w:val="nil"/>
              <w:tr2bl w:val="nil"/>
            </w:tcBorders>
            <w:vAlign w:val="center"/>
          </w:tcPr>
          <w:p>
            <w:pPr>
              <w:pStyle w:val="17"/>
              <w:bidi w:val="0"/>
              <w:rPr>
                <w:rFonts w:hint="default"/>
              </w:rPr>
            </w:pPr>
            <w:r>
              <w:rPr>
                <w:rFonts w:hint="default"/>
              </w:rPr>
              <w:t>直接排放</w:t>
            </w:r>
          </w:p>
        </w:tc>
        <w:tc>
          <w:tcPr>
            <w:tcW w:w="5583" w:type="dxa"/>
            <w:tcBorders>
              <w:tl2br w:val="nil"/>
              <w:tr2bl w:val="nil"/>
            </w:tcBorders>
            <w:vAlign w:val="center"/>
          </w:tcPr>
          <w:p>
            <w:pPr>
              <w:pStyle w:val="17"/>
              <w:bidi w:val="0"/>
              <w:rPr>
                <w:rFonts w:hint="default"/>
              </w:rPr>
            </w:pPr>
            <w:r>
              <w:rPr>
                <w:rFonts w:hint="default"/>
              </w:rPr>
              <w:t>Q＜200且W＜6000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1" w:type="dxa"/>
            <w:tcBorders>
              <w:tl2br w:val="nil"/>
              <w:tr2bl w:val="nil"/>
            </w:tcBorders>
            <w:shd w:val="clear" w:color="auto" w:fill="D7D7D7"/>
            <w:vAlign w:val="center"/>
          </w:tcPr>
          <w:p>
            <w:pPr>
              <w:pStyle w:val="17"/>
              <w:bidi w:val="0"/>
              <w:rPr>
                <w:rFonts w:hint="default"/>
              </w:rPr>
            </w:pPr>
            <w:r>
              <w:rPr>
                <w:rFonts w:hint="default"/>
              </w:rPr>
              <w:t>三级B</w:t>
            </w:r>
          </w:p>
        </w:tc>
        <w:tc>
          <w:tcPr>
            <w:tcW w:w="1937" w:type="dxa"/>
            <w:tcBorders>
              <w:tl2br w:val="nil"/>
              <w:tr2bl w:val="nil"/>
            </w:tcBorders>
            <w:shd w:val="clear" w:color="auto" w:fill="D7D7D7"/>
            <w:vAlign w:val="center"/>
          </w:tcPr>
          <w:p>
            <w:pPr>
              <w:pStyle w:val="17"/>
              <w:bidi w:val="0"/>
              <w:rPr>
                <w:rFonts w:hint="default"/>
              </w:rPr>
            </w:pPr>
            <w:r>
              <w:rPr>
                <w:rFonts w:hint="default"/>
              </w:rPr>
              <w:t>间接排放</w:t>
            </w:r>
          </w:p>
        </w:tc>
        <w:tc>
          <w:tcPr>
            <w:tcW w:w="5583" w:type="dxa"/>
            <w:tcBorders>
              <w:tl2br w:val="nil"/>
              <w:tr2bl w:val="nil"/>
            </w:tcBorders>
            <w:shd w:val="clear" w:color="auto" w:fill="D7D7D7"/>
            <w:vAlign w:val="center"/>
          </w:tcPr>
          <w:p>
            <w:pPr>
              <w:pStyle w:val="17"/>
              <w:bidi w:val="0"/>
              <w:rPr>
                <w:rFonts w:hint="default"/>
              </w:rPr>
            </w:pPr>
            <w:r>
              <w:rPr>
                <w:rFonts w:hint="default"/>
              </w:rPr>
              <w:t>-</w:t>
            </w:r>
          </w:p>
        </w:tc>
      </w:tr>
    </w:tbl>
    <w:p>
      <w:pPr>
        <w:bidi w:val="0"/>
        <w:rPr>
          <w:rFonts w:hint="default"/>
        </w:rPr>
      </w:pPr>
      <w:r>
        <w:rPr>
          <w:rFonts w:hint="default"/>
        </w:rPr>
        <w:t>本项目废水包括生产废水、生活污水，其中生产废水为清洗废水经沉淀</w:t>
      </w:r>
      <w:r>
        <w:rPr>
          <w:rFonts w:hint="default"/>
          <w:lang w:val="en-US" w:eastAsia="zh-CN"/>
        </w:rPr>
        <w:t>过滤</w:t>
      </w:r>
      <w:r>
        <w:rPr>
          <w:rFonts w:hint="default"/>
        </w:rPr>
        <w:t>处理后排至厂区内贮水池回用于原料清洗、喷淋和冷却，不外排；生活污水经隔油</w:t>
      </w:r>
      <w:r>
        <w:rPr>
          <w:rFonts w:hint="eastAsia"/>
          <w:lang w:val="en-US" w:eastAsia="zh-CN"/>
        </w:rPr>
        <w:t>池隔油、化粪池</w:t>
      </w:r>
      <w:r>
        <w:rPr>
          <w:rFonts w:hint="default"/>
          <w:lang w:val="en-US" w:eastAsia="zh-CN"/>
        </w:rPr>
        <w:t>预处理</w:t>
      </w:r>
      <w:r>
        <w:rPr>
          <w:rFonts w:hint="eastAsia"/>
          <w:lang w:val="en-US" w:eastAsia="zh-CN"/>
        </w:rPr>
        <w:t>满足</w:t>
      </w:r>
      <w:r>
        <w:rPr>
          <w:rFonts w:hint="default"/>
        </w:rPr>
        <w:t>《污水综合排放标准》（GB8978-1996）中三级标准后</w:t>
      </w:r>
      <w:r>
        <w:rPr>
          <w:rFonts w:hint="eastAsia"/>
          <w:lang w:val="en-US" w:eastAsia="zh-CN"/>
        </w:rPr>
        <w:t>定期抽运至</w:t>
      </w:r>
      <w:r>
        <w:rPr>
          <w:rFonts w:hint="eastAsia"/>
          <w:lang w:eastAsia="zh-CN"/>
        </w:rPr>
        <w:t>吉木萨尔县</w:t>
      </w:r>
      <w:r>
        <w:rPr>
          <w:rFonts w:hint="eastAsia"/>
          <w:lang w:val="en-US" w:eastAsia="zh-CN"/>
        </w:rPr>
        <w:t>二工镇污水处理厂</w:t>
      </w:r>
      <w:r>
        <w:rPr>
          <w:rFonts w:hint="default"/>
        </w:rPr>
        <w:t>处理达《城镇污水处理厂污染物排放标准》（GB18918-2002）中一级 A 标准。评价等级为三级B，根据导则要求，不开展区域污染源调查，主要调查污水处理设施的日处理能力、处理工艺、设计进水水质、处理后的废水稳定达标情况。</w:t>
      </w:r>
    </w:p>
    <w:p>
      <w:pPr>
        <w:pStyle w:val="6"/>
        <w:bidi w:val="0"/>
        <w:rPr>
          <w:rFonts w:hint="default"/>
        </w:rPr>
      </w:pPr>
      <w:r>
        <w:rPr>
          <w:rFonts w:hint="default"/>
        </w:rPr>
        <w:t>2.6.1.3</w:t>
      </w:r>
      <w:r>
        <w:rPr>
          <w:rFonts w:hint="eastAsia"/>
          <w:lang w:eastAsia="zh-CN"/>
        </w:rPr>
        <w:t>、</w:t>
      </w:r>
      <w:r>
        <w:rPr>
          <w:rFonts w:hint="default"/>
        </w:rPr>
        <w:t>地下水环境</w:t>
      </w:r>
    </w:p>
    <w:p>
      <w:pPr>
        <w:bidi w:val="0"/>
        <w:rPr>
          <w:rFonts w:hint="default"/>
        </w:rPr>
      </w:pPr>
      <w:r>
        <w:rPr>
          <w:rFonts w:hint="default"/>
        </w:rPr>
        <w:t>本项目生产、生活用水均采用给水系统，不取用地下水。本项目根据《环境影响评价技术导则—地下水环境》（HJ610-2016）附录A，地下水环境影响评价行业分类表，本项目属于Ⅲ类项目，详见表2.6-</w:t>
      </w:r>
      <w:r>
        <w:rPr>
          <w:rFonts w:hint="default"/>
          <w:lang w:val="en-US" w:eastAsia="zh-CN"/>
        </w:rPr>
        <w:t>7</w:t>
      </w:r>
      <w:r>
        <w:rPr>
          <w:rFonts w:hint="default"/>
        </w:rPr>
        <w:t>。根据地下水环境敏感程度分级表见表2.6-</w:t>
      </w:r>
      <w:r>
        <w:rPr>
          <w:rFonts w:hint="default"/>
          <w:lang w:val="en-US" w:eastAsia="zh-CN"/>
        </w:rPr>
        <w:t>8</w:t>
      </w:r>
      <w:r>
        <w:rPr>
          <w:rFonts w:hint="default"/>
        </w:rPr>
        <w:t>，本工程所在地不属于集中式饮用水水源地准保护区、补给径流区及与地下水环境保护相关的其它保护区，也不属于《建设项目环境影响评价分类管理目录》中规定的环境敏感区，区域地下水总体为由北向南的流向，项目所在区不属于补给径流区，根据水文地质的分析，项目所在地属于区域地下水排泄区，因此，判定项目所在区域地下水环境敏感特征为</w:t>
      </w:r>
      <w:r>
        <w:rPr>
          <w:rFonts w:hint="eastAsia"/>
          <w:lang w:eastAsia="zh-CN"/>
        </w:rPr>
        <w:t>“</w:t>
      </w:r>
      <w:r>
        <w:rPr>
          <w:rFonts w:hint="default"/>
        </w:rPr>
        <w:t>不敏感</w:t>
      </w:r>
      <w:r>
        <w:rPr>
          <w:rFonts w:hint="eastAsia"/>
          <w:lang w:eastAsia="zh-CN"/>
        </w:rPr>
        <w:t>”</w:t>
      </w:r>
      <w:r>
        <w:rPr>
          <w:rFonts w:hint="default"/>
        </w:rPr>
        <w:t>。建设项目地下水环境影响评价工作等级划分见表2.6-</w:t>
      </w:r>
      <w:r>
        <w:rPr>
          <w:rFonts w:hint="eastAsia"/>
          <w:lang w:val="en-US" w:eastAsia="zh-CN"/>
        </w:rPr>
        <w:t>7</w:t>
      </w:r>
      <w:r>
        <w:rPr>
          <w:rFonts w:hint="default"/>
        </w:rPr>
        <w:t>。</w:t>
      </w:r>
    </w:p>
    <w:p>
      <w:pPr>
        <w:pStyle w:val="17"/>
        <w:bidi w:val="0"/>
        <w:rPr>
          <w:rFonts w:hint="default"/>
          <w:b/>
          <w:bCs/>
        </w:rPr>
      </w:pPr>
      <w:r>
        <w:rPr>
          <w:rFonts w:hint="default"/>
          <w:b/>
          <w:bCs/>
        </w:rPr>
        <w:t>表2.6-</w:t>
      </w:r>
      <w:r>
        <w:rPr>
          <w:rFonts w:hint="default"/>
          <w:b/>
          <w:bCs/>
          <w:lang w:val="en-US" w:eastAsia="zh-CN"/>
        </w:rPr>
        <w:t>7</w:t>
      </w:r>
      <w:r>
        <w:rPr>
          <w:rFonts w:hint="default"/>
          <w:b/>
          <w:bCs/>
        </w:rPr>
        <w:t xml:space="preserve">   项目地下水环境影响评价行业分类一览表</w:t>
      </w:r>
    </w:p>
    <w:tbl>
      <w:tblPr>
        <w:tblStyle w:val="12"/>
        <w:tblW w:w="9071" w:type="dxa"/>
        <w:tblInd w:w="-9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2710"/>
        <w:gridCol w:w="1100"/>
        <w:gridCol w:w="2555"/>
        <w:gridCol w:w="9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42" w:type="dxa"/>
            <w:vMerge w:val="restart"/>
            <w:tcBorders>
              <w:tl2br w:val="nil"/>
              <w:tr2bl w:val="nil"/>
            </w:tcBorders>
            <w:vAlign w:val="center"/>
          </w:tcPr>
          <w:p>
            <w:pPr>
              <w:pStyle w:val="17"/>
              <w:bidi w:val="0"/>
              <w:rPr>
                <w:rFonts w:hint="default"/>
                <w:b/>
                <w:bCs/>
              </w:rPr>
            </w:pPr>
            <w:r>
              <w:rPr>
                <w:rFonts w:hint="default"/>
                <w:b/>
                <w:bCs/>
              </w:rPr>
              <mc:AlternateContent>
                <mc:Choice Requires="wps">
                  <w:drawing>
                    <wp:anchor distT="0" distB="0" distL="114300" distR="114300" simplePos="0" relativeHeight="251666432" behindDoc="0" locked="0" layoutInCell="1" allowOverlap="1">
                      <wp:simplePos x="0" y="0"/>
                      <wp:positionH relativeFrom="column">
                        <wp:posOffset>-50165</wp:posOffset>
                      </wp:positionH>
                      <wp:positionV relativeFrom="paragraph">
                        <wp:posOffset>12700</wp:posOffset>
                      </wp:positionV>
                      <wp:extent cx="1078865" cy="579120"/>
                      <wp:effectExtent l="0" t="0" r="0" b="0"/>
                      <wp:wrapNone/>
                      <wp:docPr id="14" name="直接连接符 10"/>
                      <wp:cNvGraphicFramePr/>
                      <a:graphic xmlns:a="http://schemas.openxmlformats.org/drawingml/2006/main">
                        <a:graphicData uri="http://schemas.microsoft.com/office/word/2010/wordprocessingShape">
                          <wps:wsp>
                            <wps:cNvCnPr/>
                            <wps:spPr>
                              <a:xfrm>
                                <a:off x="0" y="0"/>
                                <a:ext cx="1078865" cy="579120"/>
                              </a:xfrm>
                              <a:prstGeom prst="line">
                                <a:avLst/>
                              </a:prstGeom>
                              <a:ln w="3175" cap="flat" cmpd="sng">
                                <a:solidFill>
                                  <a:srgbClr val="000000"/>
                                </a:solidFill>
                                <a:prstDash val="solid"/>
                                <a:headEnd type="none" w="med" len="med"/>
                                <a:tailEnd type="none" w="med" len="med"/>
                              </a:ln>
                              <a:effectLst/>
                            </wps:spPr>
                            <wps:bodyPr upright="1"/>
                          </wps:wsp>
                        </a:graphicData>
                      </a:graphic>
                    </wp:anchor>
                  </w:drawing>
                </mc:Choice>
                <mc:Fallback>
                  <w:pict>
                    <v:line id="直接连接符 10" o:spid="_x0000_s1026" o:spt="20" style="position:absolute;left:0pt;margin-left:-3.95pt;margin-top:1pt;height:45.6pt;width:84.95pt;z-index:251666432;mso-width-relative:page;mso-height-relative:page;" filled="f" stroked="t" coordsize="21600,21600" o:gfxdata="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eXtN7XAAAA&#10;BwEAAA8AAAAAAAAAAQAgAAAAIgAAAGRycy9kb3ducmV2LnhtbFBLAQIUABQAAAAIAIdO4kAUMsxo&#10;5QEAAKsDAAAOAAAAAAAAAAEAIAAAACYBAABkcnMvZTJvRG9jLnhtbFBLBQYAAAAABgAGAFkBAAB9&#10;BQAAAAA=&#10;">
                      <v:fill on="f" focussize="0,0"/>
                      <v:stroke weight="0.25pt" color="#000000" joinstyle="round"/>
                      <v:imagedata o:title=""/>
                      <o:lock v:ext="edit" aspectratio="f"/>
                    </v:line>
                  </w:pict>
                </mc:Fallback>
              </mc:AlternateContent>
            </w:r>
            <w:r>
              <w:rPr>
                <w:rFonts w:hint="default"/>
                <w:b/>
                <w:bCs/>
              </w:rPr>
              <w:t xml:space="preserve">      环评类别</w:t>
            </w:r>
          </w:p>
          <w:p>
            <w:pPr>
              <w:pStyle w:val="17"/>
              <w:bidi w:val="0"/>
              <w:rPr>
                <w:rFonts w:hint="default"/>
                <w:b/>
                <w:bCs/>
              </w:rPr>
            </w:pPr>
          </w:p>
          <w:p>
            <w:pPr>
              <w:pStyle w:val="17"/>
              <w:bidi w:val="0"/>
              <w:rPr>
                <w:rFonts w:hint="default"/>
                <w:b/>
                <w:bCs/>
              </w:rPr>
            </w:pPr>
            <w:r>
              <w:rPr>
                <w:rFonts w:hint="default"/>
                <w:b/>
                <w:bCs/>
              </w:rPr>
              <w:t>行业类别</w:t>
            </w:r>
          </w:p>
        </w:tc>
        <w:tc>
          <w:tcPr>
            <w:tcW w:w="2710" w:type="dxa"/>
            <w:vMerge w:val="restart"/>
            <w:tcBorders>
              <w:tl2br w:val="nil"/>
              <w:tr2bl w:val="nil"/>
            </w:tcBorders>
            <w:vAlign w:val="center"/>
          </w:tcPr>
          <w:p>
            <w:pPr>
              <w:pStyle w:val="17"/>
              <w:bidi w:val="0"/>
              <w:rPr>
                <w:rFonts w:hint="default"/>
                <w:b/>
                <w:bCs/>
              </w:rPr>
            </w:pPr>
            <w:r>
              <w:rPr>
                <w:rFonts w:hint="default"/>
                <w:b/>
                <w:bCs/>
              </w:rPr>
              <w:t>报告书</w:t>
            </w:r>
          </w:p>
        </w:tc>
        <w:tc>
          <w:tcPr>
            <w:tcW w:w="1100" w:type="dxa"/>
            <w:vMerge w:val="restart"/>
            <w:tcBorders>
              <w:tl2br w:val="nil"/>
              <w:tr2bl w:val="nil"/>
            </w:tcBorders>
            <w:vAlign w:val="center"/>
          </w:tcPr>
          <w:p>
            <w:pPr>
              <w:pStyle w:val="17"/>
              <w:bidi w:val="0"/>
              <w:rPr>
                <w:rFonts w:hint="default"/>
                <w:b/>
                <w:bCs/>
              </w:rPr>
            </w:pPr>
            <w:r>
              <w:rPr>
                <w:rFonts w:hint="default"/>
                <w:b/>
                <w:bCs/>
              </w:rPr>
              <w:t>报告表</w:t>
            </w:r>
          </w:p>
        </w:tc>
        <w:tc>
          <w:tcPr>
            <w:tcW w:w="3519" w:type="dxa"/>
            <w:gridSpan w:val="2"/>
            <w:tcBorders>
              <w:tl2br w:val="nil"/>
              <w:tr2bl w:val="nil"/>
            </w:tcBorders>
            <w:vAlign w:val="center"/>
          </w:tcPr>
          <w:p>
            <w:pPr>
              <w:pStyle w:val="17"/>
              <w:bidi w:val="0"/>
              <w:rPr>
                <w:rFonts w:hint="default"/>
                <w:b/>
                <w:bCs/>
              </w:rPr>
            </w:pPr>
            <w:r>
              <w:rPr>
                <w:rFonts w:hint="default"/>
                <w:b/>
                <w:bCs/>
              </w:rPr>
              <w:t>地下水环境影响评价项目类别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742" w:type="dxa"/>
            <w:vMerge w:val="continue"/>
            <w:tcBorders>
              <w:tl2br w:val="nil"/>
              <w:tr2bl w:val="nil"/>
            </w:tcBorders>
            <w:shd w:val="clear" w:color="auto" w:fill="auto"/>
            <w:vAlign w:val="center"/>
          </w:tcPr>
          <w:p>
            <w:pPr>
              <w:pStyle w:val="17"/>
              <w:bidi w:val="0"/>
              <w:rPr>
                <w:rFonts w:hint="default"/>
              </w:rPr>
            </w:pPr>
          </w:p>
        </w:tc>
        <w:tc>
          <w:tcPr>
            <w:tcW w:w="2710" w:type="dxa"/>
            <w:vMerge w:val="continue"/>
            <w:tcBorders>
              <w:tl2br w:val="nil"/>
              <w:tr2bl w:val="nil"/>
            </w:tcBorders>
            <w:shd w:val="clear" w:color="auto" w:fill="auto"/>
            <w:vAlign w:val="center"/>
          </w:tcPr>
          <w:p>
            <w:pPr>
              <w:pStyle w:val="17"/>
              <w:bidi w:val="0"/>
              <w:rPr>
                <w:rFonts w:hint="default"/>
              </w:rPr>
            </w:pPr>
          </w:p>
        </w:tc>
        <w:tc>
          <w:tcPr>
            <w:tcW w:w="1100" w:type="dxa"/>
            <w:vMerge w:val="continue"/>
            <w:tcBorders>
              <w:tl2br w:val="nil"/>
              <w:tr2bl w:val="nil"/>
            </w:tcBorders>
            <w:shd w:val="clear" w:color="auto" w:fill="auto"/>
            <w:vAlign w:val="center"/>
          </w:tcPr>
          <w:p>
            <w:pPr>
              <w:pStyle w:val="17"/>
              <w:bidi w:val="0"/>
              <w:rPr>
                <w:rFonts w:hint="default"/>
              </w:rPr>
            </w:pPr>
          </w:p>
        </w:tc>
        <w:tc>
          <w:tcPr>
            <w:tcW w:w="2555" w:type="dxa"/>
            <w:tcBorders>
              <w:tl2br w:val="nil"/>
              <w:tr2bl w:val="nil"/>
            </w:tcBorders>
            <w:shd w:val="clear" w:color="auto" w:fill="BEBEBE"/>
            <w:vAlign w:val="center"/>
          </w:tcPr>
          <w:p>
            <w:pPr>
              <w:pStyle w:val="17"/>
              <w:bidi w:val="0"/>
              <w:rPr>
                <w:rFonts w:hint="default"/>
                <w:b/>
                <w:bCs/>
              </w:rPr>
            </w:pPr>
            <w:r>
              <w:rPr>
                <w:rFonts w:hint="default"/>
                <w:b/>
                <w:bCs/>
              </w:rPr>
              <w:t>报告书</w:t>
            </w:r>
          </w:p>
        </w:tc>
        <w:tc>
          <w:tcPr>
            <w:tcW w:w="964" w:type="dxa"/>
            <w:tcBorders>
              <w:tl2br w:val="nil"/>
              <w:tr2bl w:val="nil"/>
            </w:tcBorders>
            <w:vAlign w:val="center"/>
          </w:tcPr>
          <w:p>
            <w:pPr>
              <w:pStyle w:val="17"/>
              <w:bidi w:val="0"/>
              <w:rPr>
                <w:rFonts w:hint="default"/>
                <w:b/>
                <w:bCs/>
              </w:rPr>
            </w:pPr>
            <w:r>
              <w:rPr>
                <w:rFonts w:hint="default"/>
                <w:b/>
                <w:bCs/>
              </w:rPr>
              <w:t>报告表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071" w:type="dxa"/>
            <w:gridSpan w:val="5"/>
            <w:tcBorders>
              <w:tl2br w:val="nil"/>
              <w:tr2bl w:val="nil"/>
            </w:tcBorders>
            <w:shd w:val="clear" w:color="auto" w:fill="BEBEBE"/>
            <w:vAlign w:val="center"/>
          </w:tcPr>
          <w:p>
            <w:pPr>
              <w:pStyle w:val="17"/>
              <w:bidi w:val="0"/>
              <w:rPr>
                <w:rFonts w:hint="default"/>
              </w:rPr>
            </w:pPr>
            <w:r>
              <w:rPr>
                <w:rFonts w:hint="default"/>
              </w:rPr>
              <w:t>U 城镇基础设施及房地产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42" w:type="dxa"/>
            <w:tcBorders>
              <w:tl2br w:val="nil"/>
              <w:tr2bl w:val="nil"/>
            </w:tcBorders>
            <w:shd w:val="clear" w:color="auto" w:fill="BEBEBE"/>
            <w:vAlign w:val="center"/>
          </w:tcPr>
          <w:p>
            <w:pPr>
              <w:pStyle w:val="17"/>
              <w:bidi w:val="0"/>
              <w:rPr>
                <w:rFonts w:hint="default"/>
              </w:rPr>
            </w:pPr>
            <w:r>
              <w:rPr>
                <w:rFonts w:hint="default"/>
              </w:rPr>
              <w:t>155 废旧资源（含生物质）加工、再生利用</w:t>
            </w:r>
          </w:p>
        </w:tc>
        <w:tc>
          <w:tcPr>
            <w:tcW w:w="2710" w:type="dxa"/>
            <w:tcBorders>
              <w:tl2br w:val="nil"/>
              <w:tr2bl w:val="nil"/>
            </w:tcBorders>
            <w:shd w:val="clear" w:color="auto" w:fill="auto"/>
            <w:vAlign w:val="center"/>
          </w:tcPr>
          <w:p>
            <w:pPr>
              <w:pStyle w:val="17"/>
              <w:bidi w:val="0"/>
              <w:rPr>
                <w:rFonts w:hint="default"/>
              </w:rPr>
            </w:pPr>
            <w:r>
              <w:rPr>
                <w:rFonts w:hint="default"/>
              </w:rPr>
              <w:t>废电子电器产品、废电池、废汽车、废电机、废五金、废塑料、废油、废船、废轮胎等加工、再生利用</w:t>
            </w:r>
          </w:p>
        </w:tc>
        <w:tc>
          <w:tcPr>
            <w:tcW w:w="1100" w:type="dxa"/>
            <w:tcBorders>
              <w:tl2br w:val="nil"/>
              <w:tr2bl w:val="nil"/>
            </w:tcBorders>
            <w:shd w:val="clear" w:color="auto" w:fill="auto"/>
            <w:vAlign w:val="center"/>
          </w:tcPr>
          <w:p>
            <w:pPr>
              <w:pStyle w:val="17"/>
              <w:bidi w:val="0"/>
              <w:rPr>
                <w:rFonts w:hint="default"/>
              </w:rPr>
            </w:pPr>
            <w:r>
              <w:rPr>
                <w:rFonts w:hint="default"/>
              </w:rPr>
              <w:t>其他</w:t>
            </w:r>
          </w:p>
        </w:tc>
        <w:tc>
          <w:tcPr>
            <w:tcW w:w="2555" w:type="dxa"/>
            <w:tcBorders>
              <w:tl2br w:val="nil"/>
              <w:tr2bl w:val="nil"/>
            </w:tcBorders>
            <w:shd w:val="clear" w:color="auto" w:fill="BEBEBE"/>
            <w:vAlign w:val="center"/>
          </w:tcPr>
          <w:p>
            <w:pPr>
              <w:pStyle w:val="17"/>
              <w:bidi w:val="0"/>
              <w:rPr>
                <w:rFonts w:hint="default"/>
              </w:rPr>
            </w:pPr>
            <w:r>
              <w:rPr>
                <w:rFonts w:hint="default"/>
              </w:rPr>
              <w:t>危废Ⅰ类，其余Ⅲ类</w:t>
            </w:r>
          </w:p>
        </w:tc>
        <w:tc>
          <w:tcPr>
            <w:tcW w:w="964" w:type="dxa"/>
            <w:tcBorders>
              <w:tl2br w:val="nil"/>
              <w:tr2bl w:val="nil"/>
            </w:tcBorders>
            <w:vAlign w:val="center"/>
          </w:tcPr>
          <w:p>
            <w:pPr>
              <w:pStyle w:val="17"/>
              <w:bidi w:val="0"/>
              <w:rPr>
                <w:rFonts w:hint="default"/>
              </w:rPr>
            </w:pPr>
            <w:r>
              <w:rPr>
                <w:rFonts w:hint="default"/>
              </w:rPr>
              <w:t>Ⅳ类</w:t>
            </w:r>
          </w:p>
        </w:tc>
      </w:tr>
    </w:tbl>
    <w:p>
      <w:pPr>
        <w:pStyle w:val="17"/>
        <w:bidi w:val="0"/>
        <w:rPr>
          <w:rFonts w:hint="default"/>
          <w:b/>
          <w:bCs/>
        </w:rPr>
      </w:pPr>
      <w:r>
        <w:rPr>
          <w:rFonts w:hint="default"/>
          <w:b/>
          <w:bCs/>
        </w:rPr>
        <w:t>表2.6-</w:t>
      </w:r>
      <w:r>
        <w:rPr>
          <w:rFonts w:hint="default"/>
          <w:b/>
          <w:bCs/>
          <w:lang w:val="en-US" w:eastAsia="zh-CN"/>
        </w:rPr>
        <w:t>8</w:t>
      </w:r>
      <w:r>
        <w:rPr>
          <w:rFonts w:hint="default"/>
          <w:b/>
          <w:bCs/>
        </w:rPr>
        <w:t xml:space="preserve"> </w:t>
      </w:r>
      <w:r>
        <w:rPr>
          <w:rFonts w:hint="eastAsia"/>
          <w:b/>
          <w:bCs/>
          <w:lang w:val="en-US" w:eastAsia="zh-CN"/>
        </w:rPr>
        <w:t xml:space="preserve"> </w:t>
      </w:r>
      <w:r>
        <w:rPr>
          <w:rFonts w:hint="default"/>
          <w:b/>
          <w:bCs/>
        </w:rPr>
        <w:t xml:space="preserve"> 地下水环境敏感程度分级表</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78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32" w:type="dxa"/>
            <w:tcBorders>
              <w:tl2br w:val="nil"/>
              <w:tr2bl w:val="nil"/>
            </w:tcBorders>
            <w:vAlign w:val="center"/>
          </w:tcPr>
          <w:p>
            <w:pPr>
              <w:pStyle w:val="17"/>
              <w:bidi w:val="0"/>
              <w:rPr>
                <w:rFonts w:hint="default"/>
                <w:b/>
                <w:bCs/>
              </w:rPr>
            </w:pPr>
            <w:r>
              <w:rPr>
                <w:rFonts w:hint="default"/>
                <w:b/>
                <w:bCs/>
              </w:rPr>
              <w:t>敏感程度</w:t>
            </w:r>
          </w:p>
        </w:tc>
        <w:tc>
          <w:tcPr>
            <w:tcW w:w="7839" w:type="dxa"/>
            <w:tcBorders>
              <w:tl2br w:val="nil"/>
              <w:tr2bl w:val="nil"/>
            </w:tcBorders>
            <w:vAlign w:val="center"/>
          </w:tcPr>
          <w:p>
            <w:pPr>
              <w:pStyle w:val="17"/>
              <w:bidi w:val="0"/>
              <w:rPr>
                <w:rFonts w:hint="default"/>
                <w:b/>
                <w:bCs/>
              </w:rPr>
            </w:pPr>
            <w:r>
              <w:rPr>
                <w:rFonts w:hint="default"/>
                <w:b/>
                <w:bCs/>
              </w:rP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32" w:type="dxa"/>
            <w:tcBorders>
              <w:tl2br w:val="nil"/>
              <w:tr2bl w:val="nil"/>
            </w:tcBorders>
            <w:vAlign w:val="center"/>
          </w:tcPr>
          <w:p>
            <w:pPr>
              <w:pStyle w:val="17"/>
              <w:bidi w:val="0"/>
              <w:rPr>
                <w:rFonts w:hint="default"/>
              </w:rPr>
            </w:pPr>
            <w:r>
              <w:rPr>
                <w:rFonts w:hint="default"/>
              </w:rPr>
              <w:t>敏感</w:t>
            </w:r>
          </w:p>
        </w:tc>
        <w:tc>
          <w:tcPr>
            <w:tcW w:w="7839" w:type="dxa"/>
            <w:tcBorders>
              <w:tl2br w:val="nil"/>
              <w:tr2bl w:val="nil"/>
            </w:tcBorders>
            <w:vAlign w:val="center"/>
          </w:tcPr>
          <w:p>
            <w:pPr>
              <w:pStyle w:val="17"/>
              <w:bidi w:val="0"/>
              <w:rPr>
                <w:rFonts w:hint="default"/>
              </w:rPr>
            </w:pPr>
            <w:r>
              <w:rPr>
                <w:rFonts w:hint="default"/>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32" w:type="dxa"/>
            <w:tcBorders>
              <w:tl2br w:val="nil"/>
              <w:tr2bl w:val="nil"/>
            </w:tcBorders>
            <w:vAlign w:val="center"/>
          </w:tcPr>
          <w:p>
            <w:pPr>
              <w:pStyle w:val="17"/>
              <w:bidi w:val="0"/>
              <w:rPr>
                <w:rFonts w:hint="default"/>
              </w:rPr>
            </w:pPr>
            <w:r>
              <w:rPr>
                <w:rFonts w:hint="default"/>
              </w:rPr>
              <w:t>较敏感</w:t>
            </w:r>
          </w:p>
        </w:tc>
        <w:tc>
          <w:tcPr>
            <w:tcW w:w="7839" w:type="dxa"/>
            <w:tcBorders>
              <w:tl2br w:val="nil"/>
              <w:tr2bl w:val="nil"/>
            </w:tcBorders>
            <w:vAlign w:val="center"/>
          </w:tcPr>
          <w:p>
            <w:pPr>
              <w:pStyle w:val="17"/>
              <w:bidi w:val="0"/>
              <w:rPr>
                <w:rFonts w:hint="default"/>
              </w:rPr>
            </w:pPr>
            <w:r>
              <w:rPr>
                <w:rFonts w:hint="default"/>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32" w:type="dxa"/>
            <w:tcBorders>
              <w:tl2br w:val="nil"/>
              <w:tr2bl w:val="nil"/>
            </w:tcBorders>
            <w:vAlign w:val="center"/>
          </w:tcPr>
          <w:p>
            <w:pPr>
              <w:pStyle w:val="17"/>
              <w:bidi w:val="0"/>
              <w:rPr>
                <w:rFonts w:hint="default"/>
              </w:rPr>
            </w:pPr>
            <w:r>
              <w:rPr>
                <w:rFonts w:hint="default"/>
              </w:rPr>
              <w:t>不敏感</w:t>
            </w:r>
          </w:p>
        </w:tc>
        <w:tc>
          <w:tcPr>
            <w:tcW w:w="7839" w:type="dxa"/>
            <w:tcBorders>
              <w:tl2br w:val="nil"/>
              <w:tr2bl w:val="nil"/>
            </w:tcBorders>
            <w:vAlign w:val="center"/>
          </w:tcPr>
          <w:p>
            <w:pPr>
              <w:pStyle w:val="17"/>
              <w:bidi w:val="0"/>
              <w:rPr>
                <w:rFonts w:hint="default"/>
              </w:rPr>
            </w:pPr>
            <w:r>
              <w:rPr>
                <w:rFonts w:hint="default"/>
              </w:rPr>
              <w:t>上述地区之外的其它地区。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071" w:type="dxa"/>
            <w:gridSpan w:val="2"/>
            <w:tcBorders>
              <w:tl2br w:val="nil"/>
              <w:tr2bl w:val="nil"/>
            </w:tcBorders>
            <w:vAlign w:val="center"/>
          </w:tcPr>
          <w:p>
            <w:pPr>
              <w:pStyle w:val="17"/>
              <w:bidi w:val="0"/>
              <w:rPr>
                <w:rFonts w:hint="default"/>
              </w:rPr>
            </w:pPr>
            <w:r>
              <w:rPr>
                <w:rFonts w:hint="default"/>
              </w:rPr>
              <w:t>注：a</w:t>
            </w:r>
            <w:r>
              <w:rPr>
                <w:rFonts w:hint="eastAsia"/>
                <w:lang w:eastAsia="zh-CN"/>
              </w:rPr>
              <w:t>“</w:t>
            </w:r>
            <w:r>
              <w:rPr>
                <w:rFonts w:hint="default"/>
              </w:rPr>
              <w:t>环境敏感区</w:t>
            </w:r>
            <w:r>
              <w:rPr>
                <w:rFonts w:hint="eastAsia"/>
                <w:lang w:eastAsia="zh-CN"/>
              </w:rPr>
              <w:t>”</w:t>
            </w:r>
            <w:r>
              <w:rPr>
                <w:rFonts w:hint="default"/>
              </w:rPr>
              <w:t>是指《建设项目环境影响评价分类管理名录》中所界定的涉及地下水的环境敏感区。</w:t>
            </w:r>
          </w:p>
        </w:tc>
      </w:tr>
    </w:tbl>
    <w:p>
      <w:pPr>
        <w:pStyle w:val="17"/>
        <w:bidi w:val="0"/>
        <w:rPr>
          <w:rFonts w:hint="default"/>
          <w:b/>
          <w:bCs/>
        </w:rPr>
      </w:pPr>
      <w:r>
        <w:rPr>
          <w:rFonts w:hint="default"/>
          <w:b/>
          <w:bCs/>
        </w:rPr>
        <mc:AlternateContent>
          <mc:Choice Requires="wps">
            <w:drawing>
              <wp:anchor distT="0" distB="0" distL="114300" distR="114300" simplePos="0" relativeHeight="251667456" behindDoc="0" locked="0" layoutInCell="1" allowOverlap="1">
                <wp:simplePos x="0" y="0"/>
                <wp:positionH relativeFrom="column">
                  <wp:posOffset>-1111250</wp:posOffset>
                </wp:positionH>
                <wp:positionV relativeFrom="paragraph">
                  <wp:posOffset>-6682740</wp:posOffset>
                </wp:positionV>
                <wp:extent cx="1018540" cy="492125"/>
                <wp:effectExtent l="1905" t="4445" r="8255" b="11430"/>
                <wp:wrapNone/>
                <wp:docPr id="16" name="直接连接符 10"/>
                <wp:cNvGraphicFramePr/>
                <a:graphic xmlns:a="http://schemas.openxmlformats.org/drawingml/2006/main">
                  <a:graphicData uri="http://schemas.microsoft.com/office/word/2010/wordprocessingShape">
                    <wps:wsp>
                      <wps:cNvCnPr/>
                      <wps:spPr>
                        <a:xfrm>
                          <a:off x="0" y="0"/>
                          <a:ext cx="1018540" cy="492125"/>
                        </a:xfrm>
                        <a:prstGeom prst="line">
                          <a:avLst/>
                        </a:prstGeom>
                        <a:ln w="3175" cap="flat" cmpd="sng">
                          <a:solidFill>
                            <a:srgbClr val="000000"/>
                          </a:solidFill>
                          <a:prstDash val="solid"/>
                          <a:headEnd type="none" w="med" len="med"/>
                          <a:tailEnd type="none" w="med" len="med"/>
                        </a:ln>
                        <a:effectLst/>
                      </wps:spPr>
                      <wps:bodyPr upright="1"/>
                    </wps:wsp>
                  </a:graphicData>
                </a:graphic>
              </wp:anchor>
            </w:drawing>
          </mc:Choice>
          <mc:Fallback>
            <w:pict>
              <v:line id="直接连接符 10" o:spid="_x0000_s1026" o:spt="20" style="position:absolute;left:0pt;margin-left:-87.5pt;margin-top:-526.2pt;height:38.75pt;width:80.2pt;z-index:251667456;mso-width-relative:page;mso-height-relative:page;" filled="f" stroked="t" coordsize="21600,21600" o:gfxdata="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Zm&#10;S+vfAAAADwEAAA8AAAAAAAAAAQAgAAAAIgAAAGRycy9kb3ducmV2LnhtbFBLAQIUABQAAAAIAIdO&#10;4kCHRfyh4wEAAKsDAAAOAAAAAAAAAAEAIAAAAC4BAABkcnMvZTJvRG9jLnhtbFBLBQYAAAAABgAG&#10;AFkBAACDBQAAAAA=&#10;">
                <v:fill on="f" focussize="0,0"/>
                <v:stroke weight="0.25pt" color="#000000" joinstyle="round"/>
                <v:imagedata o:title=""/>
                <o:lock v:ext="edit" aspectratio="f"/>
              </v:line>
            </w:pict>
          </mc:Fallback>
        </mc:AlternateContent>
      </w:r>
      <w:r>
        <w:rPr>
          <w:rFonts w:hint="default"/>
          <w:b/>
          <w:bCs/>
        </w:rPr>
        <w:t>表2.6-</w:t>
      </w:r>
      <w:r>
        <w:rPr>
          <w:rFonts w:hint="default"/>
          <w:b/>
          <w:bCs/>
          <w:lang w:val="en-US" w:eastAsia="zh-CN"/>
        </w:rPr>
        <w:t>9</w:t>
      </w:r>
      <w:r>
        <w:rPr>
          <w:rFonts w:hint="default"/>
          <w:b/>
          <w:bCs/>
        </w:rPr>
        <w:t xml:space="preserve"> </w:t>
      </w:r>
      <w:r>
        <w:rPr>
          <w:rFonts w:hint="eastAsia"/>
          <w:b/>
          <w:bCs/>
          <w:lang w:val="en-US" w:eastAsia="zh-CN"/>
        </w:rPr>
        <w:t xml:space="preserve"> </w:t>
      </w:r>
      <w:r>
        <w:rPr>
          <w:rFonts w:hint="default"/>
          <w:b/>
          <w:bCs/>
        </w:rPr>
        <w:t xml:space="preserve"> 评价工作等级分级表</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2445"/>
        <w:gridCol w:w="2177"/>
        <w:gridCol w:w="24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958" w:type="dxa"/>
            <w:tcBorders>
              <w:tl2br w:val="nil"/>
              <w:tr2bl w:val="nil"/>
            </w:tcBorders>
            <w:vAlign w:val="center"/>
          </w:tcPr>
          <w:p>
            <w:pPr>
              <w:pStyle w:val="17"/>
              <w:bidi w:val="0"/>
              <w:jc w:val="right"/>
              <w:rPr>
                <w:rFonts w:hint="default"/>
                <w:b/>
                <w:bCs/>
              </w:rPr>
            </w:pPr>
            <w:r>
              <w:rPr>
                <w:rFonts w:hint="default"/>
                <w:b/>
                <w:bCs/>
              </w:rPr>
              <mc:AlternateContent>
                <mc:Choice Requires="wps">
                  <w:drawing>
                    <wp:anchor distT="0" distB="0" distL="114300" distR="114300" simplePos="0" relativeHeight="251668480" behindDoc="0" locked="0" layoutInCell="1" allowOverlap="1">
                      <wp:simplePos x="0" y="0"/>
                      <wp:positionH relativeFrom="column">
                        <wp:posOffset>-53975</wp:posOffset>
                      </wp:positionH>
                      <wp:positionV relativeFrom="paragraph">
                        <wp:posOffset>-3810</wp:posOffset>
                      </wp:positionV>
                      <wp:extent cx="1208405" cy="328295"/>
                      <wp:effectExtent l="1905" t="6350" r="8890" b="8255"/>
                      <wp:wrapNone/>
                      <wp:docPr id="27" name="直接连接符 27"/>
                      <wp:cNvGraphicFramePr/>
                      <a:graphic xmlns:a="http://schemas.openxmlformats.org/drawingml/2006/main">
                        <a:graphicData uri="http://schemas.microsoft.com/office/word/2010/wordprocessingShape">
                          <wps:wsp>
                            <wps:cNvCnPr/>
                            <wps:spPr>
                              <a:xfrm>
                                <a:off x="1026795" y="7040245"/>
                                <a:ext cx="1208405" cy="3282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4.25pt;margin-top:-0.3pt;height:25.85pt;width:95.15pt;z-index:251668480;mso-width-relative:page;mso-height-relative:page;" filled="f" stroked="t" coordsize="21600,21600" o:gfxdata="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pctN/2AAAAAcBAAAPAAAAAAAA&#10;AAEAIAAAACIAAABkcnMvZG93bnJldi54bWxQSwECFAAUAAAACACHTuJAM7/UF9kBAAB3AwAADgAA&#10;AAAAAAABACAAAAAnAQAAZHJzL2Uyb0RvYy54bWxQSwUGAAAAAAYABgBZAQAAcgUAAAAA&#10;">
                      <v:fill on="f" focussize="0,0"/>
                      <v:stroke weight="1pt" color="#000000 [3200]" miterlimit="8" joinstyle="miter"/>
                      <v:imagedata o:title=""/>
                      <o:lock v:ext="edit" aspectratio="f"/>
                    </v:line>
                  </w:pict>
                </mc:Fallback>
              </mc:AlternateContent>
            </w:r>
            <w:r>
              <w:rPr>
                <w:rFonts w:hint="default"/>
                <w:b/>
                <w:bCs/>
              </w:rPr>
              <w:t>项目类别</w:t>
            </w:r>
          </w:p>
          <w:p>
            <w:pPr>
              <w:pStyle w:val="17"/>
              <w:bidi w:val="0"/>
              <w:jc w:val="left"/>
              <w:rPr>
                <w:rFonts w:hint="default"/>
                <w:b/>
                <w:bCs/>
              </w:rPr>
            </w:pPr>
            <w:r>
              <w:rPr>
                <w:rFonts w:hint="default"/>
                <w:b/>
                <w:bCs/>
              </w:rPr>
              <w:t>敏感程度</w:t>
            </w:r>
          </w:p>
        </w:tc>
        <w:tc>
          <w:tcPr>
            <w:tcW w:w="2445" w:type="dxa"/>
            <w:tcBorders>
              <w:tl2br w:val="nil"/>
              <w:tr2bl w:val="nil"/>
            </w:tcBorders>
            <w:vAlign w:val="center"/>
          </w:tcPr>
          <w:p>
            <w:pPr>
              <w:pStyle w:val="17"/>
              <w:bidi w:val="0"/>
              <w:rPr>
                <w:rFonts w:hint="default"/>
                <w:b/>
                <w:bCs/>
              </w:rPr>
            </w:pPr>
            <w:r>
              <w:rPr>
                <w:rFonts w:hint="default"/>
                <w:b/>
                <w:bCs/>
              </w:rPr>
              <w:t>Ⅰ类项目</w:t>
            </w:r>
          </w:p>
        </w:tc>
        <w:tc>
          <w:tcPr>
            <w:tcW w:w="2177" w:type="dxa"/>
            <w:tcBorders>
              <w:tl2br w:val="nil"/>
              <w:tr2bl w:val="nil"/>
            </w:tcBorders>
            <w:vAlign w:val="center"/>
          </w:tcPr>
          <w:p>
            <w:pPr>
              <w:pStyle w:val="17"/>
              <w:bidi w:val="0"/>
              <w:rPr>
                <w:rFonts w:hint="default"/>
                <w:b/>
                <w:bCs/>
              </w:rPr>
            </w:pPr>
            <w:r>
              <w:rPr>
                <w:rFonts w:hint="default"/>
                <w:b/>
                <w:bCs/>
              </w:rPr>
              <w:t>Ⅱ类项目</w:t>
            </w:r>
          </w:p>
        </w:tc>
        <w:tc>
          <w:tcPr>
            <w:tcW w:w="2491" w:type="dxa"/>
            <w:tcBorders>
              <w:tl2br w:val="nil"/>
              <w:tr2bl w:val="nil"/>
            </w:tcBorders>
            <w:vAlign w:val="center"/>
          </w:tcPr>
          <w:p>
            <w:pPr>
              <w:pStyle w:val="17"/>
              <w:bidi w:val="0"/>
              <w:rPr>
                <w:rFonts w:hint="default"/>
                <w:b/>
                <w:bCs/>
              </w:rPr>
            </w:pPr>
            <w:r>
              <w:rPr>
                <w:rFonts w:hint="default"/>
                <w:b/>
                <w:bCs/>
              </w:rPr>
              <w:t>Ⅲ类项目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958" w:type="dxa"/>
            <w:tcBorders>
              <w:tl2br w:val="nil"/>
              <w:tr2bl w:val="nil"/>
            </w:tcBorders>
            <w:vAlign w:val="center"/>
          </w:tcPr>
          <w:p>
            <w:pPr>
              <w:pStyle w:val="17"/>
              <w:bidi w:val="0"/>
              <w:rPr>
                <w:rFonts w:hint="default"/>
              </w:rPr>
            </w:pPr>
            <w:r>
              <w:rPr>
                <w:rFonts w:hint="default"/>
              </w:rPr>
              <w:t>敏感</w:t>
            </w:r>
          </w:p>
        </w:tc>
        <w:tc>
          <w:tcPr>
            <w:tcW w:w="2445" w:type="dxa"/>
            <w:tcBorders>
              <w:tl2br w:val="nil"/>
              <w:tr2bl w:val="nil"/>
            </w:tcBorders>
            <w:vAlign w:val="center"/>
          </w:tcPr>
          <w:p>
            <w:pPr>
              <w:pStyle w:val="17"/>
              <w:bidi w:val="0"/>
              <w:rPr>
                <w:rFonts w:hint="default"/>
              </w:rPr>
            </w:pPr>
            <w:r>
              <w:rPr>
                <w:rFonts w:hint="default"/>
              </w:rPr>
              <w:t>一</w:t>
            </w:r>
          </w:p>
        </w:tc>
        <w:tc>
          <w:tcPr>
            <w:tcW w:w="2177" w:type="dxa"/>
            <w:tcBorders>
              <w:tl2br w:val="nil"/>
              <w:tr2bl w:val="nil"/>
            </w:tcBorders>
            <w:vAlign w:val="center"/>
          </w:tcPr>
          <w:p>
            <w:pPr>
              <w:pStyle w:val="17"/>
              <w:bidi w:val="0"/>
              <w:rPr>
                <w:rFonts w:hint="default"/>
              </w:rPr>
            </w:pPr>
            <w:r>
              <w:rPr>
                <w:rFonts w:hint="default"/>
              </w:rPr>
              <w:t>一</w:t>
            </w:r>
          </w:p>
        </w:tc>
        <w:tc>
          <w:tcPr>
            <w:tcW w:w="2491" w:type="dxa"/>
            <w:tcBorders>
              <w:tl2br w:val="nil"/>
              <w:tr2bl w:val="nil"/>
            </w:tcBorders>
            <w:vAlign w:val="center"/>
          </w:tcPr>
          <w:p>
            <w:pPr>
              <w:pStyle w:val="17"/>
              <w:bidi w:val="0"/>
              <w:rPr>
                <w:rFonts w:hint="default"/>
              </w:rPr>
            </w:pPr>
            <w:r>
              <w:rPr>
                <w:rFonts w:hint="default"/>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958" w:type="dxa"/>
            <w:tcBorders>
              <w:tl2br w:val="nil"/>
              <w:tr2bl w:val="nil"/>
            </w:tcBorders>
            <w:vAlign w:val="center"/>
          </w:tcPr>
          <w:p>
            <w:pPr>
              <w:pStyle w:val="17"/>
              <w:bidi w:val="0"/>
              <w:rPr>
                <w:rFonts w:hint="default"/>
              </w:rPr>
            </w:pPr>
            <w:r>
              <w:rPr>
                <w:rFonts w:hint="default"/>
              </w:rPr>
              <w:t>较敏感</w:t>
            </w:r>
          </w:p>
        </w:tc>
        <w:tc>
          <w:tcPr>
            <w:tcW w:w="2445" w:type="dxa"/>
            <w:tcBorders>
              <w:tl2br w:val="nil"/>
              <w:tr2bl w:val="nil"/>
            </w:tcBorders>
            <w:vAlign w:val="center"/>
          </w:tcPr>
          <w:p>
            <w:pPr>
              <w:pStyle w:val="17"/>
              <w:bidi w:val="0"/>
              <w:rPr>
                <w:rFonts w:hint="default"/>
              </w:rPr>
            </w:pPr>
            <w:r>
              <w:rPr>
                <w:rFonts w:hint="default"/>
              </w:rPr>
              <w:t>一</w:t>
            </w:r>
          </w:p>
        </w:tc>
        <w:tc>
          <w:tcPr>
            <w:tcW w:w="2177" w:type="dxa"/>
            <w:tcBorders>
              <w:tl2br w:val="nil"/>
              <w:tr2bl w:val="nil"/>
            </w:tcBorders>
            <w:vAlign w:val="center"/>
          </w:tcPr>
          <w:p>
            <w:pPr>
              <w:pStyle w:val="17"/>
              <w:bidi w:val="0"/>
              <w:rPr>
                <w:rFonts w:hint="default"/>
              </w:rPr>
            </w:pPr>
            <w:r>
              <w:rPr>
                <w:rFonts w:hint="default"/>
              </w:rPr>
              <w:t>二</w:t>
            </w:r>
          </w:p>
        </w:tc>
        <w:tc>
          <w:tcPr>
            <w:tcW w:w="2491" w:type="dxa"/>
            <w:tcBorders>
              <w:tl2br w:val="nil"/>
              <w:tr2bl w:val="nil"/>
            </w:tcBorders>
            <w:vAlign w:val="center"/>
          </w:tcPr>
          <w:p>
            <w:pPr>
              <w:pStyle w:val="17"/>
              <w:bidi w:val="0"/>
              <w:rPr>
                <w:rFonts w:hint="default"/>
              </w:rPr>
            </w:pPr>
            <w:r>
              <w:rPr>
                <w:rFonts w:hint="default"/>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958" w:type="dxa"/>
            <w:tcBorders>
              <w:tl2br w:val="nil"/>
              <w:tr2bl w:val="nil"/>
            </w:tcBorders>
            <w:shd w:val="clear" w:color="auto" w:fill="auto"/>
            <w:vAlign w:val="center"/>
          </w:tcPr>
          <w:p>
            <w:pPr>
              <w:pStyle w:val="17"/>
              <w:bidi w:val="0"/>
              <w:rPr>
                <w:rFonts w:hint="default"/>
              </w:rPr>
            </w:pPr>
            <w:r>
              <w:rPr>
                <w:rFonts w:hint="default"/>
              </w:rPr>
              <w:t>不敏感</w:t>
            </w:r>
          </w:p>
        </w:tc>
        <w:tc>
          <w:tcPr>
            <w:tcW w:w="2445" w:type="dxa"/>
            <w:tcBorders>
              <w:tl2br w:val="nil"/>
              <w:tr2bl w:val="nil"/>
            </w:tcBorders>
            <w:shd w:val="clear" w:color="auto" w:fill="auto"/>
            <w:vAlign w:val="center"/>
          </w:tcPr>
          <w:p>
            <w:pPr>
              <w:pStyle w:val="17"/>
              <w:bidi w:val="0"/>
              <w:rPr>
                <w:rFonts w:hint="default"/>
              </w:rPr>
            </w:pPr>
            <w:r>
              <w:rPr>
                <w:rFonts w:hint="default"/>
              </w:rPr>
              <w:t>二</w:t>
            </w:r>
          </w:p>
        </w:tc>
        <w:tc>
          <w:tcPr>
            <w:tcW w:w="2177" w:type="dxa"/>
            <w:tcBorders>
              <w:tl2br w:val="nil"/>
              <w:tr2bl w:val="nil"/>
            </w:tcBorders>
            <w:shd w:val="clear" w:color="auto" w:fill="auto"/>
            <w:vAlign w:val="center"/>
          </w:tcPr>
          <w:p>
            <w:pPr>
              <w:pStyle w:val="17"/>
              <w:bidi w:val="0"/>
              <w:rPr>
                <w:rFonts w:hint="default"/>
              </w:rPr>
            </w:pPr>
            <w:r>
              <w:rPr>
                <w:rFonts w:hint="default"/>
              </w:rPr>
              <w:t>三</w:t>
            </w:r>
          </w:p>
        </w:tc>
        <w:tc>
          <w:tcPr>
            <w:tcW w:w="2491" w:type="dxa"/>
            <w:tcBorders>
              <w:tl2br w:val="nil"/>
              <w:tr2bl w:val="nil"/>
            </w:tcBorders>
            <w:shd w:val="clear" w:color="auto" w:fill="D7D7D7"/>
            <w:vAlign w:val="center"/>
          </w:tcPr>
          <w:p>
            <w:pPr>
              <w:pStyle w:val="17"/>
              <w:bidi w:val="0"/>
              <w:rPr>
                <w:rFonts w:hint="default"/>
              </w:rPr>
            </w:pPr>
            <w:r>
              <w:rPr>
                <w:rFonts w:hint="default"/>
              </w:rPr>
              <w:t>三</w:t>
            </w:r>
          </w:p>
        </w:tc>
      </w:tr>
    </w:tbl>
    <w:p>
      <w:pPr>
        <w:bidi w:val="0"/>
        <w:rPr>
          <w:rFonts w:hint="default"/>
        </w:rPr>
      </w:pPr>
      <w:r>
        <w:rPr>
          <w:rFonts w:hint="default"/>
        </w:rPr>
        <w:t>根据导则中地下水环境敏感程度分级及评价工作等级划分原则，结合工程污染特征及周边水文地质特点，本项目选址位于规划的工业，地下水环境敏感程度属于不敏感，判定本项目地下水评价等级为三级。</w:t>
      </w:r>
    </w:p>
    <w:p>
      <w:pPr>
        <w:pStyle w:val="6"/>
        <w:bidi w:val="0"/>
        <w:rPr>
          <w:rFonts w:hint="default"/>
        </w:rPr>
      </w:pPr>
      <w:r>
        <w:rPr>
          <w:rFonts w:hint="default"/>
        </w:rPr>
        <w:t>2.6.1.4</w:t>
      </w:r>
      <w:r>
        <w:rPr>
          <w:rFonts w:hint="eastAsia"/>
          <w:lang w:eastAsia="zh-CN"/>
        </w:rPr>
        <w:t>、</w:t>
      </w:r>
      <w:r>
        <w:rPr>
          <w:rFonts w:hint="default"/>
        </w:rPr>
        <w:t>声环境</w:t>
      </w:r>
    </w:p>
    <w:p>
      <w:pPr>
        <w:bidi w:val="0"/>
        <w:rPr>
          <w:rFonts w:hint="default"/>
        </w:rPr>
      </w:pPr>
      <w:r>
        <w:rPr>
          <w:rFonts w:hint="default"/>
        </w:rPr>
        <w:t>项目所在区域适用《声环境质量标准》（GB3096-2008）规定的</w:t>
      </w:r>
      <w:r>
        <w:rPr>
          <w:rFonts w:hint="eastAsia"/>
          <w:lang w:val="en-US" w:eastAsia="zh-CN"/>
        </w:rPr>
        <w:t>2</w:t>
      </w:r>
      <w:r>
        <w:rPr>
          <w:rFonts w:hint="default"/>
        </w:rPr>
        <w:t>类标准，根据《环境影响评价技术导则·声环境》(HJ2.4-2009)中声环境影响评价分级的判据，建设项目所处的声环境功能区为GB3096规定的</w:t>
      </w:r>
      <w:r>
        <w:rPr>
          <w:rFonts w:hint="eastAsia"/>
          <w:lang w:val="en-US" w:eastAsia="zh-CN"/>
        </w:rPr>
        <w:t>2</w:t>
      </w:r>
      <w:r>
        <w:rPr>
          <w:rFonts w:hint="default"/>
        </w:rPr>
        <w:t>类地区，或者项目建设前后评价范围内敏感目标噪声级增高量达</w:t>
      </w:r>
      <w:r>
        <w:rPr>
          <w:rFonts w:hint="eastAsia"/>
          <w:lang w:val="en-US" w:eastAsia="zh-CN"/>
        </w:rPr>
        <w:t>3~5</w:t>
      </w:r>
      <w:r>
        <w:rPr>
          <w:rFonts w:hint="default"/>
        </w:rPr>
        <w:t>dB（A）以下（</w:t>
      </w:r>
      <w:r>
        <w:rPr>
          <w:rFonts w:hint="eastAsia"/>
          <w:lang w:val="en-US" w:eastAsia="zh-CN"/>
        </w:rPr>
        <w:t>含5</w:t>
      </w:r>
      <w:r>
        <w:rPr>
          <w:rFonts w:hint="default"/>
        </w:rPr>
        <w:t>dB（A）），或受噪声影响人口数量</w:t>
      </w:r>
      <w:r>
        <w:rPr>
          <w:rFonts w:hint="eastAsia"/>
          <w:lang w:val="en-US" w:eastAsia="zh-CN"/>
        </w:rPr>
        <w:t>增加较多时</w:t>
      </w:r>
      <w:r>
        <w:rPr>
          <w:rFonts w:hint="default"/>
        </w:rPr>
        <w:t>时，按</w:t>
      </w:r>
      <w:r>
        <w:rPr>
          <w:rFonts w:hint="eastAsia"/>
          <w:lang w:val="en-US" w:eastAsia="zh-CN"/>
        </w:rPr>
        <w:t>二</w:t>
      </w:r>
      <w:r>
        <w:rPr>
          <w:rFonts w:hint="default"/>
        </w:rPr>
        <w:t>级评价。等级判定见表2.6-</w:t>
      </w:r>
      <w:r>
        <w:rPr>
          <w:rFonts w:hint="default"/>
          <w:lang w:val="en-US" w:eastAsia="zh-CN"/>
        </w:rPr>
        <w:t>10</w:t>
      </w:r>
      <w:r>
        <w:rPr>
          <w:rFonts w:hint="default"/>
        </w:rPr>
        <w:t>。</w:t>
      </w:r>
    </w:p>
    <w:p>
      <w:pPr>
        <w:pStyle w:val="17"/>
        <w:bidi w:val="0"/>
        <w:rPr>
          <w:rFonts w:hint="default"/>
          <w:b/>
          <w:bCs/>
        </w:rPr>
      </w:pPr>
      <w:r>
        <w:rPr>
          <w:rFonts w:hint="default"/>
          <w:b/>
          <w:bCs/>
        </w:rPr>
        <w:t>表2.6-</w:t>
      </w:r>
      <w:r>
        <w:rPr>
          <w:rFonts w:hint="default"/>
          <w:b/>
          <w:bCs/>
          <w:lang w:val="en-US" w:eastAsia="zh-CN"/>
        </w:rPr>
        <w:t>10</w:t>
      </w:r>
      <w:r>
        <w:rPr>
          <w:rFonts w:hint="eastAsia"/>
          <w:b/>
          <w:bCs/>
          <w:lang w:val="en-US" w:eastAsia="zh-CN"/>
        </w:rPr>
        <w:t xml:space="preserve">  </w:t>
      </w:r>
      <w:r>
        <w:rPr>
          <w:rFonts w:hint="default"/>
          <w:b/>
          <w:bCs/>
        </w:rPr>
        <w:t xml:space="preserve"> 环境噪声影响评价工作等级判定依据表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175"/>
        <w:gridCol w:w="1958"/>
        <w:gridCol w:w="2957"/>
        <w:gridCol w:w="19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2175" w:type="dxa"/>
            <w:tcBorders>
              <w:tl2br w:val="nil"/>
              <w:tr2bl w:val="nil"/>
            </w:tcBorders>
            <w:vAlign w:val="center"/>
          </w:tcPr>
          <w:p>
            <w:pPr>
              <w:pStyle w:val="17"/>
              <w:bidi w:val="0"/>
              <w:rPr>
                <w:rFonts w:hint="default"/>
                <w:b/>
                <w:bCs/>
              </w:rPr>
            </w:pPr>
            <w:r>
              <w:rPr>
                <w:rFonts w:hint="default"/>
                <w:b/>
                <w:bCs/>
              </w:rPr>
              <w:t>判别依据</w:t>
            </w:r>
          </w:p>
        </w:tc>
        <w:tc>
          <w:tcPr>
            <w:tcW w:w="1958" w:type="dxa"/>
            <w:tcBorders>
              <w:tl2br w:val="nil"/>
              <w:tr2bl w:val="nil"/>
            </w:tcBorders>
            <w:vAlign w:val="center"/>
          </w:tcPr>
          <w:p>
            <w:pPr>
              <w:pStyle w:val="17"/>
              <w:bidi w:val="0"/>
              <w:rPr>
                <w:rFonts w:hint="default"/>
                <w:b/>
                <w:bCs/>
              </w:rPr>
            </w:pPr>
            <w:r>
              <w:rPr>
                <w:rFonts w:hint="default"/>
                <w:b/>
                <w:bCs/>
              </w:rPr>
              <w:t>声环境功能区类别</w:t>
            </w:r>
          </w:p>
        </w:tc>
        <w:tc>
          <w:tcPr>
            <w:tcW w:w="2957" w:type="dxa"/>
            <w:tcBorders>
              <w:tl2br w:val="nil"/>
              <w:tr2bl w:val="nil"/>
            </w:tcBorders>
            <w:vAlign w:val="center"/>
          </w:tcPr>
          <w:p>
            <w:pPr>
              <w:pStyle w:val="17"/>
              <w:bidi w:val="0"/>
              <w:rPr>
                <w:rFonts w:hint="default"/>
                <w:b/>
                <w:bCs/>
              </w:rPr>
            </w:pPr>
            <w:r>
              <w:rPr>
                <w:rFonts w:hint="default"/>
                <w:b/>
                <w:bCs/>
              </w:rPr>
              <w:t>项目建设前后评价范围内</w:t>
            </w:r>
          </w:p>
          <w:p>
            <w:pPr>
              <w:pStyle w:val="17"/>
              <w:bidi w:val="0"/>
              <w:rPr>
                <w:rFonts w:hint="default"/>
                <w:b/>
                <w:bCs/>
              </w:rPr>
            </w:pPr>
            <w:r>
              <w:rPr>
                <w:rFonts w:hint="default"/>
                <w:b/>
                <w:bCs/>
              </w:rPr>
              <w:t>敏感目标噪声级增高量</w:t>
            </w:r>
          </w:p>
        </w:tc>
        <w:tc>
          <w:tcPr>
            <w:tcW w:w="1981" w:type="dxa"/>
            <w:tcBorders>
              <w:tl2br w:val="nil"/>
              <w:tr2bl w:val="nil"/>
            </w:tcBorders>
            <w:vAlign w:val="center"/>
          </w:tcPr>
          <w:p>
            <w:pPr>
              <w:pStyle w:val="17"/>
              <w:bidi w:val="0"/>
              <w:rPr>
                <w:rFonts w:hint="default"/>
                <w:b/>
                <w:bCs/>
              </w:rPr>
            </w:pPr>
            <w:r>
              <w:rPr>
                <w:rFonts w:hint="default"/>
                <w:b/>
                <w:bCs/>
              </w:rPr>
              <w:t>受噪声影响</w:t>
            </w:r>
          </w:p>
          <w:p>
            <w:pPr>
              <w:pStyle w:val="17"/>
              <w:bidi w:val="0"/>
              <w:rPr>
                <w:rFonts w:hint="default"/>
                <w:b/>
                <w:bCs/>
              </w:rPr>
            </w:pPr>
            <w:r>
              <w:rPr>
                <w:rFonts w:hint="default"/>
                <w:b/>
                <w:bCs/>
              </w:rPr>
              <w:t>范围内的人口数量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2175" w:type="dxa"/>
            <w:tcBorders>
              <w:tl2br w:val="nil"/>
              <w:tr2bl w:val="nil"/>
            </w:tcBorders>
            <w:vAlign w:val="center"/>
          </w:tcPr>
          <w:p>
            <w:pPr>
              <w:pStyle w:val="17"/>
              <w:bidi w:val="0"/>
              <w:rPr>
                <w:rFonts w:hint="default"/>
              </w:rPr>
            </w:pPr>
            <w:r>
              <w:rPr>
                <w:rFonts w:hint="eastAsia"/>
                <w:lang w:val="en-US" w:eastAsia="zh-CN"/>
              </w:rPr>
              <w:t>二</w:t>
            </w:r>
            <w:r>
              <w:rPr>
                <w:rFonts w:hint="default"/>
              </w:rPr>
              <w:t>级评价标准判据</w:t>
            </w:r>
          </w:p>
        </w:tc>
        <w:tc>
          <w:tcPr>
            <w:tcW w:w="1958" w:type="dxa"/>
            <w:tcBorders>
              <w:tl2br w:val="nil"/>
              <w:tr2bl w:val="nil"/>
            </w:tcBorders>
            <w:vAlign w:val="center"/>
          </w:tcPr>
          <w:p>
            <w:pPr>
              <w:pStyle w:val="17"/>
              <w:bidi w:val="0"/>
              <w:rPr>
                <w:rFonts w:hint="default"/>
              </w:rPr>
            </w:pPr>
            <w:r>
              <w:rPr>
                <w:rFonts w:hint="eastAsia"/>
                <w:lang w:val="en-US" w:eastAsia="zh-CN"/>
              </w:rPr>
              <w:t>1类、2</w:t>
            </w:r>
            <w:r>
              <w:rPr>
                <w:rFonts w:hint="default"/>
              </w:rPr>
              <w:t>类</w:t>
            </w:r>
          </w:p>
        </w:tc>
        <w:tc>
          <w:tcPr>
            <w:tcW w:w="2957" w:type="dxa"/>
            <w:tcBorders>
              <w:tl2br w:val="nil"/>
              <w:tr2bl w:val="nil"/>
            </w:tcBorders>
            <w:vAlign w:val="center"/>
          </w:tcPr>
          <w:p>
            <w:pPr>
              <w:pStyle w:val="17"/>
              <w:bidi w:val="0"/>
              <w:rPr>
                <w:rFonts w:hint="default"/>
              </w:rPr>
            </w:pPr>
            <w:r>
              <w:rPr>
                <w:rFonts w:hint="default"/>
              </w:rPr>
              <w:t>3</w:t>
            </w:r>
            <w:r>
              <w:rPr>
                <w:rFonts w:hint="eastAsia"/>
                <w:lang w:val="en-US" w:eastAsia="zh-CN"/>
              </w:rPr>
              <w:t>~5</w:t>
            </w:r>
            <w:r>
              <w:rPr>
                <w:rFonts w:hint="default"/>
              </w:rPr>
              <w:t>dB(A)（含5dB(A)）</w:t>
            </w:r>
          </w:p>
        </w:tc>
        <w:tc>
          <w:tcPr>
            <w:tcW w:w="1981" w:type="dxa"/>
            <w:tcBorders>
              <w:tl2br w:val="nil"/>
              <w:tr2bl w:val="nil"/>
            </w:tcBorders>
            <w:vAlign w:val="center"/>
          </w:tcPr>
          <w:p>
            <w:pPr>
              <w:pStyle w:val="17"/>
              <w:bidi w:val="0"/>
              <w:rPr>
                <w:rFonts w:hint="default" w:eastAsia="宋体"/>
                <w:lang w:val="en-US" w:eastAsia="zh-CN"/>
              </w:rPr>
            </w:pPr>
            <w:r>
              <w:rPr>
                <w:rFonts w:hint="eastAsia"/>
                <w:lang w:val="en-US" w:eastAsia="zh-CN"/>
              </w:rPr>
              <w:t>受影响人口数量增加较多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2175" w:type="dxa"/>
            <w:tcBorders>
              <w:tl2br w:val="nil"/>
              <w:tr2bl w:val="nil"/>
            </w:tcBorders>
            <w:vAlign w:val="center"/>
          </w:tcPr>
          <w:p>
            <w:pPr>
              <w:pStyle w:val="17"/>
              <w:bidi w:val="0"/>
              <w:rPr>
                <w:rFonts w:hint="default"/>
              </w:rPr>
            </w:pPr>
            <w:r>
              <w:rPr>
                <w:rFonts w:hint="default"/>
              </w:rPr>
              <w:t>本工程</w:t>
            </w:r>
          </w:p>
        </w:tc>
        <w:tc>
          <w:tcPr>
            <w:tcW w:w="1958" w:type="dxa"/>
            <w:tcBorders>
              <w:tl2br w:val="nil"/>
              <w:tr2bl w:val="nil"/>
            </w:tcBorders>
            <w:vAlign w:val="center"/>
          </w:tcPr>
          <w:p>
            <w:pPr>
              <w:pStyle w:val="17"/>
              <w:bidi w:val="0"/>
              <w:rPr>
                <w:rFonts w:hint="default"/>
              </w:rPr>
            </w:pPr>
            <w:r>
              <w:rPr>
                <w:rFonts w:hint="eastAsia"/>
                <w:lang w:val="en-US" w:eastAsia="zh-CN"/>
              </w:rPr>
              <w:t>2</w:t>
            </w:r>
            <w:r>
              <w:rPr>
                <w:rFonts w:hint="default"/>
              </w:rPr>
              <w:t>类</w:t>
            </w:r>
          </w:p>
        </w:tc>
        <w:tc>
          <w:tcPr>
            <w:tcW w:w="2957" w:type="dxa"/>
            <w:tcBorders>
              <w:tl2br w:val="nil"/>
              <w:tr2bl w:val="nil"/>
            </w:tcBorders>
            <w:vAlign w:val="center"/>
          </w:tcPr>
          <w:p>
            <w:pPr>
              <w:pStyle w:val="17"/>
              <w:bidi w:val="0"/>
              <w:rPr>
                <w:rFonts w:hint="default"/>
              </w:rPr>
            </w:pPr>
            <w:r>
              <w:rPr>
                <w:rFonts w:hint="default"/>
              </w:rPr>
              <w:t>小于3dB(A)</w:t>
            </w:r>
          </w:p>
        </w:tc>
        <w:tc>
          <w:tcPr>
            <w:tcW w:w="1981" w:type="dxa"/>
            <w:tcBorders>
              <w:tl2br w:val="nil"/>
              <w:tr2bl w:val="nil"/>
            </w:tcBorders>
            <w:vAlign w:val="center"/>
          </w:tcPr>
          <w:p>
            <w:pPr>
              <w:pStyle w:val="17"/>
              <w:bidi w:val="0"/>
              <w:rPr>
                <w:rFonts w:hint="default"/>
              </w:rPr>
            </w:pPr>
            <w:r>
              <w:rPr>
                <w:rFonts w:hint="default"/>
              </w:rPr>
              <w:t>变化不大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15" w:hRule="atLeast"/>
          <w:jc w:val="center"/>
        </w:trPr>
        <w:tc>
          <w:tcPr>
            <w:tcW w:w="2175" w:type="dxa"/>
            <w:tcBorders>
              <w:tl2br w:val="nil"/>
              <w:tr2bl w:val="nil"/>
            </w:tcBorders>
            <w:shd w:val="clear" w:color="auto" w:fill="auto"/>
            <w:vAlign w:val="center"/>
          </w:tcPr>
          <w:p>
            <w:pPr>
              <w:pStyle w:val="17"/>
              <w:bidi w:val="0"/>
              <w:rPr>
                <w:rFonts w:hint="default"/>
              </w:rPr>
            </w:pPr>
            <w:r>
              <w:rPr>
                <w:rFonts w:hint="default"/>
              </w:rPr>
              <w:t>评价等级</w:t>
            </w:r>
          </w:p>
        </w:tc>
        <w:tc>
          <w:tcPr>
            <w:tcW w:w="6896" w:type="dxa"/>
            <w:gridSpan w:val="3"/>
            <w:tcBorders>
              <w:tl2br w:val="nil"/>
              <w:tr2bl w:val="nil"/>
            </w:tcBorders>
            <w:shd w:val="clear" w:color="auto" w:fill="D7D7D7"/>
            <w:vAlign w:val="center"/>
          </w:tcPr>
          <w:p>
            <w:pPr>
              <w:pStyle w:val="17"/>
              <w:bidi w:val="0"/>
              <w:rPr>
                <w:rFonts w:hint="default"/>
              </w:rPr>
            </w:pPr>
            <w:r>
              <w:rPr>
                <w:rFonts w:hint="eastAsia"/>
                <w:lang w:val="en-US" w:eastAsia="zh-CN"/>
              </w:rPr>
              <w:t>二</w:t>
            </w:r>
            <w:r>
              <w:rPr>
                <w:rFonts w:hint="default"/>
              </w:rPr>
              <w:t>级评价</w:t>
            </w:r>
          </w:p>
        </w:tc>
      </w:tr>
    </w:tbl>
    <w:p>
      <w:pPr>
        <w:bidi w:val="0"/>
        <w:rPr>
          <w:rFonts w:hint="default"/>
        </w:rPr>
      </w:pPr>
      <w:r>
        <w:rPr>
          <w:rFonts w:hint="default"/>
        </w:rPr>
        <w:t>项目选址为声环境功能</w:t>
      </w:r>
      <w:r>
        <w:rPr>
          <w:rFonts w:hint="eastAsia"/>
          <w:lang w:val="en-US" w:eastAsia="zh-CN"/>
        </w:rPr>
        <w:t>2</w:t>
      </w:r>
      <w:r>
        <w:rPr>
          <w:rFonts w:hint="default"/>
        </w:rPr>
        <w:t>类功能区，周边无声环境敏感点，因此判定声环境工作等级为</w:t>
      </w:r>
      <w:r>
        <w:rPr>
          <w:rFonts w:hint="eastAsia"/>
          <w:lang w:val="en-US" w:eastAsia="zh-CN"/>
        </w:rPr>
        <w:t>二</w:t>
      </w:r>
      <w:r>
        <w:rPr>
          <w:rFonts w:hint="default"/>
        </w:rPr>
        <w:t>级。</w:t>
      </w:r>
    </w:p>
    <w:p>
      <w:pPr>
        <w:pStyle w:val="6"/>
        <w:bidi w:val="0"/>
        <w:rPr>
          <w:rFonts w:hint="default"/>
        </w:rPr>
      </w:pPr>
      <w:r>
        <w:rPr>
          <w:rFonts w:hint="default"/>
        </w:rPr>
        <w:t>2.6.1.5</w:t>
      </w:r>
      <w:r>
        <w:rPr>
          <w:rFonts w:hint="eastAsia"/>
          <w:lang w:eastAsia="zh-CN"/>
        </w:rPr>
        <w:t>、</w:t>
      </w:r>
      <w:r>
        <w:rPr>
          <w:rFonts w:hint="default"/>
        </w:rPr>
        <w:t>土壤环境</w:t>
      </w:r>
    </w:p>
    <w:p>
      <w:pPr>
        <w:bidi w:val="0"/>
        <w:rPr>
          <w:rFonts w:hint="default"/>
        </w:rPr>
      </w:pPr>
      <w:r>
        <w:rPr>
          <w:rFonts w:hint="default"/>
        </w:rPr>
        <w:t>本项目属于废旧资源加工、再生利用行业，根据《环境影响评价技术导则·土壤环境（试行）》（HJ964—2018）中附录A，表A.1土壤环境影响评价项目类别，本项目属于环境和公共设施管理业中废旧资源加工、再生利用，故本项目属于</w:t>
      </w:r>
      <w:r>
        <w:rPr>
          <w:rFonts w:hint="default"/>
        </w:rPr>
        <w:fldChar w:fldCharType="begin"/>
      </w:r>
      <w:r>
        <w:rPr>
          <w:rFonts w:hint="default"/>
        </w:rPr>
        <w:instrText xml:space="preserve"> = 3 \* ROMAN \* MERGEFORMAT </w:instrText>
      </w:r>
      <w:r>
        <w:rPr>
          <w:rFonts w:hint="default"/>
        </w:rPr>
        <w:fldChar w:fldCharType="separate"/>
      </w:r>
      <w:r>
        <w:rPr>
          <w:rFonts w:hint="default"/>
        </w:rPr>
        <w:t>III</w:t>
      </w:r>
      <w:r>
        <w:rPr>
          <w:rFonts w:hint="default"/>
        </w:rPr>
        <w:fldChar w:fldCharType="end"/>
      </w:r>
      <w:r>
        <w:rPr>
          <w:rFonts w:hint="default"/>
        </w:rPr>
        <w:t>类项目；本项目用地性质为建设用地，周边</w:t>
      </w:r>
      <w:r>
        <w:rPr>
          <w:rFonts w:hint="eastAsia"/>
          <w:lang w:val="en-US" w:eastAsia="zh-CN"/>
        </w:rPr>
        <w:t>50m内存在农田和牧草地</w:t>
      </w:r>
      <w:r>
        <w:rPr>
          <w:rFonts w:hint="default"/>
        </w:rPr>
        <w:t>，故判定为敏感区；本项目占地面积</w:t>
      </w:r>
      <w:r>
        <w:rPr>
          <w:rFonts w:hint="eastAsia"/>
          <w:lang w:val="en-US" w:eastAsia="zh-CN"/>
        </w:rPr>
        <w:t>8277.18</w:t>
      </w:r>
      <w:r>
        <w:rPr>
          <w:rFonts w:hint="eastAsia"/>
          <w:lang w:eastAsia="zh-CN"/>
        </w:rPr>
        <w:t>m²</w:t>
      </w:r>
      <w:r>
        <w:rPr>
          <w:rFonts w:hint="default"/>
        </w:rPr>
        <w:t>＜5h</w:t>
      </w:r>
      <w:r>
        <w:rPr>
          <w:rFonts w:hint="eastAsia"/>
          <w:lang w:eastAsia="zh-CN"/>
        </w:rPr>
        <w:t>m²</w:t>
      </w:r>
      <w:r>
        <w:rPr>
          <w:rFonts w:hint="default"/>
        </w:rPr>
        <w:t>，属于小型规模。根据表2.6-1</w:t>
      </w:r>
      <w:r>
        <w:rPr>
          <w:rFonts w:hint="default"/>
          <w:lang w:val="en-US" w:eastAsia="zh-CN"/>
        </w:rPr>
        <w:t>1</w:t>
      </w:r>
      <w:r>
        <w:rPr>
          <w:rFonts w:hint="default"/>
        </w:rPr>
        <w:t>污染影响型评价工作等级划分表，</w:t>
      </w:r>
      <w:r>
        <w:rPr>
          <w:rFonts w:hint="eastAsia"/>
          <w:lang w:val="en-US" w:eastAsia="zh-CN"/>
        </w:rPr>
        <w:t>本项目土壤环境影响评价等级为三级</w:t>
      </w:r>
      <w:r>
        <w:rPr>
          <w:rFonts w:hint="default"/>
        </w:rPr>
        <w:t>。</w:t>
      </w:r>
    </w:p>
    <w:p>
      <w:pPr>
        <w:pStyle w:val="17"/>
        <w:bidi w:val="0"/>
        <w:rPr>
          <w:rFonts w:hint="default"/>
          <w:b/>
          <w:bCs/>
        </w:rPr>
      </w:pPr>
      <w:r>
        <w:rPr>
          <w:rFonts w:hint="default"/>
          <w:b/>
          <w:bCs/>
        </w:rPr>
        <w:t>表2.6-1</w:t>
      </w:r>
      <w:r>
        <w:rPr>
          <w:rFonts w:hint="default"/>
          <w:b/>
          <w:bCs/>
          <w:lang w:val="en-US" w:eastAsia="zh-CN"/>
        </w:rPr>
        <w:t>1</w:t>
      </w:r>
      <w:r>
        <w:rPr>
          <w:rFonts w:hint="eastAsia"/>
          <w:b/>
          <w:bCs/>
          <w:lang w:val="en-US" w:eastAsia="zh-CN"/>
        </w:rPr>
        <w:t xml:space="preserve">   </w:t>
      </w:r>
      <w:r>
        <w:rPr>
          <w:rFonts w:hint="default"/>
          <w:b/>
          <w:bCs/>
        </w:rPr>
        <w:t>污染影响型评价工作等级划分表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851"/>
        <w:gridCol w:w="851"/>
        <w:gridCol w:w="851"/>
        <w:gridCol w:w="851"/>
        <w:gridCol w:w="851"/>
        <w:gridCol w:w="851"/>
        <w:gridCol w:w="851"/>
        <w:gridCol w:w="851"/>
        <w:gridCol w:w="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15" w:type="dxa"/>
            <w:tcBorders>
              <w:tl2br w:val="nil"/>
              <w:tr2bl w:val="nil"/>
            </w:tcBorders>
            <w:shd w:val="clear" w:color="auto" w:fill="auto"/>
            <w:vAlign w:val="center"/>
          </w:tcPr>
          <w:p>
            <w:pPr>
              <w:pStyle w:val="17"/>
              <w:bidi w:val="0"/>
              <w:rPr>
                <w:rFonts w:hint="default"/>
                <w:b/>
                <w:bCs/>
              </w:rPr>
            </w:pPr>
            <w:r>
              <w:rPr>
                <w:rFonts w:hint="default"/>
                <w:b/>
                <w:bCs/>
              </w:rPr>
              <w:t>敏感程度</w:t>
            </w:r>
          </w:p>
        </w:tc>
        <w:tc>
          <w:tcPr>
            <w:tcW w:w="2553" w:type="dxa"/>
            <w:gridSpan w:val="3"/>
            <w:tcBorders>
              <w:tl2br w:val="nil"/>
              <w:tr2bl w:val="nil"/>
            </w:tcBorders>
            <w:shd w:val="clear" w:color="auto" w:fill="auto"/>
          </w:tcPr>
          <w:p>
            <w:pPr>
              <w:pStyle w:val="17"/>
              <w:bidi w:val="0"/>
              <w:rPr>
                <w:rFonts w:hint="default"/>
                <w:b/>
                <w:bCs/>
              </w:rPr>
            </w:pPr>
            <w:r>
              <w:rPr>
                <w:rFonts w:hint="default"/>
                <w:b/>
                <w:bCs/>
              </w:rPr>
              <w:fldChar w:fldCharType="begin"/>
            </w:r>
            <w:r>
              <w:rPr>
                <w:rFonts w:hint="default"/>
                <w:b/>
                <w:bCs/>
              </w:rPr>
              <w:instrText xml:space="preserve"> = 1 \* ROMAN \* MERGEFORMAT </w:instrText>
            </w:r>
            <w:r>
              <w:rPr>
                <w:rFonts w:hint="default"/>
                <w:b/>
                <w:bCs/>
              </w:rPr>
              <w:fldChar w:fldCharType="separate"/>
            </w:r>
            <w:r>
              <w:rPr>
                <w:rFonts w:hint="default"/>
                <w:b/>
                <w:bCs/>
              </w:rPr>
              <w:t>I</w:t>
            </w:r>
            <w:r>
              <w:rPr>
                <w:rFonts w:hint="default"/>
                <w:b/>
                <w:bCs/>
              </w:rPr>
              <w:fldChar w:fldCharType="end"/>
            </w:r>
            <w:r>
              <w:rPr>
                <w:rFonts w:hint="default"/>
                <w:b/>
                <w:bCs/>
              </w:rPr>
              <w:t>类</w:t>
            </w:r>
          </w:p>
        </w:tc>
        <w:tc>
          <w:tcPr>
            <w:tcW w:w="2553" w:type="dxa"/>
            <w:gridSpan w:val="3"/>
            <w:tcBorders>
              <w:tl2br w:val="nil"/>
              <w:tr2bl w:val="nil"/>
            </w:tcBorders>
            <w:shd w:val="clear" w:color="auto" w:fill="auto"/>
          </w:tcPr>
          <w:p>
            <w:pPr>
              <w:pStyle w:val="17"/>
              <w:bidi w:val="0"/>
              <w:rPr>
                <w:rFonts w:hint="default"/>
                <w:b/>
                <w:bCs/>
              </w:rPr>
            </w:pPr>
            <w:r>
              <w:rPr>
                <w:rFonts w:hint="default"/>
                <w:b/>
                <w:bCs/>
              </w:rPr>
              <w:fldChar w:fldCharType="begin"/>
            </w:r>
            <w:r>
              <w:rPr>
                <w:rFonts w:hint="default"/>
                <w:b/>
                <w:bCs/>
              </w:rPr>
              <w:instrText xml:space="preserve"> = 2 \* ROMAN \* MERGEFORMAT </w:instrText>
            </w:r>
            <w:r>
              <w:rPr>
                <w:rFonts w:hint="default"/>
                <w:b/>
                <w:bCs/>
              </w:rPr>
              <w:fldChar w:fldCharType="separate"/>
            </w:r>
            <w:r>
              <w:rPr>
                <w:rFonts w:hint="default"/>
                <w:b/>
                <w:bCs/>
              </w:rPr>
              <w:t>II</w:t>
            </w:r>
            <w:r>
              <w:rPr>
                <w:rFonts w:hint="default"/>
                <w:b/>
                <w:bCs/>
              </w:rPr>
              <w:fldChar w:fldCharType="end"/>
            </w:r>
            <w:r>
              <w:rPr>
                <w:rFonts w:hint="default"/>
                <w:b/>
                <w:bCs/>
              </w:rPr>
              <w:t>类</w:t>
            </w:r>
          </w:p>
        </w:tc>
        <w:tc>
          <w:tcPr>
            <w:tcW w:w="2550" w:type="dxa"/>
            <w:gridSpan w:val="3"/>
            <w:tcBorders>
              <w:tl2br w:val="nil"/>
              <w:tr2bl w:val="nil"/>
            </w:tcBorders>
            <w:shd w:val="clear" w:color="auto" w:fill="auto"/>
          </w:tcPr>
          <w:p>
            <w:pPr>
              <w:pStyle w:val="17"/>
              <w:bidi w:val="0"/>
              <w:rPr>
                <w:rFonts w:hint="default"/>
                <w:b/>
                <w:bCs/>
              </w:rPr>
            </w:pPr>
            <w:r>
              <w:rPr>
                <w:rFonts w:hint="default"/>
                <w:b/>
                <w:bCs/>
              </w:rPr>
              <w:fldChar w:fldCharType="begin"/>
            </w:r>
            <w:r>
              <w:rPr>
                <w:rFonts w:hint="default"/>
                <w:b/>
                <w:bCs/>
              </w:rPr>
              <w:instrText xml:space="preserve"> = 3 \* ROMAN \* MERGEFORMAT </w:instrText>
            </w:r>
            <w:r>
              <w:rPr>
                <w:rFonts w:hint="default"/>
                <w:b/>
                <w:bCs/>
              </w:rPr>
              <w:fldChar w:fldCharType="separate"/>
            </w:r>
            <w:r>
              <w:rPr>
                <w:rFonts w:hint="default"/>
                <w:b/>
                <w:bCs/>
              </w:rPr>
              <w:t>III</w:t>
            </w:r>
            <w:r>
              <w:rPr>
                <w:rFonts w:hint="default"/>
                <w:b/>
                <w:bCs/>
              </w:rPr>
              <w:fldChar w:fldCharType="end"/>
            </w:r>
            <w:r>
              <w:rPr>
                <w:rFonts w:hint="default"/>
                <w:b/>
                <w:bCs/>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15" w:type="dxa"/>
            <w:tcBorders>
              <w:tl2br w:val="nil"/>
              <w:tr2bl w:val="nil"/>
            </w:tcBorders>
            <w:shd w:val="clear" w:color="auto" w:fill="auto"/>
          </w:tcPr>
          <w:p>
            <w:pPr>
              <w:pStyle w:val="17"/>
              <w:bidi w:val="0"/>
              <w:rPr>
                <w:rFonts w:hint="default"/>
              </w:rPr>
            </w:pPr>
            <w:r>
              <w:rPr>
                <w:rFonts w:hint="default"/>
              </w:rPr>
              <w:t>评价等级</w:t>
            </w:r>
          </w:p>
          <w:p>
            <w:pPr>
              <w:pStyle w:val="17"/>
              <w:bidi w:val="0"/>
              <w:rPr>
                <w:rFonts w:hint="default"/>
              </w:rPr>
            </w:pPr>
            <w:r>
              <w:rPr>
                <w:rFonts w:hint="default"/>
              </w:rPr>
              <w:t>占地规模</w:t>
            </w:r>
          </w:p>
        </w:tc>
        <w:tc>
          <w:tcPr>
            <w:tcW w:w="851" w:type="dxa"/>
            <w:tcBorders>
              <w:tl2br w:val="nil"/>
              <w:tr2bl w:val="nil"/>
            </w:tcBorders>
            <w:shd w:val="clear" w:color="auto" w:fill="auto"/>
          </w:tcPr>
          <w:p>
            <w:pPr>
              <w:pStyle w:val="17"/>
              <w:bidi w:val="0"/>
              <w:rPr>
                <w:rFonts w:hint="default"/>
              </w:rPr>
            </w:pPr>
            <w:r>
              <w:rPr>
                <w:rFonts w:hint="default"/>
              </w:rPr>
              <w:t>大</w:t>
            </w:r>
          </w:p>
        </w:tc>
        <w:tc>
          <w:tcPr>
            <w:tcW w:w="851" w:type="dxa"/>
            <w:tcBorders>
              <w:tl2br w:val="nil"/>
              <w:tr2bl w:val="nil"/>
            </w:tcBorders>
            <w:shd w:val="clear" w:color="auto" w:fill="auto"/>
          </w:tcPr>
          <w:p>
            <w:pPr>
              <w:pStyle w:val="17"/>
              <w:bidi w:val="0"/>
              <w:rPr>
                <w:rFonts w:hint="default"/>
              </w:rPr>
            </w:pPr>
            <w:r>
              <w:rPr>
                <w:rFonts w:hint="default"/>
              </w:rPr>
              <w:t>中</w:t>
            </w:r>
          </w:p>
        </w:tc>
        <w:tc>
          <w:tcPr>
            <w:tcW w:w="851" w:type="dxa"/>
            <w:tcBorders>
              <w:tl2br w:val="nil"/>
              <w:tr2bl w:val="nil"/>
            </w:tcBorders>
            <w:shd w:val="clear" w:color="auto" w:fill="auto"/>
          </w:tcPr>
          <w:p>
            <w:pPr>
              <w:pStyle w:val="17"/>
              <w:bidi w:val="0"/>
              <w:rPr>
                <w:rFonts w:hint="default"/>
              </w:rPr>
            </w:pPr>
            <w:r>
              <w:rPr>
                <w:rFonts w:hint="default"/>
              </w:rPr>
              <w:t>小</w:t>
            </w:r>
          </w:p>
        </w:tc>
        <w:tc>
          <w:tcPr>
            <w:tcW w:w="851" w:type="dxa"/>
            <w:tcBorders>
              <w:tl2br w:val="nil"/>
              <w:tr2bl w:val="nil"/>
            </w:tcBorders>
            <w:shd w:val="clear" w:color="auto" w:fill="auto"/>
          </w:tcPr>
          <w:p>
            <w:pPr>
              <w:pStyle w:val="17"/>
              <w:bidi w:val="0"/>
              <w:rPr>
                <w:rFonts w:hint="default"/>
              </w:rPr>
            </w:pPr>
            <w:r>
              <w:rPr>
                <w:rFonts w:hint="default"/>
              </w:rPr>
              <w:t>大</w:t>
            </w:r>
          </w:p>
        </w:tc>
        <w:tc>
          <w:tcPr>
            <w:tcW w:w="851" w:type="dxa"/>
            <w:tcBorders>
              <w:tl2br w:val="nil"/>
              <w:tr2bl w:val="nil"/>
            </w:tcBorders>
            <w:shd w:val="clear" w:color="auto" w:fill="auto"/>
          </w:tcPr>
          <w:p>
            <w:pPr>
              <w:pStyle w:val="17"/>
              <w:bidi w:val="0"/>
              <w:rPr>
                <w:rFonts w:hint="default"/>
              </w:rPr>
            </w:pPr>
            <w:r>
              <w:rPr>
                <w:rFonts w:hint="default"/>
              </w:rPr>
              <w:t>中</w:t>
            </w:r>
          </w:p>
        </w:tc>
        <w:tc>
          <w:tcPr>
            <w:tcW w:w="851" w:type="dxa"/>
            <w:tcBorders>
              <w:tl2br w:val="nil"/>
              <w:tr2bl w:val="nil"/>
            </w:tcBorders>
            <w:shd w:val="clear" w:color="auto" w:fill="auto"/>
          </w:tcPr>
          <w:p>
            <w:pPr>
              <w:pStyle w:val="17"/>
              <w:bidi w:val="0"/>
              <w:rPr>
                <w:rFonts w:hint="default"/>
              </w:rPr>
            </w:pPr>
            <w:r>
              <w:rPr>
                <w:rFonts w:hint="default"/>
              </w:rPr>
              <w:t>小</w:t>
            </w:r>
          </w:p>
        </w:tc>
        <w:tc>
          <w:tcPr>
            <w:tcW w:w="851" w:type="dxa"/>
            <w:tcBorders>
              <w:tl2br w:val="nil"/>
              <w:tr2bl w:val="nil"/>
            </w:tcBorders>
            <w:shd w:val="clear" w:color="auto" w:fill="auto"/>
          </w:tcPr>
          <w:p>
            <w:pPr>
              <w:pStyle w:val="17"/>
              <w:bidi w:val="0"/>
              <w:rPr>
                <w:rFonts w:hint="default"/>
              </w:rPr>
            </w:pPr>
            <w:r>
              <w:rPr>
                <w:rFonts w:hint="default"/>
              </w:rPr>
              <w:t>大</w:t>
            </w:r>
          </w:p>
        </w:tc>
        <w:tc>
          <w:tcPr>
            <w:tcW w:w="851" w:type="dxa"/>
            <w:tcBorders>
              <w:tl2br w:val="nil"/>
              <w:tr2bl w:val="nil"/>
            </w:tcBorders>
            <w:shd w:val="clear" w:color="auto" w:fill="auto"/>
          </w:tcPr>
          <w:p>
            <w:pPr>
              <w:pStyle w:val="17"/>
              <w:bidi w:val="0"/>
              <w:rPr>
                <w:rFonts w:hint="default"/>
              </w:rPr>
            </w:pPr>
            <w:r>
              <w:rPr>
                <w:rFonts w:hint="default"/>
              </w:rPr>
              <w:t>中</w:t>
            </w:r>
          </w:p>
        </w:tc>
        <w:tc>
          <w:tcPr>
            <w:tcW w:w="848" w:type="dxa"/>
            <w:tcBorders>
              <w:tl2br w:val="nil"/>
              <w:tr2bl w:val="nil"/>
            </w:tcBorders>
            <w:shd w:val="clear" w:color="auto" w:fill="auto"/>
          </w:tcPr>
          <w:p>
            <w:pPr>
              <w:pStyle w:val="17"/>
              <w:bidi w:val="0"/>
              <w:rPr>
                <w:rFonts w:hint="default"/>
              </w:rPr>
            </w:pPr>
            <w:r>
              <w:rPr>
                <w:rFonts w:hint="default"/>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15" w:type="dxa"/>
            <w:tcBorders>
              <w:tl2br w:val="nil"/>
              <w:tr2bl w:val="nil"/>
            </w:tcBorders>
            <w:shd w:val="clear" w:color="auto" w:fill="auto"/>
          </w:tcPr>
          <w:p>
            <w:pPr>
              <w:pStyle w:val="17"/>
              <w:bidi w:val="0"/>
              <w:rPr>
                <w:rFonts w:hint="default"/>
              </w:rPr>
            </w:pPr>
            <w:r>
              <w:rPr>
                <w:rFonts w:hint="default"/>
              </w:rPr>
              <w:t>敏感</w:t>
            </w:r>
          </w:p>
        </w:tc>
        <w:tc>
          <w:tcPr>
            <w:tcW w:w="851" w:type="dxa"/>
            <w:tcBorders>
              <w:tl2br w:val="nil"/>
              <w:tr2bl w:val="nil"/>
            </w:tcBorders>
            <w:shd w:val="clear" w:color="auto" w:fill="auto"/>
          </w:tcPr>
          <w:p>
            <w:pPr>
              <w:pStyle w:val="17"/>
              <w:bidi w:val="0"/>
              <w:rPr>
                <w:rFonts w:hint="default"/>
              </w:rPr>
            </w:pPr>
            <w:r>
              <w:rPr>
                <w:rFonts w:hint="default"/>
              </w:rPr>
              <w:t>一级</w:t>
            </w:r>
          </w:p>
        </w:tc>
        <w:tc>
          <w:tcPr>
            <w:tcW w:w="851" w:type="dxa"/>
            <w:tcBorders>
              <w:tl2br w:val="nil"/>
              <w:tr2bl w:val="nil"/>
            </w:tcBorders>
            <w:shd w:val="clear" w:color="auto" w:fill="auto"/>
          </w:tcPr>
          <w:p>
            <w:pPr>
              <w:pStyle w:val="17"/>
              <w:bidi w:val="0"/>
              <w:rPr>
                <w:rFonts w:hint="default"/>
              </w:rPr>
            </w:pPr>
            <w:r>
              <w:rPr>
                <w:rFonts w:hint="default"/>
              </w:rPr>
              <w:t>一级</w:t>
            </w:r>
          </w:p>
        </w:tc>
        <w:tc>
          <w:tcPr>
            <w:tcW w:w="851" w:type="dxa"/>
            <w:tcBorders>
              <w:tl2br w:val="nil"/>
              <w:tr2bl w:val="nil"/>
            </w:tcBorders>
            <w:shd w:val="clear" w:color="auto" w:fill="auto"/>
          </w:tcPr>
          <w:p>
            <w:pPr>
              <w:pStyle w:val="17"/>
              <w:bidi w:val="0"/>
              <w:rPr>
                <w:rFonts w:hint="default"/>
              </w:rPr>
            </w:pPr>
            <w:r>
              <w:rPr>
                <w:rFonts w:hint="default"/>
              </w:rPr>
              <w:t>一级</w:t>
            </w:r>
          </w:p>
        </w:tc>
        <w:tc>
          <w:tcPr>
            <w:tcW w:w="851" w:type="dxa"/>
            <w:tcBorders>
              <w:tl2br w:val="nil"/>
              <w:tr2bl w:val="nil"/>
            </w:tcBorders>
            <w:shd w:val="clear" w:color="auto" w:fill="auto"/>
          </w:tcPr>
          <w:p>
            <w:pPr>
              <w:pStyle w:val="17"/>
              <w:bidi w:val="0"/>
              <w:rPr>
                <w:rFonts w:hint="default"/>
              </w:rPr>
            </w:pPr>
            <w:r>
              <w:rPr>
                <w:rFonts w:hint="default"/>
              </w:rPr>
              <w:t>二级</w:t>
            </w:r>
          </w:p>
        </w:tc>
        <w:tc>
          <w:tcPr>
            <w:tcW w:w="851" w:type="dxa"/>
            <w:tcBorders>
              <w:tl2br w:val="nil"/>
              <w:tr2bl w:val="nil"/>
            </w:tcBorders>
            <w:shd w:val="clear" w:color="auto" w:fill="auto"/>
          </w:tcPr>
          <w:p>
            <w:pPr>
              <w:pStyle w:val="17"/>
              <w:bidi w:val="0"/>
              <w:rPr>
                <w:rFonts w:hint="default"/>
              </w:rPr>
            </w:pPr>
            <w:r>
              <w:rPr>
                <w:rFonts w:hint="default"/>
              </w:rPr>
              <w:t>二级</w:t>
            </w:r>
          </w:p>
        </w:tc>
        <w:tc>
          <w:tcPr>
            <w:tcW w:w="851" w:type="dxa"/>
            <w:tcBorders>
              <w:tl2br w:val="nil"/>
              <w:tr2bl w:val="nil"/>
            </w:tcBorders>
            <w:shd w:val="clear" w:color="auto" w:fill="auto"/>
          </w:tcPr>
          <w:p>
            <w:pPr>
              <w:pStyle w:val="17"/>
              <w:bidi w:val="0"/>
              <w:rPr>
                <w:rFonts w:hint="default"/>
              </w:rPr>
            </w:pPr>
            <w:r>
              <w:rPr>
                <w:rFonts w:hint="default"/>
              </w:rPr>
              <w:t>二级</w:t>
            </w:r>
          </w:p>
        </w:tc>
        <w:tc>
          <w:tcPr>
            <w:tcW w:w="851" w:type="dxa"/>
            <w:tcBorders>
              <w:tl2br w:val="nil"/>
              <w:tr2bl w:val="nil"/>
            </w:tcBorders>
            <w:shd w:val="clear" w:color="auto" w:fill="auto"/>
          </w:tcPr>
          <w:p>
            <w:pPr>
              <w:pStyle w:val="17"/>
              <w:bidi w:val="0"/>
              <w:rPr>
                <w:rFonts w:hint="default"/>
              </w:rPr>
            </w:pPr>
            <w:r>
              <w:rPr>
                <w:rFonts w:hint="default"/>
              </w:rPr>
              <w:t>三级</w:t>
            </w:r>
          </w:p>
        </w:tc>
        <w:tc>
          <w:tcPr>
            <w:tcW w:w="851" w:type="dxa"/>
            <w:tcBorders>
              <w:tl2br w:val="nil"/>
              <w:tr2bl w:val="nil"/>
            </w:tcBorders>
            <w:shd w:val="clear" w:color="auto" w:fill="auto"/>
          </w:tcPr>
          <w:p>
            <w:pPr>
              <w:pStyle w:val="17"/>
              <w:bidi w:val="0"/>
              <w:rPr>
                <w:rFonts w:hint="default"/>
              </w:rPr>
            </w:pPr>
            <w:r>
              <w:rPr>
                <w:rFonts w:hint="default"/>
              </w:rPr>
              <w:t>三级</w:t>
            </w:r>
          </w:p>
        </w:tc>
        <w:tc>
          <w:tcPr>
            <w:tcW w:w="848" w:type="dxa"/>
            <w:tcBorders>
              <w:tl2br w:val="nil"/>
              <w:tr2bl w:val="nil"/>
            </w:tcBorders>
            <w:shd w:val="clear" w:color="auto" w:fill="auto"/>
          </w:tcPr>
          <w:p>
            <w:pPr>
              <w:pStyle w:val="17"/>
              <w:bidi w:val="0"/>
              <w:rPr>
                <w:rFonts w:hint="default"/>
              </w:rPr>
            </w:pPr>
            <w:r>
              <w:rPr>
                <w:rFonts w:hint="default"/>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15" w:type="dxa"/>
            <w:tcBorders>
              <w:tl2br w:val="nil"/>
              <w:tr2bl w:val="nil"/>
            </w:tcBorders>
            <w:shd w:val="clear" w:color="auto" w:fill="auto"/>
          </w:tcPr>
          <w:p>
            <w:pPr>
              <w:pStyle w:val="17"/>
              <w:bidi w:val="0"/>
              <w:rPr>
                <w:rFonts w:hint="default"/>
              </w:rPr>
            </w:pPr>
            <w:r>
              <w:rPr>
                <w:rFonts w:hint="default"/>
              </w:rPr>
              <w:t>较敏感</w:t>
            </w:r>
          </w:p>
        </w:tc>
        <w:tc>
          <w:tcPr>
            <w:tcW w:w="851" w:type="dxa"/>
            <w:tcBorders>
              <w:tl2br w:val="nil"/>
              <w:tr2bl w:val="nil"/>
            </w:tcBorders>
            <w:shd w:val="clear" w:color="auto" w:fill="auto"/>
          </w:tcPr>
          <w:p>
            <w:pPr>
              <w:pStyle w:val="17"/>
              <w:bidi w:val="0"/>
              <w:rPr>
                <w:rFonts w:hint="default"/>
              </w:rPr>
            </w:pPr>
            <w:r>
              <w:rPr>
                <w:rFonts w:hint="default"/>
              </w:rPr>
              <w:t>一级</w:t>
            </w:r>
          </w:p>
        </w:tc>
        <w:tc>
          <w:tcPr>
            <w:tcW w:w="851" w:type="dxa"/>
            <w:tcBorders>
              <w:tl2br w:val="nil"/>
              <w:tr2bl w:val="nil"/>
            </w:tcBorders>
            <w:shd w:val="clear" w:color="auto" w:fill="auto"/>
          </w:tcPr>
          <w:p>
            <w:pPr>
              <w:pStyle w:val="17"/>
              <w:bidi w:val="0"/>
              <w:rPr>
                <w:rFonts w:hint="default"/>
              </w:rPr>
            </w:pPr>
            <w:r>
              <w:rPr>
                <w:rFonts w:hint="default"/>
              </w:rPr>
              <w:t>一级</w:t>
            </w:r>
          </w:p>
        </w:tc>
        <w:tc>
          <w:tcPr>
            <w:tcW w:w="851" w:type="dxa"/>
            <w:tcBorders>
              <w:tl2br w:val="nil"/>
              <w:tr2bl w:val="nil"/>
            </w:tcBorders>
            <w:shd w:val="clear" w:color="auto" w:fill="auto"/>
          </w:tcPr>
          <w:p>
            <w:pPr>
              <w:pStyle w:val="17"/>
              <w:bidi w:val="0"/>
              <w:rPr>
                <w:rFonts w:hint="default"/>
              </w:rPr>
            </w:pPr>
            <w:r>
              <w:rPr>
                <w:rFonts w:hint="default"/>
              </w:rPr>
              <w:t>二级</w:t>
            </w:r>
          </w:p>
        </w:tc>
        <w:tc>
          <w:tcPr>
            <w:tcW w:w="851" w:type="dxa"/>
            <w:tcBorders>
              <w:tl2br w:val="nil"/>
              <w:tr2bl w:val="nil"/>
            </w:tcBorders>
            <w:shd w:val="clear" w:color="auto" w:fill="auto"/>
          </w:tcPr>
          <w:p>
            <w:pPr>
              <w:pStyle w:val="17"/>
              <w:bidi w:val="0"/>
              <w:rPr>
                <w:rFonts w:hint="default"/>
              </w:rPr>
            </w:pPr>
            <w:r>
              <w:rPr>
                <w:rFonts w:hint="default"/>
              </w:rPr>
              <w:t>二级</w:t>
            </w:r>
          </w:p>
        </w:tc>
        <w:tc>
          <w:tcPr>
            <w:tcW w:w="851" w:type="dxa"/>
            <w:tcBorders>
              <w:tl2br w:val="nil"/>
              <w:tr2bl w:val="nil"/>
            </w:tcBorders>
            <w:shd w:val="clear" w:color="auto" w:fill="auto"/>
          </w:tcPr>
          <w:p>
            <w:pPr>
              <w:pStyle w:val="17"/>
              <w:bidi w:val="0"/>
              <w:rPr>
                <w:rFonts w:hint="default"/>
              </w:rPr>
            </w:pPr>
            <w:r>
              <w:rPr>
                <w:rFonts w:hint="default"/>
              </w:rPr>
              <w:t>二级</w:t>
            </w:r>
          </w:p>
        </w:tc>
        <w:tc>
          <w:tcPr>
            <w:tcW w:w="851" w:type="dxa"/>
            <w:tcBorders>
              <w:tl2br w:val="nil"/>
              <w:tr2bl w:val="nil"/>
            </w:tcBorders>
            <w:shd w:val="clear" w:color="auto" w:fill="auto"/>
          </w:tcPr>
          <w:p>
            <w:pPr>
              <w:pStyle w:val="17"/>
              <w:bidi w:val="0"/>
              <w:rPr>
                <w:rFonts w:hint="default"/>
              </w:rPr>
            </w:pPr>
            <w:r>
              <w:rPr>
                <w:rFonts w:hint="default"/>
              </w:rPr>
              <w:t>三级</w:t>
            </w:r>
          </w:p>
        </w:tc>
        <w:tc>
          <w:tcPr>
            <w:tcW w:w="851" w:type="dxa"/>
            <w:tcBorders>
              <w:tl2br w:val="nil"/>
              <w:tr2bl w:val="nil"/>
            </w:tcBorders>
            <w:shd w:val="clear" w:color="auto" w:fill="auto"/>
          </w:tcPr>
          <w:p>
            <w:pPr>
              <w:pStyle w:val="17"/>
              <w:bidi w:val="0"/>
              <w:rPr>
                <w:rFonts w:hint="default"/>
              </w:rPr>
            </w:pPr>
            <w:r>
              <w:rPr>
                <w:rFonts w:hint="default"/>
              </w:rPr>
              <w:t>三级</w:t>
            </w:r>
          </w:p>
        </w:tc>
        <w:tc>
          <w:tcPr>
            <w:tcW w:w="851" w:type="dxa"/>
            <w:tcBorders>
              <w:tl2br w:val="nil"/>
              <w:tr2bl w:val="nil"/>
            </w:tcBorders>
            <w:shd w:val="clear" w:color="auto" w:fill="auto"/>
          </w:tcPr>
          <w:p>
            <w:pPr>
              <w:pStyle w:val="17"/>
              <w:bidi w:val="0"/>
              <w:rPr>
                <w:rFonts w:hint="default"/>
              </w:rPr>
            </w:pPr>
            <w:r>
              <w:rPr>
                <w:rFonts w:hint="default"/>
              </w:rPr>
              <w:t>三级</w:t>
            </w:r>
          </w:p>
        </w:tc>
        <w:tc>
          <w:tcPr>
            <w:tcW w:w="848" w:type="dxa"/>
            <w:tcBorders>
              <w:tl2br w:val="nil"/>
              <w:tr2bl w:val="nil"/>
            </w:tcBorders>
            <w:shd w:val="clear" w:color="auto" w:fill="auto"/>
          </w:tcPr>
          <w:p>
            <w:pPr>
              <w:pStyle w:val="17"/>
              <w:bidi w:val="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15" w:type="dxa"/>
            <w:tcBorders>
              <w:tl2br w:val="nil"/>
              <w:tr2bl w:val="nil"/>
            </w:tcBorders>
            <w:shd w:val="clear" w:color="auto" w:fill="auto"/>
          </w:tcPr>
          <w:p>
            <w:pPr>
              <w:pStyle w:val="17"/>
              <w:bidi w:val="0"/>
              <w:rPr>
                <w:rFonts w:hint="default"/>
              </w:rPr>
            </w:pPr>
            <w:r>
              <w:rPr>
                <w:rFonts w:hint="default"/>
              </w:rPr>
              <w:t>不敏感</w:t>
            </w:r>
          </w:p>
        </w:tc>
        <w:tc>
          <w:tcPr>
            <w:tcW w:w="851" w:type="dxa"/>
            <w:tcBorders>
              <w:tl2br w:val="nil"/>
              <w:tr2bl w:val="nil"/>
            </w:tcBorders>
            <w:shd w:val="clear" w:color="auto" w:fill="auto"/>
          </w:tcPr>
          <w:p>
            <w:pPr>
              <w:pStyle w:val="17"/>
              <w:bidi w:val="0"/>
              <w:rPr>
                <w:rFonts w:hint="default"/>
              </w:rPr>
            </w:pPr>
            <w:r>
              <w:rPr>
                <w:rFonts w:hint="default"/>
              </w:rPr>
              <w:t>一级</w:t>
            </w:r>
          </w:p>
        </w:tc>
        <w:tc>
          <w:tcPr>
            <w:tcW w:w="851" w:type="dxa"/>
            <w:tcBorders>
              <w:tl2br w:val="nil"/>
              <w:tr2bl w:val="nil"/>
            </w:tcBorders>
            <w:shd w:val="clear" w:color="auto" w:fill="auto"/>
          </w:tcPr>
          <w:p>
            <w:pPr>
              <w:pStyle w:val="17"/>
              <w:bidi w:val="0"/>
              <w:rPr>
                <w:rFonts w:hint="default"/>
              </w:rPr>
            </w:pPr>
            <w:r>
              <w:rPr>
                <w:rFonts w:hint="default"/>
              </w:rPr>
              <w:t>二级</w:t>
            </w:r>
          </w:p>
        </w:tc>
        <w:tc>
          <w:tcPr>
            <w:tcW w:w="851" w:type="dxa"/>
            <w:tcBorders>
              <w:tl2br w:val="nil"/>
              <w:tr2bl w:val="nil"/>
            </w:tcBorders>
            <w:shd w:val="clear" w:color="auto" w:fill="auto"/>
          </w:tcPr>
          <w:p>
            <w:pPr>
              <w:pStyle w:val="17"/>
              <w:bidi w:val="0"/>
              <w:rPr>
                <w:rFonts w:hint="default"/>
              </w:rPr>
            </w:pPr>
            <w:r>
              <w:rPr>
                <w:rFonts w:hint="default"/>
              </w:rPr>
              <w:t>二级</w:t>
            </w:r>
          </w:p>
        </w:tc>
        <w:tc>
          <w:tcPr>
            <w:tcW w:w="851" w:type="dxa"/>
            <w:tcBorders>
              <w:tl2br w:val="nil"/>
              <w:tr2bl w:val="nil"/>
            </w:tcBorders>
            <w:shd w:val="clear" w:color="auto" w:fill="auto"/>
          </w:tcPr>
          <w:p>
            <w:pPr>
              <w:pStyle w:val="17"/>
              <w:bidi w:val="0"/>
              <w:rPr>
                <w:rFonts w:hint="default"/>
              </w:rPr>
            </w:pPr>
            <w:r>
              <w:rPr>
                <w:rFonts w:hint="default"/>
              </w:rPr>
              <w:t>二级</w:t>
            </w:r>
          </w:p>
        </w:tc>
        <w:tc>
          <w:tcPr>
            <w:tcW w:w="851" w:type="dxa"/>
            <w:tcBorders>
              <w:tl2br w:val="nil"/>
              <w:tr2bl w:val="nil"/>
            </w:tcBorders>
            <w:shd w:val="clear" w:color="auto" w:fill="auto"/>
          </w:tcPr>
          <w:p>
            <w:pPr>
              <w:pStyle w:val="17"/>
              <w:bidi w:val="0"/>
              <w:rPr>
                <w:rFonts w:hint="default"/>
              </w:rPr>
            </w:pPr>
            <w:r>
              <w:rPr>
                <w:rFonts w:hint="default"/>
              </w:rPr>
              <w:t>三级</w:t>
            </w:r>
          </w:p>
        </w:tc>
        <w:tc>
          <w:tcPr>
            <w:tcW w:w="851" w:type="dxa"/>
            <w:tcBorders>
              <w:tl2br w:val="nil"/>
              <w:tr2bl w:val="nil"/>
            </w:tcBorders>
            <w:shd w:val="clear" w:color="auto" w:fill="auto"/>
          </w:tcPr>
          <w:p>
            <w:pPr>
              <w:pStyle w:val="17"/>
              <w:bidi w:val="0"/>
              <w:rPr>
                <w:rFonts w:hint="default"/>
              </w:rPr>
            </w:pPr>
            <w:r>
              <w:rPr>
                <w:rFonts w:hint="default"/>
              </w:rPr>
              <w:t>三级</w:t>
            </w:r>
          </w:p>
        </w:tc>
        <w:tc>
          <w:tcPr>
            <w:tcW w:w="851" w:type="dxa"/>
            <w:tcBorders>
              <w:tl2br w:val="nil"/>
              <w:tr2bl w:val="nil"/>
            </w:tcBorders>
            <w:shd w:val="clear" w:color="auto" w:fill="auto"/>
          </w:tcPr>
          <w:p>
            <w:pPr>
              <w:pStyle w:val="17"/>
              <w:bidi w:val="0"/>
              <w:rPr>
                <w:rFonts w:hint="default"/>
              </w:rPr>
            </w:pPr>
            <w:r>
              <w:rPr>
                <w:rFonts w:hint="default"/>
              </w:rPr>
              <w:t>三级</w:t>
            </w:r>
          </w:p>
        </w:tc>
        <w:tc>
          <w:tcPr>
            <w:tcW w:w="851" w:type="dxa"/>
            <w:tcBorders>
              <w:tl2br w:val="nil"/>
              <w:tr2bl w:val="nil"/>
            </w:tcBorders>
            <w:shd w:val="clear" w:color="auto" w:fill="auto"/>
          </w:tcPr>
          <w:p>
            <w:pPr>
              <w:pStyle w:val="17"/>
              <w:bidi w:val="0"/>
              <w:rPr>
                <w:rFonts w:hint="default"/>
              </w:rPr>
            </w:pPr>
            <w:r>
              <w:rPr>
                <w:rFonts w:hint="default"/>
              </w:rPr>
              <w:t>-</w:t>
            </w:r>
          </w:p>
        </w:tc>
        <w:tc>
          <w:tcPr>
            <w:tcW w:w="848" w:type="dxa"/>
            <w:tcBorders>
              <w:tl2br w:val="nil"/>
              <w:tr2bl w:val="nil"/>
            </w:tcBorders>
            <w:shd w:val="clear" w:color="auto" w:fill="auto"/>
          </w:tcPr>
          <w:p>
            <w:pPr>
              <w:pStyle w:val="17"/>
              <w:bidi w:val="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071" w:type="dxa"/>
            <w:gridSpan w:val="10"/>
            <w:tcBorders>
              <w:tl2br w:val="nil"/>
              <w:tr2bl w:val="nil"/>
            </w:tcBorders>
            <w:shd w:val="clear" w:color="auto" w:fill="auto"/>
          </w:tcPr>
          <w:p>
            <w:pPr>
              <w:pStyle w:val="17"/>
              <w:bidi w:val="0"/>
              <w:rPr>
                <w:rFonts w:hint="default"/>
              </w:rPr>
            </w:pPr>
            <w:r>
              <w:rPr>
                <w:rFonts w:hint="default"/>
              </w:rPr>
              <w:t>注：</w:t>
            </w:r>
            <w:r>
              <w:rPr>
                <w:rFonts w:hint="eastAsia"/>
                <w:lang w:eastAsia="zh-CN"/>
              </w:rPr>
              <w:t>“</w:t>
            </w:r>
            <w:r>
              <w:rPr>
                <w:rFonts w:hint="default"/>
              </w:rPr>
              <w:t>-</w:t>
            </w:r>
            <w:r>
              <w:rPr>
                <w:rFonts w:hint="eastAsia"/>
                <w:lang w:eastAsia="zh-CN"/>
              </w:rPr>
              <w:t>”</w:t>
            </w:r>
            <w:r>
              <w:rPr>
                <w:rFonts w:hint="default"/>
              </w:rPr>
              <w:t>表示可不开展土壤环境影响评价工作</w:t>
            </w:r>
          </w:p>
        </w:tc>
      </w:tr>
    </w:tbl>
    <w:p>
      <w:pPr>
        <w:pStyle w:val="6"/>
        <w:bidi w:val="0"/>
        <w:rPr>
          <w:rFonts w:hint="default"/>
        </w:rPr>
      </w:pPr>
      <w:r>
        <w:rPr>
          <w:rFonts w:hint="default"/>
        </w:rPr>
        <w:t>2.6.1.6</w:t>
      </w:r>
      <w:r>
        <w:rPr>
          <w:rFonts w:hint="eastAsia"/>
          <w:lang w:eastAsia="zh-CN"/>
        </w:rPr>
        <w:t>、</w:t>
      </w:r>
      <w:r>
        <w:rPr>
          <w:rFonts w:hint="default"/>
        </w:rPr>
        <w:t>生态环境</w:t>
      </w:r>
    </w:p>
    <w:p>
      <w:pPr>
        <w:bidi w:val="0"/>
        <w:rPr>
          <w:rFonts w:hint="default"/>
        </w:rPr>
      </w:pPr>
      <w:r>
        <w:rPr>
          <w:rFonts w:hint="default"/>
        </w:rPr>
        <w:t>依据《环境影响评价技术导则 生态影响》（HJ19-2011）中评价工作分级要求，将生态影响评价工作等级划分为一级、二级和三级，见表2.6-</w:t>
      </w:r>
      <w:r>
        <w:rPr>
          <w:rFonts w:hint="default"/>
          <w:lang w:val="en-US" w:eastAsia="zh-CN"/>
        </w:rPr>
        <w:t>12</w:t>
      </w:r>
      <w:r>
        <w:rPr>
          <w:rFonts w:hint="default"/>
        </w:rPr>
        <w:t>。</w:t>
      </w:r>
    </w:p>
    <w:p>
      <w:pPr>
        <w:pStyle w:val="17"/>
        <w:bidi w:val="0"/>
        <w:rPr>
          <w:rFonts w:hint="default"/>
          <w:b/>
          <w:bCs/>
        </w:rPr>
      </w:pPr>
      <w:r>
        <w:rPr>
          <w:rFonts w:hint="default"/>
          <w:b/>
          <w:bCs/>
        </w:rPr>
        <w:t>表2.6-1</w:t>
      </w:r>
      <w:r>
        <w:rPr>
          <w:rFonts w:hint="default"/>
          <w:b/>
          <w:bCs/>
          <w:lang w:val="en-US" w:eastAsia="zh-CN"/>
        </w:rPr>
        <w:t>2</w:t>
      </w:r>
      <w:r>
        <w:rPr>
          <w:rFonts w:hint="default"/>
          <w:b/>
          <w:bCs/>
        </w:rPr>
        <w:t xml:space="preserve"> </w:t>
      </w:r>
      <w:r>
        <w:rPr>
          <w:rFonts w:hint="eastAsia"/>
          <w:b/>
          <w:bCs/>
          <w:lang w:val="en-US" w:eastAsia="zh-CN"/>
        </w:rPr>
        <w:t xml:space="preserve"> </w:t>
      </w:r>
      <w:r>
        <w:rPr>
          <w:rFonts w:hint="default"/>
          <w:b/>
          <w:bCs/>
        </w:rPr>
        <w:t xml:space="preserve"> 生态影响评价工作等级划分表</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6"/>
        <w:gridCol w:w="2044"/>
        <w:gridCol w:w="2327"/>
        <w:gridCol w:w="21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556" w:type="dxa"/>
            <w:vMerge w:val="restart"/>
            <w:tcBorders>
              <w:tl2br w:val="nil"/>
              <w:tr2bl w:val="nil"/>
            </w:tcBorders>
            <w:vAlign w:val="center"/>
          </w:tcPr>
          <w:p>
            <w:pPr>
              <w:pStyle w:val="17"/>
              <w:bidi w:val="0"/>
              <w:rPr>
                <w:rFonts w:hint="default"/>
                <w:b/>
                <w:bCs/>
              </w:rPr>
            </w:pPr>
            <w:r>
              <w:rPr>
                <w:rFonts w:hint="default"/>
                <w:b/>
                <w:bCs/>
              </w:rPr>
              <w:t>影响区域生态敏感性</w:t>
            </w:r>
          </w:p>
        </w:tc>
        <w:tc>
          <w:tcPr>
            <w:tcW w:w="6515" w:type="dxa"/>
            <w:gridSpan w:val="3"/>
            <w:tcBorders>
              <w:tl2br w:val="nil"/>
              <w:tr2bl w:val="nil"/>
            </w:tcBorders>
            <w:vAlign w:val="center"/>
          </w:tcPr>
          <w:p>
            <w:pPr>
              <w:pStyle w:val="17"/>
              <w:bidi w:val="0"/>
              <w:rPr>
                <w:rFonts w:hint="default"/>
                <w:b/>
                <w:bCs/>
              </w:rPr>
            </w:pPr>
            <w:r>
              <w:rPr>
                <w:rFonts w:hint="default"/>
                <w:b/>
                <w:bCs/>
              </w:rPr>
              <w:t>工程占地（水域）范围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556" w:type="dxa"/>
            <w:vMerge w:val="continue"/>
            <w:tcBorders>
              <w:tl2br w:val="nil"/>
              <w:tr2bl w:val="nil"/>
            </w:tcBorders>
            <w:vAlign w:val="center"/>
          </w:tcPr>
          <w:p>
            <w:pPr>
              <w:pStyle w:val="17"/>
              <w:bidi w:val="0"/>
              <w:rPr>
                <w:rFonts w:hint="default"/>
                <w:b/>
                <w:bCs/>
              </w:rPr>
            </w:pPr>
          </w:p>
        </w:tc>
        <w:tc>
          <w:tcPr>
            <w:tcW w:w="2044" w:type="dxa"/>
            <w:tcBorders>
              <w:tl2br w:val="nil"/>
              <w:tr2bl w:val="nil"/>
            </w:tcBorders>
            <w:vAlign w:val="center"/>
          </w:tcPr>
          <w:p>
            <w:pPr>
              <w:pStyle w:val="17"/>
              <w:bidi w:val="0"/>
              <w:rPr>
                <w:rFonts w:hint="eastAsia" w:eastAsia="宋体"/>
                <w:b/>
                <w:bCs/>
                <w:lang w:val="en-US" w:eastAsia="zh-CN"/>
              </w:rPr>
            </w:pPr>
            <w:r>
              <w:rPr>
                <w:rFonts w:hint="default"/>
                <w:b/>
                <w:bCs/>
              </w:rPr>
              <w:t>面积≥20</w:t>
            </w:r>
            <w:r>
              <w:rPr>
                <w:rFonts w:hint="eastAsia"/>
                <w:b/>
                <w:bCs/>
                <w:lang w:eastAsia="zh-CN"/>
              </w:rPr>
              <w:t>km²</w:t>
            </w:r>
          </w:p>
          <w:p>
            <w:pPr>
              <w:pStyle w:val="17"/>
              <w:bidi w:val="0"/>
              <w:rPr>
                <w:rFonts w:hint="default"/>
                <w:b/>
                <w:bCs/>
              </w:rPr>
            </w:pPr>
            <w:r>
              <w:rPr>
                <w:rFonts w:hint="default"/>
                <w:b/>
                <w:bCs/>
              </w:rPr>
              <w:t>或长度≥100km</w:t>
            </w:r>
          </w:p>
        </w:tc>
        <w:tc>
          <w:tcPr>
            <w:tcW w:w="2327" w:type="dxa"/>
            <w:tcBorders>
              <w:tl2br w:val="nil"/>
              <w:tr2bl w:val="nil"/>
            </w:tcBorders>
            <w:vAlign w:val="center"/>
          </w:tcPr>
          <w:p>
            <w:pPr>
              <w:pStyle w:val="17"/>
              <w:bidi w:val="0"/>
              <w:rPr>
                <w:rFonts w:hint="eastAsia" w:eastAsia="宋体"/>
                <w:b/>
                <w:bCs/>
                <w:lang w:eastAsia="zh-CN"/>
              </w:rPr>
            </w:pPr>
            <w:r>
              <w:rPr>
                <w:rFonts w:hint="default"/>
                <w:b/>
                <w:bCs/>
              </w:rPr>
              <w:t>面积2</w:t>
            </w:r>
            <w:r>
              <w:rPr>
                <w:rFonts w:hint="eastAsia"/>
                <w:b/>
                <w:bCs/>
                <w:lang w:eastAsia="zh-CN"/>
              </w:rPr>
              <w:t>km²</w:t>
            </w:r>
            <w:r>
              <w:rPr>
                <w:rFonts w:hint="default"/>
                <w:b/>
                <w:bCs/>
              </w:rPr>
              <w:t>~20k</w:t>
            </w:r>
            <w:r>
              <w:rPr>
                <w:rFonts w:hint="eastAsia"/>
                <w:b/>
                <w:bCs/>
                <w:lang w:eastAsia="zh-CN"/>
              </w:rPr>
              <w:t>m²</w:t>
            </w:r>
          </w:p>
          <w:p>
            <w:pPr>
              <w:pStyle w:val="17"/>
              <w:bidi w:val="0"/>
              <w:rPr>
                <w:rFonts w:hint="default"/>
                <w:b/>
                <w:bCs/>
              </w:rPr>
            </w:pPr>
            <w:r>
              <w:rPr>
                <w:rFonts w:hint="default"/>
                <w:b/>
                <w:bCs/>
              </w:rPr>
              <w:t>或长度50km~100km</w:t>
            </w:r>
          </w:p>
        </w:tc>
        <w:tc>
          <w:tcPr>
            <w:tcW w:w="2144" w:type="dxa"/>
            <w:tcBorders>
              <w:tl2br w:val="nil"/>
              <w:tr2bl w:val="nil"/>
            </w:tcBorders>
            <w:vAlign w:val="center"/>
          </w:tcPr>
          <w:p>
            <w:pPr>
              <w:pStyle w:val="17"/>
              <w:bidi w:val="0"/>
              <w:rPr>
                <w:rFonts w:hint="eastAsia" w:eastAsia="宋体"/>
                <w:b/>
                <w:bCs/>
                <w:lang w:eastAsia="zh-CN"/>
              </w:rPr>
            </w:pPr>
            <w:r>
              <w:rPr>
                <w:rFonts w:hint="default"/>
                <w:b/>
                <w:bCs/>
              </w:rPr>
              <w:t>面积≤2</w:t>
            </w:r>
            <w:r>
              <w:rPr>
                <w:rFonts w:hint="eastAsia"/>
                <w:b/>
                <w:bCs/>
                <w:lang w:eastAsia="zh-CN"/>
              </w:rPr>
              <w:t>km²</w:t>
            </w:r>
          </w:p>
          <w:p>
            <w:pPr>
              <w:pStyle w:val="17"/>
              <w:bidi w:val="0"/>
              <w:rPr>
                <w:rFonts w:hint="default"/>
                <w:b/>
                <w:bCs/>
              </w:rPr>
            </w:pPr>
            <w:r>
              <w:rPr>
                <w:rFonts w:hint="default"/>
                <w:b/>
                <w:bCs/>
              </w:rPr>
              <w:t>或长度≤50km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556" w:type="dxa"/>
            <w:tcBorders>
              <w:tl2br w:val="nil"/>
              <w:tr2bl w:val="nil"/>
            </w:tcBorders>
            <w:vAlign w:val="center"/>
          </w:tcPr>
          <w:p>
            <w:pPr>
              <w:pStyle w:val="17"/>
              <w:bidi w:val="0"/>
              <w:rPr>
                <w:rFonts w:hint="default"/>
              </w:rPr>
            </w:pPr>
            <w:r>
              <w:rPr>
                <w:rFonts w:hint="default"/>
              </w:rPr>
              <w:t>特殊生态敏感区</w:t>
            </w:r>
          </w:p>
        </w:tc>
        <w:tc>
          <w:tcPr>
            <w:tcW w:w="2044" w:type="dxa"/>
            <w:tcBorders>
              <w:tl2br w:val="nil"/>
              <w:tr2bl w:val="nil"/>
            </w:tcBorders>
            <w:vAlign w:val="center"/>
          </w:tcPr>
          <w:p>
            <w:pPr>
              <w:pStyle w:val="17"/>
              <w:bidi w:val="0"/>
              <w:rPr>
                <w:rFonts w:hint="default"/>
              </w:rPr>
            </w:pPr>
            <w:r>
              <w:rPr>
                <w:rFonts w:hint="default"/>
              </w:rPr>
              <w:t>一级</w:t>
            </w:r>
          </w:p>
        </w:tc>
        <w:tc>
          <w:tcPr>
            <w:tcW w:w="2327" w:type="dxa"/>
            <w:tcBorders>
              <w:tl2br w:val="nil"/>
              <w:tr2bl w:val="nil"/>
            </w:tcBorders>
            <w:vAlign w:val="center"/>
          </w:tcPr>
          <w:p>
            <w:pPr>
              <w:pStyle w:val="17"/>
              <w:bidi w:val="0"/>
              <w:rPr>
                <w:rFonts w:hint="default"/>
              </w:rPr>
            </w:pPr>
            <w:r>
              <w:rPr>
                <w:rFonts w:hint="default"/>
              </w:rPr>
              <w:t>一级</w:t>
            </w:r>
          </w:p>
        </w:tc>
        <w:tc>
          <w:tcPr>
            <w:tcW w:w="2144" w:type="dxa"/>
            <w:tcBorders>
              <w:tl2br w:val="nil"/>
              <w:tr2bl w:val="nil"/>
            </w:tcBorders>
            <w:vAlign w:val="center"/>
          </w:tcPr>
          <w:p>
            <w:pPr>
              <w:pStyle w:val="17"/>
              <w:bidi w:val="0"/>
              <w:rPr>
                <w:rFonts w:hint="default"/>
              </w:rPr>
            </w:pPr>
            <w:r>
              <w:rPr>
                <w:rFonts w:hint="default"/>
              </w:rPr>
              <w:t>一级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556" w:type="dxa"/>
            <w:tcBorders>
              <w:tl2br w:val="nil"/>
              <w:tr2bl w:val="nil"/>
            </w:tcBorders>
            <w:vAlign w:val="center"/>
          </w:tcPr>
          <w:p>
            <w:pPr>
              <w:pStyle w:val="17"/>
              <w:bidi w:val="0"/>
              <w:rPr>
                <w:rFonts w:hint="default"/>
              </w:rPr>
            </w:pPr>
            <w:r>
              <w:rPr>
                <w:rFonts w:hint="default"/>
              </w:rPr>
              <w:t>重要生态敏感区</w:t>
            </w:r>
          </w:p>
        </w:tc>
        <w:tc>
          <w:tcPr>
            <w:tcW w:w="2044" w:type="dxa"/>
            <w:tcBorders>
              <w:tl2br w:val="nil"/>
              <w:tr2bl w:val="nil"/>
            </w:tcBorders>
            <w:vAlign w:val="center"/>
          </w:tcPr>
          <w:p>
            <w:pPr>
              <w:pStyle w:val="17"/>
              <w:bidi w:val="0"/>
              <w:rPr>
                <w:rFonts w:hint="default"/>
              </w:rPr>
            </w:pPr>
            <w:r>
              <w:rPr>
                <w:rFonts w:hint="default"/>
              </w:rPr>
              <w:t>一级</w:t>
            </w:r>
          </w:p>
        </w:tc>
        <w:tc>
          <w:tcPr>
            <w:tcW w:w="2327" w:type="dxa"/>
            <w:tcBorders>
              <w:tl2br w:val="nil"/>
              <w:tr2bl w:val="nil"/>
            </w:tcBorders>
            <w:vAlign w:val="center"/>
          </w:tcPr>
          <w:p>
            <w:pPr>
              <w:pStyle w:val="17"/>
              <w:bidi w:val="0"/>
              <w:rPr>
                <w:rFonts w:hint="default"/>
              </w:rPr>
            </w:pPr>
            <w:r>
              <w:rPr>
                <w:rFonts w:hint="default"/>
              </w:rPr>
              <w:t>二级</w:t>
            </w:r>
          </w:p>
        </w:tc>
        <w:tc>
          <w:tcPr>
            <w:tcW w:w="2144" w:type="dxa"/>
            <w:tcBorders>
              <w:tl2br w:val="nil"/>
              <w:tr2bl w:val="nil"/>
            </w:tcBorders>
            <w:vAlign w:val="center"/>
          </w:tcPr>
          <w:p>
            <w:pPr>
              <w:pStyle w:val="17"/>
              <w:bidi w:val="0"/>
              <w:rPr>
                <w:rFonts w:hint="default"/>
              </w:rPr>
            </w:pPr>
            <w:r>
              <w:rPr>
                <w:rFonts w:hint="default"/>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556" w:type="dxa"/>
            <w:tcBorders>
              <w:tl2br w:val="nil"/>
              <w:tr2bl w:val="nil"/>
            </w:tcBorders>
            <w:shd w:val="clear" w:color="auto" w:fill="auto"/>
            <w:vAlign w:val="center"/>
          </w:tcPr>
          <w:p>
            <w:pPr>
              <w:pStyle w:val="17"/>
              <w:bidi w:val="0"/>
              <w:rPr>
                <w:rFonts w:hint="default"/>
              </w:rPr>
            </w:pPr>
            <w:r>
              <w:rPr>
                <w:rFonts w:hint="default"/>
              </w:rPr>
              <w:t>一般区域</w:t>
            </w:r>
          </w:p>
        </w:tc>
        <w:tc>
          <w:tcPr>
            <w:tcW w:w="2044" w:type="dxa"/>
            <w:tcBorders>
              <w:tl2br w:val="nil"/>
              <w:tr2bl w:val="nil"/>
            </w:tcBorders>
            <w:shd w:val="clear" w:color="auto" w:fill="auto"/>
            <w:vAlign w:val="center"/>
          </w:tcPr>
          <w:p>
            <w:pPr>
              <w:pStyle w:val="17"/>
              <w:bidi w:val="0"/>
              <w:rPr>
                <w:rFonts w:hint="default"/>
              </w:rPr>
            </w:pPr>
            <w:r>
              <w:rPr>
                <w:rFonts w:hint="default"/>
              </w:rPr>
              <w:t>二级</w:t>
            </w:r>
          </w:p>
        </w:tc>
        <w:tc>
          <w:tcPr>
            <w:tcW w:w="2327" w:type="dxa"/>
            <w:tcBorders>
              <w:tl2br w:val="nil"/>
              <w:tr2bl w:val="nil"/>
            </w:tcBorders>
            <w:shd w:val="clear" w:color="auto" w:fill="auto"/>
            <w:vAlign w:val="center"/>
          </w:tcPr>
          <w:p>
            <w:pPr>
              <w:pStyle w:val="17"/>
              <w:bidi w:val="0"/>
              <w:rPr>
                <w:rFonts w:hint="default"/>
              </w:rPr>
            </w:pPr>
            <w:r>
              <w:rPr>
                <w:rFonts w:hint="default"/>
              </w:rPr>
              <w:t>三级</w:t>
            </w:r>
          </w:p>
        </w:tc>
        <w:tc>
          <w:tcPr>
            <w:tcW w:w="2144" w:type="dxa"/>
            <w:tcBorders>
              <w:tl2br w:val="nil"/>
              <w:tr2bl w:val="nil"/>
            </w:tcBorders>
            <w:shd w:val="clear" w:color="auto" w:fill="D7D7D7"/>
            <w:vAlign w:val="center"/>
          </w:tcPr>
          <w:p>
            <w:pPr>
              <w:pStyle w:val="17"/>
              <w:bidi w:val="0"/>
              <w:rPr>
                <w:rFonts w:hint="default"/>
              </w:rPr>
            </w:pPr>
            <w:r>
              <w:rPr>
                <w:rFonts w:hint="default"/>
              </w:rPr>
              <w:t>三级</w:t>
            </w:r>
          </w:p>
        </w:tc>
      </w:tr>
    </w:tbl>
    <w:p>
      <w:pPr>
        <w:bidi w:val="0"/>
        <w:rPr>
          <w:rFonts w:hint="default"/>
        </w:rPr>
      </w:pPr>
      <w:r>
        <w:rPr>
          <w:rFonts w:hint="default"/>
        </w:rPr>
        <w:t>本项目位于工业，厂区占地</w:t>
      </w:r>
      <w:r>
        <w:rPr>
          <w:rFonts w:hint="eastAsia"/>
          <w:lang w:val="en-US" w:eastAsia="zh-CN"/>
        </w:rPr>
        <w:t>8277.18</w:t>
      </w:r>
      <w:r>
        <w:rPr>
          <w:rFonts w:hint="default"/>
        </w:rPr>
        <w:t>m</w:t>
      </w:r>
      <w:r>
        <w:rPr>
          <w:rFonts w:hint="eastAsia"/>
          <w:lang w:val="en-US" w:eastAsia="zh-CN"/>
        </w:rPr>
        <w:t>²</w:t>
      </w:r>
      <w:r>
        <w:rPr>
          <w:rFonts w:hint="default"/>
          <w:lang w:eastAsia="zh-CN"/>
        </w:rPr>
        <w:t>（</w:t>
      </w:r>
      <w:r>
        <w:rPr>
          <w:rFonts w:hint="eastAsia"/>
          <w:lang w:val="en-US" w:eastAsia="zh-CN"/>
        </w:rPr>
        <w:t>12.4亩</w:t>
      </w:r>
      <w:r>
        <w:rPr>
          <w:rFonts w:hint="default"/>
          <w:lang w:eastAsia="zh-CN"/>
        </w:rPr>
        <w:t>）</w:t>
      </w:r>
      <w:r>
        <w:rPr>
          <w:rFonts w:hint="default"/>
        </w:rPr>
        <w:t>，根据生态影响评价工作等级的划分原则，项目生态影响评价等级为三级。</w:t>
      </w:r>
    </w:p>
    <w:p>
      <w:pPr>
        <w:pStyle w:val="6"/>
        <w:bidi w:val="0"/>
        <w:rPr>
          <w:rFonts w:hint="default"/>
        </w:rPr>
      </w:pPr>
      <w:r>
        <w:rPr>
          <w:rFonts w:hint="default"/>
        </w:rPr>
        <w:t>2.6.1.7</w:t>
      </w:r>
      <w:r>
        <w:rPr>
          <w:rFonts w:hint="eastAsia"/>
          <w:lang w:eastAsia="zh-CN"/>
        </w:rPr>
        <w:t>、</w:t>
      </w:r>
      <w:r>
        <w:rPr>
          <w:rFonts w:hint="default"/>
        </w:rPr>
        <w:t>环境风险</w:t>
      </w:r>
    </w:p>
    <w:p>
      <w:pPr>
        <w:bidi w:val="0"/>
        <w:rPr>
          <w:rFonts w:hint="default" w:eastAsia="宋体"/>
          <w:lang w:val="en-US" w:eastAsia="zh-CN"/>
        </w:rPr>
      </w:pPr>
      <w:r>
        <w:rPr>
          <w:rFonts w:hint="default"/>
        </w:rPr>
        <w:t>根据《建设项目环境风险评价技术导则》(HJ/T169-2018)中环境风险评价工作等级划分依据见表2.6-1</w:t>
      </w:r>
      <w:r>
        <w:rPr>
          <w:rFonts w:hint="default"/>
          <w:lang w:val="en-US" w:eastAsia="zh-CN"/>
        </w:rPr>
        <w:t>3</w:t>
      </w:r>
      <w:r>
        <w:rPr>
          <w:rFonts w:hint="eastAsia"/>
          <w:lang w:val="en-US" w:eastAsia="zh-CN"/>
        </w:rPr>
        <w:t>，风险潜势划分表见表2.6-14。</w:t>
      </w:r>
    </w:p>
    <w:p>
      <w:pPr>
        <w:pStyle w:val="17"/>
        <w:bidi w:val="0"/>
        <w:rPr>
          <w:rFonts w:hint="default"/>
          <w:b/>
          <w:bCs/>
        </w:rPr>
      </w:pPr>
      <w:r>
        <w:rPr>
          <w:rFonts w:hint="default"/>
          <w:b/>
          <w:bCs/>
        </w:rPr>
        <w:t>表2.6-1</w:t>
      </w:r>
      <w:r>
        <w:rPr>
          <w:rFonts w:hint="default"/>
          <w:b/>
          <w:bCs/>
          <w:lang w:val="en-US" w:eastAsia="zh-CN"/>
        </w:rPr>
        <w:t>3</w:t>
      </w:r>
      <w:r>
        <w:rPr>
          <w:rFonts w:hint="default"/>
          <w:b/>
          <w:bCs/>
        </w:rPr>
        <w:t xml:space="preserve">   环境风险评价工作等级划分表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827"/>
        <w:gridCol w:w="1827"/>
        <w:gridCol w:w="1827"/>
        <w:gridCol w:w="18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760" w:type="dxa"/>
            <w:tcBorders>
              <w:tl2br w:val="nil"/>
              <w:tr2bl w:val="nil"/>
            </w:tcBorders>
            <w:vAlign w:val="center"/>
          </w:tcPr>
          <w:p>
            <w:pPr>
              <w:pStyle w:val="17"/>
              <w:bidi w:val="0"/>
              <w:rPr>
                <w:rFonts w:hint="default"/>
                <w:b/>
                <w:bCs/>
              </w:rPr>
            </w:pPr>
            <w:r>
              <w:rPr>
                <w:rFonts w:hint="default"/>
                <w:b/>
                <w:bCs/>
              </w:rPr>
              <w:t>环境风险潜势</w:t>
            </w:r>
          </w:p>
        </w:tc>
        <w:tc>
          <w:tcPr>
            <w:tcW w:w="1827" w:type="dxa"/>
            <w:tcBorders>
              <w:tl2br w:val="nil"/>
              <w:tr2bl w:val="nil"/>
            </w:tcBorders>
            <w:vAlign w:val="center"/>
          </w:tcPr>
          <w:p>
            <w:pPr>
              <w:pStyle w:val="17"/>
              <w:bidi w:val="0"/>
              <w:rPr>
                <w:rFonts w:hint="default"/>
                <w:b/>
                <w:bCs/>
              </w:rPr>
            </w:pPr>
            <w:r>
              <w:rPr>
                <w:rFonts w:hint="default"/>
                <w:b/>
                <w:bCs/>
              </w:rPr>
              <w:t>IV、IV+</w:t>
            </w:r>
          </w:p>
        </w:tc>
        <w:tc>
          <w:tcPr>
            <w:tcW w:w="1827" w:type="dxa"/>
            <w:tcBorders>
              <w:tl2br w:val="nil"/>
              <w:tr2bl w:val="nil"/>
            </w:tcBorders>
            <w:vAlign w:val="center"/>
          </w:tcPr>
          <w:p>
            <w:pPr>
              <w:pStyle w:val="17"/>
              <w:bidi w:val="0"/>
              <w:rPr>
                <w:rFonts w:hint="default"/>
                <w:b/>
                <w:bCs/>
              </w:rPr>
            </w:pPr>
            <w:r>
              <w:rPr>
                <w:rFonts w:hint="default"/>
                <w:b/>
                <w:bCs/>
              </w:rPr>
              <w:t>III</w:t>
            </w:r>
          </w:p>
        </w:tc>
        <w:tc>
          <w:tcPr>
            <w:tcW w:w="1827" w:type="dxa"/>
            <w:tcBorders>
              <w:tl2br w:val="nil"/>
              <w:tr2bl w:val="nil"/>
            </w:tcBorders>
            <w:vAlign w:val="center"/>
          </w:tcPr>
          <w:p>
            <w:pPr>
              <w:pStyle w:val="17"/>
              <w:bidi w:val="0"/>
              <w:rPr>
                <w:rFonts w:hint="default"/>
                <w:b/>
                <w:bCs/>
              </w:rPr>
            </w:pPr>
            <w:r>
              <w:rPr>
                <w:rFonts w:hint="default"/>
                <w:b/>
                <w:bCs/>
              </w:rPr>
              <w:t>Ⅱ</w:t>
            </w:r>
          </w:p>
        </w:tc>
        <w:tc>
          <w:tcPr>
            <w:tcW w:w="1830" w:type="dxa"/>
            <w:tcBorders>
              <w:tl2br w:val="nil"/>
              <w:tr2bl w:val="nil"/>
            </w:tcBorders>
            <w:vAlign w:val="center"/>
          </w:tcPr>
          <w:p>
            <w:pPr>
              <w:pStyle w:val="17"/>
              <w:bidi w:val="0"/>
              <w:rPr>
                <w:rFonts w:hint="default"/>
                <w:b/>
                <w:bCs/>
              </w:rPr>
            </w:pPr>
            <w:r>
              <w:rPr>
                <w:rFonts w:hint="default"/>
                <w:b/>
                <w:bCs/>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760" w:type="dxa"/>
            <w:tcBorders>
              <w:tl2br w:val="nil"/>
              <w:tr2bl w:val="nil"/>
            </w:tcBorders>
            <w:vAlign w:val="center"/>
          </w:tcPr>
          <w:p>
            <w:pPr>
              <w:pStyle w:val="17"/>
              <w:bidi w:val="0"/>
              <w:rPr>
                <w:rFonts w:hint="default"/>
                <w:b/>
                <w:bCs/>
              </w:rPr>
            </w:pPr>
            <w:r>
              <w:rPr>
                <w:rFonts w:hint="default"/>
                <w:b/>
                <w:bCs/>
              </w:rPr>
              <w:t>评价工作等级</w:t>
            </w:r>
          </w:p>
        </w:tc>
        <w:tc>
          <w:tcPr>
            <w:tcW w:w="1827" w:type="dxa"/>
            <w:tcBorders>
              <w:tl2br w:val="nil"/>
              <w:tr2bl w:val="nil"/>
            </w:tcBorders>
            <w:vAlign w:val="center"/>
          </w:tcPr>
          <w:p>
            <w:pPr>
              <w:pStyle w:val="17"/>
              <w:bidi w:val="0"/>
              <w:rPr>
                <w:rFonts w:hint="default"/>
                <w:b/>
                <w:bCs/>
              </w:rPr>
            </w:pPr>
            <w:r>
              <w:rPr>
                <w:rFonts w:hint="default"/>
                <w:b/>
                <w:bCs/>
              </w:rPr>
              <w:t>一</w:t>
            </w:r>
          </w:p>
        </w:tc>
        <w:tc>
          <w:tcPr>
            <w:tcW w:w="1827" w:type="dxa"/>
            <w:tcBorders>
              <w:tl2br w:val="nil"/>
              <w:tr2bl w:val="nil"/>
            </w:tcBorders>
            <w:vAlign w:val="center"/>
          </w:tcPr>
          <w:p>
            <w:pPr>
              <w:pStyle w:val="17"/>
              <w:bidi w:val="0"/>
              <w:rPr>
                <w:rFonts w:hint="default"/>
                <w:b/>
                <w:bCs/>
              </w:rPr>
            </w:pPr>
            <w:r>
              <w:rPr>
                <w:rFonts w:hint="default"/>
                <w:b/>
                <w:bCs/>
              </w:rPr>
              <w:t>二</w:t>
            </w:r>
          </w:p>
        </w:tc>
        <w:tc>
          <w:tcPr>
            <w:tcW w:w="1827" w:type="dxa"/>
            <w:tcBorders>
              <w:tl2br w:val="nil"/>
              <w:tr2bl w:val="nil"/>
            </w:tcBorders>
            <w:vAlign w:val="center"/>
          </w:tcPr>
          <w:p>
            <w:pPr>
              <w:pStyle w:val="17"/>
              <w:bidi w:val="0"/>
              <w:rPr>
                <w:rFonts w:hint="default"/>
                <w:b/>
                <w:bCs/>
              </w:rPr>
            </w:pPr>
            <w:r>
              <w:rPr>
                <w:rFonts w:hint="default"/>
                <w:b/>
                <w:bCs/>
              </w:rPr>
              <w:t>三</w:t>
            </w:r>
          </w:p>
        </w:tc>
        <w:tc>
          <w:tcPr>
            <w:tcW w:w="1830" w:type="dxa"/>
            <w:tcBorders>
              <w:tl2br w:val="nil"/>
              <w:tr2bl w:val="nil"/>
            </w:tcBorders>
            <w:vAlign w:val="center"/>
          </w:tcPr>
          <w:p>
            <w:pPr>
              <w:pStyle w:val="17"/>
              <w:bidi w:val="0"/>
              <w:rPr>
                <w:rFonts w:hint="default"/>
                <w:b/>
                <w:bCs/>
              </w:rPr>
            </w:pPr>
            <w:r>
              <w:rPr>
                <w:rFonts w:hint="default"/>
                <w:b/>
                <w:bCs/>
              </w:rPr>
              <w:t>简单分析a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071" w:type="dxa"/>
            <w:gridSpan w:val="5"/>
            <w:tcBorders>
              <w:tl2br w:val="nil"/>
              <w:tr2bl w:val="nil"/>
            </w:tcBorders>
            <w:vAlign w:val="center"/>
          </w:tcPr>
          <w:p>
            <w:pPr>
              <w:pStyle w:val="17"/>
              <w:bidi w:val="0"/>
              <w:rPr>
                <w:rFonts w:hint="default"/>
              </w:rPr>
            </w:pPr>
            <w:r>
              <w:rPr>
                <w:rFonts w:hint="default"/>
              </w:rPr>
              <w:t>a是相对于详细评价工作内容而言，在描述危险物质、环境影响途径、环境危险后果、风险防范措施等方面给出定性的说明。</w:t>
            </w:r>
          </w:p>
        </w:tc>
      </w:tr>
    </w:tbl>
    <w:p>
      <w:pPr>
        <w:pStyle w:val="17"/>
        <w:bidi w:val="0"/>
        <w:rPr>
          <w:rFonts w:hint="default"/>
          <w:b/>
          <w:bCs/>
        </w:rPr>
      </w:pPr>
      <w:bookmarkStart w:id="77" w:name="_Toc332975155"/>
      <w:bookmarkStart w:id="78" w:name="_Toc327373180"/>
      <w:bookmarkStart w:id="79" w:name="_Toc341867049"/>
      <w:r>
        <w:rPr>
          <w:rFonts w:hint="default"/>
          <w:b/>
          <w:bCs/>
        </w:rPr>
        <w:t>表2.6-1</w:t>
      </w:r>
      <w:r>
        <w:rPr>
          <w:rFonts w:hint="default"/>
          <w:b/>
          <w:bCs/>
          <w:lang w:val="en-US" w:eastAsia="zh-CN"/>
        </w:rPr>
        <w:t>4</w:t>
      </w:r>
      <w:r>
        <w:rPr>
          <w:rFonts w:hint="eastAsia"/>
          <w:b/>
          <w:bCs/>
          <w:lang w:val="en-US" w:eastAsia="zh-CN"/>
        </w:rPr>
        <w:t xml:space="preserve">   </w:t>
      </w:r>
      <w:r>
        <w:rPr>
          <w:rFonts w:hint="default"/>
          <w:b/>
          <w:bCs/>
        </w:rPr>
        <w:t>建设项目环境风险潜势划分</w:t>
      </w:r>
    </w:p>
    <w:tbl>
      <w:tblPr>
        <w:tblStyle w:val="12"/>
        <w:tblW w:w="9071"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853"/>
        <w:gridCol w:w="1804"/>
        <w:gridCol w:w="1804"/>
        <w:gridCol w:w="1804"/>
        <w:gridCol w:w="180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jc w:val="center"/>
        </w:trPr>
        <w:tc>
          <w:tcPr>
            <w:tcW w:w="1853" w:type="dxa"/>
            <w:vMerge w:val="restart"/>
            <w:tcBorders>
              <w:tl2br w:val="nil"/>
              <w:tr2bl w:val="nil"/>
            </w:tcBorders>
            <w:vAlign w:val="center"/>
          </w:tcPr>
          <w:p>
            <w:pPr>
              <w:pStyle w:val="17"/>
              <w:bidi w:val="0"/>
              <w:rPr>
                <w:rFonts w:hint="default"/>
                <w:b/>
                <w:bCs/>
              </w:rPr>
            </w:pPr>
            <w:r>
              <w:rPr>
                <w:rFonts w:hint="default"/>
                <w:b/>
                <w:bCs/>
              </w:rPr>
              <w:t>环境敏感程度（E）</w:t>
            </w:r>
          </w:p>
        </w:tc>
        <w:tc>
          <w:tcPr>
            <w:tcW w:w="7218" w:type="dxa"/>
            <w:gridSpan w:val="4"/>
            <w:tcBorders>
              <w:tl2br w:val="nil"/>
              <w:tr2bl w:val="nil"/>
            </w:tcBorders>
            <w:vAlign w:val="center"/>
          </w:tcPr>
          <w:p>
            <w:pPr>
              <w:pStyle w:val="17"/>
              <w:bidi w:val="0"/>
              <w:rPr>
                <w:rFonts w:hint="default"/>
                <w:b/>
                <w:bCs/>
              </w:rPr>
            </w:pPr>
            <w:r>
              <w:rPr>
                <w:rFonts w:hint="default"/>
                <w:b/>
                <w:bCs/>
              </w:rPr>
              <w:t>危险物质及工艺系统危险性（P）</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jc w:val="center"/>
        </w:trPr>
        <w:tc>
          <w:tcPr>
            <w:tcW w:w="1853" w:type="dxa"/>
            <w:vMerge w:val="continue"/>
            <w:tcBorders>
              <w:tl2br w:val="nil"/>
              <w:tr2bl w:val="nil"/>
            </w:tcBorders>
            <w:vAlign w:val="center"/>
          </w:tcPr>
          <w:p>
            <w:pPr>
              <w:pStyle w:val="17"/>
              <w:bidi w:val="0"/>
              <w:rPr>
                <w:rFonts w:hint="default"/>
                <w:b/>
                <w:bCs/>
              </w:rPr>
            </w:pPr>
          </w:p>
        </w:tc>
        <w:tc>
          <w:tcPr>
            <w:tcW w:w="1804" w:type="dxa"/>
            <w:tcBorders>
              <w:tl2br w:val="nil"/>
              <w:tr2bl w:val="nil"/>
            </w:tcBorders>
            <w:vAlign w:val="center"/>
          </w:tcPr>
          <w:p>
            <w:pPr>
              <w:pStyle w:val="17"/>
              <w:bidi w:val="0"/>
              <w:rPr>
                <w:rFonts w:hint="default"/>
                <w:b/>
                <w:bCs/>
              </w:rPr>
            </w:pPr>
            <w:r>
              <w:rPr>
                <w:rFonts w:hint="default"/>
                <w:b/>
                <w:bCs/>
              </w:rPr>
              <w:t>极高危害（P1）</w:t>
            </w:r>
          </w:p>
        </w:tc>
        <w:tc>
          <w:tcPr>
            <w:tcW w:w="1804" w:type="dxa"/>
            <w:tcBorders>
              <w:tl2br w:val="nil"/>
              <w:tr2bl w:val="nil"/>
            </w:tcBorders>
            <w:vAlign w:val="center"/>
          </w:tcPr>
          <w:p>
            <w:pPr>
              <w:pStyle w:val="17"/>
              <w:bidi w:val="0"/>
              <w:rPr>
                <w:rFonts w:hint="default"/>
                <w:b/>
                <w:bCs/>
              </w:rPr>
            </w:pPr>
            <w:r>
              <w:rPr>
                <w:rFonts w:hint="default"/>
                <w:b/>
                <w:bCs/>
              </w:rPr>
              <w:t>高度危害（P2）</w:t>
            </w:r>
          </w:p>
        </w:tc>
        <w:tc>
          <w:tcPr>
            <w:tcW w:w="1804" w:type="dxa"/>
            <w:tcBorders>
              <w:tl2br w:val="nil"/>
              <w:tr2bl w:val="nil"/>
            </w:tcBorders>
            <w:vAlign w:val="center"/>
          </w:tcPr>
          <w:p>
            <w:pPr>
              <w:pStyle w:val="17"/>
              <w:bidi w:val="0"/>
              <w:rPr>
                <w:rFonts w:hint="default"/>
                <w:b/>
                <w:bCs/>
              </w:rPr>
            </w:pPr>
            <w:r>
              <w:rPr>
                <w:rFonts w:hint="default"/>
                <w:b/>
                <w:bCs/>
              </w:rPr>
              <w:t>中度危害（P3）</w:t>
            </w:r>
          </w:p>
        </w:tc>
        <w:tc>
          <w:tcPr>
            <w:tcW w:w="1806" w:type="dxa"/>
            <w:tcBorders>
              <w:tl2br w:val="nil"/>
              <w:tr2bl w:val="nil"/>
            </w:tcBorders>
            <w:vAlign w:val="center"/>
          </w:tcPr>
          <w:p>
            <w:pPr>
              <w:pStyle w:val="17"/>
              <w:bidi w:val="0"/>
              <w:rPr>
                <w:rFonts w:hint="default"/>
                <w:b/>
                <w:bCs/>
              </w:rPr>
            </w:pPr>
            <w:r>
              <w:rPr>
                <w:rFonts w:hint="default"/>
                <w:b/>
                <w:bCs/>
              </w:rPr>
              <w:t>轻度危害（P4）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jc w:val="center"/>
        </w:trPr>
        <w:tc>
          <w:tcPr>
            <w:tcW w:w="1853" w:type="dxa"/>
            <w:tcBorders>
              <w:tl2br w:val="nil"/>
              <w:tr2bl w:val="nil"/>
            </w:tcBorders>
            <w:vAlign w:val="center"/>
          </w:tcPr>
          <w:p>
            <w:pPr>
              <w:pStyle w:val="17"/>
              <w:bidi w:val="0"/>
              <w:rPr>
                <w:rFonts w:hint="default"/>
              </w:rPr>
            </w:pPr>
            <w:r>
              <w:rPr>
                <w:rFonts w:hint="default"/>
              </w:rPr>
              <w:t>环境高度敏感区（E1）</w:t>
            </w:r>
          </w:p>
        </w:tc>
        <w:tc>
          <w:tcPr>
            <w:tcW w:w="1804" w:type="dxa"/>
            <w:tcBorders>
              <w:tl2br w:val="nil"/>
              <w:tr2bl w:val="nil"/>
            </w:tcBorders>
            <w:vAlign w:val="center"/>
          </w:tcPr>
          <w:p>
            <w:pPr>
              <w:pStyle w:val="17"/>
              <w:bidi w:val="0"/>
              <w:rPr>
                <w:rFonts w:hint="default"/>
              </w:rPr>
            </w:pPr>
            <w:r>
              <w:rPr>
                <w:rFonts w:hint="default"/>
              </w:rPr>
              <w:t>Ⅳ+</w:t>
            </w:r>
          </w:p>
        </w:tc>
        <w:tc>
          <w:tcPr>
            <w:tcW w:w="1804" w:type="dxa"/>
            <w:tcBorders>
              <w:tl2br w:val="nil"/>
              <w:tr2bl w:val="nil"/>
            </w:tcBorders>
            <w:vAlign w:val="center"/>
          </w:tcPr>
          <w:p>
            <w:pPr>
              <w:pStyle w:val="17"/>
              <w:bidi w:val="0"/>
              <w:rPr>
                <w:rFonts w:hint="default"/>
              </w:rPr>
            </w:pPr>
            <w:r>
              <w:rPr>
                <w:rFonts w:hint="default"/>
              </w:rPr>
              <w:t>Ⅳ</w:t>
            </w:r>
          </w:p>
        </w:tc>
        <w:tc>
          <w:tcPr>
            <w:tcW w:w="1804" w:type="dxa"/>
            <w:tcBorders>
              <w:tl2br w:val="nil"/>
              <w:tr2bl w:val="nil"/>
            </w:tcBorders>
            <w:vAlign w:val="center"/>
          </w:tcPr>
          <w:p>
            <w:pPr>
              <w:pStyle w:val="17"/>
              <w:bidi w:val="0"/>
              <w:rPr>
                <w:rFonts w:hint="default"/>
              </w:rPr>
            </w:pPr>
            <w:r>
              <w:rPr>
                <w:rFonts w:hint="default"/>
              </w:rPr>
              <w:t>Ⅲ</w:t>
            </w:r>
          </w:p>
        </w:tc>
        <w:tc>
          <w:tcPr>
            <w:tcW w:w="1806" w:type="dxa"/>
            <w:tcBorders>
              <w:tl2br w:val="nil"/>
              <w:tr2bl w:val="nil"/>
            </w:tcBorders>
            <w:vAlign w:val="center"/>
          </w:tcPr>
          <w:p>
            <w:pPr>
              <w:pStyle w:val="17"/>
              <w:bidi w:val="0"/>
              <w:rPr>
                <w:rFonts w:hint="default"/>
              </w:rPr>
            </w:pPr>
            <w:r>
              <w:rPr>
                <w:rFonts w:hint="default"/>
              </w:rPr>
              <w:t>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jc w:val="center"/>
        </w:trPr>
        <w:tc>
          <w:tcPr>
            <w:tcW w:w="1853" w:type="dxa"/>
            <w:tcBorders>
              <w:tl2br w:val="nil"/>
              <w:tr2bl w:val="nil"/>
            </w:tcBorders>
            <w:vAlign w:val="center"/>
          </w:tcPr>
          <w:p>
            <w:pPr>
              <w:pStyle w:val="17"/>
              <w:bidi w:val="0"/>
              <w:rPr>
                <w:rFonts w:hint="default"/>
              </w:rPr>
            </w:pPr>
            <w:r>
              <w:rPr>
                <w:rFonts w:hint="default"/>
              </w:rPr>
              <w:t>环境中度敏感区（E2）</w:t>
            </w:r>
          </w:p>
        </w:tc>
        <w:tc>
          <w:tcPr>
            <w:tcW w:w="1804" w:type="dxa"/>
            <w:tcBorders>
              <w:tl2br w:val="nil"/>
              <w:tr2bl w:val="nil"/>
            </w:tcBorders>
            <w:vAlign w:val="center"/>
          </w:tcPr>
          <w:p>
            <w:pPr>
              <w:pStyle w:val="17"/>
              <w:bidi w:val="0"/>
              <w:rPr>
                <w:rFonts w:hint="default"/>
              </w:rPr>
            </w:pPr>
            <w:r>
              <w:rPr>
                <w:rFonts w:hint="default"/>
              </w:rPr>
              <w:t>Ⅳ</w:t>
            </w:r>
          </w:p>
        </w:tc>
        <w:tc>
          <w:tcPr>
            <w:tcW w:w="1804" w:type="dxa"/>
            <w:tcBorders>
              <w:tl2br w:val="nil"/>
              <w:tr2bl w:val="nil"/>
            </w:tcBorders>
            <w:vAlign w:val="center"/>
          </w:tcPr>
          <w:p>
            <w:pPr>
              <w:pStyle w:val="17"/>
              <w:bidi w:val="0"/>
              <w:rPr>
                <w:rFonts w:hint="default"/>
              </w:rPr>
            </w:pPr>
            <w:r>
              <w:rPr>
                <w:rFonts w:hint="default"/>
              </w:rPr>
              <w:t>Ⅲ</w:t>
            </w:r>
          </w:p>
        </w:tc>
        <w:tc>
          <w:tcPr>
            <w:tcW w:w="1804" w:type="dxa"/>
            <w:tcBorders>
              <w:tl2br w:val="nil"/>
              <w:tr2bl w:val="nil"/>
            </w:tcBorders>
            <w:vAlign w:val="center"/>
          </w:tcPr>
          <w:p>
            <w:pPr>
              <w:pStyle w:val="17"/>
              <w:bidi w:val="0"/>
              <w:rPr>
                <w:rFonts w:hint="default"/>
              </w:rPr>
            </w:pPr>
            <w:r>
              <w:rPr>
                <w:rFonts w:hint="default"/>
              </w:rPr>
              <w:t>Ⅲ</w:t>
            </w:r>
          </w:p>
        </w:tc>
        <w:tc>
          <w:tcPr>
            <w:tcW w:w="1806" w:type="dxa"/>
            <w:tcBorders>
              <w:tl2br w:val="nil"/>
              <w:tr2bl w:val="nil"/>
            </w:tcBorders>
            <w:vAlign w:val="center"/>
          </w:tcPr>
          <w:p>
            <w:pPr>
              <w:pStyle w:val="17"/>
              <w:bidi w:val="0"/>
              <w:rPr>
                <w:rFonts w:hint="default"/>
              </w:rPr>
            </w:pPr>
            <w:r>
              <w:rPr>
                <w:rFonts w:hint="default"/>
              </w:rPr>
              <w:t>Ⅱ</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jc w:val="center"/>
        </w:trPr>
        <w:tc>
          <w:tcPr>
            <w:tcW w:w="1853" w:type="dxa"/>
            <w:tcBorders>
              <w:tl2br w:val="nil"/>
              <w:tr2bl w:val="nil"/>
            </w:tcBorders>
            <w:vAlign w:val="center"/>
          </w:tcPr>
          <w:p>
            <w:pPr>
              <w:pStyle w:val="17"/>
              <w:bidi w:val="0"/>
              <w:rPr>
                <w:rFonts w:hint="default"/>
              </w:rPr>
            </w:pPr>
            <w:r>
              <w:rPr>
                <w:rFonts w:hint="default"/>
              </w:rPr>
              <w:t>环境低度敏感区（E3）</w:t>
            </w:r>
          </w:p>
        </w:tc>
        <w:tc>
          <w:tcPr>
            <w:tcW w:w="1804" w:type="dxa"/>
            <w:tcBorders>
              <w:tl2br w:val="nil"/>
              <w:tr2bl w:val="nil"/>
            </w:tcBorders>
            <w:vAlign w:val="center"/>
          </w:tcPr>
          <w:p>
            <w:pPr>
              <w:pStyle w:val="17"/>
              <w:bidi w:val="0"/>
              <w:rPr>
                <w:rFonts w:hint="default"/>
              </w:rPr>
            </w:pPr>
            <w:r>
              <w:rPr>
                <w:rFonts w:hint="default"/>
              </w:rPr>
              <w:t>Ⅲ</w:t>
            </w:r>
          </w:p>
        </w:tc>
        <w:tc>
          <w:tcPr>
            <w:tcW w:w="1804" w:type="dxa"/>
            <w:tcBorders>
              <w:tl2br w:val="nil"/>
              <w:tr2bl w:val="nil"/>
            </w:tcBorders>
            <w:vAlign w:val="center"/>
          </w:tcPr>
          <w:p>
            <w:pPr>
              <w:pStyle w:val="17"/>
              <w:bidi w:val="0"/>
              <w:rPr>
                <w:rFonts w:hint="default"/>
              </w:rPr>
            </w:pPr>
            <w:r>
              <w:rPr>
                <w:rFonts w:hint="default"/>
              </w:rPr>
              <w:t>Ⅲ</w:t>
            </w:r>
          </w:p>
        </w:tc>
        <w:tc>
          <w:tcPr>
            <w:tcW w:w="1804" w:type="dxa"/>
            <w:tcBorders>
              <w:tl2br w:val="nil"/>
              <w:tr2bl w:val="nil"/>
            </w:tcBorders>
            <w:vAlign w:val="center"/>
          </w:tcPr>
          <w:p>
            <w:pPr>
              <w:pStyle w:val="17"/>
              <w:bidi w:val="0"/>
              <w:rPr>
                <w:rFonts w:hint="default"/>
              </w:rPr>
            </w:pPr>
            <w:r>
              <w:rPr>
                <w:rFonts w:hint="default"/>
              </w:rPr>
              <w:t>Ⅱ</w:t>
            </w:r>
          </w:p>
        </w:tc>
        <w:tc>
          <w:tcPr>
            <w:tcW w:w="1806" w:type="dxa"/>
            <w:tcBorders>
              <w:tl2br w:val="nil"/>
              <w:tr2bl w:val="nil"/>
            </w:tcBorders>
            <w:vAlign w:val="center"/>
          </w:tcPr>
          <w:p>
            <w:pPr>
              <w:pStyle w:val="17"/>
              <w:bidi w:val="0"/>
              <w:rPr>
                <w:rFonts w:hint="default"/>
              </w:rPr>
            </w:pPr>
            <w:r>
              <w:rPr>
                <w:rFonts w:hint="default"/>
              </w:rPr>
              <w:t>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3" w:hRule="atLeast"/>
          <w:jc w:val="center"/>
        </w:trPr>
        <w:tc>
          <w:tcPr>
            <w:tcW w:w="9071" w:type="dxa"/>
            <w:gridSpan w:val="5"/>
            <w:tcBorders>
              <w:tl2br w:val="nil"/>
              <w:tr2bl w:val="nil"/>
            </w:tcBorders>
            <w:vAlign w:val="center"/>
          </w:tcPr>
          <w:p>
            <w:pPr>
              <w:pStyle w:val="17"/>
              <w:bidi w:val="0"/>
              <w:rPr>
                <w:rFonts w:hint="default"/>
              </w:rPr>
            </w:pPr>
            <w:r>
              <w:rPr>
                <w:rFonts w:hint="default"/>
              </w:rPr>
              <w:t>注：Ⅳ+为极高环境风险</w:t>
            </w:r>
          </w:p>
        </w:tc>
      </w:tr>
    </w:tbl>
    <w:p>
      <w:pPr>
        <w:bidi w:val="0"/>
        <w:rPr>
          <w:rFonts w:hint="default"/>
        </w:rPr>
      </w:pPr>
      <w:r>
        <w:rPr>
          <w:rFonts w:hint="default"/>
        </w:rPr>
        <w:t>本项目工艺温度未超过300℃，不属于高温工艺，因此行业及生产工艺为M=5，根据《建设项目环境风险评价技术导则》（HJ/T169-2018）和《危险化学品重大危险源辨识》（GB18218-2014），对本项目的危险物质存量进行重大危险源辨识，通过分析本项目在生产过程中使用的主要原材料为聚乙烯为可燃物质，未被列入《危险化学品重大危险源辨识》（GB18218-2014）监控目录</w:t>
      </w:r>
      <w:r>
        <w:rPr>
          <w:rFonts w:hint="default"/>
          <w:lang w:val="en-US" w:eastAsia="zh-CN"/>
        </w:rPr>
        <w:t>，不构成重大危险源，其存储量和临界量比值（Q）＜1，该项目环境风险潜势为Ⅰ</w:t>
      </w:r>
      <w:r>
        <w:rPr>
          <w:rFonts w:hint="default"/>
        </w:rPr>
        <w:t>。</w:t>
      </w:r>
    </w:p>
    <w:p>
      <w:pPr>
        <w:bidi w:val="0"/>
        <w:rPr>
          <w:rFonts w:hint="default"/>
        </w:rPr>
      </w:pPr>
      <w:r>
        <w:rPr>
          <w:rFonts w:hint="default"/>
        </w:rPr>
        <w:t>根据HJ610-2016附录C危险物质及工艺系统危险性等级判断，本项目危险物质及工艺系统危险性等级为P4。</w:t>
      </w:r>
    </w:p>
    <w:p>
      <w:pPr>
        <w:bidi w:val="0"/>
        <w:rPr>
          <w:rFonts w:hint="default"/>
        </w:rPr>
      </w:pPr>
      <w:r>
        <w:rPr>
          <w:rFonts w:hint="default"/>
        </w:rPr>
        <w:t>项目所在地为</w:t>
      </w:r>
      <w:r>
        <w:rPr>
          <w:rFonts w:hint="eastAsia"/>
          <w:lang w:val="en-US" w:eastAsia="zh-CN"/>
        </w:rPr>
        <w:t>建设用地</w:t>
      </w:r>
      <w:r>
        <w:rPr>
          <w:rFonts w:hint="default"/>
        </w:rPr>
        <w:t>，周边5</w:t>
      </w:r>
      <w:r>
        <w:rPr>
          <w:rFonts w:hint="default"/>
          <w:lang w:val="en-US" w:eastAsia="zh-CN"/>
        </w:rPr>
        <w:t>00</w:t>
      </w:r>
      <w:r>
        <w:rPr>
          <w:rFonts w:hint="default"/>
        </w:rPr>
        <w:t>m范围内人</w:t>
      </w:r>
      <w:r>
        <w:rPr>
          <w:rFonts w:hint="default"/>
          <w:lang w:val="en-US" w:eastAsia="zh-CN"/>
        </w:rPr>
        <w:t>口</w:t>
      </w:r>
      <w:r>
        <w:rPr>
          <w:rFonts w:hint="default"/>
        </w:rPr>
        <w:t>总数小于</w:t>
      </w:r>
      <w:r>
        <w:rPr>
          <w:rFonts w:hint="default"/>
          <w:lang w:val="en-US" w:eastAsia="zh-CN"/>
        </w:rPr>
        <w:t>500</w:t>
      </w:r>
      <w:r>
        <w:rPr>
          <w:rFonts w:hint="default"/>
        </w:rPr>
        <w:t>人，根据HJ169-2018附录D本项目属于环境低度敏感区（E3）。对照表建设项目环境风险潜势划分和表评价工作等级分级（见表2.6-1</w:t>
      </w:r>
      <w:r>
        <w:rPr>
          <w:rFonts w:hint="default"/>
          <w:lang w:val="en-US" w:eastAsia="zh-CN"/>
        </w:rPr>
        <w:t>3</w:t>
      </w:r>
      <w:r>
        <w:rPr>
          <w:rFonts w:hint="default"/>
        </w:rPr>
        <w:t>和表2.6-1</w:t>
      </w:r>
      <w:r>
        <w:rPr>
          <w:rFonts w:hint="default"/>
          <w:lang w:val="en-US" w:eastAsia="zh-CN"/>
        </w:rPr>
        <w:t>4</w:t>
      </w:r>
      <w:r>
        <w:rPr>
          <w:rFonts w:hint="default"/>
        </w:rPr>
        <w:t>），确定本项目评价等级为简单分析，对事故影响进行分析，提出防范、减缓和应急措施。</w:t>
      </w:r>
    </w:p>
    <w:p>
      <w:pPr>
        <w:pStyle w:val="5"/>
        <w:bidi w:val="0"/>
        <w:rPr>
          <w:rFonts w:hint="default"/>
          <w:lang w:eastAsia="zh-CN"/>
        </w:rPr>
      </w:pPr>
      <w:r>
        <w:rPr>
          <w:rFonts w:hint="default"/>
        </w:rPr>
        <w:t>2.6.2</w:t>
      </w:r>
      <w:r>
        <w:rPr>
          <w:rFonts w:hint="eastAsia"/>
          <w:lang w:eastAsia="zh-CN"/>
        </w:rPr>
        <w:t>、</w:t>
      </w:r>
      <w:r>
        <w:rPr>
          <w:rFonts w:hint="default"/>
        </w:rPr>
        <w:t>评价</w:t>
      </w:r>
      <w:r>
        <w:rPr>
          <w:rFonts w:hint="default"/>
          <w:lang w:val="en-US" w:eastAsia="zh-CN"/>
        </w:rPr>
        <w:t>范围</w:t>
      </w:r>
    </w:p>
    <w:p>
      <w:pPr>
        <w:pStyle w:val="6"/>
        <w:bidi w:val="0"/>
        <w:rPr>
          <w:rFonts w:hint="default"/>
          <w:lang w:val="en-US" w:eastAsia="zh-CN"/>
        </w:rPr>
      </w:pPr>
      <w:r>
        <w:rPr>
          <w:rFonts w:hint="default"/>
          <w:lang w:val="en-US" w:eastAsia="zh-CN"/>
        </w:rPr>
        <w:t>2.6.2.1</w:t>
      </w:r>
      <w:r>
        <w:rPr>
          <w:rFonts w:hint="eastAsia"/>
          <w:lang w:val="en-US" w:eastAsia="zh-CN"/>
        </w:rPr>
        <w:t>、</w:t>
      </w:r>
      <w:r>
        <w:rPr>
          <w:rFonts w:hint="default"/>
          <w:lang w:val="en-US" w:eastAsia="zh-CN"/>
        </w:rPr>
        <w:t>环境空气影响评价范围</w:t>
      </w:r>
    </w:p>
    <w:p>
      <w:pPr>
        <w:bidi w:val="0"/>
        <w:rPr>
          <w:rFonts w:hint="default"/>
        </w:rPr>
      </w:pPr>
      <w:r>
        <w:rPr>
          <w:rFonts w:hint="default"/>
        </w:rPr>
        <w:t>根据《环境影响评价技术导则 大气环境》（HJ2.2-2018）5.4.1的要求，大气环境影响二级评价项目大气环境影响评价范围边长取5km。因此环境空气影响评价范围取项目</w:t>
      </w:r>
      <w:r>
        <w:rPr>
          <w:rFonts w:hint="eastAsia"/>
          <w:lang w:val="en-US" w:eastAsia="zh-CN"/>
        </w:rPr>
        <w:t>生产车间</w:t>
      </w:r>
      <w:r>
        <w:rPr>
          <w:rFonts w:hint="default"/>
        </w:rPr>
        <w:t>为中心，边长为5km×5km的矩形区域。</w:t>
      </w:r>
    </w:p>
    <w:p>
      <w:pPr>
        <w:pStyle w:val="6"/>
        <w:bidi w:val="0"/>
        <w:rPr>
          <w:rFonts w:hint="default"/>
          <w:lang w:val="en-US" w:eastAsia="zh-CN"/>
        </w:rPr>
      </w:pPr>
      <w:r>
        <w:rPr>
          <w:rFonts w:hint="default"/>
          <w:lang w:val="en-US" w:eastAsia="zh-CN"/>
        </w:rPr>
        <w:t>2.6.2.2</w:t>
      </w:r>
      <w:r>
        <w:rPr>
          <w:rFonts w:hint="eastAsia"/>
          <w:lang w:val="en-US" w:eastAsia="zh-CN"/>
        </w:rPr>
        <w:t>、</w:t>
      </w:r>
      <w:r>
        <w:rPr>
          <w:rFonts w:hint="default"/>
          <w:lang w:val="en-US" w:eastAsia="zh-CN"/>
        </w:rPr>
        <w:t>水环境影响评价范围</w:t>
      </w:r>
    </w:p>
    <w:p>
      <w:pPr>
        <w:bidi w:val="0"/>
        <w:rPr>
          <w:rFonts w:hint="default"/>
        </w:rPr>
      </w:pPr>
      <w:r>
        <w:rPr>
          <w:rFonts w:hint="default"/>
        </w:rPr>
        <w:t>本项目地下水环境影响评价工作等级为三级，根据《环境影响评价技术导则 地下水环境》（HJ610-2016），本项目地下水环境影响评价范围为以厂区为中心，上游延伸1km，下游延伸</w:t>
      </w:r>
      <w:r>
        <w:rPr>
          <w:rFonts w:hint="eastAsia"/>
          <w:lang w:val="en-US" w:eastAsia="zh-CN"/>
        </w:rPr>
        <w:t>2</w:t>
      </w:r>
      <w:r>
        <w:rPr>
          <w:rFonts w:hint="default"/>
        </w:rPr>
        <w:t>km，两侧各1km的范围，评价范围面积为</w:t>
      </w:r>
      <w:r>
        <w:rPr>
          <w:rFonts w:hint="eastAsia"/>
          <w:lang w:val="en-US" w:eastAsia="zh-CN"/>
        </w:rPr>
        <w:t>6</w:t>
      </w:r>
      <w:r>
        <w:rPr>
          <w:rFonts w:hint="eastAsia"/>
          <w:lang w:eastAsia="zh-CN"/>
        </w:rPr>
        <w:t>km²</w:t>
      </w:r>
      <w:r>
        <w:rPr>
          <w:rFonts w:hint="default"/>
        </w:rPr>
        <w:t>。</w:t>
      </w:r>
    </w:p>
    <w:p>
      <w:pPr>
        <w:pStyle w:val="6"/>
        <w:bidi w:val="0"/>
        <w:rPr>
          <w:rFonts w:hint="default"/>
          <w:lang w:val="en-US" w:eastAsia="zh-CN"/>
        </w:rPr>
      </w:pPr>
      <w:r>
        <w:rPr>
          <w:rFonts w:hint="default"/>
          <w:lang w:val="en-US" w:eastAsia="zh-CN"/>
        </w:rPr>
        <w:t>2.6.2.3</w:t>
      </w:r>
      <w:r>
        <w:rPr>
          <w:rFonts w:hint="eastAsia"/>
          <w:lang w:val="en-US" w:eastAsia="zh-CN"/>
        </w:rPr>
        <w:t>、</w:t>
      </w:r>
      <w:r>
        <w:rPr>
          <w:rFonts w:hint="default"/>
          <w:lang w:val="en-US" w:eastAsia="zh-CN"/>
        </w:rPr>
        <w:t>噪声环境影响评价范围</w:t>
      </w:r>
    </w:p>
    <w:p>
      <w:pPr>
        <w:bidi w:val="0"/>
        <w:rPr>
          <w:rFonts w:hint="default"/>
        </w:rPr>
      </w:pPr>
      <w:r>
        <w:rPr>
          <w:rFonts w:hint="default"/>
        </w:rPr>
        <w:t>根据《环境影响评价技术导则 声环境》（HJ2.4-2009）6.1.2要求，本项目</w:t>
      </w:r>
      <w:r>
        <w:rPr>
          <w:rFonts w:hint="eastAsia"/>
          <w:lang w:val="en-US" w:eastAsia="zh-CN"/>
        </w:rPr>
        <w:t>2</w:t>
      </w:r>
      <w:r>
        <w:rPr>
          <w:rFonts w:hint="default"/>
        </w:rPr>
        <w:t>级评价取厂界外</w:t>
      </w:r>
      <w:r>
        <w:rPr>
          <w:rFonts w:hint="eastAsia"/>
          <w:lang w:val="en-US" w:eastAsia="zh-CN"/>
        </w:rPr>
        <w:t>1</w:t>
      </w:r>
      <w:r>
        <w:rPr>
          <w:rFonts w:hint="default"/>
        </w:rPr>
        <w:t>m范围为</w:t>
      </w:r>
      <w:r>
        <w:rPr>
          <w:rFonts w:hint="eastAsia"/>
          <w:lang w:val="en-US" w:eastAsia="zh-CN"/>
        </w:rPr>
        <w:t>影响</w:t>
      </w:r>
      <w:r>
        <w:rPr>
          <w:rFonts w:hint="default"/>
        </w:rPr>
        <w:t>评价范围。</w:t>
      </w:r>
    </w:p>
    <w:p>
      <w:pPr>
        <w:pStyle w:val="6"/>
        <w:bidi w:val="0"/>
        <w:rPr>
          <w:rFonts w:hint="default"/>
          <w:lang w:val="en-US" w:eastAsia="zh-CN"/>
        </w:rPr>
      </w:pPr>
      <w:r>
        <w:rPr>
          <w:rFonts w:hint="default"/>
          <w:lang w:val="en-US" w:eastAsia="zh-CN"/>
        </w:rPr>
        <w:t>2.6.2.4</w:t>
      </w:r>
      <w:r>
        <w:rPr>
          <w:rFonts w:hint="eastAsia"/>
          <w:lang w:val="en-US" w:eastAsia="zh-CN"/>
        </w:rPr>
        <w:t>、</w:t>
      </w:r>
      <w:r>
        <w:rPr>
          <w:rFonts w:hint="default"/>
          <w:lang w:val="en-US" w:eastAsia="zh-CN"/>
        </w:rPr>
        <w:t>生态环境影响评价范围</w:t>
      </w:r>
    </w:p>
    <w:p>
      <w:pPr>
        <w:bidi w:val="0"/>
        <w:rPr>
          <w:rFonts w:hint="default"/>
        </w:rPr>
      </w:pPr>
      <w:r>
        <w:rPr>
          <w:rFonts w:hint="default"/>
        </w:rPr>
        <w:t>依据《环境影响评价技术导则 生态影响》（HJ19-2011）</w:t>
      </w:r>
      <w:r>
        <w:rPr>
          <w:rFonts w:hint="default"/>
          <w:lang w:val="en-US" w:eastAsia="zh-CN"/>
        </w:rPr>
        <w:t>4.3</w:t>
      </w:r>
      <w:r>
        <w:rPr>
          <w:rFonts w:hint="default"/>
        </w:rPr>
        <w:t>要求，本项目生态环境评价范围包括工程占地范围，适当向外扩展500m。</w:t>
      </w:r>
    </w:p>
    <w:p>
      <w:pPr>
        <w:pStyle w:val="6"/>
        <w:bidi w:val="0"/>
        <w:rPr>
          <w:rFonts w:hint="eastAsia"/>
          <w:lang w:val="en-US" w:eastAsia="zh-CN"/>
        </w:rPr>
      </w:pPr>
      <w:r>
        <w:rPr>
          <w:rFonts w:hint="eastAsia"/>
          <w:lang w:val="en-US" w:eastAsia="zh-CN"/>
        </w:rPr>
        <w:t>2.6.2.5、土壤环境影响评价范围</w:t>
      </w:r>
    </w:p>
    <w:p>
      <w:pPr>
        <w:bidi w:val="0"/>
        <w:rPr>
          <w:rFonts w:hint="default" w:eastAsia="宋体"/>
          <w:lang w:val="en-US" w:eastAsia="zh-CN"/>
        </w:rPr>
      </w:pPr>
      <w:r>
        <w:rPr>
          <w:rFonts w:hint="eastAsia"/>
          <w:lang w:val="en-US" w:eastAsia="zh-CN"/>
        </w:rPr>
        <w:t>依据</w:t>
      </w:r>
      <w:r>
        <w:rPr>
          <w:rFonts w:hint="default"/>
        </w:rPr>
        <w:t xml:space="preserve">《环境影响评价技术导则 </w:t>
      </w:r>
      <w:r>
        <w:rPr>
          <w:rFonts w:hint="eastAsia"/>
          <w:lang w:val="en-US" w:eastAsia="zh-CN"/>
        </w:rPr>
        <w:t>土壤</w:t>
      </w:r>
      <w:r>
        <w:rPr>
          <w:rFonts w:hint="default"/>
        </w:rPr>
        <w:t>环境</w:t>
      </w:r>
      <w:r>
        <w:rPr>
          <w:rFonts w:hint="eastAsia"/>
          <w:lang w:eastAsia="zh-CN"/>
        </w:rPr>
        <w:t>（</w:t>
      </w:r>
      <w:r>
        <w:rPr>
          <w:rFonts w:hint="eastAsia"/>
          <w:lang w:val="en-US" w:eastAsia="zh-CN"/>
        </w:rPr>
        <w:t>试行</w:t>
      </w:r>
      <w:r>
        <w:rPr>
          <w:rFonts w:hint="eastAsia"/>
          <w:lang w:eastAsia="zh-CN"/>
        </w:rPr>
        <w:t>）</w:t>
      </w:r>
      <w:r>
        <w:rPr>
          <w:rFonts w:hint="default"/>
        </w:rPr>
        <w:t>》</w:t>
      </w:r>
      <w:r>
        <w:rPr>
          <w:rFonts w:hint="eastAsia"/>
          <w:lang w:eastAsia="zh-CN"/>
        </w:rPr>
        <w:t>（</w:t>
      </w:r>
      <w:r>
        <w:rPr>
          <w:rFonts w:hint="eastAsia"/>
          <w:lang w:val="en-US" w:eastAsia="zh-CN"/>
        </w:rPr>
        <w:t>HJ964-2018</w:t>
      </w:r>
      <w:r>
        <w:rPr>
          <w:rFonts w:hint="eastAsia"/>
          <w:lang w:eastAsia="zh-CN"/>
        </w:rPr>
        <w:t>）</w:t>
      </w:r>
      <w:r>
        <w:rPr>
          <w:rFonts w:hint="eastAsia"/>
          <w:lang w:val="en-US" w:eastAsia="zh-CN"/>
        </w:rPr>
        <w:t>8.2要求，本项目土壤评价范围包括工程占地范围，向外扩展50m。</w:t>
      </w:r>
    </w:p>
    <w:p>
      <w:pPr>
        <w:pStyle w:val="6"/>
        <w:bidi w:val="0"/>
        <w:rPr>
          <w:rFonts w:hint="default"/>
          <w:lang w:val="en-US" w:eastAsia="zh-CN"/>
        </w:rPr>
      </w:pPr>
      <w:r>
        <w:rPr>
          <w:rFonts w:hint="default"/>
          <w:lang w:val="en-US" w:eastAsia="zh-CN"/>
        </w:rPr>
        <w:t>2.6.2.5</w:t>
      </w:r>
      <w:r>
        <w:rPr>
          <w:rFonts w:hint="eastAsia"/>
          <w:lang w:val="en-US" w:eastAsia="zh-CN"/>
        </w:rPr>
        <w:t>、</w:t>
      </w:r>
      <w:r>
        <w:rPr>
          <w:rFonts w:hint="default"/>
          <w:lang w:val="en-US" w:eastAsia="zh-CN"/>
        </w:rPr>
        <w:t>环境风险评价范围</w:t>
      </w:r>
    </w:p>
    <w:p>
      <w:pPr>
        <w:bidi w:val="0"/>
        <w:rPr>
          <w:rFonts w:hint="default"/>
          <w:lang w:val="zh-CN"/>
        </w:rPr>
      </w:pPr>
      <w:r>
        <w:rPr>
          <w:rFonts w:hint="default"/>
          <w:lang w:val="zh-CN"/>
        </w:rPr>
        <w:t>根据《建设项目环境风险评价技术导则》（HJ169-2018），本项目环境风险评价工作级别确定为简单分析。详细判别过程详见</w:t>
      </w:r>
      <w:r>
        <w:rPr>
          <w:rFonts w:hint="default"/>
        </w:rPr>
        <w:t>6.2章节。</w:t>
      </w:r>
      <w:r>
        <w:rPr>
          <w:rFonts w:hint="default"/>
          <w:lang w:val="zh-CN"/>
        </w:rPr>
        <w:t>根据评价导则要求对危险物质、环境影响途径、环境危害后果、风险防范措施等方面给出定性的说明。</w:t>
      </w:r>
    </w:p>
    <w:p>
      <w:pPr>
        <w:bidi w:val="0"/>
        <w:rPr>
          <w:rFonts w:hint="default"/>
        </w:rPr>
      </w:pPr>
      <w:r>
        <w:rPr>
          <w:rFonts w:hint="default"/>
        </w:rPr>
        <w:t>依据2.6节评价工作等级判定结果，结合各环境要素导则要求，确定本工程评价范围见表2.</w:t>
      </w:r>
      <w:r>
        <w:rPr>
          <w:rFonts w:hint="default"/>
          <w:lang w:val="en-US" w:eastAsia="zh-CN"/>
        </w:rPr>
        <w:t>6</w:t>
      </w:r>
      <w:r>
        <w:rPr>
          <w:rFonts w:hint="default"/>
        </w:rPr>
        <w:t>-1</w:t>
      </w:r>
      <w:r>
        <w:rPr>
          <w:rFonts w:hint="default"/>
          <w:lang w:val="en-US" w:eastAsia="zh-CN"/>
        </w:rPr>
        <w:t>5</w:t>
      </w:r>
      <w:r>
        <w:rPr>
          <w:rFonts w:hint="default"/>
        </w:rPr>
        <w:t>，图2.</w:t>
      </w:r>
      <w:r>
        <w:rPr>
          <w:rFonts w:hint="default"/>
          <w:lang w:val="en-US" w:eastAsia="zh-CN"/>
        </w:rPr>
        <w:t>6</w:t>
      </w:r>
      <w:r>
        <w:rPr>
          <w:rFonts w:hint="default"/>
        </w:rPr>
        <w:t>-1。</w:t>
      </w:r>
    </w:p>
    <w:p>
      <w:pPr>
        <w:pStyle w:val="17"/>
        <w:bidi w:val="0"/>
        <w:rPr>
          <w:rFonts w:hint="default"/>
          <w:b/>
          <w:bCs/>
        </w:rPr>
      </w:pPr>
      <w:r>
        <w:rPr>
          <w:rFonts w:hint="default"/>
          <w:b/>
          <w:bCs/>
        </w:rPr>
        <w:t>表2.</w:t>
      </w:r>
      <w:r>
        <w:rPr>
          <w:rFonts w:hint="eastAsia"/>
          <w:b/>
          <w:bCs/>
          <w:lang w:val="en-US" w:eastAsia="zh-CN"/>
        </w:rPr>
        <w:t>6</w:t>
      </w:r>
      <w:r>
        <w:rPr>
          <w:rFonts w:hint="default"/>
          <w:b/>
          <w:bCs/>
        </w:rPr>
        <w:t>-1</w:t>
      </w:r>
      <w:r>
        <w:rPr>
          <w:rFonts w:hint="eastAsia"/>
          <w:b/>
          <w:bCs/>
          <w:lang w:val="en-US" w:eastAsia="zh-CN"/>
        </w:rPr>
        <w:t xml:space="preserve">5 </w:t>
      </w:r>
      <w:r>
        <w:rPr>
          <w:rFonts w:hint="default"/>
          <w:b/>
          <w:bCs/>
        </w:rPr>
        <w:t xml:space="preserve">  环境评价范围一览表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166"/>
        <w:gridCol w:w="65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1358" w:type="dxa"/>
            <w:tcBorders>
              <w:tl2br w:val="nil"/>
              <w:tr2bl w:val="nil"/>
            </w:tcBorders>
            <w:vAlign w:val="center"/>
          </w:tcPr>
          <w:p>
            <w:pPr>
              <w:pStyle w:val="17"/>
              <w:bidi w:val="0"/>
              <w:rPr>
                <w:rFonts w:hint="default"/>
                <w:b/>
                <w:bCs/>
              </w:rPr>
            </w:pPr>
            <w:r>
              <w:rPr>
                <w:rFonts w:hint="default"/>
                <w:b/>
                <w:bCs/>
              </w:rPr>
              <w:t>环境要素</w:t>
            </w:r>
          </w:p>
        </w:tc>
        <w:tc>
          <w:tcPr>
            <w:tcW w:w="1166" w:type="dxa"/>
            <w:tcBorders>
              <w:tl2br w:val="nil"/>
              <w:tr2bl w:val="nil"/>
            </w:tcBorders>
            <w:vAlign w:val="center"/>
          </w:tcPr>
          <w:p>
            <w:pPr>
              <w:pStyle w:val="17"/>
              <w:bidi w:val="0"/>
              <w:rPr>
                <w:rFonts w:hint="default"/>
                <w:b/>
                <w:bCs/>
              </w:rPr>
            </w:pPr>
            <w:r>
              <w:rPr>
                <w:rFonts w:hint="default"/>
                <w:b/>
                <w:bCs/>
              </w:rPr>
              <w:t>评价等级</w:t>
            </w:r>
          </w:p>
        </w:tc>
        <w:tc>
          <w:tcPr>
            <w:tcW w:w="6547" w:type="dxa"/>
            <w:tcBorders>
              <w:tl2br w:val="nil"/>
              <w:tr2bl w:val="nil"/>
            </w:tcBorders>
            <w:vAlign w:val="center"/>
          </w:tcPr>
          <w:p>
            <w:pPr>
              <w:pStyle w:val="17"/>
              <w:bidi w:val="0"/>
              <w:rPr>
                <w:rFonts w:hint="default"/>
                <w:b/>
                <w:bCs/>
              </w:rPr>
            </w:pPr>
            <w:r>
              <w:rPr>
                <w:rFonts w:hint="default"/>
                <w:b/>
                <w:bCs/>
              </w:rPr>
              <w:t>评</w:t>
            </w:r>
            <w:r>
              <w:rPr>
                <w:rFonts w:hint="default"/>
                <w:b/>
                <w:bCs/>
                <w:lang w:val="en-GB"/>
              </w:rPr>
              <w:t xml:space="preserve"> </w:t>
            </w:r>
            <w:r>
              <w:rPr>
                <w:rFonts w:hint="default"/>
                <w:b/>
                <w:bCs/>
              </w:rPr>
              <w:t>价</w:t>
            </w:r>
            <w:r>
              <w:rPr>
                <w:rFonts w:hint="default"/>
                <w:b/>
                <w:bCs/>
                <w:lang w:val="en-GB"/>
              </w:rPr>
              <w:t xml:space="preserve"> </w:t>
            </w:r>
            <w:r>
              <w:rPr>
                <w:rFonts w:hint="default"/>
                <w:b/>
                <w:bCs/>
              </w:rPr>
              <w:t>范</w:t>
            </w:r>
            <w:r>
              <w:rPr>
                <w:rFonts w:hint="default"/>
                <w:b/>
                <w:bCs/>
                <w:lang w:val="en-GB"/>
              </w:rPr>
              <w:t xml:space="preserve"> </w:t>
            </w:r>
            <w:r>
              <w:rPr>
                <w:rFonts w:hint="default"/>
                <w:b/>
                <w:bCs/>
              </w:rPr>
              <w:t>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1358" w:type="dxa"/>
            <w:tcBorders>
              <w:tl2br w:val="nil"/>
              <w:tr2bl w:val="nil"/>
            </w:tcBorders>
            <w:vAlign w:val="center"/>
          </w:tcPr>
          <w:p>
            <w:pPr>
              <w:pStyle w:val="17"/>
              <w:bidi w:val="0"/>
              <w:rPr>
                <w:rFonts w:hint="default"/>
              </w:rPr>
            </w:pPr>
            <w:r>
              <w:rPr>
                <w:rFonts w:hint="default"/>
              </w:rPr>
              <w:t>环境空气</w:t>
            </w:r>
          </w:p>
        </w:tc>
        <w:tc>
          <w:tcPr>
            <w:tcW w:w="1166" w:type="dxa"/>
            <w:tcBorders>
              <w:tl2br w:val="nil"/>
              <w:tr2bl w:val="nil"/>
            </w:tcBorders>
            <w:vAlign w:val="center"/>
          </w:tcPr>
          <w:p>
            <w:pPr>
              <w:pStyle w:val="17"/>
              <w:bidi w:val="0"/>
              <w:rPr>
                <w:rFonts w:hint="default"/>
              </w:rPr>
            </w:pPr>
            <w:r>
              <w:rPr>
                <w:rFonts w:hint="default"/>
              </w:rPr>
              <w:t>二级</w:t>
            </w:r>
          </w:p>
        </w:tc>
        <w:tc>
          <w:tcPr>
            <w:tcW w:w="6547" w:type="dxa"/>
            <w:tcBorders>
              <w:tl2br w:val="nil"/>
              <w:tr2bl w:val="nil"/>
            </w:tcBorders>
            <w:vAlign w:val="center"/>
          </w:tcPr>
          <w:p>
            <w:pPr>
              <w:pStyle w:val="17"/>
              <w:bidi w:val="0"/>
              <w:rPr>
                <w:rFonts w:hint="default"/>
              </w:rPr>
            </w:pPr>
            <w:r>
              <w:rPr>
                <w:rFonts w:hint="default"/>
              </w:rPr>
              <w:t>以本项目</w:t>
            </w:r>
            <w:r>
              <w:rPr>
                <w:rFonts w:hint="eastAsia"/>
                <w:lang w:val="en-US" w:eastAsia="zh-CN"/>
              </w:rPr>
              <w:t>生产</w:t>
            </w:r>
            <w:r>
              <w:rPr>
                <w:rFonts w:hint="default"/>
                <w:lang w:val="en-US" w:eastAsia="zh-CN"/>
              </w:rPr>
              <w:t>车间</w:t>
            </w:r>
            <w:r>
              <w:rPr>
                <w:rFonts w:hint="default"/>
              </w:rPr>
              <w:t>为中心，边长5km区域为评价范围，总面积约25</w:t>
            </w:r>
            <w:r>
              <w:rPr>
                <w:rFonts w:hint="eastAsia"/>
                <w:lang w:eastAsia="zh-CN"/>
              </w:rPr>
              <w:t>km²</w:t>
            </w: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1358" w:type="dxa"/>
            <w:tcBorders>
              <w:tl2br w:val="nil"/>
              <w:tr2bl w:val="nil"/>
            </w:tcBorders>
            <w:vAlign w:val="center"/>
          </w:tcPr>
          <w:p>
            <w:pPr>
              <w:pStyle w:val="17"/>
              <w:bidi w:val="0"/>
              <w:rPr>
                <w:rFonts w:hint="default"/>
              </w:rPr>
            </w:pPr>
            <w:r>
              <w:rPr>
                <w:rFonts w:hint="default"/>
              </w:rPr>
              <w:t>声环境</w:t>
            </w:r>
          </w:p>
        </w:tc>
        <w:tc>
          <w:tcPr>
            <w:tcW w:w="1166" w:type="dxa"/>
            <w:tcBorders>
              <w:tl2br w:val="nil"/>
              <w:tr2bl w:val="nil"/>
            </w:tcBorders>
            <w:vAlign w:val="center"/>
          </w:tcPr>
          <w:p>
            <w:pPr>
              <w:pStyle w:val="17"/>
              <w:bidi w:val="0"/>
              <w:rPr>
                <w:rFonts w:hint="default"/>
              </w:rPr>
            </w:pPr>
            <w:r>
              <w:rPr>
                <w:rFonts w:hint="eastAsia"/>
                <w:lang w:val="en-US" w:eastAsia="zh-CN"/>
              </w:rPr>
              <w:t>二</w:t>
            </w:r>
            <w:r>
              <w:rPr>
                <w:rFonts w:hint="default"/>
              </w:rPr>
              <w:t>级</w:t>
            </w:r>
          </w:p>
        </w:tc>
        <w:tc>
          <w:tcPr>
            <w:tcW w:w="6547" w:type="dxa"/>
            <w:tcBorders>
              <w:tl2br w:val="nil"/>
              <w:tr2bl w:val="nil"/>
            </w:tcBorders>
            <w:vAlign w:val="center"/>
          </w:tcPr>
          <w:p>
            <w:pPr>
              <w:pStyle w:val="17"/>
              <w:bidi w:val="0"/>
              <w:rPr>
                <w:rFonts w:hint="default"/>
              </w:rPr>
            </w:pPr>
            <w:r>
              <w:rPr>
                <w:rFonts w:hint="default"/>
              </w:rPr>
              <w:t>声环境评价范围为厂界外</w:t>
            </w:r>
            <w:r>
              <w:rPr>
                <w:rFonts w:hint="eastAsia"/>
                <w:lang w:val="en-US" w:eastAsia="zh-CN"/>
              </w:rPr>
              <w:t>1</w:t>
            </w:r>
            <w:r>
              <w:rPr>
                <w:rFonts w:hint="default"/>
              </w:rPr>
              <w:t>m</w:t>
            </w:r>
            <w:r>
              <w:rPr>
                <w:rFonts w:hint="eastAsia"/>
                <w:lang w:val="en-US" w:eastAsia="zh-CN"/>
              </w:rPr>
              <w:t>为声环境影响评价范围</w:t>
            </w: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1358" w:type="dxa"/>
            <w:tcBorders>
              <w:tl2br w:val="nil"/>
              <w:tr2bl w:val="nil"/>
            </w:tcBorders>
            <w:vAlign w:val="center"/>
          </w:tcPr>
          <w:p>
            <w:pPr>
              <w:pStyle w:val="17"/>
              <w:bidi w:val="0"/>
              <w:rPr>
                <w:rFonts w:hint="default"/>
              </w:rPr>
            </w:pPr>
            <w:r>
              <w:rPr>
                <w:rFonts w:hint="default"/>
              </w:rPr>
              <w:t>地下水环境</w:t>
            </w:r>
          </w:p>
        </w:tc>
        <w:tc>
          <w:tcPr>
            <w:tcW w:w="1166" w:type="dxa"/>
            <w:tcBorders>
              <w:tl2br w:val="nil"/>
              <w:tr2bl w:val="nil"/>
            </w:tcBorders>
            <w:vAlign w:val="center"/>
          </w:tcPr>
          <w:p>
            <w:pPr>
              <w:pStyle w:val="17"/>
              <w:bidi w:val="0"/>
              <w:rPr>
                <w:rFonts w:hint="default"/>
              </w:rPr>
            </w:pPr>
            <w:r>
              <w:rPr>
                <w:rFonts w:hint="default"/>
              </w:rPr>
              <w:t>三级</w:t>
            </w:r>
          </w:p>
        </w:tc>
        <w:tc>
          <w:tcPr>
            <w:tcW w:w="6547" w:type="dxa"/>
            <w:tcBorders>
              <w:tl2br w:val="nil"/>
              <w:tr2bl w:val="nil"/>
            </w:tcBorders>
            <w:vAlign w:val="center"/>
          </w:tcPr>
          <w:p>
            <w:pPr>
              <w:pStyle w:val="17"/>
              <w:bidi w:val="0"/>
              <w:rPr>
                <w:rFonts w:hint="default"/>
              </w:rPr>
            </w:pPr>
            <w:r>
              <w:rPr>
                <w:rFonts w:hint="default"/>
              </w:rPr>
              <w:t>以项目下游</w:t>
            </w:r>
            <w:r>
              <w:rPr>
                <w:rFonts w:hint="eastAsia"/>
                <w:lang w:val="en-US" w:eastAsia="zh-CN"/>
              </w:rPr>
              <w:t>2</w:t>
            </w:r>
            <w:r>
              <w:rPr>
                <w:rFonts w:hint="default"/>
              </w:rPr>
              <w:t>km，上游</w:t>
            </w:r>
            <w:r>
              <w:rPr>
                <w:rFonts w:hint="default"/>
                <w:lang w:val="en-US" w:eastAsia="zh-CN"/>
              </w:rPr>
              <w:t>1</w:t>
            </w:r>
            <w:r>
              <w:rPr>
                <w:rFonts w:hint="default"/>
              </w:rPr>
              <w:t>km</w:t>
            </w:r>
            <w:r>
              <w:rPr>
                <w:rFonts w:hint="default"/>
                <w:lang w:eastAsia="zh-CN"/>
              </w:rPr>
              <w:t>，</w:t>
            </w:r>
            <w:r>
              <w:rPr>
                <w:rFonts w:hint="default"/>
              </w:rPr>
              <w:t>两侧</w:t>
            </w:r>
            <w:r>
              <w:rPr>
                <w:rFonts w:hint="default"/>
                <w:lang w:val="en-US" w:eastAsia="zh-CN"/>
              </w:rPr>
              <w:t>各</w:t>
            </w:r>
            <w:r>
              <w:rPr>
                <w:rFonts w:hint="default"/>
              </w:rPr>
              <w:t>1km为界，共</w:t>
            </w:r>
            <w:r>
              <w:rPr>
                <w:rFonts w:hint="eastAsia"/>
                <w:lang w:val="en-US" w:eastAsia="zh-CN"/>
              </w:rPr>
              <w:t>6</w:t>
            </w:r>
            <w:r>
              <w:rPr>
                <w:rFonts w:hint="eastAsia"/>
                <w:lang w:eastAsia="zh-CN"/>
              </w:rPr>
              <w:t>km²</w:t>
            </w:r>
            <w:r>
              <w:rPr>
                <w:rFonts w:hint="default"/>
              </w:rPr>
              <w:t>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1358" w:type="dxa"/>
            <w:tcBorders>
              <w:tl2br w:val="nil"/>
              <w:tr2bl w:val="nil"/>
            </w:tcBorders>
            <w:vAlign w:val="center"/>
          </w:tcPr>
          <w:p>
            <w:pPr>
              <w:pStyle w:val="17"/>
              <w:bidi w:val="0"/>
              <w:rPr>
                <w:rFonts w:hint="default"/>
                <w:lang w:val="en-US" w:eastAsia="zh-CN"/>
              </w:rPr>
            </w:pPr>
            <w:r>
              <w:rPr>
                <w:rFonts w:hint="default"/>
                <w:lang w:val="en-US" w:eastAsia="zh-CN"/>
              </w:rPr>
              <w:t>生态环境</w:t>
            </w:r>
          </w:p>
        </w:tc>
        <w:tc>
          <w:tcPr>
            <w:tcW w:w="1166" w:type="dxa"/>
            <w:tcBorders>
              <w:tl2br w:val="nil"/>
              <w:tr2bl w:val="nil"/>
            </w:tcBorders>
            <w:vAlign w:val="center"/>
          </w:tcPr>
          <w:p>
            <w:pPr>
              <w:pStyle w:val="17"/>
              <w:bidi w:val="0"/>
              <w:rPr>
                <w:rFonts w:hint="default"/>
              </w:rPr>
            </w:pPr>
            <w:r>
              <w:rPr>
                <w:rFonts w:hint="default"/>
              </w:rPr>
              <w:t>三级</w:t>
            </w:r>
          </w:p>
        </w:tc>
        <w:tc>
          <w:tcPr>
            <w:tcW w:w="6547" w:type="dxa"/>
            <w:tcBorders>
              <w:tl2br w:val="nil"/>
              <w:tr2bl w:val="nil"/>
            </w:tcBorders>
            <w:vAlign w:val="center"/>
          </w:tcPr>
          <w:p>
            <w:pPr>
              <w:pStyle w:val="17"/>
              <w:bidi w:val="0"/>
              <w:rPr>
                <w:rFonts w:hint="default"/>
                <w:lang w:eastAsia="zh-CN"/>
              </w:rPr>
            </w:pPr>
            <w:r>
              <w:rPr>
                <w:rFonts w:hint="default"/>
                <w:lang w:val="en-US" w:eastAsia="zh-CN"/>
              </w:rPr>
              <w:t>以项目</w:t>
            </w:r>
            <w:r>
              <w:rPr>
                <w:rFonts w:hint="default"/>
              </w:rPr>
              <w:t>工程占地范围，适当向外扩展500m</w:t>
            </w:r>
            <w:r>
              <w:rPr>
                <w:rFonts w:hint="default"/>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1358" w:type="dxa"/>
            <w:tcBorders>
              <w:tl2br w:val="nil"/>
              <w:tr2bl w:val="nil"/>
            </w:tcBorders>
            <w:vAlign w:val="center"/>
          </w:tcPr>
          <w:p>
            <w:pPr>
              <w:pStyle w:val="17"/>
              <w:bidi w:val="0"/>
              <w:rPr>
                <w:rFonts w:hint="default"/>
              </w:rPr>
            </w:pPr>
            <w:r>
              <w:rPr>
                <w:rFonts w:hint="default"/>
              </w:rPr>
              <w:t>环境风险</w:t>
            </w:r>
          </w:p>
        </w:tc>
        <w:tc>
          <w:tcPr>
            <w:tcW w:w="1166" w:type="dxa"/>
            <w:tcBorders>
              <w:tl2br w:val="nil"/>
              <w:tr2bl w:val="nil"/>
            </w:tcBorders>
            <w:vAlign w:val="center"/>
          </w:tcPr>
          <w:p>
            <w:pPr>
              <w:pStyle w:val="17"/>
              <w:bidi w:val="0"/>
              <w:rPr>
                <w:rFonts w:hint="default"/>
              </w:rPr>
            </w:pPr>
            <w:r>
              <w:rPr>
                <w:rFonts w:hint="default"/>
              </w:rPr>
              <w:t>简单分析</w:t>
            </w:r>
          </w:p>
        </w:tc>
        <w:tc>
          <w:tcPr>
            <w:tcW w:w="6547" w:type="dxa"/>
            <w:tcBorders>
              <w:tl2br w:val="nil"/>
              <w:tr2bl w:val="nil"/>
            </w:tcBorders>
            <w:vAlign w:val="center"/>
          </w:tcPr>
          <w:p>
            <w:pPr>
              <w:pStyle w:val="17"/>
              <w:bidi w:val="0"/>
              <w:rPr>
                <w:rFonts w:hint="default"/>
              </w:rPr>
            </w:pPr>
            <w:r>
              <w:rPr>
                <w:rFonts w:hint="default"/>
                <w:lang w:val="en-US" w:eastAsia="zh-CN"/>
              </w:rPr>
              <w:t>以项目</w:t>
            </w:r>
            <w:r>
              <w:rPr>
                <w:rFonts w:hint="default"/>
              </w:rPr>
              <w:t>工程占地范围</w:t>
            </w:r>
            <w:r>
              <w:rPr>
                <w:rFonts w:hint="default"/>
                <w:lang w:eastAsia="zh-CN"/>
              </w:rPr>
              <w:t>。</w:t>
            </w:r>
          </w:p>
        </w:tc>
      </w:tr>
    </w:tbl>
    <w:p>
      <w:pPr>
        <w:pStyle w:val="5"/>
        <w:bidi w:val="0"/>
        <w:rPr>
          <w:rFonts w:hint="default"/>
        </w:rPr>
      </w:pPr>
      <w:r>
        <w:rPr>
          <w:rFonts w:hint="default"/>
        </w:rPr>
        <w:t>2.6.</w:t>
      </w:r>
      <w:r>
        <w:rPr>
          <w:rFonts w:hint="default"/>
          <w:lang w:val="en-US" w:eastAsia="zh-CN"/>
        </w:rPr>
        <w:t>3</w:t>
      </w:r>
      <w:r>
        <w:rPr>
          <w:rFonts w:hint="eastAsia"/>
          <w:lang w:eastAsia="zh-CN"/>
        </w:rPr>
        <w:t>、</w:t>
      </w:r>
      <w:r>
        <w:rPr>
          <w:rFonts w:hint="default"/>
        </w:rPr>
        <w:t>评价重点</w:t>
      </w:r>
      <w:bookmarkEnd w:id="77"/>
      <w:bookmarkEnd w:id="78"/>
      <w:bookmarkEnd w:id="79"/>
    </w:p>
    <w:p>
      <w:pPr>
        <w:bidi w:val="0"/>
        <w:rPr>
          <w:rFonts w:hint="default"/>
        </w:rPr>
      </w:pPr>
      <w:r>
        <w:rPr>
          <w:rFonts w:hint="default"/>
        </w:rPr>
        <w:t>根据项目的工艺特点和污染物排放特征，结合评价区内环境功能和环境质量现状，确定本评价重点为：工程分析、污染防治措施可行性分析、环境影响预测与评价、环境风险评价、清洁生产分析。</w:t>
      </w:r>
    </w:p>
    <w:p>
      <w:pPr>
        <w:bidi w:val="0"/>
        <w:rPr>
          <w:rFonts w:hint="default"/>
        </w:rPr>
      </w:pPr>
      <w:r>
        <w:rPr>
          <w:rFonts w:hint="eastAsia"/>
          <w:lang w:eastAsia="zh-CN"/>
        </w:rPr>
        <w:t>（</w:t>
      </w:r>
      <w:r>
        <w:rPr>
          <w:rFonts w:hint="eastAsia"/>
          <w:lang w:val="en-US" w:eastAsia="zh-CN"/>
        </w:rPr>
        <w:t>1</w:t>
      </w:r>
      <w:r>
        <w:rPr>
          <w:rFonts w:hint="eastAsia"/>
          <w:lang w:eastAsia="zh-CN"/>
        </w:rPr>
        <w:t>）</w:t>
      </w:r>
      <w:r>
        <w:rPr>
          <w:rFonts w:hint="default"/>
        </w:rPr>
        <w:t>工程分析</w:t>
      </w:r>
    </w:p>
    <w:p>
      <w:pPr>
        <w:bidi w:val="0"/>
        <w:rPr>
          <w:rFonts w:hint="default"/>
        </w:rPr>
      </w:pPr>
      <w:r>
        <w:rPr>
          <w:rFonts w:hint="default"/>
        </w:rPr>
        <w:t>结合工艺过程，对物料、水等进行平衡计算，并类比相似生产企业实际运行情况，分析生产过程中</w:t>
      </w:r>
      <w:r>
        <w:rPr>
          <w:rFonts w:hint="eastAsia"/>
          <w:lang w:eastAsia="zh-CN"/>
        </w:rPr>
        <w:t>“</w:t>
      </w:r>
      <w:r>
        <w:rPr>
          <w:rFonts w:hint="default"/>
        </w:rPr>
        <w:t>三废</w:t>
      </w:r>
      <w:r>
        <w:rPr>
          <w:rFonts w:hint="eastAsia"/>
          <w:lang w:eastAsia="zh-CN"/>
        </w:rPr>
        <w:t>”</w:t>
      </w:r>
      <w:r>
        <w:rPr>
          <w:rFonts w:hint="default"/>
        </w:rPr>
        <w:t>及噪声排放情况。</w:t>
      </w:r>
    </w:p>
    <w:p>
      <w:pPr>
        <w:bidi w:val="0"/>
        <w:rPr>
          <w:rFonts w:hint="default"/>
        </w:rPr>
      </w:pPr>
      <w:r>
        <w:rPr>
          <w:rFonts w:hint="eastAsia"/>
          <w:lang w:eastAsia="zh-CN"/>
        </w:rPr>
        <w:t>（</w:t>
      </w:r>
      <w:r>
        <w:rPr>
          <w:rFonts w:hint="eastAsia"/>
          <w:lang w:val="en-US" w:eastAsia="zh-CN"/>
        </w:rPr>
        <w:t>3</w:t>
      </w:r>
      <w:r>
        <w:rPr>
          <w:rFonts w:hint="eastAsia"/>
          <w:lang w:eastAsia="zh-CN"/>
        </w:rPr>
        <w:t>）</w:t>
      </w:r>
      <w:r>
        <w:rPr>
          <w:rFonts w:hint="default"/>
        </w:rPr>
        <w:t>污染防治措施分析</w:t>
      </w:r>
    </w:p>
    <w:p>
      <w:pPr>
        <w:bidi w:val="0"/>
        <w:rPr>
          <w:rFonts w:hint="default"/>
        </w:rPr>
      </w:pPr>
      <w:r>
        <w:rPr>
          <w:rFonts w:hint="default"/>
        </w:rPr>
        <w:t>根据工程</w:t>
      </w:r>
      <w:r>
        <w:rPr>
          <w:rFonts w:hint="eastAsia"/>
          <w:lang w:eastAsia="zh-CN"/>
        </w:rPr>
        <w:t>“</w:t>
      </w:r>
      <w:r>
        <w:rPr>
          <w:rFonts w:hint="default"/>
        </w:rPr>
        <w:t>三废</w:t>
      </w:r>
      <w:r>
        <w:rPr>
          <w:rFonts w:hint="eastAsia"/>
          <w:lang w:eastAsia="zh-CN"/>
        </w:rPr>
        <w:t>”</w:t>
      </w:r>
      <w:r>
        <w:rPr>
          <w:rFonts w:hint="default"/>
        </w:rPr>
        <w:t>及噪声排放特点，结合相似企业实际治理经验，对可研设计的治理措施可行性进行分析，并提出推荐方案，确保本项目各污染物达标排放。</w:t>
      </w:r>
    </w:p>
    <w:p>
      <w:pPr>
        <w:bidi w:val="0"/>
        <w:rPr>
          <w:rFonts w:hint="default"/>
        </w:rPr>
      </w:pPr>
      <w:r>
        <w:rPr>
          <w:rFonts w:hint="eastAsia"/>
          <w:lang w:eastAsia="zh-CN"/>
        </w:rPr>
        <w:t>（</w:t>
      </w:r>
      <w:r>
        <w:rPr>
          <w:rFonts w:hint="eastAsia"/>
          <w:lang w:val="en-US" w:eastAsia="zh-CN"/>
        </w:rPr>
        <w:t>3）</w:t>
      </w:r>
      <w:r>
        <w:rPr>
          <w:rFonts w:hint="default"/>
        </w:rPr>
        <w:t>环境影响预测及评价</w:t>
      </w:r>
    </w:p>
    <w:p>
      <w:pPr>
        <w:bidi w:val="0"/>
        <w:rPr>
          <w:rFonts w:hint="default"/>
        </w:rPr>
      </w:pPr>
      <w:r>
        <w:rPr>
          <w:rFonts w:hint="default"/>
        </w:rPr>
        <w:t>结合生产过程</w:t>
      </w:r>
      <w:r>
        <w:rPr>
          <w:rFonts w:hint="eastAsia"/>
          <w:lang w:eastAsia="zh-CN"/>
        </w:rPr>
        <w:t>“</w:t>
      </w:r>
      <w:r>
        <w:rPr>
          <w:rFonts w:hint="default"/>
        </w:rPr>
        <w:t>三废</w:t>
      </w:r>
      <w:r>
        <w:rPr>
          <w:rFonts w:hint="eastAsia"/>
          <w:lang w:eastAsia="zh-CN"/>
        </w:rPr>
        <w:t>”</w:t>
      </w:r>
      <w:r>
        <w:rPr>
          <w:rFonts w:hint="default"/>
        </w:rPr>
        <w:t>及噪声排放特点以及评价范围内环境概况，分析预测本项目大气污染物对</w:t>
      </w:r>
      <w:r>
        <w:rPr>
          <w:rFonts w:hint="default"/>
          <w:lang w:val="en-US" w:eastAsia="zh-CN"/>
        </w:rPr>
        <w:t>周围大气环境影响</w:t>
      </w:r>
      <w:r>
        <w:rPr>
          <w:rFonts w:hint="default"/>
        </w:rPr>
        <w:t>的程度和范围；项目用水的保证性以及排放的生产生活污水对区域水环境的影响；固体废物处理处置对区域环境的影响；预测和评价厂界噪声贡献值和背景值的叠加值是否满足《工业企业厂界环境噪声排放标准》，评价项目噪声排放对声环境敏感区的影响。</w:t>
      </w:r>
    </w:p>
    <w:p>
      <w:pPr>
        <w:bidi w:val="0"/>
        <w:rPr>
          <w:rFonts w:hint="default"/>
        </w:rPr>
      </w:pPr>
      <w:r>
        <w:rPr>
          <w:rFonts w:hint="eastAsia"/>
          <w:lang w:eastAsia="zh-CN"/>
        </w:rPr>
        <w:t>（</w:t>
      </w:r>
      <w:r>
        <w:rPr>
          <w:rFonts w:hint="eastAsia"/>
          <w:lang w:val="en-US" w:eastAsia="zh-CN"/>
        </w:rPr>
        <w:t>4</w:t>
      </w:r>
      <w:r>
        <w:rPr>
          <w:rFonts w:hint="eastAsia"/>
          <w:lang w:eastAsia="zh-CN"/>
        </w:rPr>
        <w:t>）</w:t>
      </w:r>
      <w:r>
        <w:rPr>
          <w:rFonts w:hint="default"/>
        </w:rPr>
        <w:t>环境风险评价</w:t>
      </w:r>
    </w:p>
    <w:p>
      <w:pPr>
        <w:bidi w:val="0"/>
        <w:rPr>
          <w:rFonts w:hint="default"/>
        </w:rPr>
      </w:pPr>
      <w:r>
        <w:rPr>
          <w:rFonts w:hint="default"/>
        </w:rPr>
        <w:t>结合生产工艺特点，分析确定本项目风险因素，预测风险发生时对环境造成的危害，提出环境风险防范措施。</w:t>
      </w:r>
    </w:p>
    <w:p>
      <w:pPr>
        <w:bidi w:val="0"/>
        <w:rPr>
          <w:rFonts w:hint="default"/>
        </w:rPr>
      </w:pPr>
      <w:r>
        <w:rPr>
          <w:rFonts w:hint="eastAsia"/>
          <w:lang w:eastAsia="zh-CN"/>
        </w:rPr>
        <w:t>（</w:t>
      </w:r>
      <w:r>
        <w:rPr>
          <w:rFonts w:hint="eastAsia"/>
          <w:lang w:val="en-US" w:eastAsia="zh-CN"/>
        </w:rPr>
        <w:t>6</w:t>
      </w:r>
      <w:r>
        <w:rPr>
          <w:rFonts w:hint="eastAsia"/>
          <w:lang w:eastAsia="zh-CN"/>
        </w:rPr>
        <w:t>）</w:t>
      </w:r>
      <w:r>
        <w:rPr>
          <w:rFonts w:hint="default"/>
        </w:rPr>
        <w:t>清洁生产分析</w:t>
      </w:r>
    </w:p>
    <w:p>
      <w:pPr>
        <w:bidi w:val="0"/>
        <w:rPr>
          <w:rFonts w:hint="default"/>
        </w:rPr>
      </w:pPr>
      <w:r>
        <w:rPr>
          <w:rFonts w:hint="default"/>
        </w:rPr>
        <w:t>从工艺装备先进性、资源能源利用、污染物产生、废物综合利用、产品指标、环境管理等方面分析，并与国内其他企业进行对比，评述项目清洁生产水平。</w:t>
      </w:r>
    </w:p>
    <w:p>
      <w:pPr>
        <w:pStyle w:val="4"/>
        <w:bidi w:val="0"/>
        <w:rPr>
          <w:rFonts w:hint="default"/>
        </w:rPr>
      </w:pPr>
      <w:bookmarkStart w:id="80" w:name="_Toc332975156"/>
      <w:bookmarkStart w:id="81" w:name="_Toc341867050"/>
      <w:bookmarkStart w:id="82" w:name="_Toc327373181"/>
      <w:bookmarkStart w:id="83" w:name="_Toc24074"/>
      <w:bookmarkStart w:id="84" w:name="_Toc6138"/>
      <w:bookmarkStart w:id="85" w:name="_Toc19623"/>
      <w:r>
        <w:rPr>
          <w:rFonts w:hint="default"/>
        </w:rPr>
        <w:t>2.7</w:t>
      </w:r>
      <w:r>
        <w:rPr>
          <w:rFonts w:hint="eastAsia"/>
          <w:lang w:eastAsia="zh-CN"/>
        </w:rPr>
        <w:t>、</w:t>
      </w:r>
      <w:r>
        <w:rPr>
          <w:rFonts w:hint="default"/>
        </w:rPr>
        <w:t>环境</w:t>
      </w:r>
      <w:bookmarkEnd w:id="80"/>
      <w:bookmarkEnd w:id="81"/>
      <w:bookmarkEnd w:id="82"/>
      <w:r>
        <w:rPr>
          <w:rFonts w:hint="default"/>
        </w:rPr>
        <w:t>保护目标</w:t>
      </w:r>
      <w:bookmarkEnd w:id="83"/>
      <w:bookmarkEnd w:id="84"/>
      <w:bookmarkEnd w:id="85"/>
    </w:p>
    <w:p>
      <w:pPr>
        <w:bidi w:val="0"/>
        <w:rPr>
          <w:rFonts w:hint="default"/>
        </w:rPr>
      </w:pPr>
      <w:bookmarkStart w:id="86" w:name="_Toc327373184"/>
      <w:bookmarkStart w:id="87" w:name="_Toc332975159"/>
      <w:r>
        <w:rPr>
          <w:rFonts w:hint="default"/>
        </w:rPr>
        <w:t>项目位于</w:t>
      </w:r>
      <w:r>
        <w:rPr>
          <w:rFonts w:hint="eastAsia"/>
          <w:lang w:val="en-US" w:eastAsia="zh-CN"/>
        </w:rPr>
        <w:t>吉木萨尔县二工镇</w:t>
      </w:r>
      <w:r>
        <w:rPr>
          <w:rFonts w:hint="default"/>
        </w:rPr>
        <w:t>，周边均为</w:t>
      </w:r>
      <w:r>
        <w:rPr>
          <w:rFonts w:hint="eastAsia"/>
          <w:lang w:val="en-US" w:eastAsia="zh-CN"/>
        </w:rPr>
        <w:t>建设用地</w:t>
      </w:r>
      <w:r>
        <w:rPr>
          <w:rFonts w:hint="default"/>
        </w:rPr>
        <w:t>，评价范围内无集中居民区、生态敏感与脆弱区等特别需要保护的地区。根据工程性质及周围环境特征，本次评价确定需要环境保护的目标见表2.7-</w:t>
      </w:r>
      <w:r>
        <w:rPr>
          <w:rFonts w:hint="default"/>
          <w:lang w:val="en-US" w:eastAsia="zh-CN"/>
        </w:rPr>
        <w:t>1</w:t>
      </w:r>
      <w:r>
        <w:rPr>
          <w:rFonts w:hint="default"/>
        </w:rPr>
        <w:t>。</w:t>
      </w:r>
    </w:p>
    <w:p>
      <w:pPr>
        <w:pStyle w:val="17"/>
        <w:bidi w:val="0"/>
        <w:rPr>
          <w:rFonts w:hint="default"/>
          <w:b/>
          <w:bCs/>
        </w:rPr>
      </w:pPr>
      <w:r>
        <w:rPr>
          <w:rFonts w:hint="default"/>
          <w:b/>
          <w:bCs/>
        </w:rPr>
        <w:t>表2.7-</w:t>
      </w:r>
      <w:r>
        <w:rPr>
          <w:rFonts w:hint="default"/>
          <w:b/>
          <w:bCs/>
          <w:lang w:val="en-US" w:eastAsia="zh-CN"/>
        </w:rPr>
        <w:t>1</w:t>
      </w:r>
      <w:r>
        <w:rPr>
          <w:rFonts w:hint="default"/>
          <w:b/>
          <w:bCs/>
        </w:rPr>
        <w:t xml:space="preserve"> </w:t>
      </w:r>
      <w:r>
        <w:rPr>
          <w:rFonts w:hint="eastAsia"/>
          <w:b/>
          <w:bCs/>
          <w:lang w:val="en-US" w:eastAsia="zh-CN"/>
        </w:rPr>
        <w:t xml:space="preserve"> </w:t>
      </w:r>
      <w:r>
        <w:rPr>
          <w:rFonts w:hint="default"/>
          <w:b/>
          <w:bCs/>
        </w:rPr>
        <w:t xml:space="preserve"> 评价区附近主要环境保护目标</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821"/>
        <w:gridCol w:w="1432"/>
        <w:gridCol w:w="1508"/>
        <w:gridCol w:w="841"/>
        <w:gridCol w:w="21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2" w:type="dxa"/>
            <w:tcBorders>
              <w:tl2br w:val="nil"/>
              <w:tr2bl w:val="nil"/>
            </w:tcBorders>
            <w:vAlign w:val="center"/>
          </w:tcPr>
          <w:p>
            <w:pPr>
              <w:pStyle w:val="17"/>
              <w:bidi w:val="0"/>
              <w:rPr>
                <w:rFonts w:hint="default"/>
                <w:b/>
                <w:bCs/>
              </w:rPr>
            </w:pPr>
            <w:r>
              <w:rPr>
                <w:rFonts w:hint="default"/>
                <w:b/>
                <w:bCs/>
              </w:rPr>
              <w:t>环境要素</w:t>
            </w:r>
          </w:p>
        </w:tc>
        <w:tc>
          <w:tcPr>
            <w:tcW w:w="1821" w:type="dxa"/>
            <w:tcBorders>
              <w:tl2br w:val="nil"/>
              <w:tr2bl w:val="nil"/>
            </w:tcBorders>
            <w:vAlign w:val="center"/>
          </w:tcPr>
          <w:p>
            <w:pPr>
              <w:pStyle w:val="17"/>
              <w:bidi w:val="0"/>
              <w:rPr>
                <w:rFonts w:hint="default"/>
                <w:b/>
                <w:bCs/>
              </w:rPr>
            </w:pPr>
            <w:r>
              <w:rPr>
                <w:rFonts w:hint="default"/>
                <w:b/>
                <w:bCs/>
              </w:rPr>
              <w:t>保护对象</w:t>
            </w:r>
          </w:p>
        </w:tc>
        <w:tc>
          <w:tcPr>
            <w:tcW w:w="1432" w:type="dxa"/>
            <w:tcBorders>
              <w:tl2br w:val="nil"/>
              <w:tr2bl w:val="nil"/>
            </w:tcBorders>
            <w:vAlign w:val="center"/>
          </w:tcPr>
          <w:p>
            <w:pPr>
              <w:pStyle w:val="17"/>
              <w:bidi w:val="0"/>
              <w:rPr>
                <w:rFonts w:hint="default"/>
                <w:b/>
                <w:bCs/>
              </w:rPr>
            </w:pPr>
            <w:r>
              <w:rPr>
                <w:rFonts w:hint="default"/>
                <w:b/>
                <w:bCs/>
              </w:rPr>
              <w:t>相对厂址</w:t>
            </w:r>
          </w:p>
          <w:p>
            <w:pPr>
              <w:pStyle w:val="17"/>
              <w:bidi w:val="0"/>
              <w:rPr>
                <w:rFonts w:hint="default"/>
                <w:b/>
                <w:bCs/>
              </w:rPr>
            </w:pPr>
            <w:r>
              <w:rPr>
                <w:rFonts w:hint="default"/>
                <w:b/>
                <w:bCs/>
              </w:rPr>
              <w:t>位置</w:t>
            </w:r>
          </w:p>
        </w:tc>
        <w:tc>
          <w:tcPr>
            <w:tcW w:w="1508" w:type="dxa"/>
            <w:tcBorders>
              <w:tl2br w:val="nil"/>
              <w:tr2bl w:val="nil"/>
            </w:tcBorders>
            <w:vAlign w:val="center"/>
          </w:tcPr>
          <w:p>
            <w:pPr>
              <w:pStyle w:val="17"/>
              <w:bidi w:val="0"/>
              <w:rPr>
                <w:rFonts w:hint="default"/>
                <w:b/>
                <w:bCs/>
              </w:rPr>
            </w:pPr>
            <w:r>
              <w:rPr>
                <w:rFonts w:hint="default"/>
                <w:b/>
                <w:bCs/>
              </w:rPr>
              <w:t>功能</w:t>
            </w:r>
          </w:p>
        </w:tc>
        <w:tc>
          <w:tcPr>
            <w:tcW w:w="841" w:type="dxa"/>
            <w:tcBorders>
              <w:tl2br w:val="nil"/>
              <w:tr2bl w:val="nil"/>
            </w:tcBorders>
            <w:vAlign w:val="center"/>
          </w:tcPr>
          <w:p>
            <w:pPr>
              <w:pStyle w:val="17"/>
              <w:bidi w:val="0"/>
              <w:rPr>
                <w:rFonts w:hint="default"/>
                <w:b/>
                <w:bCs/>
              </w:rPr>
            </w:pPr>
            <w:r>
              <w:rPr>
                <w:rFonts w:hint="default"/>
                <w:b/>
                <w:bCs/>
              </w:rPr>
              <w:t>人数（人）</w:t>
            </w:r>
          </w:p>
        </w:tc>
        <w:tc>
          <w:tcPr>
            <w:tcW w:w="2137" w:type="dxa"/>
            <w:tcBorders>
              <w:tl2br w:val="nil"/>
              <w:tr2bl w:val="nil"/>
            </w:tcBorders>
            <w:vAlign w:val="center"/>
          </w:tcPr>
          <w:p>
            <w:pPr>
              <w:pStyle w:val="17"/>
              <w:bidi w:val="0"/>
              <w:rPr>
                <w:rFonts w:hint="default"/>
                <w:b/>
                <w:bCs/>
              </w:rPr>
            </w:pPr>
            <w:r>
              <w:rPr>
                <w:rFonts w:hint="default"/>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2" w:type="dxa"/>
            <w:tcBorders>
              <w:tl2br w:val="nil"/>
              <w:tr2bl w:val="nil"/>
            </w:tcBorders>
            <w:vAlign w:val="center"/>
          </w:tcPr>
          <w:p>
            <w:pPr>
              <w:pStyle w:val="17"/>
              <w:bidi w:val="0"/>
              <w:rPr>
                <w:rFonts w:hint="default"/>
              </w:rPr>
            </w:pPr>
            <w:r>
              <w:rPr>
                <w:rFonts w:hint="default"/>
              </w:rPr>
              <w:t>环境空气</w:t>
            </w:r>
          </w:p>
        </w:tc>
        <w:tc>
          <w:tcPr>
            <w:tcW w:w="1821" w:type="dxa"/>
            <w:tcBorders>
              <w:tl2br w:val="nil"/>
              <w:tr2bl w:val="nil"/>
            </w:tcBorders>
            <w:vAlign w:val="center"/>
          </w:tcPr>
          <w:p>
            <w:pPr>
              <w:pStyle w:val="17"/>
              <w:bidi w:val="0"/>
              <w:rPr>
                <w:rFonts w:hint="eastAsia"/>
                <w:lang w:val="en-US" w:eastAsia="zh-CN"/>
              </w:rPr>
            </w:pPr>
            <w:r>
              <w:rPr>
                <w:rFonts w:hint="default"/>
              </w:rPr>
              <w:t>厂界周围</w:t>
            </w:r>
          </w:p>
        </w:tc>
        <w:tc>
          <w:tcPr>
            <w:tcW w:w="1432" w:type="dxa"/>
            <w:tcBorders>
              <w:tl2br w:val="nil"/>
              <w:tr2bl w:val="nil"/>
            </w:tcBorders>
            <w:vAlign w:val="center"/>
          </w:tcPr>
          <w:p>
            <w:pPr>
              <w:pStyle w:val="17"/>
              <w:bidi w:val="0"/>
              <w:rPr>
                <w:rFonts w:hint="default"/>
                <w:lang w:val="en-US" w:eastAsia="zh-CN"/>
              </w:rPr>
            </w:pPr>
            <w:r>
              <w:rPr>
                <w:rFonts w:hint="eastAsia"/>
                <w:lang w:val="en-US" w:eastAsia="zh-CN"/>
              </w:rPr>
              <w:t>2.5km范围内</w:t>
            </w:r>
          </w:p>
        </w:tc>
        <w:tc>
          <w:tcPr>
            <w:tcW w:w="1508" w:type="dxa"/>
            <w:tcBorders>
              <w:tl2br w:val="nil"/>
              <w:tr2bl w:val="nil"/>
            </w:tcBorders>
            <w:vAlign w:val="center"/>
          </w:tcPr>
          <w:p>
            <w:pPr>
              <w:pStyle w:val="17"/>
              <w:bidi w:val="0"/>
              <w:rPr>
                <w:rFonts w:hint="default"/>
                <w:lang w:val="en-US" w:eastAsia="zh-CN"/>
              </w:rPr>
            </w:pPr>
            <w:r>
              <w:rPr>
                <w:rFonts w:hint="eastAsia"/>
                <w:lang w:val="en-US" w:eastAsia="zh-CN"/>
              </w:rPr>
              <w:t>农业区，居住区</w:t>
            </w:r>
          </w:p>
        </w:tc>
        <w:tc>
          <w:tcPr>
            <w:tcW w:w="841" w:type="dxa"/>
            <w:tcBorders>
              <w:tl2br w:val="nil"/>
              <w:tr2bl w:val="nil"/>
            </w:tcBorders>
            <w:vAlign w:val="center"/>
          </w:tcPr>
          <w:p>
            <w:pPr>
              <w:pStyle w:val="17"/>
              <w:bidi w:val="0"/>
              <w:rPr>
                <w:rFonts w:hint="default"/>
                <w:lang w:val="en-US" w:eastAsia="zh-CN"/>
              </w:rPr>
            </w:pPr>
            <w:r>
              <w:rPr>
                <w:rFonts w:hint="eastAsia"/>
                <w:lang w:val="en-US" w:eastAsia="zh-CN"/>
              </w:rPr>
              <w:t>1500</w:t>
            </w:r>
          </w:p>
        </w:tc>
        <w:tc>
          <w:tcPr>
            <w:tcW w:w="2137" w:type="dxa"/>
            <w:tcBorders>
              <w:tl2br w:val="nil"/>
              <w:tr2bl w:val="nil"/>
            </w:tcBorders>
            <w:vAlign w:val="center"/>
          </w:tcPr>
          <w:p>
            <w:pPr>
              <w:pStyle w:val="17"/>
              <w:bidi w:val="0"/>
              <w:rPr>
                <w:rFonts w:hint="default"/>
              </w:rPr>
            </w:pPr>
            <w:r>
              <w:rPr>
                <w:rFonts w:hint="default"/>
              </w:rPr>
              <w:t>《环境空气质量标准》（GB3095-2012）二级标准要求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2" w:type="dxa"/>
            <w:tcBorders>
              <w:tl2br w:val="nil"/>
              <w:tr2bl w:val="nil"/>
            </w:tcBorders>
            <w:vAlign w:val="center"/>
          </w:tcPr>
          <w:p>
            <w:pPr>
              <w:pStyle w:val="17"/>
              <w:bidi w:val="0"/>
              <w:rPr>
                <w:rFonts w:hint="default"/>
              </w:rPr>
            </w:pPr>
            <w:r>
              <w:rPr>
                <w:rFonts w:hint="default"/>
              </w:rPr>
              <w:t>声环境</w:t>
            </w:r>
          </w:p>
        </w:tc>
        <w:tc>
          <w:tcPr>
            <w:tcW w:w="1821" w:type="dxa"/>
            <w:tcBorders>
              <w:tl2br w:val="nil"/>
              <w:tr2bl w:val="nil"/>
            </w:tcBorders>
            <w:vAlign w:val="center"/>
          </w:tcPr>
          <w:p>
            <w:pPr>
              <w:pStyle w:val="17"/>
              <w:bidi w:val="0"/>
              <w:rPr>
                <w:rFonts w:hint="default"/>
              </w:rPr>
            </w:pPr>
            <w:r>
              <w:rPr>
                <w:rFonts w:hint="default"/>
              </w:rPr>
              <w:t>厂界周围</w:t>
            </w:r>
          </w:p>
        </w:tc>
        <w:tc>
          <w:tcPr>
            <w:tcW w:w="1432" w:type="dxa"/>
            <w:tcBorders>
              <w:tl2br w:val="nil"/>
              <w:tr2bl w:val="nil"/>
            </w:tcBorders>
            <w:vAlign w:val="center"/>
          </w:tcPr>
          <w:p>
            <w:pPr>
              <w:pStyle w:val="17"/>
              <w:bidi w:val="0"/>
              <w:rPr>
                <w:rFonts w:hint="default"/>
              </w:rPr>
            </w:pPr>
            <w:r>
              <w:rPr>
                <w:rFonts w:hint="default"/>
              </w:rPr>
              <w:t>200m范围内</w:t>
            </w:r>
          </w:p>
        </w:tc>
        <w:tc>
          <w:tcPr>
            <w:tcW w:w="1508" w:type="dxa"/>
            <w:tcBorders>
              <w:tl2br w:val="nil"/>
              <w:tr2bl w:val="nil"/>
            </w:tcBorders>
            <w:vAlign w:val="center"/>
          </w:tcPr>
          <w:p>
            <w:pPr>
              <w:pStyle w:val="17"/>
              <w:bidi w:val="0"/>
              <w:rPr>
                <w:rFonts w:hint="eastAsia" w:eastAsia="宋体"/>
                <w:lang w:eastAsia="zh-CN"/>
              </w:rPr>
            </w:pPr>
            <w:r>
              <w:rPr>
                <w:rFonts w:hint="eastAsia"/>
                <w:lang w:val="en-US" w:eastAsia="zh-CN"/>
              </w:rPr>
              <w:t>农业区</w:t>
            </w:r>
          </w:p>
        </w:tc>
        <w:tc>
          <w:tcPr>
            <w:tcW w:w="841" w:type="dxa"/>
            <w:tcBorders>
              <w:tl2br w:val="nil"/>
              <w:tr2bl w:val="nil"/>
            </w:tcBorders>
            <w:vAlign w:val="center"/>
          </w:tcPr>
          <w:p>
            <w:pPr>
              <w:pStyle w:val="17"/>
              <w:bidi w:val="0"/>
              <w:rPr>
                <w:rFonts w:hint="default"/>
              </w:rPr>
            </w:pPr>
            <w:r>
              <w:rPr>
                <w:rFonts w:hint="default"/>
              </w:rPr>
              <w:t>/</w:t>
            </w:r>
          </w:p>
        </w:tc>
        <w:tc>
          <w:tcPr>
            <w:tcW w:w="2137" w:type="dxa"/>
            <w:tcBorders>
              <w:tl2br w:val="nil"/>
              <w:tr2bl w:val="nil"/>
            </w:tcBorders>
            <w:vAlign w:val="center"/>
          </w:tcPr>
          <w:p>
            <w:pPr>
              <w:pStyle w:val="17"/>
              <w:bidi w:val="0"/>
              <w:rPr>
                <w:rFonts w:hint="default"/>
              </w:rPr>
            </w:pPr>
            <w:r>
              <w:rPr>
                <w:rFonts w:hint="default"/>
              </w:rPr>
              <w:t>声环境功能</w:t>
            </w:r>
            <w:r>
              <w:rPr>
                <w:rFonts w:hint="eastAsia"/>
                <w:lang w:val="en-US" w:eastAsia="zh-CN"/>
              </w:rPr>
              <w:t>2</w:t>
            </w:r>
            <w:r>
              <w:rPr>
                <w:rFonts w:hint="default"/>
              </w:rPr>
              <w:t>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2" w:type="dxa"/>
            <w:tcBorders>
              <w:tl2br w:val="nil"/>
              <w:tr2bl w:val="nil"/>
            </w:tcBorders>
            <w:vAlign w:val="center"/>
          </w:tcPr>
          <w:p>
            <w:pPr>
              <w:pStyle w:val="17"/>
              <w:bidi w:val="0"/>
              <w:rPr>
                <w:rFonts w:hint="default"/>
              </w:rPr>
            </w:pPr>
            <w:r>
              <w:rPr>
                <w:rFonts w:hint="default"/>
              </w:rPr>
              <w:t>地下水环境</w:t>
            </w:r>
          </w:p>
        </w:tc>
        <w:tc>
          <w:tcPr>
            <w:tcW w:w="1821" w:type="dxa"/>
            <w:tcBorders>
              <w:tl2br w:val="nil"/>
              <w:tr2bl w:val="nil"/>
            </w:tcBorders>
            <w:vAlign w:val="center"/>
          </w:tcPr>
          <w:p>
            <w:pPr>
              <w:pStyle w:val="17"/>
              <w:bidi w:val="0"/>
              <w:rPr>
                <w:rFonts w:hint="default"/>
              </w:rPr>
            </w:pPr>
            <w:r>
              <w:rPr>
                <w:rFonts w:hint="default"/>
              </w:rPr>
              <w:t>厂区地下水</w:t>
            </w:r>
          </w:p>
        </w:tc>
        <w:tc>
          <w:tcPr>
            <w:tcW w:w="1432" w:type="dxa"/>
            <w:tcBorders>
              <w:tl2br w:val="nil"/>
              <w:tr2bl w:val="nil"/>
            </w:tcBorders>
            <w:vAlign w:val="center"/>
          </w:tcPr>
          <w:p>
            <w:pPr>
              <w:pStyle w:val="17"/>
              <w:bidi w:val="0"/>
              <w:rPr>
                <w:rFonts w:hint="default"/>
              </w:rPr>
            </w:pPr>
            <w:r>
              <w:rPr>
                <w:rFonts w:hint="default"/>
              </w:rPr>
              <w:t>/</w:t>
            </w:r>
          </w:p>
        </w:tc>
        <w:tc>
          <w:tcPr>
            <w:tcW w:w="1508" w:type="dxa"/>
            <w:tcBorders>
              <w:tl2br w:val="nil"/>
              <w:tr2bl w:val="nil"/>
            </w:tcBorders>
            <w:vAlign w:val="center"/>
          </w:tcPr>
          <w:p>
            <w:pPr>
              <w:pStyle w:val="17"/>
              <w:bidi w:val="0"/>
              <w:rPr>
                <w:rFonts w:hint="default"/>
              </w:rPr>
            </w:pPr>
            <w:r>
              <w:rPr>
                <w:rFonts w:hint="default"/>
              </w:rPr>
              <w:t>未利用</w:t>
            </w:r>
          </w:p>
        </w:tc>
        <w:tc>
          <w:tcPr>
            <w:tcW w:w="841" w:type="dxa"/>
            <w:tcBorders>
              <w:tl2br w:val="nil"/>
              <w:tr2bl w:val="nil"/>
            </w:tcBorders>
            <w:vAlign w:val="center"/>
          </w:tcPr>
          <w:p>
            <w:pPr>
              <w:pStyle w:val="17"/>
              <w:bidi w:val="0"/>
              <w:rPr>
                <w:rFonts w:hint="default"/>
              </w:rPr>
            </w:pPr>
            <w:r>
              <w:rPr>
                <w:rFonts w:hint="default"/>
              </w:rPr>
              <w:t>/</w:t>
            </w:r>
          </w:p>
        </w:tc>
        <w:tc>
          <w:tcPr>
            <w:tcW w:w="2137" w:type="dxa"/>
            <w:tcBorders>
              <w:tl2br w:val="nil"/>
              <w:tr2bl w:val="nil"/>
            </w:tcBorders>
            <w:vAlign w:val="center"/>
          </w:tcPr>
          <w:p>
            <w:pPr>
              <w:pStyle w:val="17"/>
              <w:bidi w:val="0"/>
              <w:rPr>
                <w:rFonts w:hint="default"/>
              </w:rPr>
            </w:pPr>
            <w:r>
              <w:rPr>
                <w:rFonts w:hint="default"/>
              </w:rPr>
              <w:t>无生活和灌溉水井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2" w:type="dxa"/>
            <w:tcBorders>
              <w:tl2br w:val="nil"/>
              <w:tr2bl w:val="nil"/>
            </w:tcBorders>
            <w:vAlign w:val="center"/>
          </w:tcPr>
          <w:p>
            <w:pPr>
              <w:pStyle w:val="17"/>
              <w:bidi w:val="0"/>
              <w:rPr>
                <w:rFonts w:hint="default"/>
              </w:rPr>
            </w:pPr>
            <w:r>
              <w:rPr>
                <w:rFonts w:hint="default"/>
              </w:rPr>
              <w:t>生态环境</w:t>
            </w:r>
          </w:p>
        </w:tc>
        <w:tc>
          <w:tcPr>
            <w:tcW w:w="1821" w:type="dxa"/>
            <w:tcBorders>
              <w:tl2br w:val="nil"/>
              <w:tr2bl w:val="nil"/>
            </w:tcBorders>
            <w:vAlign w:val="center"/>
          </w:tcPr>
          <w:p>
            <w:pPr>
              <w:pStyle w:val="17"/>
              <w:bidi w:val="0"/>
              <w:rPr>
                <w:rFonts w:hint="default"/>
              </w:rPr>
            </w:pPr>
            <w:r>
              <w:rPr>
                <w:rFonts w:hint="default"/>
              </w:rPr>
              <w:t>厂址周围</w:t>
            </w:r>
            <w:r>
              <w:rPr>
                <w:rFonts w:hint="eastAsia"/>
                <w:lang w:val="en-US" w:eastAsia="zh-CN"/>
              </w:rPr>
              <w:t>5</w:t>
            </w:r>
            <w:r>
              <w:rPr>
                <w:rFonts w:hint="default"/>
              </w:rPr>
              <w:t>00m</w:t>
            </w:r>
          </w:p>
        </w:tc>
        <w:tc>
          <w:tcPr>
            <w:tcW w:w="1432" w:type="dxa"/>
            <w:tcBorders>
              <w:tl2br w:val="nil"/>
              <w:tr2bl w:val="nil"/>
            </w:tcBorders>
            <w:vAlign w:val="center"/>
          </w:tcPr>
          <w:p>
            <w:pPr>
              <w:pStyle w:val="17"/>
              <w:bidi w:val="0"/>
              <w:rPr>
                <w:rFonts w:hint="default"/>
              </w:rPr>
            </w:pPr>
            <w:r>
              <w:rPr>
                <w:rFonts w:hint="default"/>
              </w:rPr>
              <w:t>/</w:t>
            </w:r>
          </w:p>
        </w:tc>
        <w:tc>
          <w:tcPr>
            <w:tcW w:w="1508" w:type="dxa"/>
            <w:tcBorders>
              <w:tl2br w:val="nil"/>
              <w:tr2bl w:val="nil"/>
            </w:tcBorders>
            <w:vAlign w:val="center"/>
          </w:tcPr>
          <w:p>
            <w:pPr>
              <w:pStyle w:val="17"/>
              <w:bidi w:val="0"/>
              <w:rPr>
                <w:rFonts w:hint="default"/>
              </w:rPr>
            </w:pPr>
            <w:r>
              <w:rPr>
                <w:rFonts w:hint="eastAsia"/>
                <w:lang w:val="en-US" w:eastAsia="zh-CN"/>
              </w:rPr>
              <w:t>农业区</w:t>
            </w:r>
          </w:p>
        </w:tc>
        <w:tc>
          <w:tcPr>
            <w:tcW w:w="841" w:type="dxa"/>
            <w:tcBorders>
              <w:tl2br w:val="nil"/>
              <w:tr2bl w:val="nil"/>
            </w:tcBorders>
            <w:vAlign w:val="center"/>
          </w:tcPr>
          <w:p>
            <w:pPr>
              <w:pStyle w:val="17"/>
              <w:bidi w:val="0"/>
              <w:rPr>
                <w:rFonts w:hint="default"/>
              </w:rPr>
            </w:pPr>
            <w:r>
              <w:rPr>
                <w:rFonts w:hint="default"/>
              </w:rPr>
              <w:t>/</w:t>
            </w:r>
          </w:p>
        </w:tc>
        <w:tc>
          <w:tcPr>
            <w:tcW w:w="2137" w:type="dxa"/>
            <w:tcBorders>
              <w:tl2br w:val="nil"/>
              <w:tr2bl w:val="nil"/>
            </w:tcBorders>
            <w:vAlign w:val="center"/>
          </w:tcPr>
          <w:p>
            <w:pPr>
              <w:pStyle w:val="17"/>
              <w:bidi w:val="0"/>
              <w:rPr>
                <w:rFonts w:hint="default"/>
              </w:rPr>
            </w:pPr>
            <w:r>
              <w:rPr>
                <w:rFonts w:hint="default"/>
              </w:rPr>
              <w:t>最大限度减少项目对区域生态的影响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2" w:type="dxa"/>
            <w:tcBorders>
              <w:tl2br w:val="nil"/>
              <w:tr2bl w:val="nil"/>
            </w:tcBorders>
            <w:vAlign w:val="center"/>
          </w:tcPr>
          <w:p>
            <w:pPr>
              <w:pStyle w:val="17"/>
              <w:bidi w:val="0"/>
              <w:rPr>
                <w:rFonts w:hint="default"/>
                <w:lang w:val="en-US" w:eastAsia="zh-CN"/>
              </w:rPr>
            </w:pPr>
            <w:r>
              <w:rPr>
                <w:rFonts w:hint="eastAsia"/>
                <w:lang w:val="en-US" w:eastAsia="zh-CN"/>
              </w:rPr>
              <w:t>环境风险</w:t>
            </w:r>
          </w:p>
        </w:tc>
        <w:tc>
          <w:tcPr>
            <w:tcW w:w="1821" w:type="dxa"/>
            <w:tcBorders>
              <w:tl2br w:val="nil"/>
              <w:tr2bl w:val="nil"/>
            </w:tcBorders>
            <w:vAlign w:val="center"/>
          </w:tcPr>
          <w:p>
            <w:pPr>
              <w:pStyle w:val="17"/>
              <w:bidi w:val="0"/>
              <w:rPr>
                <w:rFonts w:hint="default"/>
                <w:lang w:val="en-US" w:eastAsia="zh-CN"/>
              </w:rPr>
            </w:pPr>
            <w:r>
              <w:rPr>
                <w:rFonts w:hint="eastAsia"/>
                <w:lang w:val="en-US" w:eastAsia="zh-CN"/>
              </w:rPr>
              <w:t>厂界内</w:t>
            </w:r>
          </w:p>
        </w:tc>
        <w:tc>
          <w:tcPr>
            <w:tcW w:w="1432" w:type="dxa"/>
            <w:tcBorders>
              <w:tl2br w:val="nil"/>
              <w:tr2bl w:val="nil"/>
            </w:tcBorders>
            <w:vAlign w:val="center"/>
          </w:tcPr>
          <w:p>
            <w:pPr>
              <w:pStyle w:val="17"/>
              <w:bidi w:val="0"/>
              <w:rPr>
                <w:rFonts w:hint="default"/>
                <w:lang w:val="en-US" w:eastAsia="zh-CN"/>
              </w:rPr>
            </w:pPr>
            <w:r>
              <w:rPr>
                <w:rFonts w:hint="eastAsia"/>
                <w:lang w:val="en-US" w:eastAsia="zh-CN"/>
              </w:rPr>
              <w:t>厂址范围内</w:t>
            </w:r>
          </w:p>
        </w:tc>
        <w:tc>
          <w:tcPr>
            <w:tcW w:w="1508" w:type="dxa"/>
            <w:tcBorders>
              <w:tl2br w:val="nil"/>
              <w:tr2bl w:val="nil"/>
            </w:tcBorders>
            <w:vAlign w:val="center"/>
          </w:tcPr>
          <w:p>
            <w:pPr>
              <w:pStyle w:val="17"/>
              <w:bidi w:val="0"/>
              <w:rPr>
                <w:rFonts w:hint="default"/>
                <w:lang w:val="en-US" w:eastAsia="zh-CN"/>
              </w:rPr>
            </w:pPr>
            <w:r>
              <w:rPr>
                <w:rFonts w:hint="eastAsia"/>
                <w:lang w:val="en-US" w:eastAsia="zh-CN"/>
              </w:rPr>
              <w:t>建设用地</w:t>
            </w:r>
          </w:p>
        </w:tc>
        <w:tc>
          <w:tcPr>
            <w:tcW w:w="841" w:type="dxa"/>
            <w:tcBorders>
              <w:tl2br w:val="nil"/>
              <w:tr2bl w:val="nil"/>
            </w:tcBorders>
            <w:vAlign w:val="center"/>
          </w:tcPr>
          <w:p>
            <w:pPr>
              <w:pStyle w:val="17"/>
              <w:bidi w:val="0"/>
              <w:rPr>
                <w:rFonts w:hint="eastAsia"/>
                <w:lang w:val="en-US" w:eastAsia="zh-CN"/>
              </w:rPr>
            </w:pPr>
            <w:r>
              <w:rPr>
                <w:rFonts w:hint="eastAsia"/>
                <w:lang w:val="en-US" w:eastAsia="zh-CN"/>
              </w:rPr>
              <w:t>/</w:t>
            </w:r>
          </w:p>
        </w:tc>
        <w:tc>
          <w:tcPr>
            <w:tcW w:w="2137" w:type="dxa"/>
            <w:tcBorders>
              <w:tl2br w:val="nil"/>
              <w:tr2bl w:val="nil"/>
            </w:tcBorders>
            <w:vAlign w:val="center"/>
          </w:tcPr>
          <w:p>
            <w:pPr>
              <w:pStyle w:val="17"/>
              <w:bidi w:val="0"/>
              <w:rPr>
                <w:rFonts w:hint="default"/>
                <w:lang w:val="en-US" w:eastAsia="zh-CN"/>
              </w:rPr>
            </w:pPr>
            <w:r>
              <w:rPr>
                <w:rFonts w:hint="eastAsia"/>
                <w:lang w:val="en-US" w:eastAsia="zh-CN"/>
              </w:rPr>
              <w:t>环境风险可控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2" w:type="dxa"/>
            <w:tcBorders>
              <w:tl2br w:val="nil"/>
              <w:tr2bl w:val="nil"/>
            </w:tcBorders>
            <w:vAlign w:val="center"/>
          </w:tcPr>
          <w:p>
            <w:pPr>
              <w:pStyle w:val="17"/>
              <w:bidi w:val="0"/>
              <w:rPr>
                <w:rFonts w:hint="default"/>
                <w:lang w:val="en-US" w:eastAsia="zh-CN"/>
              </w:rPr>
            </w:pPr>
            <w:r>
              <w:rPr>
                <w:rFonts w:hint="eastAsia"/>
                <w:lang w:val="en-US" w:eastAsia="zh-CN"/>
              </w:rPr>
              <w:t>土壤环境</w:t>
            </w:r>
          </w:p>
        </w:tc>
        <w:tc>
          <w:tcPr>
            <w:tcW w:w="1821" w:type="dxa"/>
            <w:tcBorders>
              <w:tl2br w:val="nil"/>
              <w:tr2bl w:val="nil"/>
            </w:tcBorders>
            <w:vAlign w:val="center"/>
          </w:tcPr>
          <w:p>
            <w:pPr>
              <w:pStyle w:val="17"/>
              <w:bidi w:val="0"/>
              <w:rPr>
                <w:rFonts w:hint="default"/>
                <w:lang w:val="en-US" w:eastAsia="zh-CN"/>
              </w:rPr>
            </w:pPr>
            <w:r>
              <w:rPr>
                <w:rFonts w:hint="eastAsia"/>
                <w:lang w:val="en-US" w:eastAsia="zh-CN"/>
              </w:rPr>
              <w:t>厂界周围50m</w:t>
            </w:r>
          </w:p>
        </w:tc>
        <w:tc>
          <w:tcPr>
            <w:tcW w:w="1432" w:type="dxa"/>
            <w:tcBorders>
              <w:tl2br w:val="nil"/>
              <w:tr2bl w:val="nil"/>
            </w:tcBorders>
            <w:vAlign w:val="center"/>
          </w:tcPr>
          <w:p>
            <w:pPr>
              <w:pStyle w:val="17"/>
              <w:bidi w:val="0"/>
              <w:rPr>
                <w:rFonts w:hint="default"/>
                <w:lang w:val="en-US" w:eastAsia="zh-CN"/>
              </w:rPr>
            </w:pPr>
            <w:r>
              <w:rPr>
                <w:rFonts w:hint="eastAsia"/>
                <w:lang w:val="en-US" w:eastAsia="zh-CN"/>
              </w:rPr>
              <w:t>厂界50m范围内</w:t>
            </w:r>
          </w:p>
        </w:tc>
        <w:tc>
          <w:tcPr>
            <w:tcW w:w="1508" w:type="dxa"/>
            <w:tcBorders>
              <w:tl2br w:val="nil"/>
              <w:tr2bl w:val="nil"/>
            </w:tcBorders>
            <w:vAlign w:val="center"/>
          </w:tcPr>
          <w:p>
            <w:pPr>
              <w:pStyle w:val="17"/>
              <w:bidi w:val="0"/>
              <w:rPr>
                <w:rFonts w:hint="default"/>
                <w:lang w:val="en-US" w:eastAsia="zh-CN"/>
              </w:rPr>
            </w:pPr>
            <w:r>
              <w:rPr>
                <w:rFonts w:hint="eastAsia"/>
                <w:lang w:val="en-US" w:eastAsia="zh-CN"/>
              </w:rPr>
              <w:t>牧草地、农田</w:t>
            </w:r>
          </w:p>
        </w:tc>
        <w:tc>
          <w:tcPr>
            <w:tcW w:w="841"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2137" w:type="dxa"/>
            <w:tcBorders>
              <w:tl2br w:val="nil"/>
              <w:tr2bl w:val="nil"/>
            </w:tcBorders>
            <w:vAlign w:val="center"/>
          </w:tcPr>
          <w:p>
            <w:pPr>
              <w:pStyle w:val="17"/>
              <w:bidi w:val="0"/>
              <w:rPr>
                <w:rFonts w:hint="eastAsia"/>
                <w:lang w:val="en-US" w:eastAsia="zh-CN"/>
              </w:rPr>
            </w:pPr>
            <w:r>
              <w:rPr>
                <w:color w:val="000000" w:themeColor="text1"/>
                <w14:textFill>
                  <w14:solidFill>
                    <w14:schemeClr w14:val="tx1"/>
                  </w14:solidFill>
                </w14:textFill>
              </w:rPr>
              <w:t>生境不受破坏</w:t>
            </w:r>
            <w:r>
              <w:rPr>
                <w:rFonts w:hint="eastAsia"/>
                <w:color w:val="000000" w:themeColor="text1"/>
                <w14:textFill>
                  <w14:solidFill>
                    <w14:schemeClr w14:val="tx1"/>
                  </w14:solidFill>
                </w14:textFill>
              </w:rPr>
              <w:t>、土壤不受污染</w:t>
            </w:r>
          </w:p>
        </w:tc>
      </w:tr>
      <w:bookmarkEnd w:id="86"/>
      <w:bookmarkEnd w:id="87"/>
    </w:tbl>
    <w:p>
      <w:pPr>
        <w:bidi w:val="0"/>
        <w:rPr>
          <w:rFonts w:hint="default"/>
        </w:rPr>
      </w:pPr>
      <w:bookmarkStart w:id="88" w:name="_Toc20377"/>
    </w:p>
    <w:p>
      <w:pPr>
        <w:rPr>
          <w:rFonts w:hint="default"/>
        </w:rPr>
      </w:pPr>
      <w:r>
        <w:rPr>
          <w:rFonts w:hint="default"/>
        </w:rPr>
        <w:br w:type="page"/>
      </w:r>
    </w:p>
    <w:p>
      <w:pPr>
        <w:pStyle w:val="3"/>
        <w:bidi w:val="0"/>
        <w:rPr>
          <w:rFonts w:hint="default"/>
        </w:rPr>
      </w:pPr>
      <w:bookmarkStart w:id="89" w:name="_Toc2642"/>
      <w:r>
        <w:rPr>
          <w:rFonts w:hint="default"/>
        </w:rPr>
        <w:t>3建设项目概况</w:t>
      </w:r>
      <w:bookmarkEnd w:id="88"/>
      <w:bookmarkEnd w:id="89"/>
    </w:p>
    <w:p>
      <w:pPr>
        <w:pStyle w:val="4"/>
        <w:bidi w:val="0"/>
        <w:rPr>
          <w:rFonts w:hint="default"/>
        </w:rPr>
      </w:pPr>
      <w:bookmarkStart w:id="90" w:name="_Toc31834"/>
      <w:bookmarkStart w:id="91" w:name="_Toc961"/>
      <w:r>
        <w:rPr>
          <w:rFonts w:hint="default"/>
        </w:rPr>
        <w:t>3.1</w:t>
      </w:r>
      <w:r>
        <w:rPr>
          <w:rFonts w:hint="eastAsia"/>
          <w:lang w:eastAsia="zh-CN"/>
        </w:rPr>
        <w:t>、</w:t>
      </w:r>
      <w:r>
        <w:rPr>
          <w:rFonts w:hint="default"/>
        </w:rPr>
        <w:t>项目基本情况</w:t>
      </w:r>
      <w:bookmarkEnd w:id="90"/>
      <w:bookmarkEnd w:id="91"/>
    </w:p>
    <w:p>
      <w:pPr>
        <w:bidi w:val="0"/>
        <w:rPr>
          <w:rFonts w:hint="default"/>
          <w:lang w:eastAsia="zh-CN"/>
        </w:rPr>
      </w:pPr>
      <w:r>
        <w:rPr>
          <w:rFonts w:hint="default"/>
        </w:rPr>
        <w:t>项目名称：</w:t>
      </w:r>
      <w:r>
        <w:rPr>
          <w:rFonts w:hint="eastAsia"/>
          <w:lang w:eastAsia="zh-CN"/>
        </w:rPr>
        <w:t>吉木萨尔县天雨滴灌带地膜加工建设项目</w:t>
      </w:r>
    </w:p>
    <w:p>
      <w:pPr>
        <w:bidi w:val="0"/>
        <w:rPr>
          <w:rFonts w:hint="default"/>
          <w:lang w:eastAsia="zh-CN"/>
        </w:rPr>
      </w:pPr>
      <w:r>
        <w:rPr>
          <w:rFonts w:hint="default"/>
        </w:rPr>
        <w:t>建设单位：</w:t>
      </w:r>
      <w:r>
        <w:rPr>
          <w:rFonts w:hint="eastAsia"/>
          <w:lang w:eastAsia="zh-CN"/>
        </w:rPr>
        <w:t>吉木萨尔县二工镇大泉湖</w:t>
      </w:r>
      <w:r>
        <w:rPr>
          <w:rFonts w:hint="eastAsia"/>
          <w:lang w:val="en-US" w:eastAsia="zh-CN"/>
        </w:rPr>
        <w:t>村</w:t>
      </w:r>
      <w:r>
        <w:rPr>
          <w:rFonts w:hint="eastAsia"/>
          <w:lang w:eastAsia="zh-CN"/>
        </w:rPr>
        <w:t>经济合作社</w:t>
      </w:r>
    </w:p>
    <w:p>
      <w:pPr>
        <w:bidi w:val="0"/>
        <w:rPr>
          <w:rFonts w:hint="default"/>
        </w:rPr>
      </w:pPr>
      <w:r>
        <w:rPr>
          <w:rFonts w:hint="default"/>
        </w:rPr>
        <w:t>建设性质：新建</w:t>
      </w:r>
    </w:p>
    <w:p>
      <w:pPr>
        <w:bidi w:val="0"/>
        <w:rPr>
          <w:rFonts w:hint="default"/>
        </w:rPr>
      </w:pPr>
      <w:r>
        <w:rPr>
          <w:rFonts w:hint="default"/>
        </w:rPr>
        <w:t>投资总额：本项目总投资</w:t>
      </w:r>
      <w:r>
        <w:rPr>
          <w:rFonts w:hint="eastAsia"/>
          <w:lang w:val="en-US" w:eastAsia="zh-CN"/>
        </w:rPr>
        <w:t>800万元</w:t>
      </w:r>
      <w:r>
        <w:rPr>
          <w:rFonts w:hint="default"/>
        </w:rPr>
        <w:t>。</w:t>
      </w:r>
    </w:p>
    <w:p>
      <w:pPr>
        <w:bidi w:val="0"/>
        <w:rPr>
          <w:rFonts w:hint="default"/>
        </w:rPr>
      </w:pPr>
      <w:r>
        <w:rPr>
          <w:rFonts w:hint="default"/>
        </w:rPr>
        <w:t>占地面积：项目总占地面积</w:t>
      </w:r>
      <w:r>
        <w:rPr>
          <w:rFonts w:hint="eastAsia"/>
          <w:lang w:val="en-US" w:eastAsia="zh-CN"/>
        </w:rPr>
        <w:t>8277.18</w:t>
      </w:r>
      <w:r>
        <w:rPr>
          <w:rFonts w:hint="eastAsia"/>
          <w:lang w:eastAsia="zh-CN"/>
        </w:rPr>
        <w:t>m²</w:t>
      </w:r>
      <w:r>
        <w:rPr>
          <w:rFonts w:hint="default"/>
        </w:rPr>
        <w:t>（约</w:t>
      </w:r>
      <w:r>
        <w:rPr>
          <w:rFonts w:hint="eastAsia"/>
          <w:lang w:val="en-US" w:eastAsia="zh-CN"/>
        </w:rPr>
        <w:t>12.4亩</w:t>
      </w:r>
      <w:r>
        <w:rPr>
          <w:rFonts w:hint="default"/>
        </w:rPr>
        <w:t>）。</w:t>
      </w:r>
    </w:p>
    <w:p>
      <w:pPr>
        <w:bidi w:val="0"/>
        <w:rPr>
          <w:rFonts w:hint="default"/>
        </w:rPr>
      </w:pPr>
      <w:r>
        <w:rPr>
          <w:rFonts w:hint="default"/>
        </w:rPr>
        <w:t>劳动定员及工作制度：本项目劳动定员</w:t>
      </w:r>
      <w:r>
        <w:rPr>
          <w:rFonts w:hint="eastAsia"/>
          <w:lang w:val="en-US" w:eastAsia="zh-CN"/>
        </w:rPr>
        <w:t>42</w:t>
      </w:r>
      <w:r>
        <w:rPr>
          <w:rFonts w:hint="default"/>
        </w:rPr>
        <w:t>人，采用四班三运转制度连续生产，年运行</w:t>
      </w:r>
      <w:r>
        <w:rPr>
          <w:rFonts w:hint="eastAsia"/>
          <w:lang w:val="en-US" w:eastAsia="zh-CN"/>
        </w:rPr>
        <w:t>11</w:t>
      </w:r>
      <w:r>
        <w:rPr>
          <w:rFonts w:hint="default"/>
        </w:rPr>
        <w:t>个月</w:t>
      </w:r>
      <w:r>
        <w:rPr>
          <w:rFonts w:hint="eastAsia"/>
          <w:lang w:eastAsia="zh-CN"/>
        </w:rPr>
        <w:t>（</w:t>
      </w:r>
      <w:r>
        <w:rPr>
          <w:rFonts w:hint="eastAsia"/>
          <w:lang w:val="en-US" w:eastAsia="zh-CN"/>
        </w:rPr>
        <w:t>330d</w:t>
      </w:r>
      <w:r>
        <w:rPr>
          <w:rFonts w:hint="eastAsia"/>
          <w:lang w:eastAsia="zh-CN"/>
        </w:rPr>
        <w:t>）</w:t>
      </w:r>
      <w:r>
        <w:rPr>
          <w:rFonts w:hint="default"/>
        </w:rPr>
        <w:t>，年工作时长</w:t>
      </w:r>
      <w:r>
        <w:rPr>
          <w:rFonts w:hint="eastAsia"/>
          <w:lang w:val="en-US" w:eastAsia="zh-CN"/>
        </w:rPr>
        <w:t>7920</w:t>
      </w:r>
      <w:r>
        <w:rPr>
          <w:rFonts w:hint="default"/>
        </w:rPr>
        <w:t>h。</w:t>
      </w:r>
    </w:p>
    <w:p>
      <w:pPr>
        <w:bidi w:val="0"/>
        <w:rPr>
          <w:rFonts w:hint="default"/>
          <w:lang w:val="en-US" w:eastAsia="zh-CN"/>
        </w:rPr>
      </w:pPr>
      <w:r>
        <w:rPr>
          <w:rFonts w:hint="default"/>
        </w:rPr>
        <w:t>建设地点：</w:t>
      </w:r>
      <w:r>
        <w:rPr>
          <w:rFonts w:hint="eastAsia"/>
          <w:lang w:val="en-US" w:eastAsia="zh-CN"/>
        </w:rPr>
        <w:t>项目位于</w:t>
      </w:r>
      <w:r>
        <w:rPr>
          <w:rFonts w:hint="eastAsia"/>
          <w:lang w:eastAsia="zh-CN"/>
        </w:rPr>
        <w:t>新疆吉木萨尔县二工镇</w:t>
      </w:r>
      <w:r>
        <w:rPr>
          <w:rFonts w:hint="default"/>
        </w:rPr>
        <w:t>。项目区中心地理坐标为：N</w:t>
      </w:r>
      <w:r>
        <w:rPr>
          <w:rFonts w:hint="eastAsia"/>
          <w:lang w:eastAsia="zh-CN"/>
        </w:rPr>
        <w:t>44°0'44.39"</w:t>
      </w:r>
      <w:r>
        <w:rPr>
          <w:rFonts w:hint="default"/>
        </w:rPr>
        <w:t>，E</w:t>
      </w:r>
      <w:r>
        <w:rPr>
          <w:rFonts w:hint="eastAsia"/>
          <w:lang w:eastAsia="zh-CN"/>
        </w:rPr>
        <w:t>89°20'50.28"</w:t>
      </w:r>
      <w:r>
        <w:rPr>
          <w:rFonts w:hint="default"/>
        </w:rPr>
        <w:t>。厂区</w:t>
      </w:r>
      <w:r>
        <w:rPr>
          <w:rFonts w:hint="eastAsia"/>
          <w:lang w:val="en-US" w:eastAsia="zh-CN"/>
        </w:rPr>
        <w:t>北侧、西侧为牧草地，东侧为牧草地，南侧偏西为农田</w:t>
      </w:r>
      <w:r>
        <w:rPr>
          <w:rFonts w:hint="default"/>
        </w:rPr>
        <w:t>。</w:t>
      </w:r>
      <w:r>
        <w:rPr>
          <w:rFonts w:hint="eastAsia"/>
          <w:lang w:val="en-US" w:eastAsia="zh-CN"/>
        </w:rPr>
        <w:t>项目区地理位置图详见图3.1-1。</w:t>
      </w:r>
    </w:p>
    <w:p>
      <w:pPr>
        <w:bidi w:val="0"/>
        <w:rPr>
          <w:rFonts w:hint="default"/>
        </w:rPr>
      </w:pPr>
      <w:r>
        <w:rPr>
          <w:rFonts w:hint="default"/>
        </w:rPr>
        <w:t>建设进度：预计</w:t>
      </w:r>
      <w:r>
        <w:rPr>
          <w:rFonts w:hint="eastAsia"/>
          <w:lang w:eastAsia="zh-CN"/>
        </w:rPr>
        <w:t>2021</w:t>
      </w:r>
      <w:r>
        <w:rPr>
          <w:rFonts w:hint="default"/>
        </w:rPr>
        <w:t>年</w:t>
      </w:r>
      <w:r>
        <w:rPr>
          <w:rFonts w:hint="eastAsia"/>
          <w:lang w:val="en-US" w:eastAsia="zh-CN"/>
        </w:rPr>
        <w:t>11</w:t>
      </w:r>
      <w:r>
        <w:rPr>
          <w:rFonts w:hint="default"/>
        </w:rPr>
        <w:t>月—20</w:t>
      </w:r>
      <w:r>
        <w:rPr>
          <w:rFonts w:hint="default"/>
          <w:lang w:val="en-US" w:eastAsia="zh-CN"/>
        </w:rPr>
        <w:t>2</w:t>
      </w:r>
      <w:r>
        <w:rPr>
          <w:rFonts w:hint="eastAsia"/>
          <w:lang w:val="en-US" w:eastAsia="zh-CN"/>
        </w:rPr>
        <w:t>1</w:t>
      </w:r>
      <w:r>
        <w:rPr>
          <w:rFonts w:hint="default"/>
        </w:rPr>
        <w:t>年</w:t>
      </w:r>
      <w:r>
        <w:rPr>
          <w:rFonts w:hint="eastAsia"/>
          <w:lang w:val="en-US" w:eastAsia="zh-CN"/>
        </w:rPr>
        <w:t>12</w:t>
      </w:r>
      <w:r>
        <w:rPr>
          <w:rFonts w:hint="default"/>
        </w:rPr>
        <w:t>月，建设工期</w:t>
      </w:r>
      <w:r>
        <w:rPr>
          <w:rFonts w:hint="eastAsia"/>
          <w:lang w:val="en-US" w:eastAsia="zh-CN"/>
        </w:rPr>
        <w:t>2</w:t>
      </w:r>
      <w:r>
        <w:rPr>
          <w:rFonts w:hint="default"/>
        </w:rPr>
        <w:t>个月。</w:t>
      </w:r>
    </w:p>
    <w:p>
      <w:pPr>
        <w:pStyle w:val="4"/>
        <w:bidi w:val="0"/>
        <w:rPr>
          <w:rFonts w:hint="default"/>
        </w:rPr>
      </w:pPr>
      <w:bookmarkStart w:id="92" w:name="_Toc14073"/>
      <w:bookmarkStart w:id="93" w:name="_Toc26244"/>
      <w:r>
        <w:rPr>
          <w:rFonts w:hint="default"/>
        </w:rPr>
        <w:t>3.2</w:t>
      </w:r>
      <w:r>
        <w:rPr>
          <w:rFonts w:hint="eastAsia"/>
          <w:lang w:eastAsia="zh-CN"/>
        </w:rPr>
        <w:t>、</w:t>
      </w:r>
      <w:r>
        <w:rPr>
          <w:rFonts w:hint="default"/>
        </w:rPr>
        <w:t>建设内容及规模</w:t>
      </w:r>
      <w:bookmarkEnd w:id="92"/>
      <w:bookmarkEnd w:id="93"/>
    </w:p>
    <w:p>
      <w:pPr>
        <w:pStyle w:val="5"/>
        <w:bidi w:val="0"/>
        <w:rPr>
          <w:rFonts w:hint="default"/>
        </w:rPr>
      </w:pPr>
      <w:r>
        <w:rPr>
          <w:rFonts w:hint="default"/>
        </w:rPr>
        <w:t>3.2.1</w:t>
      </w:r>
      <w:r>
        <w:rPr>
          <w:rFonts w:hint="eastAsia"/>
          <w:lang w:eastAsia="zh-CN"/>
        </w:rPr>
        <w:t>、</w:t>
      </w:r>
      <w:r>
        <w:rPr>
          <w:rFonts w:hint="default"/>
        </w:rPr>
        <w:t>建设内容</w:t>
      </w:r>
    </w:p>
    <w:p>
      <w:pPr>
        <w:bidi w:val="0"/>
        <w:rPr>
          <w:rFonts w:hint="default"/>
        </w:rPr>
      </w:pPr>
      <w:r>
        <w:rPr>
          <w:rFonts w:hint="default"/>
        </w:rPr>
        <w:t>本项目</w:t>
      </w:r>
      <w:r>
        <w:rPr>
          <w:rFonts w:hint="eastAsia"/>
          <w:lang w:val="en-US" w:eastAsia="zh-CN"/>
        </w:rPr>
        <w:t>占地8277.18</w:t>
      </w:r>
      <w:r>
        <w:rPr>
          <w:rFonts w:hint="default"/>
        </w:rPr>
        <w:t>m</w:t>
      </w:r>
      <w:r>
        <w:rPr>
          <w:rFonts w:hint="eastAsia"/>
          <w:lang w:val="en-US" w:eastAsia="zh-CN"/>
        </w:rPr>
        <w:t>²</w:t>
      </w:r>
      <w:r>
        <w:rPr>
          <w:rFonts w:hint="eastAsia"/>
          <w:lang w:eastAsia="zh-CN"/>
        </w:rPr>
        <w:t>，</w:t>
      </w:r>
      <w:r>
        <w:rPr>
          <w:rFonts w:hint="default"/>
        </w:rPr>
        <w:t>建设</w:t>
      </w:r>
      <w:r>
        <w:rPr>
          <w:rFonts w:hint="eastAsia"/>
          <w:lang w:val="en-US" w:eastAsia="zh-CN"/>
        </w:rPr>
        <w:t>造粒车间和生产车间</w:t>
      </w:r>
      <w:r>
        <w:rPr>
          <w:rFonts w:hint="default"/>
        </w:rPr>
        <w:t>，</w:t>
      </w:r>
      <w:r>
        <w:rPr>
          <w:rFonts w:hint="eastAsia"/>
          <w:lang w:val="en-US" w:eastAsia="zh-CN"/>
        </w:rPr>
        <w:t>造粒车间设置3</w:t>
      </w:r>
      <w:r>
        <w:rPr>
          <w:rFonts w:hint="default"/>
        </w:rPr>
        <w:t>条塑料造粒机组生产线，</w:t>
      </w:r>
      <w:r>
        <w:rPr>
          <w:rFonts w:hint="eastAsia"/>
          <w:lang w:val="en-US" w:eastAsia="zh-CN"/>
        </w:rPr>
        <w:t>生产车间设置10</w:t>
      </w:r>
      <w:r>
        <w:rPr>
          <w:rFonts w:hint="default"/>
        </w:rPr>
        <w:t>条滴灌带及配套设施设备生产线，</w:t>
      </w:r>
      <w:r>
        <w:rPr>
          <w:rFonts w:hint="eastAsia"/>
          <w:lang w:val="en-US" w:eastAsia="zh-CN"/>
        </w:rPr>
        <w:t>2</w:t>
      </w:r>
      <w:r>
        <w:rPr>
          <w:rFonts w:hint="default"/>
        </w:rPr>
        <w:t>条地膜生产线，</w:t>
      </w:r>
      <w:r>
        <w:rPr>
          <w:rFonts w:hint="eastAsia"/>
          <w:lang w:val="en-US" w:eastAsia="zh-CN"/>
        </w:rPr>
        <w:t>2</w:t>
      </w:r>
      <w:r>
        <w:rPr>
          <w:rFonts w:hint="default"/>
        </w:rPr>
        <w:t>条</w:t>
      </w:r>
      <w:r>
        <w:rPr>
          <w:rFonts w:hint="default"/>
          <w:lang w:eastAsia="zh-CN"/>
        </w:rPr>
        <w:t>PE管材</w:t>
      </w:r>
      <w:r>
        <w:rPr>
          <w:rFonts w:hint="default"/>
        </w:rPr>
        <w:t>生产线；</w:t>
      </w:r>
      <w:r>
        <w:rPr>
          <w:rFonts w:hint="eastAsia"/>
          <w:lang w:val="en-US" w:eastAsia="zh-CN"/>
        </w:rPr>
        <w:t>1</w:t>
      </w:r>
      <w:r>
        <w:rPr>
          <w:rFonts w:hint="default"/>
        </w:rPr>
        <w:t>栋原料及产品仓库；办公生活区</w:t>
      </w:r>
      <w:r>
        <w:rPr>
          <w:rFonts w:hint="eastAsia"/>
          <w:lang w:val="en-US" w:eastAsia="zh-CN"/>
        </w:rPr>
        <w:t>1</w:t>
      </w:r>
      <w:r>
        <w:rPr>
          <w:rFonts w:hint="default"/>
        </w:rPr>
        <w:t>栋</w:t>
      </w:r>
      <w:r>
        <w:rPr>
          <w:rFonts w:hint="eastAsia"/>
          <w:lang w:val="en-US" w:eastAsia="zh-CN"/>
        </w:rPr>
        <w:t>1</w:t>
      </w:r>
      <w:r>
        <w:rPr>
          <w:rFonts w:hint="default"/>
        </w:rPr>
        <w:t>层建筑，主要包括办公室和职工宿舍，</w:t>
      </w:r>
      <w:r>
        <w:rPr>
          <w:rFonts w:hint="eastAsia"/>
          <w:lang w:val="en-US" w:eastAsia="zh-CN"/>
        </w:rPr>
        <w:t>均为新建</w:t>
      </w:r>
      <w:r>
        <w:rPr>
          <w:rFonts w:hint="default"/>
        </w:rPr>
        <w:t>。本项目主要建设内容详见表3.2-1。</w:t>
      </w:r>
    </w:p>
    <w:p>
      <w:pPr>
        <w:pStyle w:val="17"/>
        <w:bidi w:val="0"/>
        <w:rPr>
          <w:rFonts w:hint="default"/>
          <w:b/>
          <w:bCs/>
        </w:rPr>
      </w:pPr>
      <w:r>
        <w:rPr>
          <w:rFonts w:hint="default"/>
          <w:b/>
          <w:bCs/>
        </w:rPr>
        <w:t xml:space="preserve">表3.2-1  </w:t>
      </w:r>
      <w:r>
        <w:rPr>
          <w:rFonts w:hint="eastAsia"/>
          <w:b/>
          <w:bCs/>
          <w:lang w:val="en-US" w:eastAsia="zh-CN"/>
        </w:rPr>
        <w:t xml:space="preserve"> </w:t>
      </w:r>
      <w:r>
        <w:rPr>
          <w:rFonts w:hint="default"/>
          <w:b/>
          <w:bCs/>
        </w:rPr>
        <w:t>本项目主要建设工程组成一览表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57"/>
        <w:gridCol w:w="1407"/>
        <w:gridCol w:w="6227"/>
        <w:gridCol w:w="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964" w:type="dxa"/>
            <w:gridSpan w:val="2"/>
            <w:tcBorders>
              <w:tl2br w:val="nil"/>
              <w:tr2bl w:val="nil"/>
            </w:tcBorders>
            <w:vAlign w:val="center"/>
          </w:tcPr>
          <w:p>
            <w:pPr>
              <w:pStyle w:val="17"/>
              <w:bidi w:val="0"/>
              <w:rPr>
                <w:rFonts w:hint="default"/>
                <w:b/>
                <w:bCs/>
              </w:rPr>
            </w:pPr>
            <w:bookmarkStart w:id="94" w:name="_Hlk13430449"/>
            <w:r>
              <w:rPr>
                <w:rFonts w:hint="default"/>
                <w:b/>
                <w:bCs/>
              </w:rPr>
              <w:t>项目名称</w:t>
            </w:r>
          </w:p>
        </w:tc>
        <w:tc>
          <w:tcPr>
            <w:tcW w:w="6227" w:type="dxa"/>
            <w:tcBorders>
              <w:tl2br w:val="nil"/>
              <w:tr2bl w:val="nil"/>
            </w:tcBorders>
            <w:vAlign w:val="center"/>
          </w:tcPr>
          <w:p>
            <w:pPr>
              <w:pStyle w:val="17"/>
              <w:bidi w:val="0"/>
              <w:rPr>
                <w:rFonts w:hint="default"/>
                <w:b/>
                <w:bCs/>
              </w:rPr>
            </w:pPr>
            <w:r>
              <w:rPr>
                <w:rFonts w:hint="default"/>
                <w:b/>
                <w:bCs/>
              </w:rPr>
              <w:t>建设内容</w:t>
            </w:r>
          </w:p>
        </w:tc>
        <w:tc>
          <w:tcPr>
            <w:tcW w:w="880" w:type="dxa"/>
            <w:tcBorders>
              <w:tl2br w:val="nil"/>
              <w:tr2bl w:val="nil"/>
            </w:tcBorders>
            <w:vAlign w:val="center"/>
          </w:tcPr>
          <w:p>
            <w:pPr>
              <w:pStyle w:val="17"/>
              <w:bidi w:val="0"/>
              <w:rPr>
                <w:rFonts w:hint="default"/>
                <w:b/>
                <w:bCs/>
              </w:rPr>
            </w:pPr>
            <w:r>
              <w:rPr>
                <w:rFonts w:hint="default"/>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557" w:type="dxa"/>
            <w:vMerge w:val="restart"/>
            <w:tcBorders>
              <w:tl2br w:val="nil"/>
              <w:tr2bl w:val="nil"/>
            </w:tcBorders>
            <w:vAlign w:val="center"/>
          </w:tcPr>
          <w:p>
            <w:pPr>
              <w:pStyle w:val="17"/>
              <w:bidi w:val="0"/>
              <w:rPr>
                <w:rFonts w:hint="default"/>
              </w:rPr>
            </w:pPr>
            <w:r>
              <w:rPr>
                <w:rFonts w:hint="default"/>
              </w:rPr>
              <w:t>主体工程</w:t>
            </w:r>
          </w:p>
        </w:tc>
        <w:tc>
          <w:tcPr>
            <w:tcW w:w="1407" w:type="dxa"/>
            <w:tcBorders>
              <w:tl2br w:val="nil"/>
              <w:tr2bl w:val="nil"/>
            </w:tcBorders>
            <w:vAlign w:val="center"/>
          </w:tcPr>
          <w:p>
            <w:pPr>
              <w:pStyle w:val="17"/>
              <w:bidi w:val="0"/>
              <w:rPr>
                <w:rFonts w:hint="default" w:eastAsia="宋体"/>
                <w:lang w:val="en-US" w:eastAsia="zh-CN"/>
              </w:rPr>
            </w:pPr>
            <w:r>
              <w:rPr>
                <w:rFonts w:hint="eastAsia"/>
                <w:lang w:val="en-US" w:eastAsia="zh-CN"/>
              </w:rPr>
              <w:t>造粒车间</w:t>
            </w:r>
          </w:p>
        </w:tc>
        <w:tc>
          <w:tcPr>
            <w:tcW w:w="6227" w:type="dxa"/>
            <w:tcBorders>
              <w:tl2br w:val="nil"/>
              <w:tr2bl w:val="nil"/>
            </w:tcBorders>
            <w:vAlign w:val="center"/>
          </w:tcPr>
          <w:p>
            <w:pPr>
              <w:pStyle w:val="17"/>
              <w:bidi w:val="0"/>
              <w:rPr>
                <w:rFonts w:hint="default"/>
              </w:rPr>
            </w:pPr>
            <w:r>
              <w:rPr>
                <w:rFonts w:hint="default"/>
              </w:rPr>
              <w:t>1栋一层，建筑面积</w:t>
            </w:r>
            <w:r>
              <w:rPr>
                <w:rFonts w:hint="eastAsia"/>
                <w:lang w:val="en-US" w:eastAsia="zh-CN"/>
              </w:rPr>
              <w:t>390</w:t>
            </w:r>
            <w:r>
              <w:rPr>
                <w:rFonts w:hint="eastAsia"/>
                <w:lang w:eastAsia="zh-CN"/>
              </w:rPr>
              <w:t>m²</w:t>
            </w:r>
            <w:r>
              <w:rPr>
                <w:rFonts w:hint="default"/>
              </w:rPr>
              <w:t>，</w:t>
            </w:r>
            <w:r>
              <w:rPr>
                <w:rFonts w:hint="eastAsia"/>
                <w:lang w:val="en-US" w:eastAsia="zh-CN"/>
              </w:rPr>
              <w:t>3</w:t>
            </w:r>
            <w:r>
              <w:rPr>
                <w:rFonts w:hint="default"/>
              </w:rPr>
              <w:t>条再生造粒生产线，年产量</w:t>
            </w:r>
            <w:r>
              <w:rPr>
                <w:rFonts w:hint="eastAsia"/>
                <w:lang w:val="en-US" w:eastAsia="zh-CN"/>
              </w:rPr>
              <w:t>5000</w:t>
            </w:r>
            <w:r>
              <w:rPr>
                <w:rFonts w:hint="default"/>
              </w:rPr>
              <w:t>t；</w:t>
            </w:r>
          </w:p>
        </w:tc>
        <w:tc>
          <w:tcPr>
            <w:tcW w:w="880" w:type="dxa"/>
            <w:tcBorders>
              <w:tl2br w:val="nil"/>
              <w:tr2bl w:val="nil"/>
            </w:tcBorders>
            <w:vAlign w:val="center"/>
          </w:tcPr>
          <w:p>
            <w:pPr>
              <w:pStyle w:val="17"/>
              <w:bidi w:val="0"/>
              <w:rPr>
                <w:rFonts w:hint="eastAsia"/>
                <w:lang w:eastAsia="zh-CN"/>
              </w:rPr>
            </w:pPr>
            <w:r>
              <w:rPr>
                <w:rFonts w:hint="eastAsia"/>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805" w:hRule="atLeast"/>
          <w:jc w:val="center"/>
        </w:trPr>
        <w:tc>
          <w:tcPr>
            <w:tcW w:w="557" w:type="dxa"/>
            <w:vMerge w:val="continue"/>
            <w:tcBorders>
              <w:tl2br w:val="nil"/>
              <w:tr2bl w:val="nil"/>
            </w:tcBorders>
            <w:vAlign w:val="center"/>
          </w:tcPr>
          <w:p>
            <w:pPr>
              <w:pStyle w:val="17"/>
              <w:bidi w:val="0"/>
              <w:rPr>
                <w:rFonts w:hint="default"/>
              </w:rPr>
            </w:pPr>
          </w:p>
        </w:tc>
        <w:tc>
          <w:tcPr>
            <w:tcW w:w="1407" w:type="dxa"/>
            <w:tcBorders>
              <w:tl2br w:val="nil"/>
              <w:tr2bl w:val="nil"/>
            </w:tcBorders>
            <w:vAlign w:val="center"/>
          </w:tcPr>
          <w:p>
            <w:pPr>
              <w:pStyle w:val="17"/>
              <w:bidi w:val="0"/>
              <w:rPr>
                <w:rFonts w:hint="default" w:eastAsia="宋体"/>
                <w:lang w:val="en-US" w:eastAsia="zh-CN"/>
              </w:rPr>
            </w:pPr>
            <w:r>
              <w:rPr>
                <w:rFonts w:hint="eastAsia"/>
                <w:lang w:val="en-US" w:eastAsia="zh-CN"/>
              </w:rPr>
              <w:t>生产车间</w:t>
            </w:r>
          </w:p>
        </w:tc>
        <w:tc>
          <w:tcPr>
            <w:tcW w:w="6227" w:type="dxa"/>
            <w:tcBorders>
              <w:tl2br w:val="nil"/>
              <w:tr2bl w:val="nil"/>
            </w:tcBorders>
            <w:vAlign w:val="center"/>
          </w:tcPr>
          <w:p>
            <w:pPr>
              <w:pStyle w:val="17"/>
              <w:bidi w:val="0"/>
              <w:rPr>
                <w:rFonts w:hint="default"/>
              </w:rPr>
            </w:pPr>
            <w:r>
              <w:rPr>
                <w:rFonts w:hint="default"/>
              </w:rPr>
              <w:t>1栋一层，建筑面积</w:t>
            </w:r>
            <w:r>
              <w:rPr>
                <w:rFonts w:hint="eastAsia"/>
                <w:lang w:val="en-US" w:eastAsia="zh-CN"/>
              </w:rPr>
              <w:t>320</w:t>
            </w:r>
            <w:r>
              <w:rPr>
                <w:rFonts w:hint="eastAsia"/>
                <w:lang w:eastAsia="zh-CN"/>
              </w:rPr>
              <w:t>m²</w:t>
            </w:r>
            <w:r>
              <w:rPr>
                <w:rFonts w:hint="default"/>
              </w:rPr>
              <w:t>，</w:t>
            </w:r>
            <w:r>
              <w:rPr>
                <w:rFonts w:hint="eastAsia"/>
                <w:lang w:val="en-US" w:eastAsia="zh-CN"/>
              </w:rPr>
              <w:t>生产车间设置10</w:t>
            </w:r>
            <w:r>
              <w:rPr>
                <w:rFonts w:hint="default"/>
              </w:rPr>
              <w:t>条滴灌带及配套设施设备生产线，</w:t>
            </w:r>
            <w:r>
              <w:rPr>
                <w:rFonts w:hint="eastAsia"/>
                <w:lang w:val="en-US" w:eastAsia="zh-CN"/>
              </w:rPr>
              <w:t>2</w:t>
            </w:r>
            <w:r>
              <w:rPr>
                <w:rFonts w:hint="default"/>
              </w:rPr>
              <w:t>条地膜生产线，</w:t>
            </w:r>
            <w:r>
              <w:rPr>
                <w:rFonts w:hint="eastAsia"/>
                <w:lang w:val="en-US" w:eastAsia="zh-CN"/>
              </w:rPr>
              <w:t>2</w:t>
            </w:r>
            <w:r>
              <w:rPr>
                <w:rFonts w:hint="default"/>
              </w:rPr>
              <w:t>条</w:t>
            </w:r>
            <w:r>
              <w:rPr>
                <w:rFonts w:hint="default"/>
                <w:lang w:eastAsia="zh-CN"/>
              </w:rPr>
              <w:t>PE管材</w:t>
            </w:r>
            <w:r>
              <w:rPr>
                <w:rFonts w:hint="default"/>
              </w:rPr>
              <w:t>生产线；</w:t>
            </w:r>
          </w:p>
        </w:tc>
        <w:tc>
          <w:tcPr>
            <w:tcW w:w="880" w:type="dxa"/>
            <w:tcBorders>
              <w:tl2br w:val="nil"/>
              <w:tr2bl w:val="nil"/>
            </w:tcBorders>
            <w:vAlign w:val="center"/>
          </w:tcPr>
          <w:p>
            <w:pPr>
              <w:pStyle w:val="17"/>
              <w:bidi w:val="0"/>
              <w:rPr>
                <w:rFonts w:hint="default"/>
              </w:rPr>
            </w:pPr>
            <w:r>
              <w:rPr>
                <w:rFonts w:hint="eastAsia"/>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57" w:type="dxa"/>
            <w:tcBorders>
              <w:tl2br w:val="nil"/>
              <w:tr2bl w:val="nil"/>
            </w:tcBorders>
            <w:vAlign w:val="center"/>
          </w:tcPr>
          <w:p>
            <w:pPr>
              <w:pStyle w:val="17"/>
              <w:bidi w:val="0"/>
              <w:rPr>
                <w:rFonts w:hint="default"/>
              </w:rPr>
            </w:pPr>
            <w:r>
              <w:rPr>
                <w:rFonts w:hint="default"/>
              </w:rPr>
              <w:t>辅助工程</w:t>
            </w:r>
          </w:p>
        </w:tc>
        <w:tc>
          <w:tcPr>
            <w:tcW w:w="1407" w:type="dxa"/>
            <w:tcBorders>
              <w:tl2br w:val="nil"/>
              <w:tr2bl w:val="nil"/>
            </w:tcBorders>
            <w:vAlign w:val="center"/>
          </w:tcPr>
          <w:p>
            <w:pPr>
              <w:pStyle w:val="17"/>
              <w:bidi w:val="0"/>
              <w:rPr>
                <w:rFonts w:hint="default"/>
              </w:rPr>
            </w:pPr>
            <w:r>
              <w:rPr>
                <w:rFonts w:hint="default"/>
              </w:rPr>
              <w:t>办公生活区</w:t>
            </w:r>
          </w:p>
        </w:tc>
        <w:tc>
          <w:tcPr>
            <w:tcW w:w="6227" w:type="dxa"/>
            <w:tcBorders>
              <w:tl2br w:val="nil"/>
              <w:tr2bl w:val="nil"/>
            </w:tcBorders>
            <w:vAlign w:val="center"/>
          </w:tcPr>
          <w:p>
            <w:pPr>
              <w:pStyle w:val="17"/>
              <w:bidi w:val="0"/>
              <w:rPr>
                <w:rFonts w:hint="default"/>
              </w:rPr>
            </w:pPr>
            <w:r>
              <w:rPr>
                <w:rFonts w:hint="eastAsia"/>
                <w:lang w:val="en-US" w:eastAsia="zh-CN"/>
              </w:rPr>
              <w:t>2栋1层，分别为办公室和职工宿舍，建筑面积均为180m²</w:t>
            </w:r>
            <w:r>
              <w:rPr>
                <w:rFonts w:hint="default"/>
              </w:rPr>
              <w:t>，主要包括办公室和职工宿舍</w:t>
            </w:r>
            <w:r>
              <w:rPr>
                <w:rFonts w:hint="eastAsia"/>
                <w:lang w:eastAsia="zh-CN"/>
              </w:rPr>
              <w:t>、</w:t>
            </w:r>
            <w:r>
              <w:rPr>
                <w:rFonts w:hint="eastAsia"/>
                <w:lang w:val="en-US" w:eastAsia="zh-CN"/>
              </w:rPr>
              <w:t>食堂</w:t>
            </w:r>
            <w:r>
              <w:rPr>
                <w:rFonts w:hint="default"/>
              </w:rPr>
              <w:t>。</w:t>
            </w:r>
          </w:p>
        </w:tc>
        <w:tc>
          <w:tcPr>
            <w:tcW w:w="880" w:type="dxa"/>
            <w:tcBorders>
              <w:tl2br w:val="nil"/>
              <w:tr2bl w:val="nil"/>
            </w:tcBorders>
            <w:vAlign w:val="center"/>
          </w:tcPr>
          <w:p>
            <w:pPr>
              <w:pStyle w:val="17"/>
              <w:bidi w:val="0"/>
              <w:rPr>
                <w:rFonts w:hint="eastAsia"/>
                <w:lang w:val="en-US" w:eastAsia="zh-CN"/>
              </w:rPr>
            </w:pPr>
            <w:r>
              <w:rPr>
                <w:rFonts w:hint="eastAsia"/>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57" w:type="dxa"/>
            <w:vMerge w:val="restart"/>
            <w:tcBorders>
              <w:tl2br w:val="nil"/>
              <w:tr2bl w:val="nil"/>
            </w:tcBorders>
            <w:vAlign w:val="center"/>
          </w:tcPr>
          <w:p>
            <w:pPr>
              <w:pStyle w:val="17"/>
              <w:bidi w:val="0"/>
              <w:rPr>
                <w:rFonts w:hint="default"/>
              </w:rPr>
            </w:pPr>
            <w:r>
              <w:rPr>
                <w:rFonts w:hint="default"/>
              </w:rPr>
              <w:t>仓储工程</w:t>
            </w:r>
          </w:p>
        </w:tc>
        <w:tc>
          <w:tcPr>
            <w:tcW w:w="1407" w:type="dxa"/>
            <w:tcBorders>
              <w:tl2br w:val="nil"/>
              <w:tr2bl w:val="nil"/>
            </w:tcBorders>
            <w:vAlign w:val="center"/>
          </w:tcPr>
          <w:p>
            <w:pPr>
              <w:pStyle w:val="17"/>
              <w:bidi w:val="0"/>
              <w:rPr>
                <w:rFonts w:hint="default"/>
              </w:rPr>
            </w:pPr>
            <w:r>
              <w:rPr>
                <w:rFonts w:hint="default"/>
              </w:rPr>
              <w:t>原料堆场</w:t>
            </w:r>
          </w:p>
        </w:tc>
        <w:tc>
          <w:tcPr>
            <w:tcW w:w="6227" w:type="dxa"/>
            <w:tcBorders>
              <w:tl2br w:val="nil"/>
              <w:tr2bl w:val="nil"/>
            </w:tcBorders>
            <w:vAlign w:val="center"/>
          </w:tcPr>
          <w:p>
            <w:pPr>
              <w:pStyle w:val="17"/>
              <w:bidi w:val="0"/>
              <w:rPr>
                <w:rFonts w:hint="default"/>
              </w:rPr>
            </w:pPr>
            <w:r>
              <w:rPr>
                <w:rFonts w:hint="default"/>
              </w:rPr>
              <w:t>建设面积</w:t>
            </w:r>
            <w:r>
              <w:rPr>
                <w:rFonts w:hint="eastAsia"/>
                <w:lang w:val="en-US" w:eastAsia="zh-CN"/>
              </w:rPr>
              <w:t>6000</w:t>
            </w:r>
            <w:r>
              <w:rPr>
                <w:rFonts w:hint="eastAsia"/>
                <w:lang w:eastAsia="zh-CN"/>
              </w:rPr>
              <w:t>m²</w:t>
            </w:r>
            <w:r>
              <w:rPr>
                <w:rFonts w:hint="default"/>
              </w:rPr>
              <w:t>，主要存放废滴灌带等原料。</w:t>
            </w:r>
          </w:p>
        </w:tc>
        <w:tc>
          <w:tcPr>
            <w:tcW w:w="880" w:type="dxa"/>
            <w:vMerge w:val="restart"/>
            <w:tcBorders>
              <w:tl2br w:val="nil"/>
              <w:tr2bl w:val="nil"/>
            </w:tcBorders>
            <w:vAlign w:val="center"/>
          </w:tcPr>
          <w:p>
            <w:pPr>
              <w:pStyle w:val="17"/>
              <w:bidi w:val="0"/>
              <w:rPr>
                <w:rFonts w:hint="default"/>
              </w:rPr>
            </w:pPr>
            <w:r>
              <w:rPr>
                <w:rFonts w:hint="eastAsia"/>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57" w:type="dxa"/>
            <w:vMerge w:val="continue"/>
            <w:tcBorders>
              <w:tl2br w:val="nil"/>
              <w:tr2bl w:val="nil"/>
            </w:tcBorders>
            <w:vAlign w:val="center"/>
          </w:tcPr>
          <w:p>
            <w:pPr>
              <w:pStyle w:val="17"/>
              <w:bidi w:val="0"/>
              <w:rPr>
                <w:rFonts w:hint="default"/>
              </w:rPr>
            </w:pPr>
          </w:p>
        </w:tc>
        <w:tc>
          <w:tcPr>
            <w:tcW w:w="1407" w:type="dxa"/>
            <w:tcBorders>
              <w:tl2br w:val="nil"/>
              <w:tr2bl w:val="nil"/>
            </w:tcBorders>
            <w:vAlign w:val="center"/>
          </w:tcPr>
          <w:p>
            <w:pPr>
              <w:pStyle w:val="17"/>
              <w:bidi w:val="0"/>
              <w:rPr>
                <w:rFonts w:hint="default"/>
              </w:rPr>
            </w:pPr>
            <w:r>
              <w:rPr>
                <w:rFonts w:hint="default"/>
              </w:rPr>
              <w:t>原料库房</w:t>
            </w:r>
          </w:p>
        </w:tc>
        <w:tc>
          <w:tcPr>
            <w:tcW w:w="6227" w:type="dxa"/>
            <w:tcBorders>
              <w:tl2br w:val="nil"/>
              <w:tr2bl w:val="nil"/>
            </w:tcBorders>
            <w:vAlign w:val="center"/>
          </w:tcPr>
          <w:p>
            <w:pPr>
              <w:pStyle w:val="17"/>
              <w:bidi w:val="0"/>
              <w:rPr>
                <w:rFonts w:hint="default"/>
                <w:lang w:val="en-US" w:eastAsia="zh-CN"/>
              </w:rPr>
            </w:pPr>
            <w:r>
              <w:rPr>
                <w:rFonts w:hint="eastAsia"/>
                <w:lang w:val="en-US" w:eastAsia="zh-CN"/>
              </w:rPr>
              <w:t>建筑面积180</w:t>
            </w:r>
            <w:r>
              <w:rPr>
                <w:rFonts w:hint="eastAsia"/>
                <w:lang w:eastAsia="zh-CN"/>
              </w:rPr>
              <w:t>m²</w:t>
            </w:r>
            <w:r>
              <w:rPr>
                <w:rFonts w:hint="eastAsia"/>
                <w:lang w:val="en-US" w:eastAsia="zh-CN"/>
              </w:rPr>
              <w:t>，主要存放新聚乙烯颗粒、黑色母料、双防母料等原料，同时用于储存少料未及时销售的成品</w:t>
            </w:r>
          </w:p>
        </w:tc>
        <w:tc>
          <w:tcPr>
            <w:tcW w:w="880"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57" w:type="dxa"/>
            <w:vMerge w:val="restart"/>
            <w:tcBorders>
              <w:tl2br w:val="nil"/>
              <w:tr2bl w:val="nil"/>
            </w:tcBorders>
            <w:vAlign w:val="center"/>
          </w:tcPr>
          <w:p>
            <w:pPr>
              <w:pStyle w:val="17"/>
              <w:bidi w:val="0"/>
              <w:rPr>
                <w:rFonts w:hint="default"/>
              </w:rPr>
            </w:pPr>
            <w:r>
              <w:rPr>
                <w:rFonts w:hint="default"/>
              </w:rPr>
              <w:t>公用工程</w:t>
            </w:r>
          </w:p>
        </w:tc>
        <w:tc>
          <w:tcPr>
            <w:tcW w:w="1407" w:type="dxa"/>
            <w:tcBorders>
              <w:tl2br w:val="nil"/>
              <w:tr2bl w:val="nil"/>
            </w:tcBorders>
            <w:vAlign w:val="center"/>
          </w:tcPr>
          <w:p>
            <w:pPr>
              <w:pStyle w:val="17"/>
              <w:bidi w:val="0"/>
              <w:rPr>
                <w:rFonts w:hint="default"/>
              </w:rPr>
            </w:pPr>
            <w:r>
              <w:rPr>
                <w:rFonts w:hint="default"/>
              </w:rPr>
              <w:t>供水系统</w:t>
            </w:r>
          </w:p>
        </w:tc>
        <w:tc>
          <w:tcPr>
            <w:tcW w:w="6227" w:type="dxa"/>
            <w:tcBorders>
              <w:tl2br w:val="nil"/>
              <w:tr2bl w:val="nil"/>
            </w:tcBorders>
            <w:vAlign w:val="center"/>
          </w:tcPr>
          <w:p>
            <w:pPr>
              <w:pStyle w:val="17"/>
              <w:bidi w:val="0"/>
              <w:rPr>
                <w:rFonts w:hint="default"/>
              </w:rPr>
            </w:pPr>
            <w:r>
              <w:rPr>
                <w:rFonts w:hint="default"/>
              </w:rPr>
              <w:t>本项目生产生活用水水源为给水管网供给。</w:t>
            </w:r>
          </w:p>
        </w:tc>
        <w:tc>
          <w:tcPr>
            <w:tcW w:w="880" w:type="dxa"/>
            <w:tcBorders>
              <w:tl2br w:val="nil"/>
              <w:tr2bl w:val="nil"/>
            </w:tcBorders>
            <w:vAlign w:val="center"/>
          </w:tcPr>
          <w:p>
            <w:pPr>
              <w:pStyle w:val="17"/>
              <w:bidi w:val="0"/>
              <w:rPr>
                <w:rFonts w:hint="default"/>
              </w:rPr>
            </w:pPr>
            <w:r>
              <w:rPr>
                <w:rFonts w:hint="default"/>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57" w:type="dxa"/>
            <w:vMerge w:val="continue"/>
            <w:tcBorders>
              <w:tl2br w:val="nil"/>
              <w:tr2bl w:val="nil"/>
            </w:tcBorders>
            <w:vAlign w:val="center"/>
          </w:tcPr>
          <w:p>
            <w:pPr>
              <w:pStyle w:val="17"/>
              <w:bidi w:val="0"/>
              <w:rPr>
                <w:rFonts w:hint="default"/>
              </w:rPr>
            </w:pPr>
          </w:p>
        </w:tc>
        <w:tc>
          <w:tcPr>
            <w:tcW w:w="1407" w:type="dxa"/>
            <w:tcBorders>
              <w:tl2br w:val="nil"/>
              <w:tr2bl w:val="nil"/>
            </w:tcBorders>
            <w:vAlign w:val="center"/>
          </w:tcPr>
          <w:p>
            <w:pPr>
              <w:pStyle w:val="17"/>
              <w:bidi w:val="0"/>
              <w:rPr>
                <w:rFonts w:hint="default"/>
              </w:rPr>
            </w:pPr>
            <w:r>
              <w:rPr>
                <w:rFonts w:hint="default"/>
              </w:rPr>
              <w:t>排水系统</w:t>
            </w:r>
          </w:p>
        </w:tc>
        <w:tc>
          <w:tcPr>
            <w:tcW w:w="6227" w:type="dxa"/>
            <w:tcBorders>
              <w:tl2br w:val="nil"/>
              <w:tr2bl w:val="nil"/>
            </w:tcBorders>
            <w:vAlign w:val="center"/>
          </w:tcPr>
          <w:p>
            <w:pPr>
              <w:pStyle w:val="17"/>
              <w:bidi w:val="0"/>
              <w:rPr>
                <w:rFonts w:hint="default"/>
              </w:rPr>
            </w:pPr>
            <w:r>
              <w:rPr>
                <w:rFonts w:hint="default"/>
              </w:rPr>
              <w:t>生产废水经厂内沉淀池沉淀</w:t>
            </w:r>
            <w:r>
              <w:rPr>
                <w:rFonts w:hint="default"/>
                <w:lang w:val="en-US" w:eastAsia="zh-CN"/>
              </w:rPr>
              <w:t>过滤</w:t>
            </w:r>
            <w:r>
              <w:rPr>
                <w:rFonts w:hint="default"/>
              </w:rPr>
              <w:t>处理后回用，不外排；生活污水经隔油处理</w:t>
            </w:r>
            <w:r>
              <w:rPr>
                <w:rFonts w:hint="eastAsia"/>
                <w:lang w:eastAsia="zh-CN"/>
              </w:rPr>
              <w:t>、</w:t>
            </w:r>
            <w:r>
              <w:rPr>
                <w:rFonts w:hint="eastAsia"/>
                <w:lang w:val="en-US" w:eastAsia="zh-CN"/>
              </w:rPr>
              <w:t>化粪池处理后定期抽运至二工镇污水处理厂</w:t>
            </w:r>
            <w:r>
              <w:rPr>
                <w:rFonts w:hint="default"/>
              </w:rPr>
              <w:t>。</w:t>
            </w:r>
          </w:p>
        </w:tc>
        <w:tc>
          <w:tcPr>
            <w:tcW w:w="880" w:type="dxa"/>
            <w:tcBorders>
              <w:tl2br w:val="nil"/>
              <w:tr2bl w:val="nil"/>
            </w:tcBorders>
            <w:vAlign w:val="center"/>
          </w:tcPr>
          <w:p>
            <w:pPr>
              <w:pStyle w:val="17"/>
              <w:bidi w:val="0"/>
              <w:rPr>
                <w:rFonts w:hint="default"/>
              </w:rPr>
            </w:pPr>
            <w:r>
              <w:rPr>
                <w:rFonts w:hint="default"/>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57" w:type="dxa"/>
            <w:vMerge w:val="continue"/>
            <w:tcBorders>
              <w:tl2br w:val="nil"/>
              <w:tr2bl w:val="nil"/>
            </w:tcBorders>
            <w:vAlign w:val="center"/>
          </w:tcPr>
          <w:p>
            <w:pPr>
              <w:pStyle w:val="17"/>
              <w:bidi w:val="0"/>
              <w:rPr>
                <w:rFonts w:hint="default"/>
              </w:rPr>
            </w:pPr>
          </w:p>
        </w:tc>
        <w:tc>
          <w:tcPr>
            <w:tcW w:w="1407" w:type="dxa"/>
            <w:tcBorders>
              <w:tl2br w:val="nil"/>
              <w:tr2bl w:val="nil"/>
            </w:tcBorders>
            <w:vAlign w:val="center"/>
          </w:tcPr>
          <w:p>
            <w:pPr>
              <w:pStyle w:val="17"/>
              <w:bidi w:val="0"/>
              <w:rPr>
                <w:rFonts w:hint="default"/>
              </w:rPr>
            </w:pPr>
            <w:r>
              <w:rPr>
                <w:rFonts w:hint="default"/>
              </w:rPr>
              <w:t>供电系统</w:t>
            </w:r>
          </w:p>
        </w:tc>
        <w:tc>
          <w:tcPr>
            <w:tcW w:w="6227" w:type="dxa"/>
            <w:tcBorders>
              <w:tl2br w:val="nil"/>
              <w:tr2bl w:val="nil"/>
            </w:tcBorders>
            <w:vAlign w:val="center"/>
          </w:tcPr>
          <w:p>
            <w:pPr>
              <w:pStyle w:val="17"/>
              <w:bidi w:val="0"/>
              <w:rPr>
                <w:rFonts w:hint="default"/>
              </w:rPr>
            </w:pPr>
            <w:r>
              <w:rPr>
                <w:rFonts w:hint="default"/>
              </w:rPr>
              <w:t>本项目供电由供电网统一供给。</w:t>
            </w:r>
          </w:p>
        </w:tc>
        <w:tc>
          <w:tcPr>
            <w:tcW w:w="880" w:type="dxa"/>
            <w:tcBorders>
              <w:tl2br w:val="nil"/>
              <w:tr2bl w:val="nil"/>
            </w:tcBorders>
            <w:vAlign w:val="center"/>
          </w:tcPr>
          <w:p>
            <w:pPr>
              <w:pStyle w:val="17"/>
              <w:bidi w:val="0"/>
              <w:rPr>
                <w:rFonts w:hint="default"/>
              </w:rPr>
            </w:pPr>
            <w:r>
              <w:rPr>
                <w:rFonts w:hint="default"/>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57" w:type="dxa"/>
            <w:vMerge w:val="continue"/>
            <w:tcBorders>
              <w:tl2br w:val="nil"/>
              <w:tr2bl w:val="nil"/>
            </w:tcBorders>
            <w:vAlign w:val="center"/>
          </w:tcPr>
          <w:p>
            <w:pPr>
              <w:pStyle w:val="17"/>
              <w:bidi w:val="0"/>
              <w:rPr>
                <w:rFonts w:hint="default"/>
              </w:rPr>
            </w:pPr>
          </w:p>
        </w:tc>
        <w:tc>
          <w:tcPr>
            <w:tcW w:w="1407" w:type="dxa"/>
            <w:tcBorders>
              <w:tl2br w:val="nil"/>
              <w:tr2bl w:val="nil"/>
            </w:tcBorders>
            <w:vAlign w:val="center"/>
          </w:tcPr>
          <w:p>
            <w:pPr>
              <w:pStyle w:val="17"/>
              <w:bidi w:val="0"/>
              <w:rPr>
                <w:rFonts w:hint="default"/>
              </w:rPr>
            </w:pPr>
            <w:r>
              <w:rPr>
                <w:rFonts w:hint="default"/>
              </w:rPr>
              <w:t>供热系统</w:t>
            </w:r>
          </w:p>
        </w:tc>
        <w:tc>
          <w:tcPr>
            <w:tcW w:w="6227" w:type="dxa"/>
            <w:tcBorders>
              <w:tl2br w:val="nil"/>
              <w:tr2bl w:val="nil"/>
            </w:tcBorders>
            <w:vAlign w:val="center"/>
          </w:tcPr>
          <w:p>
            <w:pPr>
              <w:pStyle w:val="17"/>
              <w:bidi w:val="0"/>
              <w:rPr>
                <w:rFonts w:hint="default"/>
              </w:rPr>
            </w:pPr>
            <w:r>
              <w:rPr>
                <w:rFonts w:hint="default"/>
              </w:rPr>
              <w:t>生产用热及生活取暖均由厂区内电加热设备供给。</w:t>
            </w:r>
          </w:p>
        </w:tc>
        <w:tc>
          <w:tcPr>
            <w:tcW w:w="880" w:type="dxa"/>
            <w:tcBorders>
              <w:tl2br w:val="nil"/>
              <w:tr2bl w:val="nil"/>
            </w:tcBorders>
            <w:vAlign w:val="center"/>
          </w:tcPr>
          <w:p>
            <w:pPr>
              <w:pStyle w:val="17"/>
              <w:bidi w:val="0"/>
              <w:rPr>
                <w:rFonts w:hint="default"/>
              </w:rPr>
            </w:pPr>
            <w:r>
              <w:rPr>
                <w:rFonts w:hint="default"/>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57" w:type="dxa"/>
            <w:vMerge w:val="continue"/>
            <w:tcBorders>
              <w:tl2br w:val="nil"/>
              <w:tr2bl w:val="nil"/>
            </w:tcBorders>
            <w:vAlign w:val="center"/>
          </w:tcPr>
          <w:p>
            <w:pPr>
              <w:pStyle w:val="17"/>
              <w:bidi w:val="0"/>
              <w:rPr>
                <w:rFonts w:hint="default"/>
              </w:rPr>
            </w:pPr>
          </w:p>
        </w:tc>
        <w:tc>
          <w:tcPr>
            <w:tcW w:w="1407" w:type="dxa"/>
            <w:tcBorders>
              <w:tl2br w:val="nil"/>
              <w:tr2bl w:val="nil"/>
            </w:tcBorders>
            <w:vAlign w:val="center"/>
          </w:tcPr>
          <w:p>
            <w:pPr>
              <w:pStyle w:val="17"/>
              <w:bidi w:val="0"/>
              <w:rPr>
                <w:rFonts w:hint="default"/>
              </w:rPr>
            </w:pPr>
            <w:r>
              <w:rPr>
                <w:rFonts w:hint="default"/>
              </w:rPr>
              <w:t>消防系统</w:t>
            </w:r>
          </w:p>
        </w:tc>
        <w:tc>
          <w:tcPr>
            <w:tcW w:w="6227" w:type="dxa"/>
            <w:tcBorders>
              <w:tl2br w:val="nil"/>
              <w:tr2bl w:val="nil"/>
            </w:tcBorders>
            <w:vAlign w:val="center"/>
          </w:tcPr>
          <w:p>
            <w:pPr>
              <w:pStyle w:val="17"/>
              <w:bidi w:val="0"/>
              <w:rPr>
                <w:rFonts w:hint="default"/>
              </w:rPr>
            </w:pPr>
            <w:r>
              <w:rPr>
                <w:rFonts w:hint="default"/>
              </w:rPr>
              <w:t>安装消防设施。</w:t>
            </w:r>
          </w:p>
        </w:tc>
        <w:tc>
          <w:tcPr>
            <w:tcW w:w="880" w:type="dxa"/>
            <w:tcBorders>
              <w:tl2br w:val="nil"/>
              <w:tr2bl w:val="nil"/>
            </w:tcBorders>
            <w:vAlign w:val="center"/>
          </w:tcPr>
          <w:p>
            <w:pPr>
              <w:pStyle w:val="17"/>
              <w:bidi w:val="0"/>
              <w:rPr>
                <w:rFonts w:hint="default"/>
              </w:rPr>
            </w:pPr>
            <w:r>
              <w:rPr>
                <w:rFonts w:hint="default"/>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57" w:type="dxa"/>
            <w:vMerge w:val="restart"/>
            <w:tcBorders>
              <w:tl2br w:val="nil"/>
              <w:tr2bl w:val="nil"/>
            </w:tcBorders>
            <w:vAlign w:val="center"/>
          </w:tcPr>
          <w:p>
            <w:pPr>
              <w:pStyle w:val="17"/>
              <w:bidi w:val="0"/>
              <w:rPr>
                <w:rFonts w:hint="default"/>
              </w:rPr>
            </w:pPr>
            <w:r>
              <w:rPr>
                <w:rFonts w:hint="default"/>
              </w:rPr>
              <w:t>环保工程</w:t>
            </w:r>
          </w:p>
        </w:tc>
        <w:tc>
          <w:tcPr>
            <w:tcW w:w="1407" w:type="dxa"/>
            <w:tcBorders>
              <w:tl2br w:val="nil"/>
              <w:tr2bl w:val="nil"/>
            </w:tcBorders>
            <w:vAlign w:val="center"/>
          </w:tcPr>
          <w:p>
            <w:pPr>
              <w:pStyle w:val="17"/>
              <w:bidi w:val="0"/>
              <w:rPr>
                <w:rFonts w:hint="default"/>
              </w:rPr>
            </w:pPr>
            <w:r>
              <w:rPr>
                <w:rFonts w:hint="default"/>
              </w:rPr>
              <w:t>废气治理</w:t>
            </w:r>
          </w:p>
        </w:tc>
        <w:tc>
          <w:tcPr>
            <w:tcW w:w="6227" w:type="dxa"/>
            <w:tcBorders>
              <w:tl2br w:val="nil"/>
              <w:tr2bl w:val="nil"/>
            </w:tcBorders>
            <w:vAlign w:val="center"/>
          </w:tcPr>
          <w:p>
            <w:pPr>
              <w:pStyle w:val="17"/>
              <w:bidi w:val="0"/>
              <w:rPr>
                <w:rFonts w:hint="default"/>
              </w:rPr>
            </w:pPr>
            <w:r>
              <w:rPr>
                <w:rFonts w:hint="default"/>
              </w:rPr>
              <w:t>本项目再生造粒和热塑定型设置集气罩+等离子净化器（收集效率为90%，净化效率为</w:t>
            </w:r>
            <w:r>
              <w:rPr>
                <w:rFonts w:hint="eastAsia"/>
                <w:lang w:val="en-US" w:eastAsia="zh-CN"/>
              </w:rPr>
              <w:t>80</w:t>
            </w:r>
            <w:r>
              <w:rPr>
                <w:rFonts w:hint="default"/>
              </w:rPr>
              <w:t>%以上），有机废气经等离子废气净化器处理后，最后经15m的排气筒外排。</w:t>
            </w:r>
          </w:p>
        </w:tc>
        <w:tc>
          <w:tcPr>
            <w:tcW w:w="880" w:type="dxa"/>
            <w:tcBorders>
              <w:tl2br w:val="nil"/>
              <w:tr2bl w:val="nil"/>
            </w:tcBorders>
            <w:vAlign w:val="center"/>
          </w:tcPr>
          <w:p>
            <w:pPr>
              <w:pStyle w:val="17"/>
              <w:bidi w:val="0"/>
              <w:rPr>
                <w:rFonts w:hint="default"/>
              </w:rPr>
            </w:pPr>
            <w:r>
              <w:rPr>
                <w:rFonts w:hint="default"/>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57" w:type="dxa"/>
            <w:vMerge w:val="continue"/>
            <w:tcBorders>
              <w:tl2br w:val="nil"/>
              <w:tr2bl w:val="nil"/>
            </w:tcBorders>
            <w:vAlign w:val="center"/>
          </w:tcPr>
          <w:p>
            <w:pPr>
              <w:pStyle w:val="17"/>
              <w:bidi w:val="0"/>
              <w:rPr>
                <w:rFonts w:hint="default"/>
              </w:rPr>
            </w:pPr>
          </w:p>
        </w:tc>
        <w:tc>
          <w:tcPr>
            <w:tcW w:w="1407" w:type="dxa"/>
            <w:tcBorders>
              <w:tl2br w:val="nil"/>
              <w:tr2bl w:val="nil"/>
            </w:tcBorders>
            <w:vAlign w:val="center"/>
          </w:tcPr>
          <w:p>
            <w:pPr>
              <w:pStyle w:val="17"/>
              <w:bidi w:val="0"/>
              <w:rPr>
                <w:rFonts w:hint="default"/>
              </w:rPr>
            </w:pPr>
            <w:r>
              <w:rPr>
                <w:rFonts w:hint="default"/>
              </w:rPr>
              <w:t>废水治理</w:t>
            </w:r>
          </w:p>
        </w:tc>
        <w:tc>
          <w:tcPr>
            <w:tcW w:w="6227" w:type="dxa"/>
            <w:tcBorders>
              <w:tl2br w:val="nil"/>
              <w:tr2bl w:val="nil"/>
            </w:tcBorders>
            <w:vAlign w:val="center"/>
          </w:tcPr>
          <w:p>
            <w:pPr>
              <w:pStyle w:val="17"/>
              <w:bidi w:val="0"/>
              <w:rPr>
                <w:rFonts w:hint="default"/>
              </w:rPr>
            </w:pPr>
            <w:r>
              <w:rPr>
                <w:rFonts w:hint="default"/>
              </w:rPr>
              <w:t>生产废水经沉淀池沉淀</w:t>
            </w:r>
            <w:r>
              <w:rPr>
                <w:rFonts w:hint="default"/>
                <w:lang w:val="en-US" w:eastAsia="zh-CN"/>
              </w:rPr>
              <w:t>过滤</w:t>
            </w:r>
            <w:r>
              <w:rPr>
                <w:rFonts w:hint="default"/>
              </w:rPr>
              <w:t>处理后回用于清洗、喷淋和冷却，不外排。</w:t>
            </w:r>
          </w:p>
          <w:p>
            <w:pPr>
              <w:pStyle w:val="17"/>
              <w:bidi w:val="0"/>
              <w:rPr>
                <w:rFonts w:hint="default" w:eastAsia="宋体"/>
                <w:lang w:val="en-US" w:eastAsia="zh-CN"/>
              </w:rPr>
            </w:pPr>
            <w:r>
              <w:rPr>
                <w:rFonts w:hint="default"/>
              </w:rPr>
              <w:t>生活污水经隔油、化粪预处理后</w:t>
            </w:r>
            <w:r>
              <w:rPr>
                <w:rFonts w:hint="eastAsia"/>
                <w:lang w:val="en-US" w:eastAsia="zh-CN"/>
              </w:rPr>
              <w:t>抽运至吉木萨尔县二工镇生活污水处理厂</w:t>
            </w:r>
          </w:p>
        </w:tc>
        <w:tc>
          <w:tcPr>
            <w:tcW w:w="880" w:type="dxa"/>
            <w:tcBorders>
              <w:tl2br w:val="nil"/>
              <w:tr2bl w:val="nil"/>
            </w:tcBorders>
            <w:vAlign w:val="center"/>
          </w:tcPr>
          <w:p>
            <w:pPr>
              <w:pStyle w:val="17"/>
              <w:bidi w:val="0"/>
              <w:rPr>
                <w:rFonts w:hint="default"/>
              </w:rPr>
            </w:pPr>
            <w:r>
              <w:rPr>
                <w:rFonts w:hint="default"/>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57" w:type="dxa"/>
            <w:vMerge w:val="continue"/>
            <w:tcBorders>
              <w:tl2br w:val="nil"/>
              <w:tr2bl w:val="nil"/>
            </w:tcBorders>
            <w:vAlign w:val="center"/>
          </w:tcPr>
          <w:p>
            <w:pPr>
              <w:pStyle w:val="17"/>
              <w:bidi w:val="0"/>
              <w:rPr>
                <w:rFonts w:hint="default"/>
              </w:rPr>
            </w:pPr>
          </w:p>
        </w:tc>
        <w:tc>
          <w:tcPr>
            <w:tcW w:w="1407" w:type="dxa"/>
            <w:tcBorders>
              <w:tl2br w:val="nil"/>
              <w:tr2bl w:val="nil"/>
            </w:tcBorders>
            <w:vAlign w:val="center"/>
          </w:tcPr>
          <w:p>
            <w:pPr>
              <w:pStyle w:val="17"/>
              <w:bidi w:val="0"/>
              <w:rPr>
                <w:rFonts w:hint="default"/>
              </w:rPr>
            </w:pPr>
            <w:r>
              <w:rPr>
                <w:rFonts w:hint="default"/>
              </w:rPr>
              <w:t>固废治理</w:t>
            </w:r>
          </w:p>
        </w:tc>
        <w:tc>
          <w:tcPr>
            <w:tcW w:w="6227" w:type="dxa"/>
            <w:tcBorders>
              <w:tl2br w:val="nil"/>
              <w:tr2bl w:val="nil"/>
            </w:tcBorders>
            <w:vAlign w:val="center"/>
          </w:tcPr>
          <w:p>
            <w:pPr>
              <w:pStyle w:val="17"/>
              <w:bidi w:val="0"/>
              <w:rPr>
                <w:rFonts w:hint="default"/>
              </w:rPr>
            </w:pPr>
            <w:r>
              <w:rPr>
                <w:rFonts w:hint="default"/>
              </w:rPr>
              <w:t>废料回到生产熔融；分拣废物、沉渣和生活垃圾分别收集后由环卫部门统一清运。</w:t>
            </w:r>
          </w:p>
        </w:tc>
        <w:tc>
          <w:tcPr>
            <w:tcW w:w="880" w:type="dxa"/>
            <w:tcBorders>
              <w:tl2br w:val="nil"/>
              <w:tr2bl w:val="nil"/>
            </w:tcBorders>
            <w:vAlign w:val="center"/>
          </w:tcPr>
          <w:p>
            <w:pPr>
              <w:pStyle w:val="17"/>
              <w:bidi w:val="0"/>
              <w:rPr>
                <w:rFonts w:hint="default"/>
              </w:rPr>
            </w:pPr>
            <w:r>
              <w:rPr>
                <w:rFonts w:hint="default"/>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57" w:type="dxa"/>
            <w:vMerge w:val="continue"/>
            <w:tcBorders>
              <w:tl2br w:val="nil"/>
              <w:tr2bl w:val="nil"/>
            </w:tcBorders>
            <w:vAlign w:val="center"/>
          </w:tcPr>
          <w:p>
            <w:pPr>
              <w:pStyle w:val="17"/>
              <w:bidi w:val="0"/>
              <w:rPr>
                <w:rFonts w:hint="default"/>
              </w:rPr>
            </w:pPr>
          </w:p>
        </w:tc>
        <w:tc>
          <w:tcPr>
            <w:tcW w:w="1407" w:type="dxa"/>
            <w:tcBorders>
              <w:tl2br w:val="nil"/>
              <w:tr2bl w:val="nil"/>
            </w:tcBorders>
            <w:vAlign w:val="center"/>
          </w:tcPr>
          <w:p>
            <w:pPr>
              <w:pStyle w:val="17"/>
              <w:bidi w:val="0"/>
              <w:rPr>
                <w:rFonts w:hint="default"/>
              </w:rPr>
            </w:pPr>
            <w:r>
              <w:rPr>
                <w:rFonts w:hint="default"/>
              </w:rPr>
              <w:t>噪声治理</w:t>
            </w:r>
          </w:p>
        </w:tc>
        <w:tc>
          <w:tcPr>
            <w:tcW w:w="6227" w:type="dxa"/>
            <w:tcBorders>
              <w:tl2br w:val="nil"/>
              <w:tr2bl w:val="nil"/>
            </w:tcBorders>
            <w:vAlign w:val="center"/>
          </w:tcPr>
          <w:p>
            <w:pPr>
              <w:pStyle w:val="17"/>
              <w:bidi w:val="0"/>
              <w:rPr>
                <w:rFonts w:hint="default"/>
              </w:rPr>
            </w:pPr>
            <w:r>
              <w:rPr>
                <w:rFonts w:hint="default"/>
              </w:rPr>
              <w:t>采取减震、隔声等措施。</w:t>
            </w:r>
          </w:p>
        </w:tc>
        <w:tc>
          <w:tcPr>
            <w:tcW w:w="880" w:type="dxa"/>
            <w:tcBorders>
              <w:tl2br w:val="nil"/>
              <w:tr2bl w:val="nil"/>
            </w:tcBorders>
            <w:vAlign w:val="center"/>
          </w:tcPr>
          <w:p>
            <w:pPr>
              <w:pStyle w:val="17"/>
              <w:bidi w:val="0"/>
              <w:rPr>
                <w:rFonts w:hint="default"/>
              </w:rPr>
            </w:pPr>
            <w:r>
              <w:rPr>
                <w:rFonts w:hint="default"/>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57" w:type="dxa"/>
            <w:vMerge w:val="continue"/>
            <w:tcBorders>
              <w:tl2br w:val="nil"/>
              <w:tr2bl w:val="nil"/>
            </w:tcBorders>
            <w:vAlign w:val="center"/>
          </w:tcPr>
          <w:p>
            <w:pPr>
              <w:pStyle w:val="17"/>
              <w:bidi w:val="0"/>
              <w:rPr>
                <w:rFonts w:hint="default"/>
              </w:rPr>
            </w:pPr>
          </w:p>
        </w:tc>
        <w:tc>
          <w:tcPr>
            <w:tcW w:w="1407" w:type="dxa"/>
            <w:tcBorders>
              <w:tl2br w:val="nil"/>
              <w:tr2bl w:val="nil"/>
            </w:tcBorders>
            <w:vAlign w:val="center"/>
          </w:tcPr>
          <w:p>
            <w:pPr>
              <w:pStyle w:val="17"/>
              <w:bidi w:val="0"/>
              <w:rPr>
                <w:rFonts w:hint="default"/>
              </w:rPr>
            </w:pPr>
            <w:r>
              <w:rPr>
                <w:rFonts w:hint="default"/>
              </w:rPr>
              <w:t>环境风险</w:t>
            </w:r>
          </w:p>
        </w:tc>
        <w:tc>
          <w:tcPr>
            <w:tcW w:w="6227" w:type="dxa"/>
            <w:tcBorders>
              <w:tl2br w:val="nil"/>
              <w:tr2bl w:val="nil"/>
            </w:tcBorders>
            <w:vAlign w:val="center"/>
          </w:tcPr>
          <w:p>
            <w:pPr>
              <w:pStyle w:val="17"/>
              <w:bidi w:val="0"/>
              <w:rPr>
                <w:rFonts w:hint="default"/>
              </w:rPr>
            </w:pPr>
            <w:r>
              <w:rPr>
                <w:rFonts w:hint="default"/>
              </w:rPr>
              <w:t>严格做好分区防控措施及各车间、沉降池、贮存池及固废暂存间的防渗措施。</w:t>
            </w:r>
          </w:p>
        </w:tc>
        <w:tc>
          <w:tcPr>
            <w:tcW w:w="880" w:type="dxa"/>
            <w:tcBorders>
              <w:tl2br w:val="nil"/>
              <w:tr2bl w:val="nil"/>
            </w:tcBorders>
            <w:vAlign w:val="center"/>
          </w:tcPr>
          <w:p>
            <w:pPr>
              <w:pStyle w:val="17"/>
              <w:bidi w:val="0"/>
              <w:rPr>
                <w:rFonts w:hint="default"/>
              </w:rPr>
            </w:pPr>
            <w:r>
              <w:rPr>
                <w:rFonts w:hint="default"/>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57" w:type="dxa"/>
            <w:vMerge w:val="continue"/>
            <w:tcBorders>
              <w:tl2br w:val="nil"/>
              <w:tr2bl w:val="nil"/>
            </w:tcBorders>
            <w:vAlign w:val="center"/>
          </w:tcPr>
          <w:p>
            <w:pPr>
              <w:pStyle w:val="17"/>
              <w:bidi w:val="0"/>
              <w:rPr>
                <w:rFonts w:hint="default"/>
              </w:rPr>
            </w:pPr>
          </w:p>
        </w:tc>
        <w:tc>
          <w:tcPr>
            <w:tcW w:w="1407" w:type="dxa"/>
            <w:tcBorders>
              <w:tl2br w:val="nil"/>
              <w:tr2bl w:val="nil"/>
            </w:tcBorders>
            <w:vAlign w:val="center"/>
          </w:tcPr>
          <w:p>
            <w:pPr>
              <w:pStyle w:val="17"/>
              <w:bidi w:val="0"/>
              <w:rPr>
                <w:rFonts w:hint="default"/>
              </w:rPr>
            </w:pPr>
            <w:r>
              <w:rPr>
                <w:rFonts w:hint="default"/>
              </w:rPr>
              <w:t>绿化</w:t>
            </w:r>
          </w:p>
        </w:tc>
        <w:tc>
          <w:tcPr>
            <w:tcW w:w="6227" w:type="dxa"/>
            <w:tcBorders>
              <w:tl2br w:val="nil"/>
              <w:tr2bl w:val="nil"/>
            </w:tcBorders>
            <w:vAlign w:val="center"/>
          </w:tcPr>
          <w:p>
            <w:pPr>
              <w:pStyle w:val="17"/>
              <w:bidi w:val="0"/>
              <w:rPr>
                <w:rFonts w:hint="default"/>
              </w:rPr>
            </w:pPr>
            <w:r>
              <w:rPr>
                <w:rFonts w:hint="default"/>
              </w:rPr>
              <w:t>种植树木、草坪等，绿化面积为</w:t>
            </w:r>
            <w:r>
              <w:rPr>
                <w:rFonts w:hint="eastAsia"/>
                <w:lang w:val="en-US" w:eastAsia="zh-CN"/>
              </w:rPr>
              <w:t>1324.35</w:t>
            </w:r>
            <w:r>
              <w:rPr>
                <w:rFonts w:hint="eastAsia"/>
                <w:lang w:eastAsia="zh-CN"/>
              </w:rPr>
              <w:t>m²</w:t>
            </w:r>
            <w:r>
              <w:rPr>
                <w:rFonts w:hint="default"/>
              </w:rPr>
              <w:t>，绿化率达</w:t>
            </w:r>
            <w:r>
              <w:rPr>
                <w:rFonts w:hint="eastAsia"/>
                <w:lang w:val="en-US" w:eastAsia="zh-CN"/>
              </w:rPr>
              <w:t>16</w:t>
            </w:r>
            <w:r>
              <w:rPr>
                <w:rFonts w:hint="default"/>
              </w:rPr>
              <w:t>%。</w:t>
            </w:r>
          </w:p>
        </w:tc>
        <w:tc>
          <w:tcPr>
            <w:tcW w:w="880" w:type="dxa"/>
            <w:tcBorders>
              <w:tl2br w:val="nil"/>
              <w:tr2bl w:val="nil"/>
            </w:tcBorders>
            <w:vAlign w:val="center"/>
          </w:tcPr>
          <w:p>
            <w:pPr>
              <w:pStyle w:val="17"/>
              <w:bidi w:val="0"/>
              <w:rPr>
                <w:rFonts w:hint="default"/>
              </w:rPr>
            </w:pPr>
            <w:r>
              <w:rPr>
                <w:rFonts w:hint="default"/>
              </w:rPr>
              <w:t>新建</w:t>
            </w:r>
          </w:p>
        </w:tc>
      </w:tr>
      <w:bookmarkEnd w:id="94"/>
    </w:tbl>
    <w:p>
      <w:pPr>
        <w:pStyle w:val="5"/>
        <w:bidi w:val="0"/>
        <w:rPr>
          <w:rFonts w:hint="default"/>
        </w:rPr>
      </w:pPr>
      <w:r>
        <w:rPr>
          <w:rFonts w:hint="default"/>
        </w:rPr>
        <w:t>3.2.2</w:t>
      </w:r>
      <w:r>
        <w:rPr>
          <w:rFonts w:hint="eastAsia"/>
          <w:lang w:eastAsia="zh-CN"/>
        </w:rPr>
        <w:t>、</w:t>
      </w:r>
      <w:r>
        <w:rPr>
          <w:rFonts w:hint="default"/>
        </w:rPr>
        <w:t>建设规模和产品方案</w:t>
      </w:r>
    </w:p>
    <w:p>
      <w:pPr>
        <w:bidi w:val="0"/>
        <w:rPr>
          <w:rFonts w:hint="default"/>
        </w:rPr>
      </w:pPr>
      <w:r>
        <w:rPr>
          <w:rFonts w:hint="default"/>
        </w:rPr>
        <w:t>本项目建设规模为：年加工</w:t>
      </w:r>
      <w:r>
        <w:rPr>
          <w:rFonts w:hint="eastAsia"/>
          <w:lang w:val="en-US" w:eastAsia="zh-CN"/>
        </w:rPr>
        <w:t>5000</w:t>
      </w:r>
      <w:r>
        <w:rPr>
          <w:rFonts w:hint="default"/>
        </w:rPr>
        <w:t>吨废旧滴灌带、年产</w:t>
      </w:r>
      <w:r>
        <w:rPr>
          <w:rFonts w:hint="eastAsia"/>
          <w:lang w:val="en-US" w:eastAsia="zh-CN"/>
        </w:rPr>
        <w:t>5000</w:t>
      </w:r>
      <w:r>
        <w:rPr>
          <w:rFonts w:hint="default"/>
        </w:rPr>
        <w:t>t滴灌带、年产</w:t>
      </w:r>
      <w:r>
        <w:rPr>
          <w:rFonts w:hint="eastAsia"/>
          <w:lang w:val="en-US" w:eastAsia="zh-CN"/>
        </w:rPr>
        <w:t>500</w:t>
      </w:r>
      <w:r>
        <w:rPr>
          <w:rFonts w:hint="default"/>
        </w:rPr>
        <w:t>吨</w:t>
      </w:r>
      <w:r>
        <w:rPr>
          <w:rFonts w:hint="eastAsia"/>
          <w:lang w:eastAsia="zh-CN"/>
        </w:rPr>
        <w:t>PE管材</w:t>
      </w:r>
      <w:r>
        <w:rPr>
          <w:rFonts w:hint="default"/>
        </w:rPr>
        <w:t>和</w:t>
      </w:r>
      <w:r>
        <w:rPr>
          <w:rFonts w:hint="eastAsia"/>
          <w:lang w:val="en-US" w:eastAsia="zh-CN"/>
        </w:rPr>
        <w:t>6</w:t>
      </w:r>
      <w:r>
        <w:rPr>
          <w:rFonts w:hint="default"/>
        </w:rPr>
        <w:t>00吨地膜，其中塑料颗粒生产线</w:t>
      </w:r>
      <w:r>
        <w:rPr>
          <w:rFonts w:hint="eastAsia"/>
          <w:lang w:val="en-US" w:eastAsia="zh-CN"/>
        </w:rPr>
        <w:t>10</w:t>
      </w:r>
      <w:r>
        <w:rPr>
          <w:rFonts w:hint="default"/>
        </w:rPr>
        <w:t>条、滴灌带生产线</w:t>
      </w:r>
      <w:r>
        <w:rPr>
          <w:rFonts w:hint="eastAsia"/>
          <w:lang w:val="en-US" w:eastAsia="zh-CN"/>
        </w:rPr>
        <w:t>10</w:t>
      </w:r>
      <w:r>
        <w:rPr>
          <w:rFonts w:hint="default"/>
        </w:rPr>
        <w:t>条、</w:t>
      </w:r>
      <w:r>
        <w:rPr>
          <w:rFonts w:hint="eastAsia"/>
          <w:lang w:eastAsia="zh-CN"/>
        </w:rPr>
        <w:t>PE管材</w:t>
      </w:r>
      <w:r>
        <w:rPr>
          <w:rFonts w:hint="default"/>
        </w:rPr>
        <w:t>生产线</w:t>
      </w:r>
      <w:r>
        <w:rPr>
          <w:rFonts w:hint="eastAsia"/>
          <w:lang w:val="en-US" w:eastAsia="zh-CN"/>
        </w:rPr>
        <w:t>2</w:t>
      </w:r>
      <w:r>
        <w:rPr>
          <w:rFonts w:hint="default"/>
        </w:rPr>
        <w:t>条、地膜生产线</w:t>
      </w:r>
      <w:r>
        <w:rPr>
          <w:rFonts w:hint="eastAsia"/>
          <w:lang w:val="en-US" w:eastAsia="zh-CN"/>
        </w:rPr>
        <w:t>2</w:t>
      </w:r>
      <w:r>
        <w:rPr>
          <w:rFonts w:hint="default"/>
        </w:rPr>
        <w:t>条，产品方案及规模见下表3.</w:t>
      </w:r>
      <w:r>
        <w:rPr>
          <w:rFonts w:hint="default"/>
          <w:lang w:val="en-US"/>
        </w:rPr>
        <w:t>2</w:t>
      </w:r>
      <w:r>
        <w:rPr>
          <w:rFonts w:hint="default"/>
        </w:rPr>
        <w:t>-2。</w:t>
      </w:r>
    </w:p>
    <w:p>
      <w:pPr>
        <w:pStyle w:val="17"/>
        <w:bidi w:val="0"/>
        <w:rPr>
          <w:rFonts w:hint="default"/>
          <w:b/>
          <w:bCs/>
        </w:rPr>
      </w:pPr>
      <w:r>
        <w:rPr>
          <w:rFonts w:hint="default"/>
          <w:b/>
          <w:bCs/>
        </w:rPr>
        <w:t xml:space="preserve">表3.2-2  </w:t>
      </w:r>
      <w:r>
        <w:rPr>
          <w:rFonts w:hint="eastAsia"/>
          <w:b/>
          <w:bCs/>
          <w:lang w:val="en-US" w:eastAsia="zh-CN"/>
        </w:rPr>
        <w:t xml:space="preserve"> </w:t>
      </w:r>
      <w:r>
        <w:rPr>
          <w:rFonts w:hint="default"/>
          <w:b/>
          <w:bCs/>
        </w:rPr>
        <w:t>项目产品方案及规模</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269"/>
        <w:gridCol w:w="2307"/>
        <w:gridCol w:w="1355"/>
        <w:gridCol w:w="1204"/>
        <w:gridCol w:w="21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2" w:type="dxa"/>
            <w:tcBorders>
              <w:tl2br w:val="nil"/>
              <w:tr2bl w:val="nil"/>
            </w:tcBorders>
            <w:vAlign w:val="center"/>
          </w:tcPr>
          <w:p>
            <w:pPr>
              <w:pStyle w:val="17"/>
              <w:bidi w:val="0"/>
              <w:rPr>
                <w:rFonts w:hint="default"/>
                <w:b/>
                <w:bCs/>
              </w:rPr>
            </w:pPr>
            <w:r>
              <w:rPr>
                <w:rFonts w:hint="default"/>
                <w:b/>
                <w:bCs/>
              </w:rPr>
              <w:t>序号</w:t>
            </w:r>
          </w:p>
        </w:tc>
        <w:tc>
          <w:tcPr>
            <w:tcW w:w="1269" w:type="dxa"/>
            <w:tcBorders>
              <w:tl2br w:val="nil"/>
              <w:tr2bl w:val="nil"/>
            </w:tcBorders>
            <w:vAlign w:val="center"/>
          </w:tcPr>
          <w:p>
            <w:pPr>
              <w:pStyle w:val="17"/>
              <w:bidi w:val="0"/>
              <w:rPr>
                <w:rFonts w:hint="default"/>
                <w:b/>
                <w:bCs/>
              </w:rPr>
            </w:pPr>
            <w:r>
              <w:rPr>
                <w:rFonts w:hint="default"/>
                <w:b/>
                <w:bCs/>
              </w:rPr>
              <w:t>产品</w:t>
            </w:r>
          </w:p>
        </w:tc>
        <w:tc>
          <w:tcPr>
            <w:tcW w:w="2307" w:type="dxa"/>
            <w:tcBorders>
              <w:tl2br w:val="nil"/>
              <w:tr2bl w:val="nil"/>
            </w:tcBorders>
            <w:vAlign w:val="center"/>
          </w:tcPr>
          <w:p>
            <w:pPr>
              <w:pStyle w:val="17"/>
              <w:bidi w:val="0"/>
              <w:rPr>
                <w:rFonts w:hint="default"/>
                <w:b/>
                <w:bCs/>
              </w:rPr>
            </w:pPr>
            <w:r>
              <w:rPr>
                <w:rFonts w:hint="default"/>
                <w:b/>
                <w:bCs/>
              </w:rPr>
              <w:t>年产量</w:t>
            </w:r>
          </w:p>
        </w:tc>
        <w:tc>
          <w:tcPr>
            <w:tcW w:w="1355" w:type="dxa"/>
            <w:tcBorders>
              <w:tl2br w:val="nil"/>
              <w:tr2bl w:val="nil"/>
            </w:tcBorders>
            <w:vAlign w:val="center"/>
          </w:tcPr>
          <w:p>
            <w:pPr>
              <w:pStyle w:val="17"/>
              <w:bidi w:val="0"/>
              <w:rPr>
                <w:rFonts w:hint="default"/>
                <w:b/>
                <w:bCs/>
              </w:rPr>
            </w:pPr>
            <w:r>
              <w:rPr>
                <w:rFonts w:hint="default"/>
                <w:b/>
                <w:bCs/>
              </w:rPr>
              <w:t>存储方式</w:t>
            </w:r>
          </w:p>
        </w:tc>
        <w:tc>
          <w:tcPr>
            <w:tcW w:w="1204" w:type="dxa"/>
            <w:tcBorders>
              <w:tl2br w:val="nil"/>
              <w:tr2bl w:val="nil"/>
            </w:tcBorders>
            <w:vAlign w:val="center"/>
          </w:tcPr>
          <w:p>
            <w:pPr>
              <w:pStyle w:val="17"/>
              <w:bidi w:val="0"/>
              <w:rPr>
                <w:rFonts w:hint="default"/>
                <w:b/>
                <w:bCs/>
              </w:rPr>
            </w:pPr>
            <w:r>
              <w:rPr>
                <w:rFonts w:hint="default"/>
                <w:b/>
                <w:bCs/>
              </w:rPr>
              <w:t>运输方式</w:t>
            </w:r>
          </w:p>
        </w:tc>
        <w:tc>
          <w:tcPr>
            <w:tcW w:w="2164" w:type="dxa"/>
            <w:tcBorders>
              <w:tl2br w:val="nil"/>
              <w:tr2bl w:val="nil"/>
            </w:tcBorders>
            <w:vAlign w:val="center"/>
          </w:tcPr>
          <w:p>
            <w:pPr>
              <w:pStyle w:val="17"/>
              <w:bidi w:val="0"/>
              <w:rPr>
                <w:rFonts w:hint="default"/>
                <w:b/>
                <w:bCs/>
              </w:rPr>
            </w:pPr>
            <w:r>
              <w:rPr>
                <w:rFonts w:hint="default"/>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2" w:type="dxa"/>
            <w:tcBorders>
              <w:tl2br w:val="nil"/>
              <w:tr2bl w:val="nil"/>
            </w:tcBorders>
            <w:vAlign w:val="center"/>
          </w:tcPr>
          <w:p>
            <w:pPr>
              <w:pStyle w:val="17"/>
              <w:bidi w:val="0"/>
              <w:rPr>
                <w:rFonts w:hint="default"/>
              </w:rPr>
            </w:pPr>
            <w:r>
              <w:rPr>
                <w:rFonts w:hint="default"/>
              </w:rPr>
              <w:t>1</w:t>
            </w:r>
          </w:p>
        </w:tc>
        <w:tc>
          <w:tcPr>
            <w:tcW w:w="1269" w:type="dxa"/>
            <w:tcBorders>
              <w:tl2br w:val="nil"/>
              <w:tr2bl w:val="nil"/>
            </w:tcBorders>
            <w:vAlign w:val="center"/>
          </w:tcPr>
          <w:p>
            <w:pPr>
              <w:pStyle w:val="17"/>
              <w:bidi w:val="0"/>
              <w:rPr>
                <w:rFonts w:hint="default"/>
              </w:rPr>
            </w:pPr>
            <w:r>
              <w:rPr>
                <w:rFonts w:hint="default"/>
              </w:rPr>
              <w:t>再生颗粒</w:t>
            </w:r>
          </w:p>
        </w:tc>
        <w:tc>
          <w:tcPr>
            <w:tcW w:w="2307" w:type="dxa"/>
            <w:tcBorders>
              <w:tl2br w:val="nil"/>
              <w:tr2bl w:val="nil"/>
            </w:tcBorders>
            <w:vAlign w:val="center"/>
          </w:tcPr>
          <w:p>
            <w:pPr>
              <w:pStyle w:val="17"/>
              <w:bidi w:val="0"/>
              <w:rPr>
                <w:rFonts w:hint="default"/>
              </w:rPr>
            </w:pPr>
            <w:r>
              <w:rPr>
                <w:rFonts w:hint="eastAsia"/>
                <w:lang w:val="en-US" w:eastAsia="zh-CN"/>
              </w:rPr>
              <w:t>5000</w:t>
            </w:r>
            <w:r>
              <w:rPr>
                <w:rFonts w:hint="default"/>
              </w:rPr>
              <w:t>吨</w:t>
            </w:r>
          </w:p>
        </w:tc>
        <w:tc>
          <w:tcPr>
            <w:tcW w:w="1355" w:type="dxa"/>
            <w:tcBorders>
              <w:tl2br w:val="nil"/>
              <w:tr2bl w:val="nil"/>
            </w:tcBorders>
            <w:vAlign w:val="center"/>
          </w:tcPr>
          <w:p>
            <w:pPr>
              <w:pStyle w:val="17"/>
              <w:bidi w:val="0"/>
              <w:rPr>
                <w:rFonts w:hint="default"/>
              </w:rPr>
            </w:pPr>
            <w:r>
              <w:rPr>
                <w:rFonts w:hint="default"/>
              </w:rPr>
              <w:t>仓储</w:t>
            </w:r>
          </w:p>
        </w:tc>
        <w:tc>
          <w:tcPr>
            <w:tcW w:w="1204" w:type="dxa"/>
            <w:tcBorders>
              <w:tl2br w:val="nil"/>
              <w:tr2bl w:val="nil"/>
            </w:tcBorders>
            <w:vAlign w:val="center"/>
          </w:tcPr>
          <w:p>
            <w:pPr>
              <w:pStyle w:val="17"/>
              <w:bidi w:val="0"/>
              <w:rPr>
                <w:rFonts w:hint="default"/>
              </w:rPr>
            </w:pPr>
            <w:r>
              <w:rPr>
                <w:rFonts w:hint="default"/>
              </w:rPr>
              <w:t>-</w:t>
            </w:r>
          </w:p>
        </w:tc>
        <w:tc>
          <w:tcPr>
            <w:tcW w:w="2164" w:type="dxa"/>
            <w:tcBorders>
              <w:tl2br w:val="nil"/>
              <w:tr2bl w:val="nil"/>
            </w:tcBorders>
            <w:vAlign w:val="center"/>
          </w:tcPr>
          <w:p>
            <w:pPr>
              <w:pStyle w:val="17"/>
              <w:bidi w:val="0"/>
              <w:rPr>
                <w:rFonts w:hint="default"/>
              </w:rPr>
            </w:pPr>
            <w:r>
              <w:rPr>
                <w:rFonts w:hint="default"/>
              </w:rPr>
              <w:t>均用于本厂生产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2" w:type="dxa"/>
            <w:tcBorders>
              <w:tl2br w:val="nil"/>
              <w:tr2bl w:val="nil"/>
            </w:tcBorders>
            <w:vAlign w:val="center"/>
          </w:tcPr>
          <w:p>
            <w:pPr>
              <w:pStyle w:val="17"/>
              <w:bidi w:val="0"/>
              <w:rPr>
                <w:rFonts w:hint="default"/>
              </w:rPr>
            </w:pPr>
            <w:r>
              <w:rPr>
                <w:rFonts w:hint="default"/>
              </w:rPr>
              <w:t>2</w:t>
            </w:r>
          </w:p>
        </w:tc>
        <w:tc>
          <w:tcPr>
            <w:tcW w:w="1269" w:type="dxa"/>
            <w:tcBorders>
              <w:tl2br w:val="nil"/>
              <w:tr2bl w:val="nil"/>
            </w:tcBorders>
            <w:vAlign w:val="center"/>
          </w:tcPr>
          <w:p>
            <w:pPr>
              <w:pStyle w:val="17"/>
              <w:bidi w:val="0"/>
              <w:rPr>
                <w:rFonts w:hint="default"/>
              </w:rPr>
            </w:pPr>
            <w:r>
              <w:rPr>
                <w:rFonts w:hint="default"/>
              </w:rPr>
              <w:t>滴灌带</w:t>
            </w:r>
          </w:p>
        </w:tc>
        <w:tc>
          <w:tcPr>
            <w:tcW w:w="2307" w:type="dxa"/>
            <w:tcBorders>
              <w:tl2br w:val="nil"/>
              <w:tr2bl w:val="nil"/>
            </w:tcBorders>
            <w:vAlign w:val="center"/>
          </w:tcPr>
          <w:p>
            <w:pPr>
              <w:pStyle w:val="17"/>
              <w:bidi w:val="0"/>
              <w:rPr>
                <w:rFonts w:hint="default"/>
              </w:rPr>
            </w:pPr>
            <w:r>
              <w:rPr>
                <w:rFonts w:hint="eastAsia"/>
                <w:lang w:val="en-US" w:eastAsia="zh-CN"/>
              </w:rPr>
              <w:t>5000</w:t>
            </w:r>
            <w:r>
              <w:rPr>
                <w:rFonts w:hint="default"/>
              </w:rPr>
              <w:t>吨</w:t>
            </w:r>
          </w:p>
        </w:tc>
        <w:tc>
          <w:tcPr>
            <w:tcW w:w="1355" w:type="dxa"/>
            <w:tcBorders>
              <w:tl2br w:val="nil"/>
              <w:tr2bl w:val="nil"/>
            </w:tcBorders>
            <w:vAlign w:val="center"/>
          </w:tcPr>
          <w:p>
            <w:pPr>
              <w:pStyle w:val="17"/>
              <w:bidi w:val="0"/>
              <w:rPr>
                <w:rFonts w:hint="default"/>
              </w:rPr>
            </w:pPr>
            <w:r>
              <w:rPr>
                <w:rFonts w:hint="default"/>
              </w:rPr>
              <w:t>仓储</w:t>
            </w:r>
          </w:p>
        </w:tc>
        <w:tc>
          <w:tcPr>
            <w:tcW w:w="1204" w:type="dxa"/>
            <w:tcBorders>
              <w:tl2br w:val="nil"/>
              <w:tr2bl w:val="nil"/>
            </w:tcBorders>
            <w:vAlign w:val="center"/>
          </w:tcPr>
          <w:p>
            <w:pPr>
              <w:pStyle w:val="17"/>
              <w:bidi w:val="0"/>
              <w:rPr>
                <w:rFonts w:hint="default"/>
              </w:rPr>
            </w:pPr>
            <w:r>
              <w:rPr>
                <w:rFonts w:hint="default"/>
              </w:rPr>
              <w:t>汽车</w:t>
            </w:r>
          </w:p>
        </w:tc>
        <w:tc>
          <w:tcPr>
            <w:tcW w:w="2164" w:type="dxa"/>
            <w:tcBorders>
              <w:tl2br w:val="nil"/>
              <w:tr2bl w:val="nil"/>
            </w:tcBorders>
            <w:vAlign w:val="center"/>
          </w:tcPr>
          <w:p>
            <w:pPr>
              <w:pStyle w:val="17"/>
              <w:bidi w:val="0"/>
              <w:rPr>
                <w:rFonts w:hint="default"/>
              </w:rPr>
            </w:pPr>
            <w:r>
              <w:rPr>
                <w:rFonts w:hint="default"/>
              </w:rPr>
              <w:t>出售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2" w:type="dxa"/>
            <w:tcBorders>
              <w:tl2br w:val="nil"/>
              <w:tr2bl w:val="nil"/>
            </w:tcBorders>
            <w:vAlign w:val="center"/>
          </w:tcPr>
          <w:p>
            <w:pPr>
              <w:pStyle w:val="17"/>
              <w:bidi w:val="0"/>
              <w:rPr>
                <w:rFonts w:hint="default"/>
              </w:rPr>
            </w:pPr>
            <w:r>
              <w:rPr>
                <w:rFonts w:hint="default"/>
              </w:rPr>
              <w:t>3</w:t>
            </w:r>
          </w:p>
        </w:tc>
        <w:tc>
          <w:tcPr>
            <w:tcW w:w="1269" w:type="dxa"/>
            <w:tcBorders>
              <w:tl2br w:val="nil"/>
              <w:tr2bl w:val="nil"/>
            </w:tcBorders>
            <w:vAlign w:val="center"/>
          </w:tcPr>
          <w:p>
            <w:pPr>
              <w:pStyle w:val="17"/>
              <w:bidi w:val="0"/>
              <w:rPr>
                <w:rFonts w:hint="eastAsia"/>
                <w:lang w:eastAsia="zh-CN"/>
              </w:rPr>
            </w:pPr>
            <w:r>
              <w:rPr>
                <w:rFonts w:hint="eastAsia"/>
                <w:lang w:eastAsia="zh-CN"/>
              </w:rPr>
              <w:t>PE管材</w:t>
            </w:r>
          </w:p>
        </w:tc>
        <w:tc>
          <w:tcPr>
            <w:tcW w:w="2307" w:type="dxa"/>
            <w:tcBorders>
              <w:tl2br w:val="nil"/>
              <w:tr2bl w:val="nil"/>
            </w:tcBorders>
            <w:vAlign w:val="center"/>
          </w:tcPr>
          <w:p>
            <w:pPr>
              <w:pStyle w:val="17"/>
              <w:bidi w:val="0"/>
              <w:rPr>
                <w:rFonts w:hint="default"/>
              </w:rPr>
            </w:pPr>
            <w:r>
              <w:rPr>
                <w:rFonts w:hint="eastAsia"/>
                <w:lang w:val="en-US" w:eastAsia="zh-CN"/>
              </w:rPr>
              <w:t>500</w:t>
            </w:r>
            <w:r>
              <w:rPr>
                <w:rFonts w:hint="default"/>
              </w:rPr>
              <w:t>吨</w:t>
            </w:r>
          </w:p>
        </w:tc>
        <w:tc>
          <w:tcPr>
            <w:tcW w:w="1355" w:type="dxa"/>
            <w:tcBorders>
              <w:tl2br w:val="nil"/>
              <w:tr2bl w:val="nil"/>
            </w:tcBorders>
            <w:vAlign w:val="center"/>
          </w:tcPr>
          <w:p>
            <w:pPr>
              <w:pStyle w:val="17"/>
              <w:bidi w:val="0"/>
              <w:rPr>
                <w:rFonts w:hint="default"/>
              </w:rPr>
            </w:pPr>
            <w:r>
              <w:rPr>
                <w:rFonts w:hint="default"/>
              </w:rPr>
              <w:t>仓储</w:t>
            </w:r>
          </w:p>
        </w:tc>
        <w:tc>
          <w:tcPr>
            <w:tcW w:w="1204" w:type="dxa"/>
            <w:tcBorders>
              <w:tl2br w:val="nil"/>
              <w:tr2bl w:val="nil"/>
            </w:tcBorders>
            <w:vAlign w:val="center"/>
          </w:tcPr>
          <w:p>
            <w:pPr>
              <w:pStyle w:val="17"/>
              <w:bidi w:val="0"/>
              <w:rPr>
                <w:rFonts w:hint="default"/>
              </w:rPr>
            </w:pPr>
            <w:r>
              <w:rPr>
                <w:rFonts w:hint="default"/>
              </w:rPr>
              <w:t>汽车</w:t>
            </w:r>
          </w:p>
        </w:tc>
        <w:tc>
          <w:tcPr>
            <w:tcW w:w="2164" w:type="dxa"/>
            <w:tcBorders>
              <w:tl2br w:val="nil"/>
              <w:tr2bl w:val="nil"/>
            </w:tcBorders>
            <w:vAlign w:val="center"/>
          </w:tcPr>
          <w:p>
            <w:pPr>
              <w:pStyle w:val="17"/>
              <w:bidi w:val="0"/>
              <w:rPr>
                <w:rFonts w:hint="default"/>
              </w:rPr>
            </w:pPr>
            <w:r>
              <w:rPr>
                <w:rFonts w:hint="default"/>
              </w:rPr>
              <w:t>出售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2" w:type="dxa"/>
            <w:tcBorders>
              <w:tl2br w:val="nil"/>
              <w:tr2bl w:val="nil"/>
            </w:tcBorders>
            <w:vAlign w:val="center"/>
          </w:tcPr>
          <w:p>
            <w:pPr>
              <w:pStyle w:val="17"/>
              <w:bidi w:val="0"/>
              <w:rPr>
                <w:rFonts w:hint="default"/>
              </w:rPr>
            </w:pPr>
            <w:r>
              <w:rPr>
                <w:rFonts w:hint="default"/>
              </w:rPr>
              <w:t>4</w:t>
            </w:r>
          </w:p>
        </w:tc>
        <w:tc>
          <w:tcPr>
            <w:tcW w:w="1269" w:type="dxa"/>
            <w:tcBorders>
              <w:tl2br w:val="nil"/>
              <w:tr2bl w:val="nil"/>
            </w:tcBorders>
            <w:vAlign w:val="center"/>
          </w:tcPr>
          <w:p>
            <w:pPr>
              <w:pStyle w:val="17"/>
              <w:bidi w:val="0"/>
              <w:rPr>
                <w:rFonts w:hint="default"/>
              </w:rPr>
            </w:pPr>
            <w:r>
              <w:rPr>
                <w:rFonts w:hint="default"/>
              </w:rPr>
              <w:t>地膜</w:t>
            </w:r>
          </w:p>
        </w:tc>
        <w:tc>
          <w:tcPr>
            <w:tcW w:w="2307" w:type="dxa"/>
            <w:tcBorders>
              <w:tl2br w:val="nil"/>
              <w:tr2bl w:val="nil"/>
            </w:tcBorders>
            <w:vAlign w:val="center"/>
          </w:tcPr>
          <w:p>
            <w:pPr>
              <w:pStyle w:val="17"/>
              <w:bidi w:val="0"/>
              <w:rPr>
                <w:rFonts w:hint="default"/>
              </w:rPr>
            </w:pPr>
            <w:r>
              <w:rPr>
                <w:rFonts w:hint="eastAsia"/>
                <w:lang w:val="en-US" w:eastAsia="zh-CN"/>
              </w:rPr>
              <w:t>600</w:t>
            </w:r>
            <w:r>
              <w:rPr>
                <w:rFonts w:hint="default"/>
              </w:rPr>
              <w:t>吨</w:t>
            </w:r>
          </w:p>
        </w:tc>
        <w:tc>
          <w:tcPr>
            <w:tcW w:w="1355" w:type="dxa"/>
            <w:tcBorders>
              <w:tl2br w:val="nil"/>
              <w:tr2bl w:val="nil"/>
            </w:tcBorders>
            <w:vAlign w:val="center"/>
          </w:tcPr>
          <w:p>
            <w:pPr>
              <w:pStyle w:val="17"/>
              <w:bidi w:val="0"/>
              <w:rPr>
                <w:rFonts w:hint="default"/>
              </w:rPr>
            </w:pPr>
            <w:r>
              <w:rPr>
                <w:rFonts w:hint="default"/>
              </w:rPr>
              <w:t>仓储</w:t>
            </w:r>
          </w:p>
        </w:tc>
        <w:tc>
          <w:tcPr>
            <w:tcW w:w="1204" w:type="dxa"/>
            <w:tcBorders>
              <w:tl2br w:val="nil"/>
              <w:tr2bl w:val="nil"/>
            </w:tcBorders>
            <w:vAlign w:val="center"/>
          </w:tcPr>
          <w:p>
            <w:pPr>
              <w:pStyle w:val="17"/>
              <w:bidi w:val="0"/>
              <w:rPr>
                <w:rFonts w:hint="default"/>
              </w:rPr>
            </w:pPr>
            <w:r>
              <w:rPr>
                <w:rFonts w:hint="default"/>
              </w:rPr>
              <w:t>汽车</w:t>
            </w:r>
          </w:p>
        </w:tc>
        <w:tc>
          <w:tcPr>
            <w:tcW w:w="2164" w:type="dxa"/>
            <w:tcBorders>
              <w:tl2br w:val="nil"/>
              <w:tr2bl w:val="nil"/>
            </w:tcBorders>
            <w:vAlign w:val="center"/>
          </w:tcPr>
          <w:p>
            <w:pPr>
              <w:pStyle w:val="17"/>
              <w:bidi w:val="0"/>
              <w:rPr>
                <w:rFonts w:hint="default"/>
              </w:rPr>
            </w:pPr>
            <w:r>
              <w:rPr>
                <w:rFonts w:hint="default"/>
              </w:rPr>
              <w:t>出售</w:t>
            </w:r>
          </w:p>
        </w:tc>
      </w:tr>
    </w:tbl>
    <w:p>
      <w:pPr>
        <w:pStyle w:val="5"/>
        <w:bidi w:val="0"/>
        <w:rPr>
          <w:rFonts w:hint="default"/>
        </w:rPr>
      </w:pPr>
      <w:bookmarkStart w:id="95" w:name="_Toc341867059"/>
      <w:r>
        <w:rPr>
          <w:rFonts w:hint="default"/>
        </w:rPr>
        <w:t>3.</w:t>
      </w:r>
      <w:bookmarkEnd w:id="95"/>
      <w:r>
        <w:rPr>
          <w:rFonts w:hint="default"/>
        </w:rPr>
        <w:t>2.3</w:t>
      </w:r>
      <w:r>
        <w:rPr>
          <w:rFonts w:hint="eastAsia"/>
          <w:lang w:eastAsia="zh-CN"/>
        </w:rPr>
        <w:t>、</w:t>
      </w:r>
      <w:r>
        <w:rPr>
          <w:rFonts w:hint="default"/>
        </w:rPr>
        <w:t>公用及辅助工程</w:t>
      </w:r>
    </w:p>
    <w:p>
      <w:pPr>
        <w:pStyle w:val="6"/>
        <w:bidi w:val="0"/>
        <w:rPr>
          <w:rFonts w:hint="default"/>
        </w:rPr>
      </w:pPr>
      <w:r>
        <w:rPr>
          <w:rFonts w:hint="default"/>
        </w:rPr>
        <w:t>3.2.3.1</w:t>
      </w:r>
      <w:r>
        <w:rPr>
          <w:rFonts w:hint="eastAsia"/>
          <w:lang w:eastAsia="zh-CN"/>
        </w:rPr>
        <w:t>、</w:t>
      </w:r>
      <w:r>
        <w:rPr>
          <w:rFonts w:hint="default"/>
        </w:rPr>
        <w:t>给排水</w:t>
      </w:r>
    </w:p>
    <w:p>
      <w:pPr>
        <w:bidi w:val="0"/>
        <w:rPr>
          <w:rFonts w:hint="default"/>
        </w:rPr>
      </w:pPr>
      <w:r>
        <w:rPr>
          <w:rFonts w:hint="default"/>
        </w:rPr>
        <w:t>本项目水平衡见表3.7-2，位于章节3.7.3.2中。</w:t>
      </w:r>
    </w:p>
    <w:p>
      <w:pPr>
        <w:bidi w:val="0"/>
        <w:rPr>
          <w:rFonts w:hint="default"/>
        </w:rPr>
      </w:pPr>
      <w:r>
        <w:rPr>
          <w:rFonts w:hint="default"/>
        </w:rPr>
        <w:t>（1）给水</w:t>
      </w:r>
    </w:p>
    <w:p>
      <w:pPr>
        <w:bidi w:val="0"/>
        <w:rPr>
          <w:rFonts w:hint="default"/>
        </w:rPr>
      </w:pPr>
      <w:r>
        <w:rPr>
          <w:rFonts w:hint="default"/>
        </w:rPr>
        <w:t>本项目用水水源来自供水工程，由管网供给，管网供水压力0.2MPa，水质满足生产、生活要求。项目给水系统包括生产给水系统、生活给水系统、消防给水系统、绿化用水等。</w:t>
      </w:r>
    </w:p>
    <w:p>
      <w:pPr>
        <w:bidi w:val="0"/>
        <w:rPr>
          <w:rFonts w:hint="default"/>
        </w:rPr>
      </w:pPr>
      <w:r>
        <w:rPr>
          <w:rFonts w:hint="default"/>
        </w:rPr>
        <w:t>①生产给水系统</w:t>
      </w:r>
    </w:p>
    <w:p>
      <w:pPr>
        <w:bidi w:val="0"/>
        <w:rPr>
          <w:rFonts w:hint="default"/>
        </w:rPr>
      </w:pPr>
      <w:r>
        <w:rPr>
          <w:rFonts w:hint="default"/>
        </w:rPr>
        <w:t>生产给水系统新鲜用水量为2.59</w:t>
      </w:r>
      <w:r>
        <w:rPr>
          <w:rFonts w:hint="eastAsia"/>
          <w:lang w:eastAsia="zh-CN"/>
        </w:rPr>
        <w:t>m³</w:t>
      </w:r>
      <w:r>
        <w:rPr>
          <w:rFonts w:hint="default"/>
        </w:rPr>
        <w:t>/d统新鲜，主要包括原料清洗用水补充水（1.85</w:t>
      </w:r>
      <w:r>
        <w:rPr>
          <w:rFonts w:hint="eastAsia"/>
          <w:lang w:eastAsia="zh-CN"/>
        </w:rPr>
        <w:t>m³</w:t>
      </w:r>
      <w:r>
        <w:rPr>
          <w:rFonts w:hint="default"/>
        </w:rPr>
        <w:t>/d）、车间地面冲洗用水（0.17</w:t>
      </w:r>
      <w:r>
        <w:rPr>
          <w:rFonts w:hint="eastAsia"/>
          <w:lang w:eastAsia="zh-CN"/>
        </w:rPr>
        <w:t>m³</w:t>
      </w:r>
      <w:r>
        <w:rPr>
          <w:rFonts w:hint="default"/>
        </w:rPr>
        <w:t>/d）、破碎降尘用水（0.45</w:t>
      </w:r>
      <w:r>
        <w:rPr>
          <w:rFonts w:hint="eastAsia"/>
          <w:lang w:eastAsia="zh-CN"/>
        </w:rPr>
        <w:t>m³</w:t>
      </w:r>
      <w:r>
        <w:rPr>
          <w:rFonts w:hint="default"/>
        </w:rPr>
        <w:t>/d）和冷却循环系统补水（0.12</w:t>
      </w:r>
      <w:r>
        <w:rPr>
          <w:rFonts w:hint="eastAsia"/>
          <w:lang w:eastAsia="zh-CN"/>
        </w:rPr>
        <w:t>m³</w:t>
      </w:r>
      <w:r>
        <w:rPr>
          <w:rFonts w:hint="default"/>
        </w:rPr>
        <w:t>/d）。</w:t>
      </w:r>
    </w:p>
    <w:p>
      <w:pPr>
        <w:bidi w:val="0"/>
        <w:rPr>
          <w:rFonts w:hint="default"/>
        </w:rPr>
      </w:pPr>
      <w:r>
        <w:rPr>
          <w:rFonts w:hint="default"/>
        </w:rPr>
        <w:t>原料清洗用水总量为2.5</w:t>
      </w:r>
      <w:r>
        <w:rPr>
          <w:rFonts w:hint="eastAsia"/>
          <w:lang w:eastAsia="zh-CN"/>
        </w:rPr>
        <w:t>m³</w:t>
      </w:r>
      <w:r>
        <w:rPr>
          <w:rFonts w:hint="default"/>
        </w:rPr>
        <w:t>/t产品，则每天生产</w:t>
      </w:r>
      <w:r>
        <w:rPr>
          <w:rFonts w:hint="eastAsia"/>
          <w:lang w:val="en-US" w:eastAsia="zh-CN"/>
        </w:rPr>
        <w:t>18.5</w:t>
      </w:r>
      <w:r>
        <w:rPr>
          <w:rFonts w:hint="default"/>
        </w:rPr>
        <w:t>t产品，需要原料清洗用水量为</w:t>
      </w:r>
      <w:r>
        <w:rPr>
          <w:rFonts w:hint="eastAsia"/>
          <w:lang w:val="en-US" w:eastAsia="zh-CN"/>
        </w:rPr>
        <w:t>15250</w:t>
      </w:r>
      <w:r>
        <w:rPr>
          <w:rFonts w:hint="eastAsia"/>
          <w:lang w:eastAsia="zh-CN"/>
        </w:rPr>
        <w:t>m³</w:t>
      </w:r>
      <w:r>
        <w:rPr>
          <w:rFonts w:hint="default"/>
        </w:rPr>
        <w:t>/a（</w:t>
      </w:r>
      <w:r>
        <w:rPr>
          <w:rFonts w:hint="eastAsia"/>
          <w:lang w:val="en-US" w:eastAsia="zh-CN"/>
        </w:rPr>
        <w:t>46.25</w:t>
      </w:r>
      <w:r>
        <w:rPr>
          <w:rFonts w:hint="eastAsia"/>
          <w:lang w:eastAsia="zh-CN"/>
        </w:rPr>
        <w:t>m³</w:t>
      </w:r>
      <w:r>
        <w:rPr>
          <w:rFonts w:hint="default"/>
        </w:rPr>
        <w:t>/d）。清洗废水经沉降池</w:t>
      </w:r>
      <w:r>
        <w:rPr>
          <w:rFonts w:hint="eastAsia"/>
          <w:lang w:val="en-US" w:eastAsia="zh-CN"/>
        </w:rPr>
        <w:t>及配套污水处理设备处置后</w:t>
      </w:r>
      <w:r>
        <w:rPr>
          <w:rFonts w:hint="default"/>
        </w:rPr>
        <w:t>循环利用（</w:t>
      </w:r>
      <w:r>
        <w:rPr>
          <w:rFonts w:hint="default"/>
          <w:lang w:val="en-US" w:eastAsia="zh-CN"/>
        </w:rPr>
        <w:t>清洗</w:t>
      </w:r>
      <w:r>
        <w:rPr>
          <w:rFonts w:hint="default"/>
        </w:rPr>
        <w:t>用水和喷淋用水），不外排，清洗过程补充水量约为1.85</w:t>
      </w:r>
      <w:r>
        <w:rPr>
          <w:rFonts w:hint="eastAsia"/>
          <w:lang w:eastAsia="zh-CN"/>
        </w:rPr>
        <w:t>m³</w:t>
      </w:r>
      <w:r>
        <w:rPr>
          <w:rFonts w:hint="default"/>
        </w:rPr>
        <w:t>/d。</w:t>
      </w:r>
    </w:p>
    <w:p>
      <w:pPr>
        <w:bidi w:val="0"/>
        <w:rPr>
          <w:rFonts w:hint="default"/>
        </w:rPr>
      </w:pPr>
      <w:r>
        <w:rPr>
          <w:rFonts w:hint="default"/>
        </w:rPr>
        <w:t>车间地面冲洗用水企业定期对生产车间地面进行冲洗，1.25</w:t>
      </w:r>
      <w:r>
        <w:rPr>
          <w:rFonts w:hint="eastAsia"/>
          <w:lang w:eastAsia="zh-CN"/>
        </w:rPr>
        <w:t>m³</w:t>
      </w:r>
      <w:r>
        <w:rPr>
          <w:rFonts w:hint="default"/>
        </w:rPr>
        <w:t>/次，每年冲洗</w:t>
      </w:r>
      <w:r>
        <w:rPr>
          <w:rFonts w:hint="eastAsia"/>
          <w:lang w:val="en-US" w:eastAsia="zh-CN"/>
        </w:rPr>
        <w:t>45</w:t>
      </w:r>
      <w:r>
        <w:rPr>
          <w:rFonts w:hint="default"/>
        </w:rPr>
        <w:t>次，年用水量为</w:t>
      </w:r>
      <w:r>
        <w:rPr>
          <w:rFonts w:hint="eastAsia"/>
          <w:lang w:val="en-US" w:eastAsia="zh-CN"/>
        </w:rPr>
        <w:t>56.3</w:t>
      </w:r>
      <w:r>
        <w:rPr>
          <w:rFonts w:hint="eastAsia"/>
          <w:lang w:eastAsia="zh-CN"/>
        </w:rPr>
        <w:t>m³</w:t>
      </w:r>
      <w:r>
        <w:rPr>
          <w:rFonts w:hint="default"/>
        </w:rPr>
        <w:t>/a，平均为0.</w:t>
      </w:r>
      <w:r>
        <w:rPr>
          <w:rFonts w:hint="eastAsia"/>
          <w:lang w:val="en-US" w:eastAsia="zh-CN"/>
        </w:rPr>
        <w:t>17</w:t>
      </w:r>
      <w:r>
        <w:rPr>
          <w:rFonts w:hint="eastAsia"/>
          <w:lang w:eastAsia="zh-CN"/>
        </w:rPr>
        <w:t>m³</w:t>
      </w:r>
      <w:r>
        <w:rPr>
          <w:rFonts w:hint="default"/>
        </w:rPr>
        <w:t>/d，年工作</w:t>
      </w:r>
      <w:r>
        <w:rPr>
          <w:rFonts w:hint="eastAsia"/>
          <w:lang w:val="en-US" w:eastAsia="zh-CN"/>
        </w:rPr>
        <w:t>330</w:t>
      </w:r>
      <w:r>
        <w:rPr>
          <w:rFonts w:hint="default"/>
        </w:rPr>
        <w:t>天。</w:t>
      </w:r>
    </w:p>
    <w:p>
      <w:pPr>
        <w:bidi w:val="0"/>
        <w:rPr>
          <w:rFonts w:hint="default"/>
        </w:rPr>
      </w:pPr>
      <w:r>
        <w:rPr>
          <w:rFonts w:hint="default"/>
        </w:rPr>
        <w:t>破碎机采用喷淋降尘，用水量为0.45</w:t>
      </w:r>
      <w:r>
        <w:rPr>
          <w:rFonts w:hint="eastAsia"/>
          <w:lang w:eastAsia="zh-CN"/>
        </w:rPr>
        <w:t>m³</w:t>
      </w:r>
      <w:r>
        <w:rPr>
          <w:rFonts w:hint="default"/>
        </w:rPr>
        <w:t>/d，即</w:t>
      </w:r>
      <w:r>
        <w:rPr>
          <w:rFonts w:hint="eastAsia"/>
          <w:lang w:val="en-US" w:eastAsia="zh-CN"/>
        </w:rPr>
        <w:t>148.5</w:t>
      </w:r>
      <w:r>
        <w:rPr>
          <w:rFonts w:hint="eastAsia"/>
          <w:lang w:eastAsia="zh-CN"/>
        </w:rPr>
        <w:t>m³</w:t>
      </w:r>
      <w:r>
        <w:rPr>
          <w:rFonts w:hint="default"/>
        </w:rPr>
        <w:t>/a。</w:t>
      </w:r>
    </w:p>
    <w:p>
      <w:pPr>
        <w:bidi w:val="0"/>
        <w:rPr>
          <w:rFonts w:hint="default"/>
        </w:rPr>
      </w:pPr>
      <w:r>
        <w:rPr>
          <w:rFonts w:hint="default"/>
        </w:rPr>
        <w:t>冷却循环系统补水量为0.12</w:t>
      </w:r>
      <w:r>
        <w:rPr>
          <w:rFonts w:hint="eastAsia"/>
          <w:lang w:eastAsia="zh-CN"/>
        </w:rPr>
        <w:t>m³</w:t>
      </w:r>
      <w:r>
        <w:rPr>
          <w:rFonts w:hint="default"/>
        </w:rPr>
        <w:t>/d，即</w:t>
      </w:r>
      <w:r>
        <w:rPr>
          <w:rFonts w:hint="eastAsia"/>
          <w:lang w:val="en-US" w:eastAsia="zh-CN"/>
        </w:rPr>
        <w:t>39.6</w:t>
      </w:r>
      <w:r>
        <w:rPr>
          <w:rFonts w:hint="eastAsia"/>
          <w:lang w:eastAsia="zh-CN"/>
        </w:rPr>
        <w:t>m³</w:t>
      </w:r>
      <w:r>
        <w:rPr>
          <w:rFonts w:hint="default"/>
        </w:rPr>
        <w:t>/a。</w:t>
      </w:r>
    </w:p>
    <w:p>
      <w:pPr>
        <w:bidi w:val="0"/>
        <w:rPr>
          <w:rFonts w:hint="default"/>
        </w:rPr>
      </w:pPr>
      <w:r>
        <w:rPr>
          <w:rFonts w:hint="default"/>
        </w:rPr>
        <w:t>综上所述，本项目生产用新鲜水总量为2.59</w:t>
      </w:r>
      <w:r>
        <w:rPr>
          <w:rFonts w:hint="eastAsia"/>
          <w:lang w:eastAsia="zh-CN"/>
        </w:rPr>
        <w:t>m³</w:t>
      </w:r>
      <w:r>
        <w:rPr>
          <w:rFonts w:hint="default"/>
        </w:rPr>
        <w:t>/d（</w:t>
      </w:r>
      <w:r>
        <w:rPr>
          <w:rFonts w:hint="eastAsia"/>
          <w:lang w:val="en-US" w:eastAsia="zh-CN"/>
        </w:rPr>
        <w:t>854.7</w:t>
      </w:r>
      <w:r>
        <w:rPr>
          <w:rFonts w:hint="eastAsia"/>
          <w:lang w:eastAsia="zh-CN"/>
        </w:rPr>
        <w:t>m³</w:t>
      </w:r>
      <w:r>
        <w:rPr>
          <w:rFonts w:hint="default"/>
        </w:rPr>
        <w:t>/a）。</w:t>
      </w:r>
    </w:p>
    <w:p>
      <w:pPr>
        <w:bidi w:val="0"/>
        <w:rPr>
          <w:rFonts w:hint="default"/>
        </w:rPr>
      </w:pPr>
      <w:r>
        <w:rPr>
          <w:rFonts w:hint="default"/>
        </w:rPr>
        <w:t>②生活给水系统</w:t>
      </w:r>
    </w:p>
    <w:p>
      <w:pPr>
        <w:bidi w:val="0"/>
        <w:rPr>
          <w:rFonts w:hint="default"/>
        </w:rPr>
      </w:pPr>
      <w:r>
        <w:rPr>
          <w:rFonts w:hint="default"/>
        </w:rPr>
        <w:t>本项目劳动用工</w:t>
      </w:r>
      <w:r>
        <w:rPr>
          <w:rFonts w:hint="eastAsia"/>
          <w:lang w:val="en-US" w:eastAsia="zh-CN"/>
        </w:rPr>
        <w:t>42</w:t>
      </w:r>
      <w:r>
        <w:rPr>
          <w:rFonts w:hint="default"/>
        </w:rPr>
        <w:t>人厂区，在厂区内设食宿，用水量按</w:t>
      </w:r>
      <w:r>
        <w:rPr>
          <w:rFonts w:hint="eastAsia"/>
          <w:lang w:val="en-US" w:eastAsia="zh-CN"/>
        </w:rPr>
        <w:t>100</w:t>
      </w:r>
      <w:r>
        <w:rPr>
          <w:rFonts w:hint="default"/>
        </w:rPr>
        <w:t>L/d·人计算，则职工生活用水量约为</w:t>
      </w:r>
      <w:r>
        <w:rPr>
          <w:rFonts w:hint="eastAsia"/>
          <w:lang w:val="en-US" w:eastAsia="zh-CN"/>
        </w:rPr>
        <w:t>4.2</w:t>
      </w:r>
      <w:r>
        <w:rPr>
          <w:rFonts w:hint="eastAsia"/>
          <w:lang w:eastAsia="zh-CN"/>
        </w:rPr>
        <w:t>m³</w:t>
      </w:r>
      <w:r>
        <w:rPr>
          <w:rFonts w:hint="default"/>
        </w:rPr>
        <w:t>/d，即</w:t>
      </w:r>
      <w:r>
        <w:rPr>
          <w:rFonts w:hint="eastAsia"/>
          <w:lang w:val="en-US" w:eastAsia="zh-CN"/>
        </w:rPr>
        <w:t>1386</w:t>
      </w:r>
      <w:r>
        <w:rPr>
          <w:rFonts w:hint="eastAsia"/>
          <w:lang w:eastAsia="zh-CN"/>
        </w:rPr>
        <w:t>m³</w:t>
      </w:r>
      <w:r>
        <w:rPr>
          <w:rFonts w:hint="default"/>
        </w:rPr>
        <w:t>/a。</w:t>
      </w:r>
    </w:p>
    <w:p>
      <w:pPr>
        <w:bidi w:val="0"/>
        <w:rPr>
          <w:rFonts w:hint="default"/>
        </w:rPr>
      </w:pPr>
      <w:r>
        <w:rPr>
          <w:rFonts w:hint="default"/>
        </w:rPr>
        <w:t>③绿化用水</w:t>
      </w:r>
    </w:p>
    <w:p>
      <w:pPr>
        <w:bidi w:val="0"/>
        <w:rPr>
          <w:rFonts w:hint="default"/>
        </w:rPr>
      </w:pPr>
      <w:r>
        <w:rPr>
          <w:rFonts w:hint="default"/>
        </w:rPr>
        <w:t>项目</w:t>
      </w:r>
      <w:r>
        <w:rPr>
          <w:rFonts w:hint="eastAsia"/>
          <w:lang w:val="en-US" w:eastAsia="zh-CN"/>
        </w:rPr>
        <w:t>绿地面积为1324.35m²</w:t>
      </w:r>
      <w:r>
        <w:rPr>
          <w:rFonts w:hint="default"/>
        </w:rPr>
        <w:t>，根据新疆绿化用水定额取300</w:t>
      </w:r>
      <w:r>
        <w:rPr>
          <w:rFonts w:hint="eastAsia"/>
          <w:lang w:eastAsia="zh-CN"/>
        </w:rPr>
        <w:t>m³</w:t>
      </w:r>
      <w:r>
        <w:rPr>
          <w:rFonts w:hint="default"/>
        </w:rPr>
        <w:t>/亩·年，则项目绿化用水</w:t>
      </w:r>
      <w:r>
        <w:rPr>
          <w:rFonts w:hint="default"/>
          <w:lang w:val="en-US" w:eastAsia="zh-CN"/>
        </w:rPr>
        <w:t>年用水量</w:t>
      </w:r>
      <w:r>
        <w:rPr>
          <w:rFonts w:hint="default"/>
        </w:rPr>
        <w:t>约为</w:t>
      </w:r>
      <w:r>
        <w:rPr>
          <w:rFonts w:hint="eastAsia"/>
          <w:lang w:val="en-US" w:eastAsia="zh-CN"/>
        </w:rPr>
        <w:t>596</w:t>
      </w:r>
      <w:r>
        <w:rPr>
          <w:rFonts w:hint="eastAsia"/>
          <w:lang w:eastAsia="zh-CN"/>
        </w:rPr>
        <w:t>m³</w:t>
      </w:r>
      <w:r>
        <w:rPr>
          <w:rFonts w:hint="default"/>
        </w:rPr>
        <w:t>，则项，按</w:t>
      </w:r>
      <w:r>
        <w:rPr>
          <w:rFonts w:hint="eastAsia"/>
          <w:lang w:val="en-US" w:eastAsia="zh-CN"/>
        </w:rPr>
        <w:t>年绿化240</w:t>
      </w:r>
      <w:r>
        <w:rPr>
          <w:rFonts w:hint="default"/>
        </w:rPr>
        <w:t>天计，绿化</w:t>
      </w:r>
      <w:r>
        <w:rPr>
          <w:rFonts w:hint="eastAsia"/>
          <w:lang w:val="en-US" w:eastAsia="zh-CN"/>
        </w:rPr>
        <w:t>日</w:t>
      </w:r>
      <w:r>
        <w:rPr>
          <w:rFonts w:hint="default"/>
        </w:rPr>
        <w:t>用水量为</w:t>
      </w:r>
      <w:r>
        <w:rPr>
          <w:rFonts w:hint="eastAsia"/>
          <w:lang w:val="en-US" w:eastAsia="zh-CN"/>
        </w:rPr>
        <w:t>2.48</w:t>
      </w:r>
      <w:r>
        <w:rPr>
          <w:rFonts w:hint="eastAsia"/>
          <w:lang w:eastAsia="zh-CN"/>
        </w:rPr>
        <w:t>m³</w:t>
      </w:r>
      <w:r>
        <w:rPr>
          <w:rFonts w:hint="default"/>
        </w:rPr>
        <w:t>/d。</w:t>
      </w:r>
    </w:p>
    <w:p>
      <w:pPr>
        <w:bidi w:val="0"/>
        <w:rPr>
          <w:rFonts w:hint="default"/>
        </w:rPr>
      </w:pPr>
      <w:r>
        <w:rPr>
          <w:rFonts w:hint="default"/>
        </w:rPr>
        <w:t>综上，本项目运营期每日需消耗新鲜水约</w:t>
      </w:r>
      <w:r>
        <w:rPr>
          <w:rFonts w:hint="eastAsia"/>
          <w:lang w:val="en-US" w:eastAsia="zh-CN"/>
        </w:rPr>
        <w:t>9.27</w:t>
      </w:r>
      <w:r>
        <w:rPr>
          <w:rFonts w:hint="eastAsia"/>
          <w:lang w:eastAsia="zh-CN"/>
        </w:rPr>
        <w:t>m³</w:t>
      </w:r>
      <w:r>
        <w:rPr>
          <w:rFonts w:hint="default"/>
        </w:rPr>
        <w:t>，每年新鲜水用水</w:t>
      </w:r>
      <w:r>
        <w:rPr>
          <w:rFonts w:hint="default"/>
          <w:lang w:val="en-US" w:eastAsia="zh-CN"/>
        </w:rPr>
        <w:t>总</w:t>
      </w:r>
      <w:r>
        <w:rPr>
          <w:rFonts w:hint="default"/>
        </w:rPr>
        <w:t>量为</w:t>
      </w:r>
      <w:r>
        <w:rPr>
          <w:rFonts w:hint="eastAsia"/>
          <w:lang w:val="en-US" w:eastAsia="zh-CN"/>
        </w:rPr>
        <w:t>2836.7</w:t>
      </w:r>
      <w:r>
        <w:rPr>
          <w:rFonts w:hint="eastAsia"/>
          <w:lang w:eastAsia="zh-CN"/>
        </w:rPr>
        <w:t>m³</w:t>
      </w:r>
      <w:r>
        <w:rPr>
          <w:rFonts w:hint="default"/>
        </w:rPr>
        <w:t>。</w:t>
      </w:r>
    </w:p>
    <w:p>
      <w:pPr>
        <w:bidi w:val="0"/>
        <w:rPr>
          <w:rFonts w:hint="default"/>
        </w:rPr>
      </w:pPr>
      <w:r>
        <w:rPr>
          <w:rFonts w:hint="default"/>
        </w:rPr>
        <w:t>（2）排水</w:t>
      </w:r>
    </w:p>
    <w:p>
      <w:pPr>
        <w:bidi w:val="0"/>
        <w:rPr>
          <w:rFonts w:hint="default"/>
        </w:rPr>
      </w:pPr>
      <w:r>
        <w:rPr>
          <w:rFonts w:hint="default"/>
        </w:rPr>
        <w:t>本项目厂区内排水管网设置根据雨污分流、清污分流的原则，排污系统划分为生产污水系统、生活污水系统。</w:t>
      </w:r>
    </w:p>
    <w:p>
      <w:pPr>
        <w:bidi w:val="0"/>
        <w:rPr>
          <w:rFonts w:hint="default"/>
        </w:rPr>
      </w:pPr>
      <w:r>
        <w:rPr>
          <w:rFonts w:hint="default"/>
          <w:lang w:eastAsia="zh-CN"/>
        </w:rPr>
        <w:t>①</w:t>
      </w:r>
      <w:r>
        <w:rPr>
          <w:rFonts w:hint="default"/>
        </w:rPr>
        <w:t>生产废水</w:t>
      </w:r>
    </w:p>
    <w:p>
      <w:pPr>
        <w:bidi w:val="0"/>
        <w:rPr>
          <w:rFonts w:hint="default"/>
        </w:rPr>
      </w:pPr>
      <w:r>
        <w:rPr>
          <w:rFonts w:hint="default"/>
        </w:rPr>
        <w:t>本项目冷却水除自然消耗一部分外，其余均循环利用；地面冲洗废水、喷淋水随废塑料进入清洗水池，最终随清洗废水进入沉降池</w:t>
      </w:r>
      <w:r>
        <w:rPr>
          <w:rFonts w:hint="eastAsia"/>
          <w:lang w:val="en-US" w:eastAsia="zh-CN"/>
        </w:rPr>
        <w:t>及污水处理设备</w:t>
      </w:r>
      <w:r>
        <w:rPr>
          <w:rFonts w:hint="default"/>
        </w:rPr>
        <w:t>经处理后，回用于原料清洗、喷淋工序。</w:t>
      </w:r>
    </w:p>
    <w:p>
      <w:pPr>
        <w:bidi w:val="0"/>
        <w:rPr>
          <w:rFonts w:hint="default"/>
        </w:rPr>
      </w:pPr>
      <w:r>
        <w:rPr>
          <w:rFonts w:hint="default"/>
        </w:rPr>
        <w:t>②生活污水</w:t>
      </w:r>
    </w:p>
    <w:p>
      <w:pPr>
        <w:bidi w:val="0"/>
        <w:rPr>
          <w:rFonts w:hint="default"/>
        </w:rPr>
      </w:pPr>
      <w:r>
        <w:rPr>
          <w:rFonts w:hint="default"/>
        </w:rPr>
        <w:t>生活污水排水量按用水量的80%计，则职工生活污水排水量为</w:t>
      </w:r>
      <w:r>
        <w:rPr>
          <w:rFonts w:hint="eastAsia"/>
          <w:lang w:val="en-US" w:eastAsia="zh-CN"/>
        </w:rPr>
        <w:t>3.36</w:t>
      </w:r>
      <w:r>
        <w:rPr>
          <w:rFonts w:hint="eastAsia"/>
          <w:lang w:eastAsia="zh-CN"/>
        </w:rPr>
        <w:t>m³</w:t>
      </w:r>
      <w:r>
        <w:rPr>
          <w:rFonts w:hint="default"/>
        </w:rPr>
        <w:t>/d（</w:t>
      </w:r>
      <w:r>
        <w:rPr>
          <w:rFonts w:hint="eastAsia"/>
          <w:lang w:val="en-US" w:eastAsia="zh-CN"/>
        </w:rPr>
        <w:t>1108.8</w:t>
      </w:r>
      <w:r>
        <w:rPr>
          <w:rFonts w:hint="eastAsia"/>
          <w:lang w:eastAsia="zh-CN"/>
        </w:rPr>
        <w:t>m³</w:t>
      </w:r>
      <w:r>
        <w:rPr>
          <w:rFonts w:hint="default"/>
        </w:rPr>
        <w:t>/a），其中厨房废水经隔油池处理，再同其他生活废水</w:t>
      </w:r>
      <w:r>
        <w:rPr>
          <w:rFonts w:hint="eastAsia"/>
          <w:lang w:val="en-US" w:eastAsia="zh-CN"/>
        </w:rPr>
        <w:t>经化粪池预处理后抽运至二工镇污水处理厂</w:t>
      </w:r>
      <w:r>
        <w:rPr>
          <w:rFonts w:hint="default"/>
        </w:rPr>
        <w:t>。</w:t>
      </w:r>
    </w:p>
    <w:p>
      <w:pPr>
        <w:bidi w:val="0"/>
        <w:rPr>
          <w:rFonts w:hint="default"/>
        </w:rPr>
      </w:pPr>
      <w:r>
        <w:rPr>
          <w:rFonts w:hint="default"/>
        </w:rPr>
        <w:t>本项目</w:t>
      </w:r>
      <w:r>
        <w:rPr>
          <w:rFonts w:hint="default"/>
          <w:lang w:val="en-US"/>
        </w:rPr>
        <w:t>用水排水情况详见</w:t>
      </w:r>
      <w:r>
        <w:rPr>
          <w:rFonts w:hint="default"/>
        </w:rPr>
        <w:t>表3.</w:t>
      </w:r>
      <w:r>
        <w:rPr>
          <w:rFonts w:hint="default"/>
          <w:lang w:val="en-US"/>
        </w:rPr>
        <w:t>2</w:t>
      </w:r>
      <w:r>
        <w:rPr>
          <w:rFonts w:hint="default"/>
        </w:rPr>
        <w:t>-3。</w:t>
      </w:r>
    </w:p>
    <w:p>
      <w:pPr>
        <w:pStyle w:val="17"/>
        <w:bidi w:val="0"/>
        <w:rPr>
          <w:rFonts w:hint="default"/>
          <w:b/>
          <w:bCs/>
        </w:rPr>
      </w:pPr>
      <w:r>
        <w:rPr>
          <w:rFonts w:hint="default"/>
          <w:b/>
          <w:bCs/>
        </w:rPr>
        <w:t xml:space="preserve">表3.2-3 </w:t>
      </w:r>
      <w:r>
        <w:rPr>
          <w:rFonts w:hint="eastAsia"/>
          <w:b/>
          <w:bCs/>
          <w:lang w:val="en-US" w:eastAsia="zh-CN"/>
        </w:rPr>
        <w:t xml:space="preserve"> </w:t>
      </w:r>
      <w:r>
        <w:rPr>
          <w:rFonts w:hint="default"/>
          <w:b/>
          <w:bCs/>
        </w:rPr>
        <w:t xml:space="preserve"> 本项目用水排水情况一览表（单位</w:t>
      </w:r>
      <w:r>
        <w:rPr>
          <w:rFonts w:hint="eastAsia"/>
          <w:b/>
          <w:bCs/>
          <w:lang w:eastAsia="zh-CN"/>
        </w:rPr>
        <w:t>m³</w:t>
      </w:r>
      <w:r>
        <w:rPr>
          <w:rFonts w:hint="default"/>
          <w:b/>
          <w:bCs/>
        </w:rPr>
        <w:t>/d）</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18"/>
        <w:gridCol w:w="1087"/>
        <w:gridCol w:w="1008"/>
        <w:gridCol w:w="1183"/>
        <w:gridCol w:w="1232"/>
        <w:gridCol w:w="924"/>
        <w:gridCol w:w="1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18" w:type="dxa"/>
            <w:vMerge w:val="restart"/>
            <w:tcBorders>
              <w:tl2br w:val="nil"/>
              <w:tr2bl w:val="nil"/>
            </w:tcBorders>
            <w:vAlign w:val="center"/>
          </w:tcPr>
          <w:p>
            <w:pPr>
              <w:pStyle w:val="17"/>
              <w:bidi w:val="0"/>
              <w:rPr>
                <w:rFonts w:hint="default"/>
                <w:b/>
                <w:bCs/>
              </w:rPr>
            </w:pPr>
            <w:r>
              <w:rPr>
                <w:rFonts w:hint="default"/>
                <w:b/>
                <w:bCs/>
              </w:rPr>
              <w:t>用水项目</w:t>
            </w:r>
          </w:p>
        </w:tc>
        <w:tc>
          <w:tcPr>
            <w:tcW w:w="2095" w:type="dxa"/>
            <w:gridSpan w:val="2"/>
            <w:tcBorders>
              <w:tl2br w:val="nil"/>
              <w:tr2bl w:val="nil"/>
            </w:tcBorders>
            <w:vAlign w:val="center"/>
          </w:tcPr>
          <w:p>
            <w:pPr>
              <w:pStyle w:val="17"/>
              <w:bidi w:val="0"/>
              <w:rPr>
                <w:rFonts w:hint="default"/>
                <w:b/>
                <w:bCs/>
              </w:rPr>
            </w:pPr>
            <w:r>
              <w:rPr>
                <w:rFonts w:hint="default"/>
                <w:b/>
                <w:bCs/>
              </w:rPr>
              <w:t>进水</w:t>
            </w:r>
          </w:p>
        </w:tc>
        <w:tc>
          <w:tcPr>
            <w:tcW w:w="3339" w:type="dxa"/>
            <w:gridSpan w:val="3"/>
            <w:tcBorders>
              <w:tl2br w:val="nil"/>
              <w:tr2bl w:val="nil"/>
            </w:tcBorders>
            <w:vAlign w:val="center"/>
          </w:tcPr>
          <w:p>
            <w:pPr>
              <w:pStyle w:val="17"/>
              <w:bidi w:val="0"/>
              <w:rPr>
                <w:rFonts w:hint="default"/>
                <w:b/>
                <w:bCs/>
              </w:rPr>
            </w:pPr>
            <w:r>
              <w:rPr>
                <w:rFonts w:hint="default"/>
                <w:b/>
                <w:bCs/>
              </w:rPr>
              <w:t>排水</w:t>
            </w:r>
          </w:p>
        </w:tc>
        <w:tc>
          <w:tcPr>
            <w:tcW w:w="1719" w:type="dxa"/>
            <w:vMerge w:val="restart"/>
            <w:tcBorders>
              <w:tl2br w:val="nil"/>
              <w:tr2bl w:val="nil"/>
            </w:tcBorders>
            <w:vAlign w:val="center"/>
          </w:tcPr>
          <w:p>
            <w:pPr>
              <w:pStyle w:val="17"/>
              <w:bidi w:val="0"/>
              <w:rPr>
                <w:rFonts w:hint="default"/>
                <w:b/>
                <w:bCs/>
              </w:rPr>
            </w:pPr>
            <w:r>
              <w:rPr>
                <w:rFonts w:hint="default"/>
                <w:b/>
                <w:bCs/>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1918" w:type="dxa"/>
            <w:vMerge w:val="continue"/>
            <w:tcBorders>
              <w:tl2br w:val="nil"/>
              <w:tr2bl w:val="nil"/>
            </w:tcBorders>
            <w:vAlign w:val="center"/>
          </w:tcPr>
          <w:p>
            <w:pPr>
              <w:pStyle w:val="17"/>
              <w:bidi w:val="0"/>
              <w:rPr>
                <w:rFonts w:hint="default"/>
                <w:b/>
                <w:bCs/>
              </w:rPr>
            </w:pPr>
          </w:p>
        </w:tc>
        <w:tc>
          <w:tcPr>
            <w:tcW w:w="1087" w:type="dxa"/>
            <w:tcBorders>
              <w:tl2br w:val="nil"/>
              <w:tr2bl w:val="nil"/>
            </w:tcBorders>
            <w:vAlign w:val="center"/>
          </w:tcPr>
          <w:p>
            <w:pPr>
              <w:pStyle w:val="17"/>
              <w:bidi w:val="0"/>
              <w:rPr>
                <w:rFonts w:hint="default"/>
                <w:b/>
                <w:bCs/>
              </w:rPr>
            </w:pPr>
            <w:r>
              <w:rPr>
                <w:rFonts w:hint="default"/>
                <w:b/>
                <w:bCs/>
              </w:rPr>
              <w:t>新鲜水</w:t>
            </w:r>
          </w:p>
        </w:tc>
        <w:tc>
          <w:tcPr>
            <w:tcW w:w="1008" w:type="dxa"/>
            <w:tcBorders>
              <w:tl2br w:val="nil"/>
              <w:tr2bl w:val="nil"/>
            </w:tcBorders>
            <w:vAlign w:val="center"/>
          </w:tcPr>
          <w:p>
            <w:pPr>
              <w:pStyle w:val="17"/>
              <w:bidi w:val="0"/>
              <w:rPr>
                <w:rFonts w:hint="default"/>
                <w:b/>
                <w:bCs/>
              </w:rPr>
            </w:pPr>
            <w:r>
              <w:rPr>
                <w:rFonts w:hint="default"/>
                <w:b/>
                <w:bCs/>
              </w:rPr>
              <w:t>循环水</w:t>
            </w:r>
          </w:p>
        </w:tc>
        <w:tc>
          <w:tcPr>
            <w:tcW w:w="1183" w:type="dxa"/>
            <w:tcBorders>
              <w:tl2br w:val="nil"/>
              <w:tr2bl w:val="nil"/>
            </w:tcBorders>
            <w:vAlign w:val="center"/>
          </w:tcPr>
          <w:p>
            <w:pPr>
              <w:pStyle w:val="17"/>
              <w:bidi w:val="0"/>
              <w:rPr>
                <w:rFonts w:hint="default"/>
                <w:b/>
                <w:bCs/>
              </w:rPr>
            </w:pPr>
            <w:r>
              <w:rPr>
                <w:rFonts w:hint="default"/>
                <w:b/>
                <w:bCs/>
              </w:rPr>
              <w:t>损耗水量</w:t>
            </w:r>
          </w:p>
        </w:tc>
        <w:tc>
          <w:tcPr>
            <w:tcW w:w="1232" w:type="dxa"/>
            <w:tcBorders>
              <w:tl2br w:val="nil"/>
              <w:tr2bl w:val="nil"/>
            </w:tcBorders>
            <w:vAlign w:val="center"/>
          </w:tcPr>
          <w:p>
            <w:pPr>
              <w:pStyle w:val="17"/>
              <w:bidi w:val="0"/>
              <w:rPr>
                <w:rFonts w:hint="default"/>
                <w:b/>
                <w:bCs/>
              </w:rPr>
            </w:pPr>
            <w:r>
              <w:rPr>
                <w:rFonts w:hint="default"/>
                <w:b/>
                <w:bCs/>
              </w:rPr>
              <w:t>循环水量</w:t>
            </w:r>
          </w:p>
        </w:tc>
        <w:tc>
          <w:tcPr>
            <w:tcW w:w="924" w:type="dxa"/>
            <w:tcBorders>
              <w:tl2br w:val="nil"/>
              <w:tr2bl w:val="nil"/>
            </w:tcBorders>
            <w:vAlign w:val="center"/>
          </w:tcPr>
          <w:p>
            <w:pPr>
              <w:pStyle w:val="17"/>
              <w:bidi w:val="0"/>
              <w:rPr>
                <w:rFonts w:hint="default"/>
                <w:b/>
                <w:bCs/>
              </w:rPr>
            </w:pPr>
            <w:r>
              <w:rPr>
                <w:rFonts w:hint="default"/>
                <w:b/>
                <w:bCs/>
              </w:rPr>
              <w:t>排水量</w:t>
            </w:r>
          </w:p>
        </w:tc>
        <w:tc>
          <w:tcPr>
            <w:tcW w:w="1719" w:type="dxa"/>
            <w:vMerge w:val="continue"/>
            <w:tcBorders>
              <w:tl2br w:val="nil"/>
              <w:tr2bl w:val="nil"/>
            </w:tcBorders>
            <w:vAlign w:val="center"/>
          </w:tcPr>
          <w:p>
            <w:pPr>
              <w:pStyle w:val="17"/>
              <w:bidi w:val="0"/>
              <w:rPr>
                <w:rFonts w:hint="default"/>
                <w:b/>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18" w:type="dxa"/>
            <w:tcBorders>
              <w:tl2br w:val="nil"/>
              <w:tr2bl w:val="nil"/>
            </w:tcBorders>
            <w:vAlign w:val="center"/>
          </w:tcPr>
          <w:p>
            <w:pPr>
              <w:pStyle w:val="17"/>
              <w:bidi w:val="0"/>
              <w:rPr>
                <w:rFonts w:hint="default"/>
              </w:rPr>
            </w:pPr>
            <w:r>
              <w:rPr>
                <w:rFonts w:hint="default"/>
              </w:rPr>
              <w:t>冷却循环水</w:t>
            </w:r>
          </w:p>
        </w:tc>
        <w:tc>
          <w:tcPr>
            <w:tcW w:w="1087" w:type="dxa"/>
            <w:tcBorders>
              <w:tl2br w:val="nil"/>
              <w:tr2bl w:val="nil"/>
            </w:tcBorders>
            <w:vAlign w:val="center"/>
          </w:tcPr>
          <w:p>
            <w:pPr>
              <w:pStyle w:val="17"/>
              <w:bidi w:val="0"/>
              <w:rPr>
                <w:rFonts w:hint="default"/>
              </w:rPr>
            </w:pPr>
            <w:r>
              <w:rPr>
                <w:rFonts w:hint="default"/>
              </w:rPr>
              <w:t>0.12</w:t>
            </w:r>
          </w:p>
        </w:tc>
        <w:tc>
          <w:tcPr>
            <w:tcW w:w="1008" w:type="dxa"/>
            <w:tcBorders>
              <w:tl2br w:val="nil"/>
              <w:tr2bl w:val="nil"/>
            </w:tcBorders>
            <w:vAlign w:val="center"/>
          </w:tcPr>
          <w:p>
            <w:pPr>
              <w:pStyle w:val="17"/>
              <w:bidi w:val="0"/>
              <w:rPr>
                <w:rFonts w:hint="default"/>
              </w:rPr>
            </w:pPr>
            <w:r>
              <w:rPr>
                <w:rFonts w:hint="default"/>
              </w:rPr>
              <w:t>2.28</w:t>
            </w:r>
          </w:p>
        </w:tc>
        <w:tc>
          <w:tcPr>
            <w:tcW w:w="1183" w:type="dxa"/>
            <w:tcBorders>
              <w:tl2br w:val="nil"/>
              <w:tr2bl w:val="nil"/>
            </w:tcBorders>
            <w:vAlign w:val="center"/>
          </w:tcPr>
          <w:p>
            <w:pPr>
              <w:pStyle w:val="17"/>
              <w:bidi w:val="0"/>
              <w:rPr>
                <w:rFonts w:hint="default"/>
              </w:rPr>
            </w:pPr>
            <w:r>
              <w:rPr>
                <w:rFonts w:hint="default"/>
              </w:rPr>
              <w:t>0.12</w:t>
            </w:r>
          </w:p>
        </w:tc>
        <w:tc>
          <w:tcPr>
            <w:tcW w:w="1232" w:type="dxa"/>
            <w:tcBorders>
              <w:tl2br w:val="nil"/>
              <w:tr2bl w:val="nil"/>
            </w:tcBorders>
            <w:vAlign w:val="center"/>
          </w:tcPr>
          <w:p>
            <w:pPr>
              <w:pStyle w:val="17"/>
              <w:bidi w:val="0"/>
              <w:rPr>
                <w:rFonts w:hint="default"/>
              </w:rPr>
            </w:pPr>
            <w:r>
              <w:rPr>
                <w:rFonts w:hint="default"/>
              </w:rPr>
              <w:t>2.28</w:t>
            </w:r>
          </w:p>
        </w:tc>
        <w:tc>
          <w:tcPr>
            <w:tcW w:w="924" w:type="dxa"/>
            <w:tcBorders>
              <w:tl2br w:val="nil"/>
              <w:tr2bl w:val="nil"/>
            </w:tcBorders>
            <w:vAlign w:val="center"/>
          </w:tcPr>
          <w:p>
            <w:pPr>
              <w:pStyle w:val="17"/>
              <w:bidi w:val="0"/>
              <w:rPr>
                <w:rFonts w:hint="default"/>
              </w:rPr>
            </w:pPr>
            <w:r>
              <w:rPr>
                <w:rFonts w:hint="default"/>
              </w:rPr>
              <w:t>0</w:t>
            </w:r>
          </w:p>
        </w:tc>
        <w:tc>
          <w:tcPr>
            <w:tcW w:w="1719" w:type="dxa"/>
            <w:tcBorders>
              <w:tl2br w:val="nil"/>
              <w:tr2bl w:val="nil"/>
            </w:tcBorders>
            <w:vAlign w:val="center"/>
          </w:tcPr>
          <w:p>
            <w:pPr>
              <w:pStyle w:val="17"/>
              <w:bidi w:val="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18" w:type="dxa"/>
            <w:tcBorders>
              <w:tl2br w:val="nil"/>
              <w:tr2bl w:val="nil"/>
            </w:tcBorders>
            <w:vAlign w:val="center"/>
          </w:tcPr>
          <w:p>
            <w:pPr>
              <w:pStyle w:val="17"/>
              <w:bidi w:val="0"/>
              <w:rPr>
                <w:rFonts w:hint="default"/>
              </w:rPr>
            </w:pPr>
            <w:r>
              <w:rPr>
                <w:rFonts w:hint="default"/>
              </w:rPr>
              <w:t>破碎机喷洒用水</w:t>
            </w:r>
          </w:p>
        </w:tc>
        <w:tc>
          <w:tcPr>
            <w:tcW w:w="1087" w:type="dxa"/>
            <w:tcBorders>
              <w:tl2br w:val="nil"/>
              <w:tr2bl w:val="nil"/>
            </w:tcBorders>
            <w:vAlign w:val="center"/>
          </w:tcPr>
          <w:p>
            <w:pPr>
              <w:pStyle w:val="17"/>
              <w:bidi w:val="0"/>
              <w:rPr>
                <w:rFonts w:hint="default"/>
              </w:rPr>
            </w:pPr>
            <w:r>
              <w:rPr>
                <w:rFonts w:hint="default"/>
              </w:rPr>
              <w:t>0.45</w:t>
            </w:r>
          </w:p>
        </w:tc>
        <w:tc>
          <w:tcPr>
            <w:tcW w:w="1008" w:type="dxa"/>
            <w:tcBorders>
              <w:tl2br w:val="nil"/>
              <w:tr2bl w:val="nil"/>
            </w:tcBorders>
            <w:vAlign w:val="center"/>
          </w:tcPr>
          <w:p>
            <w:pPr>
              <w:pStyle w:val="17"/>
              <w:bidi w:val="0"/>
              <w:rPr>
                <w:rFonts w:hint="default"/>
              </w:rPr>
            </w:pPr>
            <w:r>
              <w:rPr>
                <w:rFonts w:hint="default"/>
              </w:rPr>
              <w:t>1.50</w:t>
            </w:r>
          </w:p>
        </w:tc>
        <w:tc>
          <w:tcPr>
            <w:tcW w:w="1183" w:type="dxa"/>
            <w:tcBorders>
              <w:tl2br w:val="nil"/>
              <w:tr2bl w:val="nil"/>
            </w:tcBorders>
            <w:vAlign w:val="center"/>
          </w:tcPr>
          <w:p>
            <w:pPr>
              <w:pStyle w:val="17"/>
              <w:bidi w:val="0"/>
              <w:rPr>
                <w:rFonts w:hint="default"/>
              </w:rPr>
            </w:pPr>
            <w:r>
              <w:rPr>
                <w:rFonts w:hint="default"/>
              </w:rPr>
              <w:t>0.45</w:t>
            </w:r>
          </w:p>
        </w:tc>
        <w:tc>
          <w:tcPr>
            <w:tcW w:w="1232" w:type="dxa"/>
            <w:tcBorders>
              <w:tl2br w:val="nil"/>
              <w:tr2bl w:val="nil"/>
            </w:tcBorders>
            <w:vAlign w:val="center"/>
          </w:tcPr>
          <w:p>
            <w:pPr>
              <w:pStyle w:val="17"/>
              <w:bidi w:val="0"/>
              <w:rPr>
                <w:rFonts w:hint="default"/>
              </w:rPr>
            </w:pPr>
            <w:r>
              <w:rPr>
                <w:rFonts w:hint="default"/>
              </w:rPr>
              <w:t>1.50</w:t>
            </w:r>
          </w:p>
        </w:tc>
        <w:tc>
          <w:tcPr>
            <w:tcW w:w="924" w:type="dxa"/>
            <w:tcBorders>
              <w:tl2br w:val="nil"/>
              <w:tr2bl w:val="nil"/>
            </w:tcBorders>
            <w:vAlign w:val="center"/>
          </w:tcPr>
          <w:p>
            <w:pPr>
              <w:pStyle w:val="17"/>
              <w:bidi w:val="0"/>
              <w:rPr>
                <w:rFonts w:hint="default"/>
              </w:rPr>
            </w:pPr>
            <w:r>
              <w:rPr>
                <w:rFonts w:hint="default"/>
              </w:rPr>
              <w:t>0</w:t>
            </w:r>
          </w:p>
        </w:tc>
        <w:tc>
          <w:tcPr>
            <w:tcW w:w="1719" w:type="dxa"/>
            <w:tcBorders>
              <w:tl2br w:val="nil"/>
              <w:tr2bl w:val="nil"/>
            </w:tcBorders>
            <w:vAlign w:val="center"/>
          </w:tcPr>
          <w:p>
            <w:pPr>
              <w:pStyle w:val="17"/>
              <w:bidi w:val="0"/>
              <w:rPr>
                <w:rFonts w:hint="default"/>
              </w:rPr>
            </w:pPr>
            <w:r>
              <w:rPr>
                <w:rFonts w:hint="default"/>
              </w:rPr>
              <w:t>循环沉淀池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18" w:type="dxa"/>
            <w:tcBorders>
              <w:tl2br w:val="nil"/>
              <w:tr2bl w:val="nil"/>
            </w:tcBorders>
            <w:vAlign w:val="center"/>
          </w:tcPr>
          <w:p>
            <w:pPr>
              <w:pStyle w:val="17"/>
              <w:bidi w:val="0"/>
              <w:rPr>
                <w:rFonts w:hint="default"/>
              </w:rPr>
            </w:pPr>
            <w:r>
              <w:rPr>
                <w:rFonts w:hint="default"/>
              </w:rPr>
              <w:t>原料清洗用水</w:t>
            </w:r>
          </w:p>
        </w:tc>
        <w:tc>
          <w:tcPr>
            <w:tcW w:w="1087" w:type="dxa"/>
            <w:tcBorders>
              <w:tl2br w:val="nil"/>
              <w:tr2bl w:val="nil"/>
            </w:tcBorders>
            <w:vAlign w:val="center"/>
          </w:tcPr>
          <w:p>
            <w:pPr>
              <w:pStyle w:val="17"/>
              <w:bidi w:val="0"/>
              <w:rPr>
                <w:rFonts w:hint="default"/>
              </w:rPr>
            </w:pPr>
            <w:r>
              <w:rPr>
                <w:rFonts w:hint="default"/>
              </w:rPr>
              <w:t>1.85</w:t>
            </w:r>
          </w:p>
        </w:tc>
        <w:tc>
          <w:tcPr>
            <w:tcW w:w="1008" w:type="dxa"/>
            <w:tcBorders>
              <w:tl2br w:val="nil"/>
              <w:tr2bl w:val="nil"/>
            </w:tcBorders>
            <w:vAlign w:val="center"/>
          </w:tcPr>
          <w:p>
            <w:pPr>
              <w:pStyle w:val="17"/>
              <w:bidi w:val="0"/>
              <w:rPr>
                <w:rFonts w:hint="default"/>
                <w:lang w:val="en-US" w:eastAsia="zh-CN"/>
              </w:rPr>
            </w:pPr>
            <w:r>
              <w:rPr>
                <w:rFonts w:hint="eastAsia"/>
                <w:lang w:val="en-US" w:eastAsia="zh-CN"/>
              </w:rPr>
              <w:t>46.25</w:t>
            </w:r>
          </w:p>
        </w:tc>
        <w:tc>
          <w:tcPr>
            <w:tcW w:w="1183" w:type="dxa"/>
            <w:tcBorders>
              <w:tl2br w:val="nil"/>
              <w:tr2bl w:val="nil"/>
            </w:tcBorders>
            <w:vAlign w:val="center"/>
          </w:tcPr>
          <w:p>
            <w:pPr>
              <w:pStyle w:val="17"/>
              <w:bidi w:val="0"/>
              <w:rPr>
                <w:rFonts w:hint="default"/>
              </w:rPr>
            </w:pPr>
            <w:r>
              <w:rPr>
                <w:rFonts w:hint="default"/>
              </w:rPr>
              <w:t>1.85</w:t>
            </w:r>
          </w:p>
        </w:tc>
        <w:tc>
          <w:tcPr>
            <w:tcW w:w="1232" w:type="dxa"/>
            <w:tcBorders>
              <w:tl2br w:val="nil"/>
              <w:tr2bl w:val="nil"/>
            </w:tcBorders>
            <w:vAlign w:val="center"/>
          </w:tcPr>
          <w:p>
            <w:pPr>
              <w:pStyle w:val="17"/>
              <w:bidi w:val="0"/>
              <w:rPr>
                <w:rFonts w:hint="default"/>
                <w:lang w:val="en-US" w:eastAsia="zh-CN"/>
              </w:rPr>
            </w:pPr>
            <w:r>
              <w:rPr>
                <w:rFonts w:hint="eastAsia"/>
                <w:lang w:val="en-US" w:eastAsia="zh-CN"/>
              </w:rPr>
              <w:t>100</w:t>
            </w:r>
          </w:p>
        </w:tc>
        <w:tc>
          <w:tcPr>
            <w:tcW w:w="924" w:type="dxa"/>
            <w:tcBorders>
              <w:tl2br w:val="nil"/>
              <w:tr2bl w:val="nil"/>
            </w:tcBorders>
            <w:vAlign w:val="center"/>
          </w:tcPr>
          <w:p>
            <w:pPr>
              <w:pStyle w:val="17"/>
              <w:bidi w:val="0"/>
              <w:rPr>
                <w:rFonts w:hint="default"/>
              </w:rPr>
            </w:pPr>
            <w:r>
              <w:rPr>
                <w:rFonts w:hint="default"/>
              </w:rPr>
              <w:t>0</w:t>
            </w:r>
          </w:p>
        </w:tc>
        <w:tc>
          <w:tcPr>
            <w:tcW w:w="1719" w:type="dxa"/>
            <w:tcBorders>
              <w:tl2br w:val="nil"/>
              <w:tr2bl w:val="nil"/>
            </w:tcBorders>
            <w:vAlign w:val="center"/>
          </w:tcPr>
          <w:p>
            <w:pPr>
              <w:pStyle w:val="17"/>
              <w:bidi w:val="0"/>
              <w:rPr>
                <w:rFonts w:hint="default"/>
              </w:rPr>
            </w:pPr>
            <w:r>
              <w:rPr>
                <w:rFonts w:hint="default"/>
              </w:rPr>
              <w:t>循环沉淀池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18" w:type="dxa"/>
            <w:tcBorders>
              <w:tl2br w:val="nil"/>
              <w:tr2bl w:val="nil"/>
            </w:tcBorders>
            <w:vAlign w:val="center"/>
          </w:tcPr>
          <w:p>
            <w:pPr>
              <w:pStyle w:val="17"/>
              <w:bidi w:val="0"/>
              <w:rPr>
                <w:rFonts w:hint="default"/>
              </w:rPr>
            </w:pPr>
            <w:r>
              <w:rPr>
                <w:rFonts w:hint="default"/>
              </w:rPr>
              <w:t>地面冲洗</w:t>
            </w:r>
          </w:p>
        </w:tc>
        <w:tc>
          <w:tcPr>
            <w:tcW w:w="1087"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1008" w:type="dxa"/>
            <w:tcBorders>
              <w:tl2br w:val="nil"/>
              <w:tr2bl w:val="nil"/>
            </w:tcBorders>
            <w:vAlign w:val="center"/>
          </w:tcPr>
          <w:p>
            <w:pPr>
              <w:pStyle w:val="17"/>
              <w:bidi w:val="0"/>
              <w:rPr>
                <w:rFonts w:hint="default"/>
              </w:rPr>
            </w:pPr>
            <w:r>
              <w:rPr>
                <w:rFonts w:hint="default"/>
              </w:rPr>
              <w:t>0.17</w:t>
            </w:r>
          </w:p>
        </w:tc>
        <w:tc>
          <w:tcPr>
            <w:tcW w:w="1183" w:type="dxa"/>
            <w:tcBorders>
              <w:tl2br w:val="nil"/>
              <w:tr2bl w:val="nil"/>
            </w:tcBorders>
            <w:vAlign w:val="center"/>
          </w:tcPr>
          <w:p>
            <w:pPr>
              <w:pStyle w:val="17"/>
              <w:bidi w:val="0"/>
              <w:rPr>
                <w:rFonts w:hint="default"/>
              </w:rPr>
            </w:pPr>
            <w:r>
              <w:rPr>
                <w:rFonts w:hint="default"/>
              </w:rPr>
              <w:t>--</w:t>
            </w:r>
          </w:p>
        </w:tc>
        <w:tc>
          <w:tcPr>
            <w:tcW w:w="1232" w:type="dxa"/>
            <w:tcBorders>
              <w:tl2br w:val="nil"/>
              <w:tr2bl w:val="nil"/>
            </w:tcBorders>
            <w:vAlign w:val="center"/>
          </w:tcPr>
          <w:p>
            <w:pPr>
              <w:pStyle w:val="17"/>
              <w:bidi w:val="0"/>
              <w:rPr>
                <w:rFonts w:hint="default"/>
              </w:rPr>
            </w:pPr>
            <w:r>
              <w:rPr>
                <w:rFonts w:hint="default"/>
              </w:rPr>
              <w:t>0.17</w:t>
            </w:r>
          </w:p>
        </w:tc>
        <w:tc>
          <w:tcPr>
            <w:tcW w:w="924" w:type="dxa"/>
            <w:tcBorders>
              <w:tl2br w:val="nil"/>
              <w:tr2bl w:val="nil"/>
            </w:tcBorders>
            <w:vAlign w:val="center"/>
          </w:tcPr>
          <w:p>
            <w:pPr>
              <w:pStyle w:val="17"/>
              <w:bidi w:val="0"/>
              <w:rPr>
                <w:rFonts w:hint="default"/>
              </w:rPr>
            </w:pPr>
            <w:r>
              <w:rPr>
                <w:rFonts w:hint="default"/>
              </w:rPr>
              <w:t>0</w:t>
            </w:r>
          </w:p>
        </w:tc>
        <w:tc>
          <w:tcPr>
            <w:tcW w:w="1719" w:type="dxa"/>
            <w:tcBorders>
              <w:tl2br w:val="nil"/>
              <w:tr2bl w:val="nil"/>
            </w:tcBorders>
            <w:vAlign w:val="center"/>
          </w:tcPr>
          <w:p>
            <w:pPr>
              <w:pStyle w:val="17"/>
              <w:bidi w:val="0"/>
              <w:rPr>
                <w:rFonts w:hint="default"/>
              </w:rPr>
            </w:pPr>
            <w:r>
              <w:rPr>
                <w:rFonts w:hint="default"/>
              </w:rPr>
              <w:t>循环沉淀池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18" w:type="dxa"/>
            <w:tcBorders>
              <w:tl2br w:val="nil"/>
              <w:tr2bl w:val="nil"/>
            </w:tcBorders>
            <w:vAlign w:val="center"/>
          </w:tcPr>
          <w:p>
            <w:pPr>
              <w:pStyle w:val="17"/>
              <w:bidi w:val="0"/>
              <w:rPr>
                <w:rFonts w:hint="default"/>
              </w:rPr>
            </w:pPr>
            <w:r>
              <w:rPr>
                <w:rFonts w:hint="default"/>
              </w:rPr>
              <w:t>绿化用水</w:t>
            </w:r>
          </w:p>
        </w:tc>
        <w:tc>
          <w:tcPr>
            <w:tcW w:w="1087" w:type="dxa"/>
            <w:tcBorders>
              <w:tl2br w:val="nil"/>
              <w:tr2bl w:val="nil"/>
            </w:tcBorders>
            <w:vAlign w:val="center"/>
          </w:tcPr>
          <w:p>
            <w:pPr>
              <w:pStyle w:val="17"/>
              <w:bidi w:val="0"/>
              <w:rPr>
                <w:rFonts w:hint="default"/>
                <w:lang w:val="en-US" w:eastAsia="zh-CN"/>
              </w:rPr>
            </w:pPr>
            <w:r>
              <w:rPr>
                <w:rFonts w:hint="eastAsia"/>
                <w:lang w:val="en-US" w:eastAsia="zh-CN"/>
              </w:rPr>
              <w:t>2.48</w:t>
            </w:r>
          </w:p>
        </w:tc>
        <w:tc>
          <w:tcPr>
            <w:tcW w:w="1008" w:type="dxa"/>
            <w:tcBorders>
              <w:tl2br w:val="nil"/>
              <w:tr2bl w:val="nil"/>
            </w:tcBorders>
            <w:vAlign w:val="center"/>
          </w:tcPr>
          <w:p>
            <w:pPr>
              <w:pStyle w:val="17"/>
              <w:bidi w:val="0"/>
              <w:rPr>
                <w:rFonts w:hint="default"/>
              </w:rPr>
            </w:pPr>
            <w:r>
              <w:rPr>
                <w:rFonts w:hint="default"/>
              </w:rPr>
              <w:t>--</w:t>
            </w:r>
          </w:p>
        </w:tc>
        <w:tc>
          <w:tcPr>
            <w:tcW w:w="1183" w:type="dxa"/>
            <w:tcBorders>
              <w:tl2br w:val="nil"/>
              <w:tr2bl w:val="nil"/>
            </w:tcBorders>
            <w:vAlign w:val="center"/>
          </w:tcPr>
          <w:p>
            <w:pPr>
              <w:pStyle w:val="17"/>
              <w:bidi w:val="0"/>
              <w:rPr>
                <w:rFonts w:hint="default"/>
                <w:lang w:val="en-US" w:eastAsia="zh-CN"/>
              </w:rPr>
            </w:pPr>
            <w:r>
              <w:rPr>
                <w:rFonts w:hint="eastAsia"/>
                <w:lang w:val="en-US" w:eastAsia="zh-CN"/>
              </w:rPr>
              <w:t>2.48</w:t>
            </w:r>
          </w:p>
        </w:tc>
        <w:tc>
          <w:tcPr>
            <w:tcW w:w="1232" w:type="dxa"/>
            <w:tcBorders>
              <w:tl2br w:val="nil"/>
              <w:tr2bl w:val="nil"/>
            </w:tcBorders>
            <w:vAlign w:val="center"/>
          </w:tcPr>
          <w:p>
            <w:pPr>
              <w:pStyle w:val="17"/>
              <w:bidi w:val="0"/>
              <w:rPr>
                <w:rFonts w:hint="default"/>
              </w:rPr>
            </w:pPr>
            <w:r>
              <w:rPr>
                <w:rFonts w:hint="default"/>
              </w:rPr>
              <w:t>--</w:t>
            </w:r>
          </w:p>
        </w:tc>
        <w:tc>
          <w:tcPr>
            <w:tcW w:w="924" w:type="dxa"/>
            <w:tcBorders>
              <w:tl2br w:val="nil"/>
              <w:tr2bl w:val="nil"/>
            </w:tcBorders>
            <w:vAlign w:val="center"/>
          </w:tcPr>
          <w:p>
            <w:pPr>
              <w:pStyle w:val="17"/>
              <w:bidi w:val="0"/>
              <w:rPr>
                <w:rFonts w:hint="default"/>
              </w:rPr>
            </w:pPr>
            <w:r>
              <w:rPr>
                <w:rFonts w:hint="default"/>
              </w:rPr>
              <w:t>0</w:t>
            </w:r>
          </w:p>
        </w:tc>
        <w:tc>
          <w:tcPr>
            <w:tcW w:w="1719" w:type="dxa"/>
            <w:tcBorders>
              <w:tl2br w:val="nil"/>
              <w:tr2bl w:val="nil"/>
            </w:tcBorders>
            <w:vAlign w:val="center"/>
          </w:tcPr>
          <w:p>
            <w:pPr>
              <w:pStyle w:val="17"/>
              <w:bidi w:val="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18" w:type="dxa"/>
            <w:tcBorders>
              <w:tl2br w:val="nil"/>
              <w:tr2bl w:val="nil"/>
            </w:tcBorders>
            <w:vAlign w:val="center"/>
          </w:tcPr>
          <w:p>
            <w:pPr>
              <w:pStyle w:val="17"/>
              <w:bidi w:val="0"/>
              <w:rPr>
                <w:rFonts w:hint="default"/>
              </w:rPr>
            </w:pPr>
            <w:r>
              <w:rPr>
                <w:rFonts w:hint="default"/>
              </w:rPr>
              <w:t>生活用水</w:t>
            </w:r>
          </w:p>
        </w:tc>
        <w:tc>
          <w:tcPr>
            <w:tcW w:w="1087" w:type="dxa"/>
            <w:tcBorders>
              <w:tl2br w:val="nil"/>
              <w:tr2bl w:val="nil"/>
            </w:tcBorders>
            <w:vAlign w:val="center"/>
          </w:tcPr>
          <w:p>
            <w:pPr>
              <w:pStyle w:val="17"/>
              <w:bidi w:val="0"/>
              <w:rPr>
                <w:rFonts w:hint="default"/>
                <w:lang w:val="en-US" w:eastAsia="zh-CN"/>
              </w:rPr>
            </w:pPr>
            <w:r>
              <w:rPr>
                <w:rFonts w:hint="eastAsia"/>
                <w:lang w:val="en-US" w:eastAsia="zh-CN"/>
              </w:rPr>
              <w:t>4.2</w:t>
            </w:r>
          </w:p>
        </w:tc>
        <w:tc>
          <w:tcPr>
            <w:tcW w:w="1008" w:type="dxa"/>
            <w:tcBorders>
              <w:tl2br w:val="nil"/>
              <w:tr2bl w:val="nil"/>
            </w:tcBorders>
            <w:vAlign w:val="center"/>
          </w:tcPr>
          <w:p>
            <w:pPr>
              <w:pStyle w:val="17"/>
              <w:bidi w:val="0"/>
              <w:rPr>
                <w:rFonts w:hint="default"/>
              </w:rPr>
            </w:pPr>
            <w:r>
              <w:rPr>
                <w:rFonts w:hint="default"/>
              </w:rPr>
              <w:t>--</w:t>
            </w:r>
          </w:p>
        </w:tc>
        <w:tc>
          <w:tcPr>
            <w:tcW w:w="1183" w:type="dxa"/>
            <w:tcBorders>
              <w:tl2br w:val="nil"/>
              <w:tr2bl w:val="nil"/>
            </w:tcBorders>
            <w:vAlign w:val="center"/>
          </w:tcPr>
          <w:p>
            <w:pPr>
              <w:pStyle w:val="17"/>
              <w:bidi w:val="0"/>
              <w:rPr>
                <w:rFonts w:hint="default"/>
                <w:lang w:val="en-US" w:eastAsia="zh-CN"/>
              </w:rPr>
            </w:pPr>
            <w:r>
              <w:rPr>
                <w:rFonts w:hint="eastAsia"/>
                <w:lang w:val="en-US" w:eastAsia="zh-CN"/>
              </w:rPr>
              <w:t>0.84</w:t>
            </w:r>
          </w:p>
        </w:tc>
        <w:tc>
          <w:tcPr>
            <w:tcW w:w="1232" w:type="dxa"/>
            <w:tcBorders>
              <w:tl2br w:val="nil"/>
              <w:tr2bl w:val="nil"/>
            </w:tcBorders>
            <w:vAlign w:val="center"/>
          </w:tcPr>
          <w:p>
            <w:pPr>
              <w:pStyle w:val="17"/>
              <w:bidi w:val="0"/>
              <w:rPr>
                <w:rFonts w:hint="default"/>
              </w:rPr>
            </w:pPr>
            <w:r>
              <w:rPr>
                <w:rFonts w:hint="default"/>
              </w:rPr>
              <w:t>--</w:t>
            </w:r>
          </w:p>
        </w:tc>
        <w:tc>
          <w:tcPr>
            <w:tcW w:w="924" w:type="dxa"/>
            <w:tcBorders>
              <w:tl2br w:val="nil"/>
              <w:tr2bl w:val="nil"/>
            </w:tcBorders>
            <w:vAlign w:val="center"/>
          </w:tcPr>
          <w:p>
            <w:pPr>
              <w:pStyle w:val="17"/>
              <w:bidi w:val="0"/>
              <w:rPr>
                <w:rFonts w:hint="default"/>
                <w:lang w:val="en-US" w:eastAsia="zh-CN"/>
              </w:rPr>
            </w:pPr>
            <w:r>
              <w:rPr>
                <w:rFonts w:hint="eastAsia"/>
                <w:lang w:val="en-US" w:eastAsia="zh-CN"/>
              </w:rPr>
              <w:t>3.36</w:t>
            </w:r>
          </w:p>
        </w:tc>
        <w:tc>
          <w:tcPr>
            <w:tcW w:w="1719" w:type="dxa"/>
            <w:tcBorders>
              <w:tl2br w:val="nil"/>
              <w:tr2bl w:val="nil"/>
            </w:tcBorders>
            <w:vAlign w:val="center"/>
          </w:tcPr>
          <w:p>
            <w:pPr>
              <w:pStyle w:val="17"/>
              <w:bidi w:val="0"/>
              <w:rPr>
                <w:rFonts w:hint="default" w:eastAsia="宋体"/>
                <w:lang w:val="en-US" w:eastAsia="zh-CN"/>
              </w:rPr>
            </w:pPr>
            <w:r>
              <w:rPr>
                <w:rFonts w:hint="eastAsia"/>
                <w:lang w:val="en-US" w:eastAsia="zh-CN"/>
              </w:rPr>
              <w:t>抽运至二工镇污水处理厂进行后续处理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18" w:type="dxa"/>
            <w:tcBorders>
              <w:tl2br w:val="nil"/>
              <w:tr2bl w:val="nil"/>
            </w:tcBorders>
            <w:vAlign w:val="center"/>
          </w:tcPr>
          <w:p>
            <w:pPr>
              <w:pStyle w:val="17"/>
              <w:bidi w:val="0"/>
              <w:rPr>
                <w:rFonts w:hint="default"/>
              </w:rPr>
            </w:pPr>
            <w:r>
              <w:rPr>
                <w:rFonts w:hint="default"/>
              </w:rPr>
              <w:t>合计</w:t>
            </w:r>
          </w:p>
        </w:tc>
        <w:tc>
          <w:tcPr>
            <w:tcW w:w="1087" w:type="dxa"/>
            <w:tcBorders>
              <w:tl2br w:val="nil"/>
              <w:tr2bl w:val="nil"/>
            </w:tcBorders>
            <w:vAlign w:val="center"/>
          </w:tcPr>
          <w:p>
            <w:pPr>
              <w:pStyle w:val="17"/>
              <w:bidi w:val="0"/>
              <w:rPr>
                <w:rFonts w:hint="default"/>
                <w:lang w:val="en-US" w:eastAsia="zh-CN"/>
              </w:rPr>
            </w:pPr>
            <w:r>
              <w:rPr>
                <w:rFonts w:hint="eastAsia"/>
                <w:lang w:val="en-US" w:eastAsia="zh-CN"/>
              </w:rPr>
              <w:t>9.27</w:t>
            </w:r>
          </w:p>
        </w:tc>
        <w:tc>
          <w:tcPr>
            <w:tcW w:w="1008" w:type="dxa"/>
            <w:tcBorders>
              <w:tl2br w:val="nil"/>
              <w:tr2bl w:val="nil"/>
            </w:tcBorders>
            <w:vAlign w:val="center"/>
          </w:tcPr>
          <w:p>
            <w:pPr>
              <w:pStyle w:val="17"/>
              <w:bidi w:val="0"/>
              <w:rPr>
                <w:rFonts w:hint="default"/>
                <w:lang w:val="en-US" w:eastAsia="zh-CN"/>
              </w:rPr>
            </w:pPr>
            <w:r>
              <w:rPr>
                <w:rFonts w:hint="eastAsia"/>
                <w:lang w:val="en-US" w:eastAsia="zh-CN"/>
              </w:rPr>
              <w:t>50.2</w:t>
            </w:r>
          </w:p>
        </w:tc>
        <w:tc>
          <w:tcPr>
            <w:tcW w:w="1183" w:type="dxa"/>
            <w:tcBorders>
              <w:tl2br w:val="nil"/>
              <w:tr2bl w:val="nil"/>
            </w:tcBorders>
            <w:vAlign w:val="center"/>
          </w:tcPr>
          <w:p>
            <w:pPr>
              <w:pStyle w:val="17"/>
              <w:bidi w:val="0"/>
              <w:rPr>
                <w:rFonts w:hint="default"/>
                <w:lang w:val="en-US" w:eastAsia="zh-CN"/>
              </w:rPr>
            </w:pPr>
            <w:r>
              <w:rPr>
                <w:rFonts w:hint="eastAsia"/>
                <w:lang w:val="en-US" w:eastAsia="zh-CN"/>
              </w:rPr>
              <w:t>9.27</w:t>
            </w:r>
          </w:p>
        </w:tc>
        <w:tc>
          <w:tcPr>
            <w:tcW w:w="1232" w:type="dxa"/>
            <w:tcBorders>
              <w:tl2br w:val="nil"/>
              <w:tr2bl w:val="nil"/>
            </w:tcBorders>
            <w:vAlign w:val="center"/>
          </w:tcPr>
          <w:p>
            <w:pPr>
              <w:pStyle w:val="17"/>
              <w:bidi w:val="0"/>
              <w:rPr>
                <w:rFonts w:hint="default"/>
                <w:lang w:val="en-US" w:eastAsia="zh-CN"/>
              </w:rPr>
            </w:pPr>
            <w:r>
              <w:rPr>
                <w:rFonts w:hint="eastAsia"/>
                <w:lang w:val="en-US" w:eastAsia="zh-CN"/>
              </w:rPr>
              <w:t>50.2</w:t>
            </w:r>
          </w:p>
        </w:tc>
        <w:tc>
          <w:tcPr>
            <w:tcW w:w="924" w:type="dxa"/>
            <w:tcBorders>
              <w:tl2br w:val="nil"/>
              <w:tr2bl w:val="nil"/>
            </w:tcBorders>
            <w:vAlign w:val="center"/>
          </w:tcPr>
          <w:p>
            <w:pPr>
              <w:pStyle w:val="17"/>
              <w:bidi w:val="0"/>
              <w:rPr>
                <w:rFonts w:hint="default"/>
                <w:lang w:val="en-US" w:eastAsia="zh-CN"/>
              </w:rPr>
            </w:pPr>
            <w:r>
              <w:rPr>
                <w:rFonts w:hint="eastAsia"/>
                <w:lang w:val="en-US" w:eastAsia="zh-CN"/>
              </w:rPr>
              <w:t>3.36</w:t>
            </w:r>
          </w:p>
        </w:tc>
        <w:tc>
          <w:tcPr>
            <w:tcW w:w="1719" w:type="dxa"/>
            <w:tcBorders>
              <w:tl2br w:val="nil"/>
              <w:tr2bl w:val="nil"/>
            </w:tcBorders>
            <w:vAlign w:val="center"/>
          </w:tcPr>
          <w:p>
            <w:pPr>
              <w:pStyle w:val="17"/>
              <w:bidi w:val="0"/>
              <w:rPr>
                <w:rFonts w:hint="default"/>
              </w:rPr>
            </w:pPr>
            <w:r>
              <w:rPr>
                <w:rFonts w:hint="default"/>
              </w:rPr>
              <w:t>--</w:t>
            </w:r>
          </w:p>
        </w:tc>
      </w:tr>
    </w:tbl>
    <w:p>
      <w:pPr>
        <w:pStyle w:val="6"/>
        <w:bidi w:val="0"/>
        <w:rPr>
          <w:rFonts w:hint="default"/>
        </w:rPr>
      </w:pPr>
      <w:r>
        <w:rPr>
          <w:rFonts w:hint="default"/>
        </w:rPr>
        <w:t>3.2.3.2</w:t>
      </w:r>
      <w:r>
        <w:rPr>
          <w:rFonts w:hint="eastAsia"/>
          <w:lang w:eastAsia="zh-CN"/>
        </w:rPr>
        <w:t>、</w:t>
      </w:r>
      <w:r>
        <w:rPr>
          <w:rFonts w:hint="default"/>
        </w:rPr>
        <w:t>供电</w:t>
      </w:r>
    </w:p>
    <w:p>
      <w:pPr>
        <w:bidi w:val="0"/>
        <w:rPr>
          <w:rFonts w:hint="default"/>
        </w:rPr>
      </w:pPr>
      <w:r>
        <w:rPr>
          <w:rFonts w:hint="default"/>
        </w:rPr>
        <w:t>本项目采用10kV电源供电，由市政供电主干线提供，经终端电杆上熔断器等保护后，以电缆架空方式进入变配电室，因此用电可以满足需要。生产车间、消防风机、火灾报警控制器、应急及疏散指示照明、安防监控系统等属于二级负荷，照明及其他电力负荷为三级负荷。</w:t>
      </w:r>
      <w:bookmarkStart w:id="96" w:name="_Toc218342392"/>
      <w:r>
        <w:rPr>
          <w:rFonts w:hint="default"/>
        </w:rPr>
        <w:t>该项目生产线及其配套工程所用设备均为低压设备，设备电源电压采用220/380伏，三相四线制，线路短路保护采用自动空气开关，功率小于30千瓦的电动机直接启动。</w:t>
      </w:r>
    </w:p>
    <w:bookmarkEnd w:id="96"/>
    <w:p>
      <w:pPr>
        <w:bidi w:val="0"/>
        <w:rPr>
          <w:rFonts w:hint="default"/>
        </w:rPr>
      </w:pPr>
      <w:r>
        <w:rPr>
          <w:rFonts w:hint="default"/>
        </w:rPr>
        <w:t>项目在建筑物上安装避雷设施，利用建筑物金属体做防雷接地装置，以防雷击。建筑物内的主要金属设备、管道、构架等接至电器设备的保护接地装置上，以防雷电感应。在进入建筑物端口处将电缆金属外皮、金属管线等接地，以防雷电波侵入。防直击雷、防雷电感应、电气设备等接地装置共用，采用总等电位联结，接地电阻小于4欧。</w:t>
      </w:r>
    </w:p>
    <w:p>
      <w:pPr>
        <w:bidi w:val="0"/>
        <w:rPr>
          <w:rFonts w:hint="default"/>
        </w:rPr>
      </w:pPr>
      <w:r>
        <w:rPr>
          <w:rFonts w:hint="default"/>
        </w:rPr>
        <w:t>在厂内设一电话站，电话站设在厂区车间内，通过内部电话系统实现内线接听及场内对讲机的使用，厂区电话和网络由相应通信部门配套接入，各具体部门根据实际需求设置电话接口和网络接口的数量。厂区外通信线路建议为通信电缆架空敷设，通信电缆为电缆直埋敷设，室内线路暗敷，经接线箱分别引至各用户。</w:t>
      </w:r>
    </w:p>
    <w:p>
      <w:pPr>
        <w:pStyle w:val="6"/>
        <w:bidi w:val="0"/>
        <w:rPr>
          <w:rFonts w:hint="default"/>
        </w:rPr>
      </w:pPr>
      <w:r>
        <w:rPr>
          <w:rFonts w:hint="default"/>
        </w:rPr>
        <w:t>3.2.3.3</w:t>
      </w:r>
      <w:r>
        <w:rPr>
          <w:rFonts w:hint="eastAsia"/>
          <w:lang w:eastAsia="zh-CN"/>
        </w:rPr>
        <w:t>、</w:t>
      </w:r>
      <w:r>
        <w:rPr>
          <w:rFonts w:hint="default"/>
        </w:rPr>
        <w:t>供热系统</w:t>
      </w:r>
    </w:p>
    <w:p>
      <w:pPr>
        <w:bidi w:val="0"/>
        <w:rPr>
          <w:rFonts w:hint="default"/>
        </w:rPr>
      </w:pPr>
      <w:r>
        <w:rPr>
          <w:rFonts w:hint="default"/>
        </w:rPr>
        <w:t>项目冬季供暖仅为生活区，采用电供暖方式，能够满足项目区用暖需求；烘干工段采用电烘干。</w:t>
      </w:r>
    </w:p>
    <w:p>
      <w:pPr>
        <w:pStyle w:val="6"/>
        <w:bidi w:val="0"/>
        <w:rPr>
          <w:rFonts w:hint="default"/>
        </w:rPr>
      </w:pPr>
      <w:r>
        <w:rPr>
          <w:rFonts w:hint="default"/>
        </w:rPr>
        <w:t>3.2.3.4</w:t>
      </w:r>
      <w:r>
        <w:rPr>
          <w:rFonts w:hint="eastAsia"/>
          <w:lang w:eastAsia="zh-CN"/>
        </w:rPr>
        <w:t>、</w:t>
      </w:r>
      <w:r>
        <w:rPr>
          <w:rFonts w:hint="default"/>
        </w:rPr>
        <w:t>通风</w:t>
      </w:r>
    </w:p>
    <w:p>
      <w:pPr>
        <w:bidi w:val="0"/>
        <w:rPr>
          <w:rFonts w:hint="default"/>
        </w:rPr>
      </w:pPr>
      <w:r>
        <w:rPr>
          <w:rFonts w:hint="default"/>
        </w:rPr>
        <w:t>生产车间</w:t>
      </w:r>
      <w:r>
        <w:rPr>
          <w:rFonts w:hint="eastAsia"/>
          <w:lang w:val="en-US" w:eastAsia="zh-CN"/>
        </w:rPr>
        <w:t>和造粒车间</w:t>
      </w:r>
      <w:r>
        <w:rPr>
          <w:rFonts w:hint="default"/>
        </w:rPr>
        <w:t>均设置全面通风系统，以加强车间的通风换气并改善车间内的劳动条件，通风量按车间换气次数3次/h计，排风机安装在屋面。</w:t>
      </w:r>
    </w:p>
    <w:p>
      <w:pPr>
        <w:pStyle w:val="6"/>
        <w:bidi w:val="0"/>
        <w:rPr>
          <w:rFonts w:hint="default"/>
        </w:rPr>
      </w:pPr>
      <w:r>
        <w:rPr>
          <w:rFonts w:hint="default"/>
        </w:rPr>
        <w:t>3.2.3.5</w:t>
      </w:r>
      <w:r>
        <w:rPr>
          <w:rFonts w:hint="eastAsia"/>
          <w:lang w:eastAsia="zh-CN"/>
        </w:rPr>
        <w:t>、</w:t>
      </w:r>
      <w:r>
        <w:rPr>
          <w:rFonts w:hint="default"/>
        </w:rPr>
        <w:t>消防系统</w:t>
      </w:r>
    </w:p>
    <w:p>
      <w:pPr>
        <w:bidi w:val="0"/>
        <w:rPr>
          <w:rFonts w:hint="default"/>
        </w:rPr>
      </w:pPr>
      <w:r>
        <w:rPr>
          <w:rFonts w:hint="default"/>
        </w:rPr>
        <w:t>根据《建筑设计防火规范》的要求，本项目建设需要满足规范要求，并配套安装消防设施。</w:t>
      </w:r>
    </w:p>
    <w:p>
      <w:pPr>
        <w:pStyle w:val="4"/>
        <w:bidi w:val="0"/>
        <w:rPr>
          <w:rFonts w:hint="default"/>
        </w:rPr>
      </w:pPr>
      <w:bookmarkStart w:id="97" w:name="_Toc20410"/>
      <w:bookmarkStart w:id="98" w:name="_Toc13543"/>
      <w:r>
        <w:rPr>
          <w:rFonts w:hint="default"/>
        </w:rPr>
        <w:t>3.3</w:t>
      </w:r>
      <w:r>
        <w:rPr>
          <w:rFonts w:hint="eastAsia"/>
          <w:lang w:eastAsia="zh-CN"/>
        </w:rPr>
        <w:t>、</w:t>
      </w:r>
      <w:r>
        <w:rPr>
          <w:rFonts w:hint="default"/>
        </w:rPr>
        <w:t>主要原辅材料及能耗情况</w:t>
      </w:r>
      <w:bookmarkEnd w:id="97"/>
      <w:bookmarkEnd w:id="98"/>
    </w:p>
    <w:p>
      <w:pPr>
        <w:pStyle w:val="5"/>
        <w:bidi w:val="0"/>
        <w:rPr>
          <w:rFonts w:hint="default"/>
        </w:rPr>
      </w:pPr>
      <w:r>
        <w:rPr>
          <w:rFonts w:hint="default"/>
        </w:rPr>
        <w:t>3.3.1</w:t>
      </w:r>
      <w:r>
        <w:rPr>
          <w:rFonts w:hint="eastAsia"/>
          <w:lang w:eastAsia="zh-CN"/>
        </w:rPr>
        <w:t>、</w:t>
      </w:r>
      <w:r>
        <w:rPr>
          <w:rFonts w:hint="default"/>
        </w:rPr>
        <w:t>原辅材料消耗及能耗情况</w:t>
      </w:r>
    </w:p>
    <w:p>
      <w:pPr>
        <w:bidi w:val="0"/>
        <w:rPr>
          <w:rFonts w:hint="default"/>
        </w:rPr>
      </w:pPr>
      <w:r>
        <w:rPr>
          <w:rFonts w:hint="default"/>
        </w:rPr>
        <w:t>本项目废旧滴灌带主要由当地收购，其余原辅材料在周边市场采购。本项目严格控制原料进厂把关程序，严禁有毒有害废塑料包装进厂。本项目主要原辅材料用量及公用工程产生的能耗详见表3.3-1。</w:t>
      </w:r>
    </w:p>
    <w:p>
      <w:pPr>
        <w:pStyle w:val="17"/>
        <w:bidi w:val="0"/>
        <w:rPr>
          <w:rFonts w:hint="default"/>
          <w:b/>
          <w:bCs/>
        </w:rPr>
      </w:pPr>
      <w:r>
        <w:rPr>
          <w:rFonts w:hint="default"/>
          <w:b/>
          <w:bCs/>
        </w:rPr>
        <w:t>表3.3-1   本项目</w:t>
      </w:r>
      <w:r>
        <w:rPr>
          <w:rFonts w:hint="default"/>
          <w:b/>
          <w:bCs/>
          <w:lang w:val="zh-CN"/>
        </w:rPr>
        <w:t>原辅材料用量及能耗情况</w:t>
      </w:r>
      <w:r>
        <w:rPr>
          <w:rFonts w:hint="default"/>
          <w:b/>
          <w:bCs/>
        </w:rPr>
        <w:t>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578"/>
        <w:gridCol w:w="1597"/>
        <w:gridCol w:w="1482"/>
        <w:gridCol w:w="1866"/>
        <w:gridCol w:w="1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17"/>
              <w:bidi w:val="0"/>
              <w:rPr>
                <w:rFonts w:hint="default"/>
                <w:b/>
                <w:bCs/>
              </w:rPr>
            </w:pPr>
            <w:r>
              <w:rPr>
                <w:rFonts w:hint="default"/>
                <w:b/>
                <w:bCs/>
              </w:rPr>
              <w:t>序号</w:t>
            </w:r>
          </w:p>
        </w:tc>
        <w:tc>
          <w:tcPr>
            <w:tcW w:w="1578" w:type="dxa"/>
            <w:tcBorders>
              <w:tl2br w:val="nil"/>
              <w:tr2bl w:val="nil"/>
            </w:tcBorders>
            <w:vAlign w:val="center"/>
          </w:tcPr>
          <w:p>
            <w:pPr>
              <w:pStyle w:val="17"/>
              <w:bidi w:val="0"/>
              <w:rPr>
                <w:rFonts w:hint="default"/>
                <w:b/>
                <w:bCs/>
              </w:rPr>
            </w:pPr>
            <w:r>
              <w:rPr>
                <w:rFonts w:hint="default"/>
                <w:b/>
                <w:bCs/>
              </w:rPr>
              <w:t>原料名称</w:t>
            </w:r>
          </w:p>
        </w:tc>
        <w:tc>
          <w:tcPr>
            <w:tcW w:w="1597" w:type="dxa"/>
            <w:tcBorders>
              <w:tl2br w:val="nil"/>
              <w:tr2bl w:val="nil"/>
            </w:tcBorders>
            <w:vAlign w:val="center"/>
          </w:tcPr>
          <w:p>
            <w:pPr>
              <w:pStyle w:val="17"/>
              <w:bidi w:val="0"/>
              <w:rPr>
                <w:rFonts w:hint="default"/>
                <w:b/>
                <w:bCs/>
              </w:rPr>
            </w:pPr>
            <w:r>
              <w:rPr>
                <w:rFonts w:hint="default"/>
                <w:b/>
                <w:bCs/>
              </w:rPr>
              <w:t>年用量</w:t>
            </w:r>
          </w:p>
        </w:tc>
        <w:tc>
          <w:tcPr>
            <w:tcW w:w="1482" w:type="dxa"/>
            <w:tcBorders>
              <w:tl2br w:val="nil"/>
              <w:tr2bl w:val="nil"/>
            </w:tcBorders>
            <w:vAlign w:val="center"/>
          </w:tcPr>
          <w:p>
            <w:pPr>
              <w:pStyle w:val="17"/>
              <w:bidi w:val="0"/>
              <w:rPr>
                <w:rFonts w:hint="default"/>
                <w:b/>
                <w:bCs/>
              </w:rPr>
            </w:pPr>
            <w:r>
              <w:rPr>
                <w:rFonts w:hint="default"/>
                <w:b/>
                <w:bCs/>
              </w:rPr>
              <w:t>运输方式</w:t>
            </w:r>
          </w:p>
        </w:tc>
        <w:tc>
          <w:tcPr>
            <w:tcW w:w="1866" w:type="dxa"/>
            <w:tcBorders>
              <w:tl2br w:val="nil"/>
              <w:tr2bl w:val="nil"/>
            </w:tcBorders>
            <w:vAlign w:val="center"/>
          </w:tcPr>
          <w:p>
            <w:pPr>
              <w:pStyle w:val="17"/>
              <w:bidi w:val="0"/>
              <w:rPr>
                <w:rFonts w:hint="default"/>
                <w:b/>
                <w:bCs/>
              </w:rPr>
            </w:pPr>
            <w:r>
              <w:rPr>
                <w:rFonts w:hint="default"/>
                <w:b/>
                <w:bCs/>
              </w:rPr>
              <w:t>来源</w:t>
            </w:r>
          </w:p>
        </w:tc>
        <w:tc>
          <w:tcPr>
            <w:tcW w:w="1793" w:type="dxa"/>
            <w:tcBorders>
              <w:tl2br w:val="nil"/>
              <w:tr2bl w:val="nil"/>
            </w:tcBorders>
            <w:vAlign w:val="center"/>
          </w:tcPr>
          <w:p>
            <w:pPr>
              <w:pStyle w:val="17"/>
              <w:bidi w:val="0"/>
              <w:rPr>
                <w:rFonts w:hint="default"/>
                <w:b/>
                <w:bCs/>
              </w:rPr>
            </w:pPr>
            <w:r>
              <w:rPr>
                <w:rFonts w:hint="default"/>
                <w:b/>
                <w:bCs/>
              </w:rPr>
              <w:t>存储方式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17"/>
              <w:bidi w:val="0"/>
              <w:rPr>
                <w:rFonts w:hint="default"/>
              </w:rPr>
            </w:pPr>
            <w:r>
              <w:rPr>
                <w:rFonts w:hint="default"/>
              </w:rPr>
              <w:t>1</w:t>
            </w:r>
          </w:p>
        </w:tc>
        <w:tc>
          <w:tcPr>
            <w:tcW w:w="1578" w:type="dxa"/>
            <w:tcBorders>
              <w:tl2br w:val="nil"/>
              <w:tr2bl w:val="nil"/>
            </w:tcBorders>
            <w:vAlign w:val="center"/>
          </w:tcPr>
          <w:p>
            <w:pPr>
              <w:pStyle w:val="17"/>
              <w:bidi w:val="0"/>
              <w:rPr>
                <w:rFonts w:hint="default"/>
              </w:rPr>
            </w:pPr>
            <w:r>
              <w:rPr>
                <w:rFonts w:hint="default"/>
              </w:rPr>
              <w:t>废旧滴灌带</w:t>
            </w:r>
          </w:p>
        </w:tc>
        <w:tc>
          <w:tcPr>
            <w:tcW w:w="1597" w:type="dxa"/>
            <w:tcBorders>
              <w:tl2br w:val="nil"/>
              <w:tr2bl w:val="nil"/>
            </w:tcBorders>
            <w:vAlign w:val="center"/>
          </w:tcPr>
          <w:p>
            <w:pPr>
              <w:pStyle w:val="17"/>
              <w:bidi w:val="0"/>
              <w:rPr>
                <w:rFonts w:hint="default"/>
              </w:rPr>
            </w:pPr>
            <w:r>
              <w:rPr>
                <w:rFonts w:hint="eastAsia"/>
                <w:lang w:val="en-US" w:eastAsia="zh-CN"/>
              </w:rPr>
              <w:t>5340</w:t>
            </w:r>
            <w:r>
              <w:rPr>
                <w:rFonts w:hint="default"/>
              </w:rPr>
              <w:t>t</w:t>
            </w:r>
          </w:p>
        </w:tc>
        <w:tc>
          <w:tcPr>
            <w:tcW w:w="1482" w:type="dxa"/>
            <w:tcBorders>
              <w:tl2br w:val="nil"/>
              <w:tr2bl w:val="nil"/>
            </w:tcBorders>
            <w:vAlign w:val="center"/>
          </w:tcPr>
          <w:p>
            <w:pPr>
              <w:pStyle w:val="17"/>
              <w:bidi w:val="0"/>
              <w:rPr>
                <w:rFonts w:hint="default"/>
              </w:rPr>
            </w:pPr>
            <w:r>
              <w:rPr>
                <w:rFonts w:hint="default"/>
              </w:rPr>
              <w:t>汽车</w:t>
            </w:r>
          </w:p>
        </w:tc>
        <w:tc>
          <w:tcPr>
            <w:tcW w:w="1866" w:type="dxa"/>
            <w:tcBorders>
              <w:tl2br w:val="nil"/>
              <w:tr2bl w:val="nil"/>
            </w:tcBorders>
            <w:vAlign w:val="center"/>
          </w:tcPr>
          <w:p>
            <w:pPr>
              <w:pStyle w:val="17"/>
              <w:bidi w:val="0"/>
              <w:rPr>
                <w:rFonts w:hint="default"/>
              </w:rPr>
            </w:pPr>
            <w:r>
              <w:rPr>
                <w:rFonts w:hint="default"/>
              </w:rPr>
              <w:t>当地收购</w:t>
            </w:r>
          </w:p>
        </w:tc>
        <w:tc>
          <w:tcPr>
            <w:tcW w:w="1793" w:type="dxa"/>
            <w:tcBorders>
              <w:tl2br w:val="nil"/>
              <w:tr2bl w:val="nil"/>
            </w:tcBorders>
            <w:vAlign w:val="center"/>
          </w:tcPr>
          <w:p>
            <w:pPr>
              <w:pStyle w:val="17"/>
              <w:bidi w:val="0"/>
              <w:rPr>
                <w:rFonts w:hint="default"/>
              </w:rPr>
            </w:pPr>
            <w:r>
              <w:rPr>
                <w:rFonts w:hint="default"/>
              </w:rPr>
              <w:t>吨包，仓储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17"/>
              <w:bidi w:val="0"/>
              <w:rPr>
                <w:rFonts w:hint="default"/>
              </w:rPr>
            </w:pPr>
            <w:r>
              <w:rPr>
                <w:rFonts w:hint="default"/>
              </w:rPr>
              <w:t>2</w:t>
            </w:r>
          </w:p>
        </w:tc>
        <w:tc>
          <w:tcPr>
            <w:tcW w:w="1578" w:type="dxa"/>
            <w:tcBorders>
              <w:tl2br w:val="nil"/>
              <w:tr2bl w:val="nil"/>
            </w:tcBorders>
            <w:vAlign w:val="center"/>
          </w:tcPr>
          <w:p>
            <w:pPr>
              <w:pStyle w:val="17"/>
              <w:bidi w:val="0"/>
              <w:rPr>
                <w:rFonts w:hint="default"/>
              </w:rPr>
            </w:pPr>
            <w:r>
              <w:rPr>
                <w:rFonts w:hint="default"/>
              </w:rPr>
              <w:t>聚乙烯树脂</w:t>
            </w:r>
          </w:p>
        </w:tc>
        <w:tc>
          <w:tcPr>
            <w:tcW w:w="1597" w:type="dxa"/>
            <w:tcBorders>
              <w:tl2br w:val="nil"/>
              <w:tr2bl w:val="nil"/>
            </w:tcBorders>
            <w:vAlign w:val="center"/>
          </w:tcPr>
          <w:p>
            <w:pPr>
              <w:pStyle w:val="17"/>
              <w:bidi w:val="0"/>
              <w:rPr>
                <w:rFonts w:hint="default"/>
              </w:rPr>
            </w:pPr>
            <w:r>
              <w:rPr>
                <w:rFonts w:hint="eastAsia"/>
                <w:lang w:val="en-US" w:eastAsia="zh-CN"/>
              </w:rPr>
              <w:t>1000</w:t>
            </w:r>
            <w:r>
              <w:rPr>
                <w:rFonts w:hint="default"/>
              </w:rPr>
              <w:t>t</w:t>
            </w:r>
          </w:p>
        </w:tc>
        <w:tc>
          <w:tcPr>
            <w:tcW w:w="1482" w:type="dxa"/>
            <w:tcBorders>
              <w:tl2br w:val="nil"/>
              <w:tr2bl w:val="nil"/>
            </w:tcBorders>
            <w:vAlign w:val="center"/>
          </w:tcPr>
          <w:p>
            <w:pPr>
              <w:pStyle w:val="17"/>
              <w:bidi w:val="0"/>
              <w:rPr>
                <w:rFonts w:hint="default"/>
              </w:rPr>
            </w:pPr>
            <w:r>
              <w:rPr>
                <w:rFonts w:hint="default"/>
              </w:rPr>
              <w:t>汽车</w:t>
            </w:r>
          </w:p>
        </w:tc>
        <w:tc>
          <w:tcPr>
            <w:tcW w:w="1866" w:type="dxa"/>
            <w:tcBorders>
              <w:tl2br w:val="nil"/>
              <w:tr2bl w:val="nil"/>
            </w:tcBorders>
            <w:vAlign w:val="center"/>
          </w:tcPr>
          <w:p>
            <w:pPr>
              <w:pStyle w:val="17"/>
              <w:bidi w:val="0"/>
              <w:rPr>
                <w:rFonts w:hint="default"/>
              </w:rPr>
            </w:pPr>
            <w:r>
              <w:rPr>
                <w:rFonts w:hint="default"/>
              </w:rPr>
              <w:t>周边市场采购</w:t>
            </w:r>
          </w:p>
        </w:tc>
        <w:tc>
          <w:tcPr>
            <w:tcW w:w="1793" w:type="dxa"/>
            <w:tcBorders>
              <w:tl2br w:val="nil"/>
              <w:tr2bl w:val="nil"/>
            </w:tcBorders>
            <w:vAlign w:val="center"/>
          </w:tcPr>
          <w:p>
            <w:pPr>
              <w:pStyle w:val="17"/>
              <w:bidi w:val="0"/>
              <w:rPr>
                <w:rFonts w:hint="default"/>
              </w:rPr>
            </w:pPr>
            <w:r>
              <w:rPr>
                <w:rFonts w:hint="default"/>
              </w:rPr>
              <w:t>吨包，仓储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17"/>
              <w:bidi w:val="0"/>
              <w:rPr>
                <w:rFonts w:hint="default"/>
              </w:rPr>
            </w:pPr>
            <w:r>
              <w:rPr>
                <w:rFonts w:hint="default"/>
              </w:rPr>
              <w:t>3</w:t>
            </w:r>
          </w:p>
        </w:tc>
        <w:tc>
          <w:tcPr>
            <w:tcW w:w="1578" w:type="dxa"/>
            <w:tcBorders>
              <w:tl2br w:val="nil"/>
              <w:tr2bl w:val="nil"/>
            </w:tcBorders>
            <w:vAlign w:val="center"/>
          </w:tcPr>
          <w:p>
            <w:pPr>
              <w:pStyle w:val="17"/>
              <w:bidi w:val="0"/>
              <w:rPr>
                <w:rFonts w:hint="default"/>
              </w:rPr>
            </w:pPr>
            <w:r>
              <w:rPr>
                <w:rFonts w:hint="default"/>
              </w:rPr>
              <w:t>抗老化剂和黑色母料</w:t>
            </w:r>
          </w:p>
        </w:tc>
        <w:tc>
          <w:tcPr>
            <w:tcW w:w="1597" w:type="dxa"/>
            <w:tcBorders>
              <w:tl2br w:val="nil"/>
              <w:tr2bl w:val="nil"/>
            </w:tcBorders>
            <w:vAlign w:val="center"/>
          </w:tcPr>
          <w:p>
            <w:pPr>
              <w:pStyle w:val="17"/>
              <w:bidi w:val="0"/>
              <w:rPr>
                <w:rFonts w:hint="default"/>
              </w:rPr>
            </w:pPr>
            <w:r>
              <w:rPr>
                <w:rFonts w:hint="eastAsia"/>
                <w:lang w:val="en-US" w:eastAsia="zh-CN"/>
              </w:rPr>
              <w:t>100</w:t>
            </w:r>
            <w:r>
              <w:rPr>
                <w:rFonts w:hint="default"/>
              </w:rPr>
              <w:t>t</w:t>
            </w:r>
          </w:p>
        </w:tc>
        <w:tc>
          <w:tcPr>
            <w:tcW w:w="1482" w:type="dxa"/>
            <w:tcBorders>
              <w:tl2br w:val="nil"/>
              <w:tr2bl w:val="nil"/>
            </w:tcBorders>
            <w:vAlign w:val="center"/>
          </w:tcPr>
          <w:p>
            <w:pPr>
              <w:pStyle w:val="17"/>
              <w:bidi w:val="0"/>
              <w:rPr>
                <w:rFonts w:hint="default"/>
              </w:rPr>
            </w:pPr>
            <w:r>
              <w:rPr>
                <w:rFonts w:hint="default"/>
              </w:rPr>
              <w:t>汽车</w:t>
            </w:r>
          </w:p>
        </w:tc>
        <w:tc>
          <w:tcPr>
            <w:tcW w:w="1866" w:type="dxa"/>
            <w:tcBorders>
              <w:tl2br w:val="nil"/>
              <w:tr2bl w:val="nil"/>
            </w:tcBorders>
            <w:vAlign w:val="center"/>
          </w:tcPr>
          <w:p>
            <w:pPr>
              <w:pStyle w:val="17"/>
              <w:bidi w:val="0"/>
              <w:rPr>
                <w:rFonts w:hint="default"/>
              </w:rPr>
            </w:pPr>
            <w:r>
              <w:rPr>
                <w:rFonts w:hint="default"/>
              </w:rPr>
              <w:t>周边市场采购</w:t>
            </w:r>
          </w:p>
        </w:tc>
        <w:tc>
          <w:tcPr>
            <w:tcW w:w="1793" w:type="dxa"/>
            <w:tcBorders>
              <w:tl2br w:val="nil"/>
              <w:tr2bl w:val="nil"/>
            </w:tcBorders>
            <w:vAlign w:val="center"/>
          </w:tcPr>
          <w:p>
            <w:pPr>
              <w:pStyle w:val="17"/>
              <w:bidi w:val="0"/>
              <w:rPr>
                <w:rFonts w:hint="default"/>
              </w:rPr>
            </w:pPr>
            <w:r>
              <w:rPr>
                <w:rFonts w:hint="default"/>
              </w:rPr>
              <w:t>吨包，仓储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17"/>
              <w:bidi w:val="0"/>
              <w:rPr>
                <w:rFonts w:hint="default"/>
              </w:rPr>
            </w:pPr>
            <w:r>
              <w:rPr>
                <w:rFonts w:hint="default"/>
              </w:rPr>
              <w:t>4</w:t>
            </w:r>
          </w:p>
        </w:tc>
        <w:tc>
          <w:tcPr>
            <w:tcW w:w="1578" w:type="dxa"/>
            <w:tcBorders>
              <w:tl2br w:val="nil"/>
              <w:tr2bl w:val="nil"/>
            </w:tcBorders>
            <w:vAlign w:val="center"/>
          </w:tcPr>
          <w:p>
            <w:pPr>
              <w:pStyle w:val="17"/>
              <w:bidi w:val="0"/>
              <w:rPr>
                <w:rFonts w:hint="default"/>
              </w:rPr>
            </w:pPr>
            <w:r>
              <w:rPr>
                <w:rFonts w:hint="default"/>
              </w:rPr>
              <w:t>新鲜水</w:t>
            </w:r>
          </w:p>
        </w:tc>
        <w:tc>
          <w:tcPr>
            <w:tcW w:w="1597" w:type="dxa"/>
            <w:tcBorders>
              <w:tl2br w:val="nil"/>
              <w:tr2bl w:val="nil"/>
            </w:tcBorders>
            <w:vAlign w:val="center"/>
          </w:tcPr>
          <w:p>
            <w:pPr>
              <w:pStyle w:val="17"/>
              <w:bidi w:val="0"/>
              <w:rPr>
                <w:rFonts w:hint="default"/>
              </w:rPr>
            </w:pPr>
            <w:r>
              <w:rPr>
                <w:rFonts w:hint="eastAsia"/>
                <w:lang w:val="en-US" w:eastAsia="zh-CN"/>
              </w:rPr>
              <w:t>2836.7</w:t>
            </w:r>
            <w:r>
              <w:rPr>
                <w:rFonts w:hint="default"/>
              </w:rPr>
              <w:t>t</w:t>
            </w:r>
          </w:p>
        </w:tc>
        <w:tc>
          <w:tcPr>
            <w:tcW w:w="1482" w:type="dxa"/>
            <w:tcBorders>
              <w:tl2br w:val="nil"/>
              <w:tr2bl w:val="nil"/>
            </w:tcBorders>
            <w:vAlign w:val="center"/>
          </w:tcPr>
          <w:p>
            <w:pPr>
              <w:pStyle w:val="17"/>
              <w:bidi w:val="0"/>
              <w:rPr>
                <w:rFonts w:hint="default"/>
              </w:rPr>
            </w:pPr>
            <w:r>
              <w:rPr>
                <w:rFonts w:hint="default"/>
              </w:rPr>
              <w:t>管网</w:t>
            </w:r>
          </w:p>
        </w:tc>
        <w:tc>
          <w:tcPr>
            <w:tcW w:w="1866" w:type="dxa"/>
            <w:tcBorders>
              <w:tl2br w:val="nil"/>
              <w:tr2bl w:val="nil"/>
            </w:tcBorders>
            <w:vAlign w:val="center"/>
          </w:tcPr>
          <w:p>
            <w:pPr>
              <w:pStyle w:val="17"/>
              <w:bidi w:val="0"/>
              <w:rPr>
                <w:rFonts w:hint="default"/>
              </w:rPr>
            </w:pPr>
            <w:r>
              <w:rPr>
                <w:rFonts w:hint="default"/>
              </w:rPr>
              <w:t>供水管网</w:t>
            </w:r>
          </w:p>
        </w:tc>
        <w:tc>
          <w:tcPr>
            <w:tcW w:w="1793" w:type="dxa"/>
            <w:tcBorders>
              <w:tl2br w:val="nil"/>
              <w:tr2bl w:val="nil"/>
            </w:tcBorders>
            <w:vAlign w:val="center"/>
          </w:tcPr>
          <w:p>
            <w:pPr>
              <w:pStyle w:val="17"/>
              <w:bidi w:val="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17"/>
              <w:bidi w:val="0"/>
              <w:rPr>
                <w:rFonts w:hint="default"/>
              </w:rPr>
            </w:pPr>
            <w:r>
              <w:rPr>
                <w:rFonts w:hint="default"/>
              </w:rPr>
              <w:t>5</w:t>
            </w:r>
          </w:p>
        </w:tc>
        <w:tc>
          <w:tcPr>
            <w:tcW w:w="1578" w:type="dxa"/>
            <w:tcBorders>
              <w:tl2br w:val="nil"/>
              <w:tr2bl w:val="nil"/>
            </w:tcBorders>
            <w:vAlign w:val="center"/>
          </w:tcPr>
          <w:p>
            <w:pPr>
              <w:pStyle w:val="17"/>
              <w:bidi w:val="0"/>
              <w:rPr>
                <w:rFonts w:hint="default"/>
              </w:rPr>
            </w:pPr>
            <w:r>
              <w:rPr>
                <w:rFonts w:hint="default"/>
              </w:rPr>
              <w:t>电</w:t>
            </w:r>
          </w:p>
        </w:tc>
        <w:tc>
          <w:tcPr>
            <w:tcW w:w="1597" w:type="dxa"/>
            <w:tcBorders>
              <w:tl2br w:val="nil"/>
              <w:tr2bl w:val="nil"/>
            </w:tcBorders>
            <w:vAlign w:val="center"/>
          </w:tcPr>
          <w:p>
            <w:pPr>
              <w:pStyle w:val="17"/>
              <w:bidi w:val="0"/>
              <w:rPr>
                <w:rFonts w:hint="default"/>
              </w:rPr>
            </w:pPr>
            <w:r>
              <w:rPr>
                <w:rFonts w:hint="eastAsia"/>
                <w:lang w:val="en-US" w:eastAsia="zh-CN"/>
              </w:rPr>
              <w:t>109.589</w:t>
            </w:r>
            <w:r>
              <w:rPr>
                <w:rFonts w:hint="default"/>
              </w:rPr>
              <w:t>万kWh</w:t>
            </w:r>
          </w:p>
        </w:tc>
        <w:tc>
          <w:tcPr>
            <w:tcW w:w="1482" w:type="dxa"/>
            <w:tcBorders>
              <w:tl2br w:val="nil"/>
              <w:tr2bl w:val="nil"/>
            </w:tcBorders>
            <w:vAlign w:val="center"/>
          </w:tcPr>
          <w:p>
            <w:pPr>
              <w:pStyle w:val="17"/>
              <w:bidi w:val="0"/>
              <w:rPr>
                <w:rFonts w:hint="default"/>
              </w:rPr>
            </w:pPr>
            <w:r>
              <w:rPr>
                <w:rFonts w:hint="default"/>
              </w:rPr>
              <w:t>电网</w:t>
            </w:r>
          </w:p>
        </w:tc>
        <w:tc>
          <w:tcPr>
            <w:tcW w:w="1866" w:type="dxa"/>
            <w:tcBorders>
              <w:tl2br w:val="nil"/>
              <w:tr2bl w:val="nil"/>
            </w:tcBorders>
            <w:vAlign w:val="center"/>
          </w:tcPr>
          <w:p>
            <w:pPr>
              <w:pStyle w:val="17"/>
              <w:bidi w:val="0"/>
              <w:rPr>
                <w:rFonts w:hint="default"/>
              </w:rPr>
            </w:pPr>
            <w:r>
              <w:rPr>
                <w:rFonts w:hint="default"/>
              </w:rPr>
              <w:t>供电网</w:t>
            </w:r>
          </w:p>
        </w:tc>
        <w:tc>
          <w:tcPr>
            <w:tcW w:w="1793" w:type="dxa"/>
            <w:tcBorders>
              <w:tl2br w:val="nil"/>
              <w:tr2bl w:val="nil"/>
            </w:tcBorders>
            <w:vAlign w:val="center"/>
          </w:tcPr>
          <w:p>
            <w:pPr>
              <w:pStyle w:val="17"/>
              <w:bidi w:val="0"/>
              <w:rPr>
                <w:rFonts w:hint="default"/>
              </w:rPr>
            </w:pPr>
            <w:r>
              <w:rPr>
                <w:rFonts w:hint="default"/>
              </w:rPr>
              <w:t>--</w:t>
            </w:r>
          </w:p>
        </w:tc>
      </w:tr>
    </w:tbl>
    <w:p>
      <w:pPr>
        <w:pStyle w:val="5"/>
        <w:bidi w:val="0"/>
        <w:rPr>
          <w:rFonts w:hint="default"/>
        </w:rPr>
      </w:pPr>
      <w:r>
        <w:rPr>
          <w:rFonts w:hint="default"/>
        </w:rPr>
        <w:t>3.3.2</w:t>
      </w:r>
      <w:r>
        <w:rPr>
          <w:rFonts w:hint="eastAsia"/>
          <w:lang w:eastAsia="zh-CN"/>
        </w:rPr>
        <w:t>、</w:t>
      </w:r>
      <w:r>
        <w:rPr>
          <w:rFonts w:hint="default"/>
        </w:rPr>
        <w:t>原辅材料理化性质</w:t>
      </w:r>
    </w:p>
    <w:p>
      <w:pPr>
        <w:bidi w:val="0"/>
        <w:rPr>
          <w:rFonts w:hint="default"/>
        </w:rPr>
      </w:pPr>
      <w:r>
        <w:rPr>
          <w:rFonts w:hint="default"/>
        </w:rPr>
        <w:t>本项目主要原辅材料的物化性质见表3.3-2。</w:t>
      </w:r>
    </w:p>
    <w:p>
      <w:pPr>
        <w:pStyle w:val="17"/>
        <w:bidi w:val="0"/>
        <w:rPr>
          <w:rFonts w:hint="default"/>
          <w:b/>
          <w:bCs/>
        </w:rPr>
      </w:pPr>
      <w:r>
        <w:rPr>
          <w:rFonts w:hint="default"/>
          <w:b/>
          <w:bCs/>
        </w:rPr>
        <w:t>表3.3-2   本项目</w:t>
      </w:r>
      <w:r>
        <w:rPr>
          <w:rFonts w:hint="default"/>
          <w:b/>
          <w:bCs/>
          <w:lang w:val="zh-CN"/>
        </w:rPr>
        <w:t>原辅材料理化性</w:t>
      </w:r>
      <w:r>
        <w:rPr>
          <w:rFonts w:hint="default"/>
          <w:b/>
          <w:bCs/>
        </w:rPr>
        <w:t>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73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704" w:type="dxa"/>
            <w:tcBorders>
              <w:tl2br w:val="nil"/>
              <w:tr2bl w:val="nil"/>
            </w:tcBorders>
            <w:vAlign w:val="center"/>
          </w:tcPr>
          <w:p>
            <w:pPr>
              <w:pStyle w:val="17"/>
              <w:bidi w:val="0"/>
              <w:rPr>
                <w:rFonts w:hint="default"/>
                <w:b/>
                <w:bCs/>
              </w:rPr>
            </w:pPr>
            <w:r>
              <w:rPr>
                <w:rFonts w:hint="default"/>
                <w:b/>
                <w:bCs/>
              </w:rPr>
              <w:t>名称</w:t>
            </w:r>
          </w:p>
        </w:tc>
        <w:tc>
          <w:tcPr>
            <w:tcW w:w="7367" w:type="dxa"/>
            <w:tcBorders>
              <w:tl2br w:val="nil"/>
              <w:tr2bl w:val="nil"/>
            </w:tcBorders>
            <w:vAlign w:val="center"/>
          </w:tcPr>
          <w:p>
            <w:pPr>
              <w:pStyle w:val="17"/>
              <w:bidi w:val="0"/>
              <w:rPr>
                <w:rFonts w:hint="default"/>
                <w:b/>
                <w:bCs/>
              </w:rPr>
            </w:pPr>
            <w:r>
              <w:rPr>
                <w:rFonts w:hint="default"/>
                <w:b/>
                <w:bCs/>
              </w:rPr>
              <w:t>性质及其组分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704" w:type="dxa"/>
            <w:tcBorders>
              <w:tl2br w:val="nil"/>
              <w:tr2bl w:val="nil"/>
            </w:tcBorders>
            <w:vAlign w:val="center"/>
          </w:tcPr>
          <w:p>
            <w:pPr>
              <w:pStyle w:val="17"/>
              <w:bidi w:val="0"/>
              <w:rPr>
                <w:rFonts w:hint="default"/>
              </w:rPr>
            </w:pPr>
            <w:r>
              <w:rPr>
                <w:rFonts w:hint="default"/>
              </w:rPr>
              <w:t>废旧滴灌带</w:t>
            </w:r>
          </w:p>
        </w:tc>
        <w:tc>
          <w:tcPr>
            <w:tcW w:w="7367" w:type="dxa"/>
            <w:tcBorders>
              <w:tl2br w:val="nil"/>
              <w:tr2bl w:val="nil"/>
            </w:tcBorders>
            <w:vAlign w:val="center"/>
          </w:tcPr>
          <w:p>
            <w:pPr>
              <w:pStyle w:val="17"/>
              <w:bidi w:val="0"/>
              <w:rPr>
                <w:rFonts w:hint="default"/>
                <w:lang w:val="zh-CN" w:eastAsia="zh-CN"/>
              </w:rPr>
            </w:pPr>
            <w:r>
              <w:rPr>
                <w:rFonts w:hint="default"/>
                <w:lang w:val="zh-CN" w:eastAsia="zh-CN"/>
              </w:rPr>
              <w:t>本项目的废旧滴灌带来源于当地农户种植作物后，产生的废旧滴灌带。废旧滴灌带表面主要为泥沙、尘土，少量废作物残渣，不含有毒有害物质。主要成分为聚乙烯，无臭，无毒，手感似蜡，具有优良的耐低温性能(最低使用温度可达-70～-100℃)，化学稳定性好，能耐大多数酸碱的侵蚀，常温下不溶于一般溶剂，吸水性小，但由于其为线性分子可缓慢溶于某些有机溶剂，且不发生溶胀，电绝缘性能优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704" w:type="dxa"/>
            <w:tcBorders>
              <w:tl2br w:val="nil"/>
              <w:tr2bl w:val="nil"/>
            </w:tcBorders>
            <w:vAlign w:val="center"/>
          </w:tcPr>
          <w:p>
            <w:pPr>
              <w:pStyle w:val="17"/>
              <w:bidi w:val="0"/>
              <w:rPr>
                <w:rFonts w:hint="default"/>
              </w:rPr>
            </w:pPr>
            <w:r>
              <w:rPr>
                <w:rFonts w:hint="default"/>
              </w:rPr>
              <w:t>抗老化剂</w:t>
            </w:r>
          </w:p>
        </w:tc>
        <w:tc>
          <w:tcPr>
            <w:tcW w:w="7367" w:type="dxa"/>
            <w:tcBorders>
              <w:tl2br w:val="nil"/>
              <w:tr2bl w:val="nil"/>
            </w:tcBorders>
            <w:vAlign w:val="center"/>
          </w:tcPr>
          <w:p>
            <w:pPr>
              <w:pStyle w:val="17"/>
              <w:bidi w:val="0"/>
              <w:rPr>
                <w:rFonts w:hint="default"/>
                <w:lang w:val="zh-CN" w:eastAsia="zh-CN"/>
              </w:rPr>
            </w:pPr>
            <w:r>
              <w:rPr>
                <w:rFonts w:hint="default"/>
                <w:lang w:val="zh-CN" w:eastAsia="zh-CN"/>
              </w:rPr>
              <w:t>本品是一种亚磷酸酯类抗氧剂，CAS 号：31570-04-4，化学名称：</w:t>
            </w:r>
          </w:p>
          <w:p>
            <w:pPr>
              <w:pStyle w:val="17"/>
              <w:bidi w:val="0"/>
              <w:rPr>
                <w:rFonts w:hint="default"/>
                <w:lang w:val="zh-CN" w:eastAsia="zh-CN"/>
              </w:rPr>
            </w:pPr>
            <w:r>
              <w:rPr>
                <w:rFonts w:hint="default"/>
                <w:lang w:val="zh-CN" w:eastAsia="zh-CN"/>
              </w:rPr>
              <w:t xml:space="preserve">三(2,4-二叔丁基)亚磷酸苯酯，熔点：182-186点：4挥发分：0.5%max，灰份：0.3%max，本品为低挥发性有机合成抗氧阻聚剂，广泛用于聚丙烯、聚乙烯、ABS、聚碳酸纤维及聚酯树脂等各类塑料的合成与加工。抗老化剂使用量非常小，具有超强的紫外线吸收能力；不易燃、不腐蚀、贮存稳定性好；与不饱和树脂的相容性良好，兼具长效抗氧、抗黄变作用性能；安全性极高。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704" w:type="dxa"/>
            <w:tcBorders>
              <w:tl2br w:val="nil"/>
              <w:tr2bl w:val="nil"/>
            </w:tcBorders>
            <w:vAlign w:val="center"/>
          </w:tcPr>
          <w:p>
            <w:pPr>
              <w:pStyle w:val="17"/>
              <w:bidi w:val="0"/>
              <w:rPr>
                <w:rFonts w:hint="default"/>
              </w:rPr>
            </w:pPr>
            <w:r>
              <w:rPr>
                <w:rFonts w:hint="default"/>
              </w:rPr>
              <w:t>黑色母料</w:t>
            </w:r>
          </w:p>
        </w:tc>
        <w:tc>
          <w:tcPr>
            <w:tcW w:w="7367" w:type="dxa"/>
            <w:tcBorders>
              <w:tl2br w:val="nil"/>
              <w:tr2bl w:val="nil"/>
            </w:tcBorders>
            <w:vAlign w:val="center"/>
          </w:tcPr>
          <w:p>
            <w:pPr>
              <w:pStyle w:val="17"/>
              <w:bidi w:val="0"/>
              <w:rPr>
                <w:rFonts w:hint="default"/>
                <w:lang w:val="zh-CN" w:eastAsia="zh-CN"/>
              </w:rPr>
            </w:pPr>
            <w:r>
              <w:rPr>
                <w:rFonts w:hint="default"/>
                <w:lang w:val="zh-CN" w:eastAsia="zh-CN"/>
              </w:rPr>
              <w:t>主要成分为碳黑。高黑、高亮，易分散，可达到高光镜面效果。环保、无毒、无味、无烟，产品表面光滑亮泽和实色颜色稳定，韧性好，不会出现色点和色纹等现象。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704" w:type="dxa"/>
            <w:tcBorders>
              <w:tl2br w:val="nil"/>
              <w:tr2bl w:val="nil"/>
            </w:tcBorders>
            <w:vAlign w:val="center"/>
          </w:tcPr>
          <w:p>
            <w:pPr>
              <w:pStyle w:val="17"/>
              <w:bidi w:val="0"/>
              <w:rPr>
                <w:rFonts w:hint="default"/>
              </w:rPr>
            </w:pPr>
            <w:r>
              <w:rPr>
                <w:rFonts w:hint="default"/>
              </w:rPr>
              <w:t>聚乙烯</w:t>
            </w:r>
          </w:p>
        </w:tc>
        <w:tc>
          <w:tcPr>
            <w:tcW w:w="7367" w:type="dxa"/>
            <w:tcBorders>
              <w:tl2br w:val="nil"/>
              <w:tr2bl w:val="nil"/>
            </w:tcBorders>
            <w:vAlign w:val="center"/>
          </w:tcPr>
          <w:p>
            <w:pPr>
              <w:pStyle w:val="17"/>
              <w:bidi w:val="0"/>
              <w:rPr>
                <w:rFonts w:hint="default"/>
                <w:lang w:val="zh-CN" w:eastAsia="zh-CN"/>
              </w:rPr>
            </w:pPr>
            <w:r>
              <w:rPr>
                <w:rFonts w:hint="default"/>
                <w:lang w:val="zh-CN" w:eastAsia="zh-CN"/>
              </w:rPr>
              <w:t>聚乙烯英文名称：polyethylene ，简称PE，是乙烯经聚合制得的一种</w:t>
            </w:r>
            <w:r>
              <w:rPr>
                <w:rFonts w:hint="default"/>
                <w:lang w:val="zh-CN" w:eastAsia="zh-CN"/>
              </w:rPr>
              <w:fldChar w:fldCharType="begin"/>
            </w:r>
            <w:r>
              <w:rPr>
                <w:rFonts w:hint="default"/>
                <w:lang w:val="zh-CN" w:eastAsia="zh-CN"/>
              </w:rPr>
              <w:instrText xml:space="preserve"> HYPERLINK "http://baike.baidu.com/view/861510.htm" \t "_blank" </w:instrText>
            </w:r>
            <w:r>
              <w:rPr>
                <w:rFonts w:hint="default"/>
                <w:lang w:val="zh-CN" w:eastAsia="zh-CN"/>
              </w:rPr>
              <w:fldChar w:fldCharType="separate"/>
            </w:r>
            <w:r>
              <w:rPr>
                <w:rFonts w:hint="default"/>
                <w:lang w:val="zh-CN" w:eastAsia="zh-CN"/>
              </w:rPr>
              <w:t>热塑性树脂</w:t>
            </w:r>
            <w:r>
              <w:rPr>
                <w:rFonts w:hint="default"/>
                <w:lang w:val="zh-CN" w:eastAsia="zh-CN"/>
              </w:rPr>
              <w:fldChar w:fldCharType="end"/>
            </w:r>
            <w:r>
              <w:rPr>
                <w:rFonts w:hint="default"/>
                <w:lang w:val="zh-CN" w:eastAsia="zh-CN"/>
              </w:rPr>
              <w:t>。在工业上，也包括乙烯与少量 在－烯烃的共聚物。</w:t>
            </w:r>
          </w:p>
          <w:p>
            <w:pPr>
              <w:pStyle w:val="17"/>
              <w:bidi w:val="0"/>
              <w:rPr>
                <w:rFonts w:hint="default"/>
                <w:lang w:val="zh-CN" w:eastAsia="zh-CN"/>
              </w:rPr>
            </w:pPr>
            <w:r>
              <w:rPr>
                <w:rFonts w:hint="default"/>
                <w:lang w:val="zh-CN" w:eastAsia="zh-CN"/>
              </w:rPr>
              <w:t>聚乙烯为典型的热塑性塑料，是无臭、无味、无毒的可燃性白色粉末。成型加工的 PE 树脂均是经挤出造粒的蜡状颗粒料，外观呈乳白色。其分子量在 1 万——</w:t>
            </w:r>
            <w:r>
              <w:rPr>
                <w:rFonts w:hint="default"/>
                <w:lang w:val="en-US" w:eastAsia="zh-CN"/>
              </w:rPr>
              <w:t>10</w:t>
            </w:r>
            <w:r>
              <w:rPr>
                <w:rFonts w:hint="default"/>
                <w:lang w:val="zh-CN" w:eastAsia="zh-CN"/>
              </w:rPr>
              <w:t>万范围内。分子量超过 10 万的则为超高分子量聚乙烯 UHMWPE3。分子量越高，其物理力学性能越好，越接近工程材料的要求水平。但分子量越高，其加工的难度也随之增大。聚乙烯熔点为132-135℃，其耐低温性能优良。在-60℃下仍可保持良好的力学性能，但使用温度在80~110℃。</w:t>
            </w:r>
          </w:p>
          <w:p>
            <w:pPr>
              <w:pStyle w:val="17"/>
              <w:bidi w:val="0"/>
              <w:rPr>
                <w:rFonts w:hint="default"/>
                <w:lang w:val="zh-CN" w:eastAsia="zh-CN"/>
              </w:rPr>
            </w:pPr>
            <w:r>
              <w:rPr>
                <w:rFonts w:hint="default"/>
                <w:lang w:val="zh-CN" w:eastAsia="zh-CN"/>
              </w:rPr>
              <w:t>聚乙烯化学稳定性较好，室温下可耐稀硝酸、稀硫酸和任何浓度的盐酸、氢 氟酸、磷酸、甲酸、醋酸、氨水、胺类、过氧化氢、氢氧化钠、氢氧化钾等溶液。但不耐强氧化的腐蚀，如发烟硫酸、浓硝酸、铬酸与硫酸的混合液。在室温下上述溶剂会对聚乙烯产生缓慢的侵蚀作用，而在 90-100℃下，浓硫酸和浓硝酸会快速地侵蚀聚乙烯，使其破坏或分解。聚乙烯在大气、阳光和氧的作用下，会发生老化，变色、龟裂、变脆或粉化， 丧失其力学性能。在成型加工温度下，也会因氧化作用，使其熔体戮度下降，发生变色、出现条纹，故而在成型加工和使用过程或选材时应予以注意。正因为聚乙烯拥有如上特质，容易加工成型，具有优良的耐化学腐蚀性、优良的电绝缘性以及耐低温性的热塑性聚合物。广泛的应用于电器工业、化学工业、食品工业、机器制造业及农业等方面。因此聚乙烯的再生回收具有非常深远的价值。</w:t>
            </w:r>
          </w:p>
        </w:tc>
      </w:tr>
    </w:tbl>
    <w:p>
      <w:pPr>
        <w:pStyle w:val="5"/>
        <w:bidi w:val="0"/>
        <w:rPr>
          <w:rFonts w:hint="default"/>
        </w:rPr>
      </w:pPr>
      <w:r>
        <w:rPr>
          <w:rFonts w:hint="default"/>
        </w:rPr>
        <w:t>3.3.3</w:t>
      </w:r>
      <w:r>
        <w:rPr>
          <w:rFonts w:hint="eastAsia"/>
          <w:lang w:eastAsia="zh-CN"/>
        </w:rPr>
        <w:t>、</w:t>
      </w:r>
      <w:r>
        <w:rPr>
          <w:rFonts w:hint="default"/>
        </w:rPr>
        <w:t>原材料来源及控制</w:t>
      </w:r>
    </w:p>
    <w:p>
      <w:pPr>
        <w:bidi w:val="0"/>
        <w:rPr>
          <w:rFonts w:hint="default"/>
        </w:rPr>
      </w:pPr>
      <w:r>
        <w:rPr>
          <w:rFonts w:hint="default"/>
        </w:rPr>
        <w:t>本项目废塑料仅为聚乙烯塑料，主要来自附近的废物回收站和周边农户，不得回收利用含卤素塑料及聚乙烯（PE）的废塑料。根据《废塑料回收与再生利用污染控制技术规范》（HJ/T364-2007）和《废塑料综合利用行业规范条件》中华人民共和国工业和信息部公告2015年第81号中相关要求，废塑料的回收和贮存应满足其相关要求，本项目废塑料的回收和贮存与相关规范符合性见表3.3-3。</w:t>
      </w:r>
    </w:p>
    <w:p>
      <w:pPr>
        <w:pStyle w:val="17"/>
        <w:keepNext w:val="0"/>
        <w:keepLines w:val="0"/>
        <w:pageBreakBefore w:val="0"/>
        <w:widowControl w:val="0"/>
        <w:kinsoku/>
        <w:wordWrap/>
        <w:overflowPunct/>
        <w:topLinePunct w:val="0"/>
        <w:autoSpaceDE/>
        <w:autoSpaceDN/>
        <w:bidi w:val="0"/>
        <w:adjustRightInd/>
        <w:snapToGrid/>
        <w:textAlignment w:val="auto"/>
        <w:rPr>
          <w:rFonts w:hint="default"/>
          <w:b/>
          <w:bCs/>
        </w:rPr>
      </w:pPr>
      <w:r>
        <w:rPr>
          <w:rFonts w:hint="default"/>
          <w:b/>
          <w:bCs/>
        </w:rPr>
        <w:t>表3.3</w:t>
      </w:r>
      <w:r>
        <w:rPr>
          <w:rFonts w:hint="default"/>
          <w:b/>
          <w:bCs/>
          <w:lang w:val="en-US" w:eastAsia="zh-CN"/>
        </w:rPr>
        <w:t>-3</w:t>
      </w:r>
      <w:r>
        <w:rPr>
          <w:rFonts w:hint="default"/>
          <w:b/>
          <w:bCs/>
        </w:rPr>
        <w:t xml:space="preserve">  </w:t>
      </w:r>
      <w:r>
        <w:rPr>
          <w:rFonts w:hint="eastAsia"/>
          <w:b/>
          <w:bCs/>
          <w:lang w:val="en-US" w:eastAsia="zh-CN"/>
        </w:rPr>
        <w:t xml:space="preserve"> </w:t>
      </w:r>
      <w:r>
        <w:rPr>
          <w:rFonts w:hint="default"/>
          <w:b/>
          <w:bCs/>
        </w:rPr>
        <w:t>本项目与相关规范符合性</w:t>
      </w:r>
    </w:p>
    <w:tbl>
      <w:tblPr>
        <w:tblStyle w:val="12"/>
        <w:tblpPr w:leftFromText="180" w:rightFromText="180" w:vertAnchor="text" w:horzAnchor="page" w:tblpXSpec="center" w:tblpY="163"/>
        <w:tblOverlap w:val="never"/>
        <w:tblW w:w="9071"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970"/>
        <w:gridCol w:w="3215"/>
        <w:gridCol w:w="3108"/>
        <w:gridCol w:w="17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23" w:hRule="atLeast"/>
          <w:jc w:val="center"/>
        </w:trPr>
        <w:tc>
          <w:tcPr>
            <w:tcW w:w="970" w:type="dxa"/>
            <w:tcBorders>
              <w:tl2br w:val="nil"/>
              <w:tr2bl w:val="nil"/>
            </w:tcBorders>
          </w:tcPr>
          <w:p>
            <w:pPr>
              <w:pStyle w:val="17"/>
              <w:keepNext w:val="0"/>
              <w:keepLines w:val="0"/>
              <w:pageBreakBefore w:val="0"/>
              <w:widowControl w:val="0"/>
              <w:kinsoku/>
              <w:wordWrap/>
              <w:overflowPunct/>
              <w:topLinePunct w:val="0"/>
              <w:autoSpaceDE/>
              <w:autoSpaceDN/>
              <w:bidi w:val="0"/>
              <w:adjustRightInd/>
              <w:snapToGrid/>
              <w:textAlignment w:val="auto"/>
              <w:rPr>
                <w:rFonts w:hint="default"/>
                <w:b/>
                <w:bCs/>
              </w:rPr>
            </w:pPr>
            <w:r>
              <w:rPr>
                <w:rFonts w:hint="default"/>
                <w:b/>
                <w:bCs/>
              </w:rPr>
              <w:t>规范</w:t>
            </w:r>
          </w:p>
        </w:tc>
        <w:tc>
          <w:tcPr>
            <w:tcW w:w="3215"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b/>
                <w:bCs/>
              </w:rPr>
            </w:pPr>
            <w:r>
              <w:rPr>
                <w:rFonts w:hint="default"/>
                <w:b/>
                <w:bCs/>
              </w:rPr>
              <w:t>规范要求</w:t>
            </w:r>
          </w:p>
        </w:tc>
        <w:tc>
          <w:tcPr>
            <w:tcW w:w="3108"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b/>
                <w:bCs/>
              </w:rPr>
            </w:pPr>
            <w:r>
              <w:rPr>
                <w:rFonts w:hint="default"/>
                <w:b/>
                <w:bCs/>
              </w:rPr>
              <w:t>本项目</w:t>
            </w:r>
          </w:p>
        </w:tc>
        <w:tc>
          <w:tcPr>
            <w:tcW w:w="1778"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b/>
                <w:bCs/>
              </w:rPr>
            </w:pPr>
            <w:r>
              <w:rPr>
                <w:rFonts w:hint="default"/>
                <w:b/>
                <w:bCs/>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23" w:hRule="atLeast"/>
          <w:jc w:val="center"/>
        </w:trPr>
        <w:tc>
          <w:tcPr>
            <w:tcW w:w="970" w:type="dxa"/>
            <w:vMerge w:val="restart"/>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《废塑料回收与再生利用污染控制技术</w:t>
            </w:r>
          </w:p>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规范》HJ/T364-2007</w:t>
            </w:r>
          </w:p>
        </w:tc>
        <w:tc>
          <w:tcPr>
            <w:tcW w:w="3215"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废塑料的回收应按原料树脂种类进行分类回收，并严格区分废塑料来源和原用途。不得回收和再生利用属于医疗废物和危险废物的废塑料</w:t>
            </w:r>
          </w:p>
        </w:tc>
        <w:tc>
          <w:tcPr>
            <w:tcW w:w="3108"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本项目废塑料仅为聚乙烯塑料，主要来自附近的废物回收站和周边农户，全部为废旧滴灌带。本项目原材料所掺杂的废物主要为砂土，夹杂物不属于危险废物和限制物品。本项目不回收和再生利用属于医疗废物、危险废物的废塑料、含卤素塑料</w:t>
            </w:r>
          </w:p>
        </w:tc>
        <w:tc>
          <w:tcPr>
            <w:tcW w:w="1778"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23" w:hRule="atLeast"/>
          <w:jc w:val="center"/>
        </w:trPr>
        <w:tc>
          <w:tcPr>
            <w:tcW w:w="970" w:type="dxa"/>
            <w:vMerge w:val="continue"/>
            <w:tcBorders>
              <w:tl2br w:val="nil"/>
              <w:tr2bl w:val="nil"/>
            </w:tcBorders>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p>
        </w:tc>
        <w:tc>
          <w:tcPr>
            <w:tcW w:w="3215"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含卤素废塑料的回收和再生利用应与其他废塑料分开进行</w:t>
            </w:r>
          </w:p>
        </w:tc>
        <w:tc>
          <w:tcPr>
            <w:tcW w:w="3108"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本项目不回收含卤素废塑料</w:t>
            </w:r>
          </w:p>
        </w:tc>
        <w:tc>
          <w:tcPr>
            <w:tcW w:w="1778"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23" w:hRule="atLeast"/>
          <w:jc w:val="center"/>
        </w:trPr>
        <w:tc>
          <w:tcPr>
            <w:tcW w:w="970" w:type="dxa"/>
            <w:vMerge w:val="continue"/>
            <w:tcBorders>
              <w:tl2br w:val="nil"/>
              <w:tr2bl w:val="nil"/>
            </w:tcBorders>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p>
        </w:tc>
        <w:tc>
          <w:tcPr>
            <w:tcW w:w="3215"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废塑料的回收过程中不得进行就地清洗，如需进行兼容破碎处理，应使用干法破碎技术，并配备相应的防尘、防噪声设备</w:t>
            </w:r>
          </w:p>
        </w:tc>
        <w:tc>
          <w:tcPr>
            <w:tcW w:w="3108"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废塑料回收过程中不就地清洗，破碎工序采用全封闭破碎机，并配有防噪声设备</w:t>
            </w:r>
          </w:p>
        </w:tc>
        <w:tc>
          <w:tcPr>
            <w:tcW w:w="1778"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23" w:hRule="atLeast"/>
          <w:jc w:val="center"/>
        </w:trPr>
        <w:tc>
          <w:tcPr>
            <w:tcW w:w="970" w:type="dxa"/>
            <w:vMerge w:val="continue"/>
            <w:tcBorders>
              <w:tl2br w:val="nil"/>
              <w:tr2bl w:val="nil"/>
            </w:tcBorders>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p>
        </w:tc>
        <w:tc>
          <w:tcPr>
            <w:tcW w:w="3215"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贮存要求废塑料应贮存在通过环保审批的专门贮存场所内，贮存场所必须为封闭或半封闭型设施，应有防雨、防晒、防渗、防尘、防扬散和防火措施</w:t>
            </w:r>
          </w:p>
        </w:tc>
        <w:tc>
          <w:tcPr>
            <w:tcW w:w="3108"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本项目贮存场为</w:t>
            </w:r>
            <w:r>
              <w:rPr>
                <w:rFonts w:hint="eastAsia"/>
                <w:lang w:val="en-US" w:eastAsia="zh-CN"/>
              </w:rPr>
              <w:t>全</w:t>
            </w:r>
            <w:r>
              <w:rPr>
                <w:rFonts w:hint="default"/>
              </w:rPr>
              <w:t>封闭型设施，有防雨、防晒、防渗、防尘、防扬散和防火措施</w:t>
            </w:r>
          </w:p>
        </w:tc>
        <w:tc>
          <w:tcPr>
            <w:tcW w:w="1778"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23" w:hRule="atLeast"/>
          <w:jc w:val="center"/>
        </w:trPr>
        <w:tc>
          <w:tcPr>
            <w:tcW w:w="970" w:type="dxa"/>
            <w:vMerge w:val="continue"/>
            <w:tcBorders>
              <w:tl2br w:val="nil"/>
              <w:tr2bl w:val="nil"/>
            </w:tcBorders>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p>
        </w:tc>
        <w:tc>
          <w:tcPr>
            <w:tcW w:w="3215"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不同种类、不同来源的废塑料，应分开存放</w:t>
            </w:r>
          </w:p>
        </w:tc>
        <w:tc>
          <w:tcPr>
            <w:tcW w:w="3108"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本项目废塑料按照仅为聚乙烯塑料，暂存于原料堆场内</w:t>
            </w:r>
          </w:p>
        </w:tc>
        <w:tc>
          <w:tcPr>
            <w:tcW w:w="1778"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23" w:hRule="atLeast"/>
          <w:jc w:val="center"/>
        </w:trPr>
        <w:tc>
          <w:tcPr>
            <w:tcW w:w="970" w:type="dxa"/>
            <w:tcBorders>
              <w:tl2br w:val="nil"/>
              <w:tr2bl w:val="nil"/>
            </w:tcBorders>
          </w:tcPr>
          <w:p>
            <w:pPr>
              <w:pStyle w:val="17"/>
              <w:keepNext w:val="0"/>
              <w:keepLines w:val="0"/>
              <w:pageBreakBefore w:val="0"/>
              <w:widowControl w:val="0"/>
              <w:kinsoku/>
              <w:wordWrap/>
              <w:overflowPunct/>
              <w:topLinePunct w:val="0"/>
              <w:autoSpaceDE/>
              <w:autoSpaceDN/>
              <w:bidi w:val="0"/>
              <w:adjustRightInd/>
              <w:snapToGrid/>
              <w:textAlignment w:val="auto"/>
              <w:rPr>
                <w:rFonts w:hint="default"/>
                <w:color w:val="0000FF"/>
              </w:rPr>
            </w:pPr>
            <w:r>
              <w:rPr>
                <w:rFonts w:hint="default"/>
                <w:color w:val="0000FF"/>
              </w:rPr>
              <w:t>《废塑料综合利用行业规范条件》</w:t>
            </w:r>
          </w:p>
        </w:tc>
        <w:tc>
          <w:tcPr>
            <w:tcW w:w="3215"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color w:val="0000FF"/>
              </w:rPr>
            </w:pPr>
            <w:r>
              <w:rPr>
                <w:rFonts w:hint="eastAsia"/>
                <w:color w:val="0000FF"/>
                <w:lang w:val="en-US" w:eastAsia="zh-CN"/>
              </w:rPr>
              <w:t>中</w:t>
            </w:r>
            <w:bookmarkStart w:id="534" w:name="_GoBack"/>
            <w:bookmarkEnd w:id="534"/>
            <w:r>
              <w:rPr>
                <w:rFonts w:hint="default"/>
                <w:color w:val="0000FF"/>
              </w:rPr>
              <w:t>华人民共和国工业和信息部公告2015年第81号：企业应具有与生产能力相匹配的厂区作业场地面积</w:t>
            </w:r>
          </w:p>
        </w:tc>
        <w:tc>
          <w:tcPr>
            <w:tcW w:w="3108"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color w:val="0000FF"/>
              </w:rPr>
            </w:pPr>
            <w:r>
              <w:rPr>
                <w:rFonts w:hint="default"/>
                <w:color w:val="0000FF"/>
              </w:rPr>
              <w:t>本项目聚乙烯原料暂存场所可暂存</w:t>
            </w:r>
            <w:r>
              <w:rPr>
                <w:rFonts w:hint="default"/>
                <w:color w:val="0000FF"/>
                <w:lang w:val="en-US"/>
              </w:rPr>
              <w:t>60</w:t>
            </w:r>
            <w:r>
              <w:rPr>
                <w:rFonts w:hint="default"/>
                <w:color w:val="0000FF"/>
              </w:rPr>
              <w:t>天的原材料</w:t>
            </w:r>
          </w:p>
        </w:tc>
        <w:tc>
          <w:tcPr>
            <w:tcW w:w="1778" w:type="dxa"/>
            <w:tcBorders>
              <w:tl2br w:val="nil"/>
              <w:tr2bl w:val="nil"/>
            </w:tcBorders>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color w:val="0000FF"/>
              </w:rPr>
            </w:pPr>
            <w:r>
              <w:rPr>
                <w:rFonts w:hint="default"/>
                <w:color w:val="0000FF"/>
              </w:rPr>
              <w:t>符合</w:t>
            </w:r>
          </w:p>
        </w:tc>
      </w:tr>
    </w:tbl>
    <w:p>
      <w:pPr>
        <w:pStyle w:val="5"/>
        <w:bidi w:val="0"/>
        <w:rPr>
          <w:rFonts w:hint="default"/>
        </w:rPr>
      </w:pPr>
      <w:r>
        <w:rPr>
          <w:rFonts w:hint="default"/>
        </w:rPr>
        <w:t>3.3.4</w:t>
      </w:r>
      <w:r>
        <w:rPr>
          <w:rFonts w:hint="eastAsia"/>
          <w:lang w:eastAsia="zh-CN"/>
        </w:rPr>
        <w:t>、</w:t>
      </w:r>
      <w:r>
        <w:rPr>
          <w:rFonts w:hint="default"/>
        </w:rPr>
        <w:t>原材料包装和运输项目原料包装和运输应满足以下要求：</w:t>
      </w:r>
    </w:p>
    <w:p>
      <w:pPr>
        <w:bidi w:val="0"/>
        <w:rPr>
          <w:rFonts w:hint="default"/>
        </w:rPr>
      </w:pPr>
      <w:r>
        <w:rPr>
          <w:rFonts w:hint="default"/>
        </w:rPr>
        <w:t>（1）废塑料运输前应进行包装，或用封闭的交通工具运输，不得裸露运输废塑料；</w:t>
      </w:r>
    </w:p>
    <w:p>
      <w:pPr>
        <w:bidi w:val="0"/>
        <w:rPr>
          <w:rFonts w:hint="default"/>
        </w:rPr>
      </w:pPr>
      <w:r>
        <w:rPr>
          <w:rFonts w:hint="default"/>
        </w:rPr>
        <w:t>（2）废塑料的包装应在通过环保审批的回收中转场所内进行；</w:t>
      </w:r>
    </w:p>
    <w:p>
      <w:pPr>
        <w:bidi w:val="0"/>
        <w:rPr>
          <w:rFonts w:hint="default"/>
        </w:rPr>
      </w:pPr>
      <w:r>
        <w:rPr>
          <w:rFonts w:hint="default"/>
        </w:rPr>
        <w:t>（3）废塑料包装物应防水、耐压、遮蔽性好，可多次重复使用；在装卸、运输过程中应确保包装完好，无废塑料遗洒；</w:t>
      </w:r>
    </w:p>
    <w:p>
      <w:pPr>
        <w:bidi w:val="0"/>
        <w:rPr>
          <w:rFonts w:hint="default"/>
        </w:rPr>
      </w:pPr>
      <w:r>
        <w:rPr>
          <w:rFonts w:hint="default"/>
        </w:rPr>
        <w:t>（4）包装物表面必须有回收标志和废塑料种类标志，标志应清晰、易于识别、不易擦掉，并应标明废塑料的来源、原用途和去向等信息。</w:t>
      </w:r>
    </w:p>
    <w:p>
      <w:pPr>
        <w:bidi w:val="0"/>
        <w:rPr>
          <w:rFonts w:hint="default"/>
        </w:rPr>
      </w:pPr>
      <w:r>
        <w:rPr>
          <w:rFonts w:hint="default"/>
        </w:rPr>
        <w:t>（5）不得超高、超宽、超载运输废塑料，宜采用集装箱或带有压缩装置的箱式货车运输。</w:t>
      </w:r>
    </w:p>
    <w:p>
      <w:pPr>
        <w:pStyle w:val="4"/>
        <w:bidi w:val="0"/>
        <w:rPr>
          <w:rFonts w:hint="default"/>
        </w:rPr>
      </w:pPr>
      <w:bookmarkStart w:id="99" w:name="_Toc9096"/>
      <w:r>
        <w:rPr>
          <w:rFonts w:hint="default"/>
        </w:rPr>
        <w:t>3.4</w:t>
      </w:r>
      <w:r>
        <w:rPr>
          <w:rFonts w:hint="eastAsia"/>
          <w:lang w:eastAsia="zh-CN"/>
        </w:rPr>
        <w:t>、</w:t>
      </w:r>
      <w:r>
        <w:rPr>
          <w:rFonts w:hint="default"/>
        </w:rPr>
        <w:t>主要设备</w:t>
      </w:r>
      <w:bookmarkEnd w:id="99"/>
    </w:p>
    <w:p>
      <w:pPr>
        <w:bidi w:val="0"/>
        <w:rPr>
          <w:rFonts w:hint="default"/>
        </w:rPr>
      </w:pPr>
      <w:r>
        <w:rPr>
          <w:rFonts w:hint="default"/>
        </w:rPr>
        <w:t>本项目主要工艺设备见表3.4-1。</w:t>
      </w:r>
    </w:p>
    <w:p>
      <w:pPr>
        <w:pStyle w:val="17"/>
        <w:bidi w:val="0"/>
        <w:rPr>
          <w:rFonts w:hint="default"/>
        </w:rPr>
      </w:pPr>
      <w:r>
        <w:rPr>
          <w:rFonts w:hint="default"/>
        </w:rPr>
        <w:t xml:space="preserve">表3.4-1  </w:t>
      </w:r>
      <w:r>
        <w:rPr>
          <w:rFonts w:hint="eastAsia"/>
          <w:lang w:val="en-US" w:eastAsia="zh-CN"/>
        </w:rPr>
        <w:t xml:space="preserve"> </w:t>
      </w:r>
      <w:r>
        <w:rPr>
          <w:rFonts w:hint="default"/>
        </w:rPr>
        <w:t>本项目主要设备一览表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1"/>
        <w:gridCol w:w="3288"/>
        <w:gridCol w:w="1213"/>
        <w:gridCol w:w="1112"/>
        <w:gridCol w:w="28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611" w:type="dxa"/>
            <w:tcBorders>
              <w:tl2br w:val="nil"/>
              <w:tr2bl w:val="nil"/>
            </w:tcBorders>
            <w:vAlign w:val="center"/>
          </w:tcPr>
          <w:p>
            <w:pPr>
              <w:pStyle w:val="17"/>
              <w:bidi w:val="0"/>
              <w:rPr>
                <w:rFonts w:hint="default"/>
              </w:rPr>
            </w:pPr>
            <w:r>
              <w:rPr>
                <w:rFonts w:hint="default"/>
              </w:rPr>
              <w:t>序号</w:t>
            </w:r>
          </w:p>
        </w:tc>
        <w:tc>
          <w:tcPr>
            <w:tcW w:w="3288" w:type="dxa"/>
            <w:tcBorders>
              <w:tl2br w:val="nil"/>
              <w:tr2bl w:val="nil"/>
            </w:tcBorders>
            <w:vAlign w:val="center"/>
          </w:tcPr>
          <w:p>
            <w:pPr>
              <w:pStyle w:val="17"/>
              <w:bidi w:val="0"/>
              <w:rPr>
                <w:rFonts w:hint="default"/>
              </w:rPr>
            </w:pPr>
            <w:r>
              <w:rPr>
                <w:rFonts w:hint="default"/>
              </w:rPr>
              <w:t>设备名称</w:t>
            </w:r>
          </w:p>
        </w:tc>
        <w:tc>
          <w:tcPr>
            <w:tcW w:w="1213" w:type="dxa"/>
            <w:tcBorders>
              <w:tl2br w:val="nil"/>
              <w:tr2bl w:val="nil"/>
            </w:tcBorders>
            <w:vAlign w:val="center"/>
          </w:tcPr>
          <w:p>
            <w:pPr>
              <w:pStyle w:val="17"/>
              <w:bidi w:val="0"/>
              <w:rPr>
                <w:rFonts w:hint="default"/>
              </w:rPr>
            </w:pPr>
            <w:r>
              <w:rPr>
                <w:rFonts w:hint="default"/>
              </w:rPr>
              <w:t>单位</w:t>
            </w:r>
          </w:p>
        </w:tc>
        <w:tc>
          <w:tcPr>
            <w:tcW w:w="1112" w:type="dxa"/>
            <w:tcBorders>
              <w:tl2br w:val="nil"/>
              <w:tr2bl w:val="nil"/>
            </w:tcBorders>
            <w:vAlign w:val="center"/>
          </w:tcPr>
          <w:p>
            <w:pPr>
              <w:pStyle w:val="17"/>
              <w:bidi w:val="0"/>
              <w:rPr>
                <w:rFonts w:hint="default"/>
              </w:rPr>
            </w:pPr>
            <w:r>
              <w:rPr>
                <w:rFonts w:hint="default"/>
              </w:rPr>
              <w:t>数量</w:t>
            </w:r>
          </w:p>
        </w:tc>
        <w:tc>
          <w:tcPr>
            <w:tcW w:w="2847" w:type="dxa"/>
            <w:tcBorders>
              <w:tl2br w:val="nil"/>
              <w:tr2bl w:val="nil"/>
            </w:tcBorders>
            <w:vAlign w:val="center"/>
          </w:tcPr>
          <w:p>
            <w:pPr>
              <w:pStyle w:val="17"/>
              <w:bidi w:val="0"/>
              <w:rPr>
                <w:rFonts w:hint="default"/>
              </w:rPr>
            </w:pPr>
            <w:r>
              <w:rPr>
                <w:rFonts w:hint="default"/>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611" w:type="dxa"/>
            <w:tcBorders>
              <w:tl2br w:val="nil"/>
              <w:tr2bl w:val="nil"/>
            </w:tcBorders>
            <w:vAlign w:val="center"/>
          </w:tcPr>
          <w:p>
            <w:pPr>
              <w:pStyle w:val="17"/>
              <w:bidi w:val="0"/>
              <w:rPr>
                <w:rFonts w:hint="default"/>
              </w:rPr>
            </w:pPr>
            <w:r>
              <w:rPr>
                <w:rFonts w:hint="default"/>
              </w:rPr>
              <w:t>1</w:t>
            </w:r>
          </w:p>
        </w:tc>
        <w:tc>
          <w:tcPr>
            <w:tcW w:w="3288" w:type="dxa"/>
            <w:tcBorders>
              <w:tl2br w:val="nil"/>
              <w:tr2bl w:val="nil"/>
            </w:tcBorders>
            <w:vAlign w:val="center"/>
          </w:tcPr>
          <w:p>
            <w:pPr>
              <w:pStyle w:val="17"/>
              <w:bidi w:val="0"/>
              <w:rPr>
                <w:rFonts w:hint="default"/>
              </w:rPr>
            </w:pPr>
            <w:r>
              <w:rPr>
                <w:rFonts w:hint="default"/>
                <w:lang w:val="en-US"/>
              </w:rPr>
              <w:t>再生</w:t>
            </w:r>
            <w:r>
              <w:rPr>
                <w:rFonts w:hint="default"/>
              </w:rPr>
              <w:t>颗粒生产线</w:t>
            </w:r>
          </w:p>
        </w:tc>
        <w:tc>
          <w:tcPr>
            <w:tcW w:w="1213" w:type="dxa"/>
            <w:tcBorders>
              <w:tl2br w:val="nil"/>
              <w:tr2bl w:val="nil"/>
            </w:tcBorders>
            <w:vAlign w:val="center"/>
          </w:tcPr>
          <w:p>
            <w:pPr>
              <w:pStyle w:val="17"/>
              <w:bidi w:val="0"/>
              <w:rPr>
                <w:rFonts w:hint="default"/>
              </w:rPr>
            </w:pPr>
            <w:r>
              <w:rPr>
                <w:rFonts w:hint="default"/>
              </w:rPr>
              <w:t>套</w:t>
            </w:r>
          </w:p>
        </w:tc>
        <w:tc>
          <w:tcPr>
            <w:tcW w:w="1112" w:type="dxa"/>
            <w:tcBorders>
              <w:tl2br w:val="nil"/>
              <w:tr2bl w:val="nil"/>
            </w:tcBorders>
            <w:vAlign w:val="center"/>
          </w:tcPr>
          <w:p>
            <w:pPr>
              <w:pStyle w:val="17"/>
              <w:bidi w:val="0"/>
              <w:rPr>
                <w:rFonts w:hint="default"/>
                <w:lang w:val="en-US" w:eastAsia="zh-CN"/>
              </w:rPr>
            </w:pPr>
            <w:r>
              <w:rPr>
                <w:rFonts w:hint="eastAsia"/>
                <w:lang w:val="en-US" w:eastAsia="zh-CN"/>
              </w:rPr>
              <w:t>10</w:t>
            </w:r>
          </w:p>
        </w:tc>
        <w:tc>
          <w:tcPr>
            <w:tcW w:w="2847" w:type="dxa"/>
            <w:tcBorders>
              <w:tl2br w:val="nil"/>
              <w:tr2bl w:val="nil"/>
            </w:tcBorders>
            <w:vAlign w:val="center"/>
          </w:tcPr>
          <w:p>
            <w:pPr>
              <w:pStyle w:val="17"/>
              <w:bidi w:val="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611" w:type="dxa"/>
            <w:tcBorders>
              <w:tl2br w:val="nil"/>
              <w:tr2bl w:val="nil"/>
            </w:tcBorders>
            <w:vAlign w:val="center"/>
          </w:tcPr>
          <w:p>
            <w:pPr>
              <w:pStyle w:val="17"/>
              <w:bidi w:val="0"/>
              <w:rPr>
                <w:rFonts w:hint="default"/>
              </w:rPr>
            </w:pPr>
            <w:r>
              <w:rPr>
                <w:rFonts w:hint="default"/>
              </w:rPr>
              <w:t>2</w:t>
            </w:r>
          </w:p>
        </w:tc>
        <w:tc>
          <w:tcPr>
            <w:tcW w:w="3288" w:type="dxa"/>
            <w:tcBorders>
              <w:tl2br w:val="nil"/>
              <w:tr2bl w:val="nil"/>
            </w:tcBorders>
            <w:vAlign w:val="center"/>
          </w:tcPr>
          <w:p>
            <w:pPr>
              <w:pStyle w:val="17"/>
              <w:bidi w:val="0"/>
              <w:rPr>
                <w:rFonts w:hint="default"/>
              </w:rPr>
            </w:pPr>
            <w:r>
              <w:rPr>
                <w:rFonts w:hint="default"/>
              </w:rPr>
              <w:t>滴灌带生产线</w:t>
            </w:r>
          </w:p>
        </w:tc>
        <w:tc>
          <w:tcPr>
            <w:tcW w:w="1213" w:type="dxa"/>
            <w:tcBorders>
              <w:tl2br w:val="nil"/>
              <w:tr2bl w:val="nil"/>
            </w:tcBorders>
            <w:vAlign w:val="center"/>
          </w:tcPr>
          <w:p>
            <w:pPr>
              <w:pStyle w:val="17"/>
              <w:bidi w:val="0"/>
              <w:rPr>
                <w:rFonts w:hint="default"/>
              </w:rPr>
            </w:pPr>
            <w:r>
              <w:rPr>
                <w:rFonts w:hint="default"/>
              </w:rPr>
              <w:t>套</w:t>
            </w:r>
          </w:p>
        </w:tc>
        <w:tc>
          <w:tcPr>
            <w:tcW w:w="1112" w:type="dxa"/>
            <w:tcBorders>
              <w:tl2br w:val="nil"/>
              <w:tr2bl w:val="nil"/>
            </w:tcBorders>
            <w:vAlign w:val="center"/>
          </w:tcPr>
          <w:p>
            <w:pPr>
              <w:pStyle w:val="17"/>
              <w:bidi w:val="0"/>
              <w:rPr>
                <w:rFonts w:hint="default"/>
                <w:lang w:val="en-US" w:eastAsia="zh-CN"/>
              </w:rPr>
            </w:pPr>
            <w:r>
              <w:rPr>
                <w:rFonts w:hint="eastAsia"/>
                <w:lang w:val="en-US" w:eastAsia="zh-CN"/>
              </w:rPr>
              <w:t>10</w:t>
            </w:r>
          </w:p>
        </w:tc>
        <w:tc>
          <w:tcPr>
            <w:tcW w:w="2847" w:type="dxa"/>
            <w:tcBorders>
              <w:tl2br w:val="nil"/>
              <w:tr2bl w:val="nil"/>
            </w:tcBorders>
            <w:vAlign w:val="center"/>
          </w:tcPr>
          <w:p>
            <w:pPr>
              <w:pStyle w:val="17"/>
              <w:bidi w:val="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611" w:type="dxa"/>
            <w:tcBorders>
              <w:tl2br w:val="nil"/>
              <w:tr2bl w:val="nil"/>
            </w:tcBorders>
            <w:vAlign w:val="center"/>
          </w:tcPr>
          <w:p>
            <w:pPr>
              <w:pStyle w:val="17"/>
              <w:bidi w:val="0"/>
              <w:rPr>
                <w:rFonts w:hint="default"/>
              </w:rPr>
            </w:pPr>
            <w:r>
              <w:rPr>
                <w:rFonts w:hint="default"/>
              </w:rPr>
              <w:t>3</w:t>
            </w:r>
          </w:p>
        </w:tc>
        <w:tc>
          <w:tcPr>
            <w:tcW w:w="3288" w:type="dxa"/>
            <w:tcBorders>
              <w:tl2br w:val="nil"/>
              <w:tr2bl w:val="nil"/>
            </w:tcBorders>
            <w:vAlign w:val="center"/>
          </w:tcPr>
          <w:p>
            <w:pPr>
              <w:pStyle w:val="17"/>
              <w:bidi w:val="0"/>
              <w:rPr>
                <w:rFonts w:hint="default"/>
              </w:rPr>
            </w:pPr>
            <w:r>
              <w:rPr>
                <w:rFonts w:hint="eastAsia"/>
                <w:lang w:eastAsia="zh-CN"/>
              </w:rPr>
              <w:t>PE管材</w:t>
            </w:r>
            <w:r>
              <w:rPr>
                <w:rFonts w:hint="default"/>
              </w:rPr>
              <w:t>生产线</w:t>
            </w:r>
          </w:p>
        </w:tc>
        <w:tc>
          <w:tcPr>
            <w:tcW w:w="1213" w:type="dxa"/>
            <w:tcBorders>
              <w:tl2br w:val="nil"/>
              <w:tr2bl w:val="nil"/>
            </w:tcBorders>
            <w:vAlign w:val="center"/>
          </w:tcPr>
          <w:p>
            <w:pPr>
              <w:pStyle w:val="17"/>
              <w:bidi w:val="0"/>
              <w:rPr>
                <w:rFonts w:hint="default"/>
              </w:rPr>
            </w:pPr>
            <w:r>
              <w:rPr>
                <w:rFonts w:hint="default"/>
              </w:rPr>
              <w:t>套</w:t>
            </w:r>
          </w:p>
        </w:tc>
        <w:tc>
          <w:tcPr>
            <w:tcW w:w="1112" w:type="dxa"/>
            <w:tcBorders>
              <w:tl2br w:val="nil"/>
              <w:tr2bl w:val="nil"/>
            </w:tcBorders>
            <w:vAlign w:val="center"/>
          </w:tcPr>
          <w:p>
            <w:pPr>
              <w:pStyle w:val="17"/>
              <w:bidi w:val="0"/>
              <w:rPr>
                <w:rFonts w:hint="default"/>
                <w:lang w:val="en-US" w:eastAsia="zh-CN"/>
              </w:rPr>
            </w:pPr>
            <w:r>
              <w:rPr>
                <w:rFonts w:hint="eastAsia"/>
                <w:lang w:val="en-US" w:eastAsia="zh-CN"/>
              </w:rPr>
              <w:t>2</w:t>
            </w:r>
          </w:p>
        </w:tc>
        <w:tc>
          <w:tcPr>
            <w:tcW w:w="2847" w:type="dxa"/>
            <w:tcBorders>
              <w:tl2br w:val="nil"/>
              <w:tr2bl w:val="nil"/>
            </w:tcBorders>
            <w:vAlign w:val="center"/>
          </w:tcPr>
          <w:p>
            <w:pPr>
              <w:pStyle w:val="17"/>
              <w:bidi w:val="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611" w:type="dxa"/>
            <w:tcBorders>
              <w:tl2br w:val="nil"/>
              <w:tr2bl w:val="nil"/>
            </w:tcBorders>
            <w:vAlign w:val="center"/>
          </w:tcPr>
          <w:p>
            <w:pPr>
              <w:pStyle w:val="17"/>
              <w:bidi w:val="0"/>
              <w:rPr>
                <w:rFonts w:hint="default"/>
              </w:rPr>
            </w:pPr>
            <w:r>
              <w:rPr>
                <w:rFonts w:hint="default"/>
              </w:rPr>
              <w:t>4</w:t>
            </w:r>
          </w:p>
        </w:tc>
        <w:tc>
          <w:tcPr>
            <w:tcW w:w="3288" w:type="dxa"/>
            <w:tcBorders>
              <w:tl2br w:val="nil"/>
              <w:tr2bl w:val="nil"/>
            </w:tcBorders>
            <w:vAlign w:val="center"/>
          </w:tcPr>
          <w:p>
            <w:pPr>
              <w:pStyle w:val="17"/>
              <w:bidi w:val="0"/>
              <w:rPr>
                <w:rFonts w:hint="default"/>
              </w:rPr>
            </w:pPr>
            <w:r>
              <w:rPr>
                <w:rFonts w:hint="default"/>
                <w:lang w:val="en-US"/>
              </w:rPr>
              <w:t>地膜</w:t>
            </w:r>
            <w:r>
              <w:rPr>
                <w:rFonts w:hint="default"/>
              </w:rPr>
              <w:t>生产线</w:t>
            </w:r>
          </w:p>
        </w:tc>
        <w:tc>
          <w:tcPr>
            <w:tcW w:w="1213" w:type="dxa"/>
            <w:tcBorders>
              <w:tl2br w:val="nil"/>
              <w:tr2bl w:val="nil"/>
            </w:tcBorders>
            <w:vAlign w:val="center"/>
          </w:tcPr>
          <w:p>
            <w:pPr>
              <w:pStyle w:val="17"/>
              <w:bidi w:val="0"/>
              <w:rPr>
                <w:rFonts w:hint="default"/>
              </w:rPr>
            </w:pPr>
            <w:r>
              <w:rPr>
                <w:rFonts w:hint="default"/>
              </w:rPr>
              <w:t>套</w:t>
            </w:r>
          </w:p>
        </w:tc>
        <w:tc>
          <w:tcPr>
            <w:tcW w:w="1112" w:type="dxa"/>
            <w:tcBorders>
              <w:tl2br w:val="nil"/>
              <w:tr2bl w:val="nil"/>
            </w:tcBorders>
            <w:vAlign w:val="center"/>
          </w:tcPr>
          <w:p>
            <w:pPr>
              <w:pStyle w:val="17"/>
              <w:bidi w:val="0"/>
              <w:rPr>
                <w:rFonts w:hint="default"/>
                <w:lang w:val="en-US" w:eastAsia="zh-CN"/>
              </w:rPr>
            </w:pPr>
            <w:r>
              <w:rPr>
                <w:rFonts w:hint="eastAsia"/>
                <w:lang w:val="en-US" w:eastAsia="zh-CN"/>
              </w:rPr>
              <w:t>2</w:t>
            </w:r>
          </w:p>
        </w:tc>
        <w:tc>
          <w:tcPr>
            <w:tcW w:w="2847" w:type="dxa"/>
            <w:tcBorders>
              <w:tl2br w:val="nil"/>
              <w:tr2bl w:val="nil"/>
            </w:tcBorders>
            <w:vAlign w:val="center"/>
          </w:tcPr>
          <w:p>
            <w:pPr>
              <w:pStyle w:val="17"/>
              <w:bidi w:val="0"/>
              <w:rPr>
                <w:rFonts w:hint="default"/>
              </w:rPr>
            </w:pPr>
            <w:r>
              <w:rPr>
                <w:rFonts w:hint="default"/>
              </w:rPr>
              <w:t>注塑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611" w:type="dxa"/>
            <w:tcBorders>
              <w:tl2br w:val="nil"/>
              <w:tr2bl w:val="nil"/>
            </w:tcBorders>
            <w:vAlign w:val="center"/>
          </w:tcPr>
          <w:p>
            <w:pPr>
              <w:pStyle w:val="17"/>
              <w:bidi w:val="0"/>
              <w:rPr>
                <w:rFonts w:hint="default"/>
              </w:rPr>
            </w:pPr>
            <w:r>
              <w:rPr>
                <w:rFonts w:hint="default"/>
              </w:rPr>
              <w:t>5</w:t>
            </w:r>
          </w:p>
        </w:tc>
        <w:tc>
          <w:tcPr>
            <w:tcW w:w="3288" w:type="dxa"/>
            <w:tcBorders>
              <w:tl2br w:val="nil"/>
              <w:tr2bl w:val="nil"/>
            </w:tcBorders>
            <w:vAlign w:val="center"/>
          </w:tcPr>
          <w:p>
            <w:pPr>
              <w:pStyle w:val="17"/>
              <w:bidi w:val="0"/>
              <w:rPr>
                <w:rFonts w:hint="default"/>
                <w:lang w:val="en-US" w:eastAsia="zh-CN"/>
              </w:rPr>
            </w:pPr>
            <w:r>
              <w:rPr>
                <w:rFonts w:hint="default"/>
              </w:rPr>
              <w:t>等离子光氧</w:t>
            </w:r>
            <w:r>
              <w:rPr>
                <w:rFonts w:hint="default"/>
                <w:lang w:val="en-US" w:eastAsia="zh-CN"/>
              </w:rPr>
              <w:t>一体机</w:t>
            </w:r>
            <w:r>
              <w:rPr>
                <w:rFonts w:hint="eastAsia"/>
                <w:lang w:val="en-US" w:eastAsia="zh-CN"/>
              </w:rPr>
              <w:t>+活性炭吸附装置</w:t>
            </w:r>
          </w:p>
        </w:tc>
        <w:tc>
          <w:tcPr>
            <w:tcW w:w="1213" w:type="dxa"/>
            <w:tcBorders>
              <w:tl2br w:val="nil"/>
              <w:tr2bl w:val="nil"/>
            </w:tcBorders>
            <w:vAlign w:val="center"/>
          </w:tcPr>
          <w:p>
            <w:pPr>
              <w:pStyle w:val="17"/>
              <w:bidi w:val="0"/>
              <w:rPr>
                <w:rFonts w:hint="default"/>
              </w:rPr>
            </w:pPr>
            <w:r>
              <w:rPr>
                <w:rFonts w:hint="default"/>
              </w:rPr>
              <w:t>套</w:t>
            </w:r>
          </w:p>
        </w:tc>
        <w:tc>
          <w:tcPr>
            <w:tcW w:w="1112" w:type="dxa"/>
            <w:tcBorders>
              <w:tl2br w:val="nil"/>
              <w:tr2bl w:val="nil"/>
            </w:tcBorders>
            <w:vAlign w:val="center"/>
          </w:tcPr>
          <w:p>
            <w:pPr>
              <w:pStyle w:val="17"/>
              <w:bidi w:val="0"/>
              <w:rPr>
                <w:rFonts w:hint="eastAsia"/>
                <w:lang w:val="en-US" w:eastAsia="zh-CN"/>
              </w:rPr>
            </w:pPr>
            <w:r>
              <w:rPr>
                <w:rFonts w:hint="eastAsia"/>
                <w:lang w:val="en-US" w:eastAsia="zh-CN"/>
              </w:rPr>
              <w:t>3</w:t>
            </w:r>
          </w:p>
        </w:tc>
        <w:tc>
          <w:tcPr>
            <w:tcW w:w="2847" w:type="dxa"/>
            <w:tcBorders>
              <w:tl2br w:val="nil"/>
              <w:tr2bl w:val="nil"/>
            </w:tcBorders>
            <w:vAlign w:val="center"/>
          </w:tcPr>
          <w:p>
            <w:pPr>
              <w:pStyle w:val="17"/>
              <w:bidi w:val="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611" w:type="dxa"/>
            <w:tcBorders>
              <w:tl2br w:val="nil"/>
              <w:tr2bl w:val="nil"/>
            </w:tcBorders>
            <w:vAlign w:val="center"/>
          </w:tcPr>
          <w:p>
            <w:pPr>
              <w:pStyle w:val="17"/>
              <w:bidi w:val="0"/>
              <w:rPr>
                <w:rFonts w:hint="eastAsia" w:eastAsia="宋体"/>
                <w:lang w:val="en-US" w:eastAsia="zh-CN"/>
              </w:rPr>
            </w:pPr>
            <w:r>
              <w:rPr>
                <w:rFonts w:hint="eastAsia"/>
                <w:lang w:val="en-US" w:eastAsia="zh-CN"/>
              </w:rPr>
              <w:t>6</w:t>
            </w:r>
          </w:p>
        </w:tc>
        <w:tc>
          <w:tcPr>
            <w:tcW w:w="3288" w:type="dxa"/>
            <w:tcBorders>
              <w:tl2br w:val="nil"/>
              <w:tr2bl w:val="nil"/>
            </w:tcBorders>
            <w:vAlign w:val="center"/>
          </w:tcPr>
          <w:p>
            <w:pPr>
              <w:pStyle w:val="17"/>
              <w:bidi w:val="0"/>
              <w:rPr>
                <w:rFonts w:hint="default" w:eastAsia="宋体"/>
                <w:lang w:val="en-US" w:eastAsia="zh-CN"/>
              </w:rPr>
            </w:pPr>
            <w:r>
              <w:rPr>
                <w:rFonts w:hint="eastAsia"/>
                <w:lang w:val="en-US" w:eastAsia="zh-CN"/>
              </w:rPr>
              <w:t>地埋式污水处理设备</w:t>
            </w:r>
          </w:p>
        </w:tc>
        <w:tc>
          <w:tcPr>
            <w:tcW w:w="1213" w:type="dxa"/>
            <w:tcBorders>
              <w:tl2br w:val="nil"/>
              <w:tr2bl w:val="nil"/>
            </w:tcBorders>
            <w:vAlign w:val="center"/>
          </w:tcPr>
          <w:p>
            <w:pPr>
              <w:pStyle w:val="17"/>
              <w:bidi w:val="0"/>
              <w:rPr>
                <w:rFonts w:hint="eastAsia" w:eastAsia="宋体"/>
                <w:lang w:val="en-US" w:eastAsia="zh-CN"/>
              </w:rPr>
            </w:pPr>
            <w:r>
              <w:rPr>
                <w:rFonts w:hint="eastAsia"/>
                <w:lang w:val="en-US" w:eastAsia="zh-CN"/>
              </w:rPr>
              <w:t>套</w:t>
            </w:r>
          </w:p>
        </w:tc>
        <w:tc>
          <w:tcPr>
            <w:tcW w:w="1112" w:type="dxa"/>
            <w:tcBorders>
              <w:tl2br w:val="nil"/>
              <w:tr2bl w:val="nil"/>
            </w:tcBorders>
            <w:vAlign w:val="center"/>
          </w:tcPr>
          <w:p>
            <w:pPr>
              <w:pStyle w:val="17"/>
              <w:bidi w:val="0"/>
              <w:rPr>
                <w:rFonts w:hint="default"/>
                <w:lang w:val="en-US" w:eastAsia="zh-CN"/>
              </w:rPr>
            </w:pPr>
            <w:r>
              <w:rPr>
                <w:rFonts w:hint="eastAsia"/>
                <w:lang w:val="en-US" w:eastAsia="zh-CN"/>
              </w:rPr>
              <w:t>1</w:t>
            </w:r>
          </w:p>
        </w:tc>
        <w:tc>
          <w:tcPr>
            <w:tcW w:w="2847" w:type="dxa"/>
            <w:tcBorders>
              <w:tl2br w:val="nil"/>
              <w:tr2bl w:val="nil"/>
            </w:tcBorders>
            <w:vAlign w:val="center"/>
          </w:tcPr>
          <w:p>
            <w:pPr>
              <w:pStyle w:val="17"/>
              <w:bidi w:val="0"/>
              <w:rPr>
                <w:rFonts w:hint="eastAsia" w:eastAsia="宋体"/>
                <w:lang w:val="en-US" w:eastAsia="zh-CN"/>
              </w:rPr>
            </w:pPr>
            <w:r>
              <w:rPr>
                <w:rFonts w:hint="eastAsia"/>
                <w:lang w:val="en-US" w:eastAsia="zh-CN"/>
              </w:rPr>
              <w:t>/</w:t>
            </w:r>
          </w:p>
        </w:tc>
      </w:tr>
    </w:tbl>
    <w:p>
      <w:pPr>
        <w:pStyle w:val="4"/>
        <w:bidi w:val="0"/>
        <w:rPr>
          <w:rFonts w:hint="default"/>
          <w:color w:val="0000FF"/>
        </w:rPr>
      </w:pPr>
      <w:bookmarkStart w:id="100" w:name="_Toc321043905"/>
      <w:bookmarkStart w:id="101" w:name="_Toc28159"/>
      <w:r>
        <w:rPr>
          <w:rFonts w:hint="default"/>
          <w:color w:val="0000FF"/>
        </w:rPr>
        <w:t>3.5</w:t>
      </w:r>
      <w:r>
        <w:rPr>
          <w:rFonts w:hint="eastAsia"/>
          <w:color w:val="0000FF"/>
          <w:lang w:eastAsia="zh-CN"/>
        </w:rPr>
        <w:t>、</w:t>
      </w:r>
      <w:r>
        <w:rPr>
          <w:rFonts w:hint="default"/>
          <w:color w:val="0000FF"/>
        </w:rPr>
        <w:t>厂区平面布置</w:t>
      </w:r>
      <w:bookmarkEnd w:id="100"/>
      <w:bookmarkEnd w:id="101"/>
    </w:p>
    <w:p>
      <w:pPr>
        <w:pStyle w:val="5"/>
        <w:bidi w:val="0"/>
        <w:rPr>
          <w:rFonts w:hint="default"/>
          <w:color w:val="0000FF"/>
        </w:rPr>
      </w:pPr>
      <w:r>
        <w:rPr>
          <w:rFonts w:hint="default"/>
          <w:color w:val="0000FF"/>
        </w:rPr>
        <w:t>3.5.1</w:t>
      </w:r>
      <w:r>
        <w:rPr>
          <w:rFonts w:hint="eastAsia"/>
          <w:color w:val="0000FF"/>
          <w:lang w:eastAsia="zh-CN"/>
        </w:rPr>
        <w:t>、</w:t>
      </w:r>
      <w:r>
        <w:rPr>
          <w:rFonts w:hint="default"/>
          <w:color w:val="0000FF"/>
        </w:rPr>
        <w:t>厂区平面布置原则</w:t>
      </w:r>
    </w:p>
    <w:p>
      <w:pPr>
        <w:bidi w:val="0"/>
        <w:rPr>
          <w:rFonts w:hint="default"/>
          <w:color w:val="0000FF"/>
        </w:rPr>
      </w:pPr>
      <w:r>
        <w:rPr>
          <w:rFonts w:hint="default"/>
          <w:color w:val="0000FF"/>
        </w:rPr>
        <w:t>（1）满足安全生产、操作和维修要求，工艺流程合理，减少能量消耗；</w:t>
      </w:r>
    </w:p>
    <w:p>
      <w:pPr>
        <w:bidi w:val="0"/>
        <w:rPr>
          <w:rFonts w:hint="default"/>
          <w:color w:val="0000FF"/>
        </w:rPr>
      </w:pPr>
      <w:r>
        <w:rPr>
          <w:rFonts w:hint="default"/>
          <w:color w:val="0000FF"/>
        </w:rPr>
        <w:t>（2）符合环保要求，创造良好生产、生活环境；</w:t>
      </w:r>
    </w:p>
    <w:p>
      <w:pPr>
        <w:bidi w:val="0"/>
        <w:rPr>
          <w:rFonts w:hint="default"/>
          <w:color w:val="0000FF"/>
        </w:rPr>
      </w:pPr>
      <w:r>
        <w:rPr>
          <w:rFonts w:hint="default"/>
          <w:color w:val="0000FF"/>
        </w:rPr>
        <w:t>（3）满足抗震、消防、防沙、防风、防腐要求；</w:t>
      </w:r>
    </w:p>
    <w:p>
      <w:pPr>
        <w:bidi w:val="0"/>
        <w:rPr>
          <w:rFonts w:hint="default"/>
          <w:color w:val="0000FF"/>
        </w:rPr>
      </w:pPr>
      <w:r>
        <w:rPr>
          <w:rFonts w:hint="default"/>
          <w:color w:val="0000FF"/>
        </w:rPr>
        <w:t>（4）功能分区明确，有利于安全防火、防爆、防振、防燥和分区管理；</w:t>
      </w:r>
    </w:p>
    <w:p>
      <w:pPr>
        <w:bidi w:val="0"/>
        <w:rPr>
          <w:rFonts w:hint="default"/>
          <w:color w:val="0000FF"/>
        </w:rPr>
      </w:pPr>
      <w:r>
        <w:rPr>
          <w:rFonts w:hint="default"/>
          <w:color w:val="0000FF"/>
        </w:rPr>
        <w:t>（5）运输道路、消防道路连接顺畅短捷，车辆进出方便；</w:t>
      </w:r>
    </w:p>
    <w:p>
      <w:pPr>
        <w:bidi w:val="0"/>
        <w:rPr>
          <w:rFonts w:hint="default"/>
          <w:color w:val="0000FF"/>
        </w:rPr>
      </w:pPr>
      <w:r>
        <w:rPr>
          <w:rFonts w:hint="default"/>
          <w:color w:val="0000FF"/>
        </w:rPr>
        <w:t>（6）重视节约用地，布置紧凑合理；</w:t>
      </w:r>
    </w:p>
    <w:p>
      <w:pPr>
        <w:bidi w:val="0"/>
        <w:rPr>
          <w:rFonts w:hint="default"/>
          <w:color w:val="0000FF"/>
          <w:lang w:eastAsia="zh-CN"/>
        </w:rPr>
      </w:pPr>
      <w:r>
        <w:rPr>
          <w:rFonts w:hint="default"/>
          <w:color w:val="0000FF"/>
        </w:rPr>
        <w:t>（7）搞好绿化，达到减少污染、美化库容的目的</w:t>
      </w:r>
      <w:r>
        <w:rPr>
          <w:rFonts w:hint="default"/>
          <w:color w:val="0000FF"/>
          <w:lang w:eastAsia="zh-CN"/>
        </w:rPr>
        <w:t>；</w:t>
      </w:r>
    </w:p>
    <w:p>
      <w:pPr>
        <w:bidi w:val="0"/>
        <w:rPr>
          <w:rFonts w:hint="default"/>
          <w:color w:val="0000FF"/>
        </w:rPr>
      </w:pPr>
      <w:r>
        <w:rPr>
          <w:rFonts w:hint="default"/>
          <w:color w:val="0000FF"/>
        </w:rPr>
        <w:t>（8）满足《废塑料回收与再生利用污染控制技术规范》HJ/T364-2007 中的规定要求。</w:t>
      </w:r>
    </w:p>
    <w:p>
      <w:pPr>
        <w:pStyle w:val="5"/>
        <w:bidi w:val="0"/>
        <w:rPr>
          <w:rFonts w:hint="default"/>
          <w:color w:val="0000FF"/>
        </w:rPr>
      </w:pPr>
      <w:r>
        <w:rPr>
          <w:rFonts w:hint="default"/>
          <w:color w:val="0000FF"/>
        </w:rPr>
        <w:t>3.5.2</w:t>
      </w:r>
      <w:r>
        <w:rPr>
          <w:rFonts w:hint="eastAsia"/>
          <w:color w:val="0000FF"/>
          <w:lang w:eastAsia="zh-CN"/>
        </w:rPr>
        <w:t>、</w:t>
      </w:r>
      <w:r>
        <w:rPr>
          <w:rFonts w:hint="default"/>
          <w:color w:val="0000FF"/>
        </w:rPr>
        <w:t>厂区平面布置方案</w:t>
      </w:r>
    </w:p>
    <w:p>
      <w:pPr>
        <w:bidi w:val="0"/>
        <w:rPr>
          <w:rFonts w:hint="default"/>
          <w:color w:val="0000FF"/>
        </w:rPr>
      </w:pPr>
      <w:r>
        <w:rPr>
          <w:rFonts w:hint="default"/>
          <w:color w:val="0000FF"/>
        </w:rPr>
        <w:t>（1）用地现状</w:t>
      </w:r>
    </w:p>
    <w:p>
      <w:pPr>
        <w:bidi w:val="0"/>
        <w:rPr>
          <w:rFonts w:hint="default"/>
          <w:color w:val="0000FF"/>
          <w:lang w:eastAsia="zh-CN"/>
        </w:rPr>
      </w:pPr>
      <w:r>
        <w:rPr>
          <w:rFonts w:hint="default"/>
          <w:color w:val="0000FF"/>
        </w:rPr>
        <w:t>本项目用地现为空地，位于</w:t>
      </w:r>
      <w:r>
        <w:rPr>
          <w:rFonts w:hint="eastAsia"/>
          <w:color w:val="0000FF"/>
          <w:lang w:val="en-US" w:eastAsia="zh-CN"/>
        </w:rPr>
        <w:t>吉木萨尔县二工镇</w:t>
      </w:r>
      <w:r>
        <w:rPr>
          <w:rFonts w:hint="default"/>
          <w:color w:val="0000FF"/>
        </w:rPr>
        <w:t>内</w:t>
      </w:r>
      <w:r>
        <w:rPr>
          <w:rFonts w:hint="default"/>
          <w:color w:val="0000FF"/>
          <w:lang w:eastAsia="zh-CN"/>
        </w:rPr>
        <w:t>，满足HJ/T364-2007中</w:t>
      </w:r>
      <w:r>
        <w:rPr>
          <w:rFonts w:hint="eastAsia"/>
          <w:color w:val="0000FF"/>
          <w:lang w:eastAsia="zh-CN"/>
        </w:rPr>
        <w:t>“</w:t>
      </w:r>
      <w:r>
        <w:rPr>
          <w:rFonts w:hint="default"/>
          <w:color w:val="0000FF"/>
          <w:lang w:eastAsia="zh-CN"/>
        </w:rPr>
        <w:t>新建废塑料再生利用项目的选址应符合环境保护要求，</w:t>
      </w:r>
      <w:r>
        <w:rPr>
          <w:rFonts w:hint="eastAsia"/>
          <w:color w:val="0000FF"/>
          <w:lang w:val="en-US" w:eastAsia="zh-CN"/>
        </w:rPr>
        <w:t>即</w:t>
      </w:r>
      <w:r>
        <w:rPr>
          <w:rFonts w:hint="default"/>
          <w:color w:val="0000FF"/>
          <w:lang w:eastAsia="zh-CN"/>
        </w:rPr>
        <w:t>不得建在城市居民区、商业区及其他环境敏感区内</w:t>
      </w:r>
      <w:r>
        <w:rPr>
          <w:rFonts w:hint="eastAsia"/>
          <w:color w:val="0000FF"/>
          <w:lang w:eastAsia="zh-CN"/>
        </w:rPr>
        <w:t>”</w:t>
      </w:r>
      <w:r>
        <w:rPr>
          <w:rFonts w:hint="default"/>
          <w:color w:val="0000FF"/>
          <w:lang w:val="en-US" w:eastAsia="zh-CN"/>
        </w:rPr>
        <w:t>的要求。</w:t>
      </w:r>
    </w:p>
    <w:p>
      <w:pPr>
        <w:bidi w:val="0"/>
        <w:rPr>
          <w:rFonts w:hint="default"/>
          <w:color w:val="0000FF"/>
        </w:rPr>
      </w:pPr>
      <w:r>
        <w:rPr>
          <w:rFonts w:hint="default"/>
          <w:color w:val="0000FF"/>
        </w:rPr>
        <w:t>（2）平面布置</w:t>
      </w:r>
    </w:p>
    <w:p>
      <w:pPr>
        <w:bidi w:val="0"/>
        <w:rPr>
          <w:rFonts w:hint="default"/>
          <w:color w:val="0000FF"/>
        </w:rPr>
      </w:pPr>
      <w:r>
        <w:rPr>
          <w:rFonts w:hint="default"/>
          <w:color w:val="0000FF"/>
        </w:rPr>
        <w:t>本项目用地为矩形地块，总占地面积为</w:t>
      </w:r>
      <w:r>
        <w:rPr>
          <w:rFonts w:hint="eastAsia"/>
          <w:color w:val="0000FF"/>
          <w:lang w:eastAsia="zh-CN"/>
        </w:rPr>
        <w:t>8277.18m²</w:t>
      </w:r>
      <w:r>
        <w:rPr>
          <w:rFonts w:hint="default"/>
          <w:color w:val="0000FF"/>
        </w:rPr>
        <w:t>。厂区布置按照功能分区分为办公生活区、生产加工区、存储区。</w:t>
      </w:r>
    </w:p>
    <w:p>
      <w:pPr>
        <w:bidi w:val="0"/>
        <w:rPr>
          <w:rFonts w:hint="default"/>
          <w:color w:val="0000FF"/>
        </w:rPr>
      </w:pPr>
      <w:r>
        <w:rPr>
          <w:rFonts w:hint="default"/>
          <w:color w:val="0000FF"/>
        </w:rPr>
        <w:t>厂区</w:t>
      </w:r>
      <w:r>
        <w:rPr>
          <w:rFonts w:hint="eastAsia"/>
          <w:color w:val="0000FF"/>
          <w:lang w:val="en-US" w:eastAsia="zh-CN"/>
        </w:rPr>
        <w:t>北侧</w:t>
      </w:r>
      <w:r>
        <w:rPr>
          <w:rFonts w:hint="default"/>
          <w:color w:val="0000FF"/>
        </w:rPr>
        <w:t>为入口。生活办公区位于厂区</w:t>
      </w:r>
      <w:r>
        <w:rPr>
          <w:rFonts w:hint="eastAsia"/>
          <w:color w:val="0000FF"/>
          <w:lang w:val="en-US" w:eastAsia="zh-CN"/>
        </w:rPr>
        <w:t>北侧</w:t>
      </w:r>
      <w:r>
        <w:rPr>
          <w:rFonts w:hint="default"/>
          <w:color w:val="0000FF"/>
        </w:rPr>
        <w:t>，主要建筑为</w:t>
      </w:r>
      <w:r>
        <w:rPr>
          <w:rFonts w:hint="eastAsia"/>
          <w:color w:val="0000FF"/>
          <w:lang w:val="en-US" w:eastAsia="zh-CN"/>
        </w:rPr>
        <w:t>1</w:t>
      </w:r>
      <w:r>
        <w:rPr>
          <w:rFonts w:hint="default"/>
          <w:color w:val="0000FF"/>
        </w:rPr>
        <w:t>栋</w:t>
      </w:r>
      <w:r>
        <w:rPr>
          <w:rFonts w:hint="eastAsia"/>
          <w:color w:val="0000FF"/>
          <w:lang w:val="en-US" w:eastAsia="zh-CN"/>
        </w:rPr>
        <w:t>1</w:t>
      </w:r>
      <w:r>
        <w:rPr>
          <w:rFonts w:hint="default"/>
          <w:color w:val="0000FF"/>
        </w:rPr>
        <w:t>层办公生活区。该区域独立成区，便于与生产区的隔离，且靠近厂区主入口和主要道路，便于人员出入。生活办公区位于项目区上风向，有效减少了生产区废气对生活办公区的影响。</w:t>
      </w:r>
    </w:p>
    <w:p>
      <w:pPr>
        <w:bidi w:val="0"/>
        <w:rPr>
          <w:rFonts w:hint="default"/>
          <w:color w:val="0000FF"/>
        </w:rPr>
      </w:pPr>
      <w:r>
        <w:rPr>
          <w:rFonts w:hint="default"/>
          <w:color w:val="0000FF"/>
        </w:rPr>
        <w:t>原料堆场位于项目生产区中央，用于存储废滴灌带等原料。厂区生产区生产车间围绕堆场布设、原料及产品仓库、循环沉淀池</w:t>
      </w:r>
      <w:r>
        <w:rPr>
          <w:rFonts w:hint="eastAsia"/>
          <w:color w:val="0000FF"/>
          <w:lang w:val="en-US" w:eastAsia="zh-CN"/>
        </w:rPr>
        <w:t>及污水处理设备</w:t>
      </w:r>
      <w:r>
        <w:rPr>
          <w:rFonts w:hint="default"/>
          <w:color w:val="0000FF"/>
        </w:rPr>
        <w:t>、贮水池等。循环冷却池紧邻</w:t>
      </w:r>
      <w:r>
        <w:rPr>
          <w:rFonts w:hint="eastAsia"/>
          <w:color w:val="0000FF"/>
          <w:lang w:val="en-US" w:eastAsia="zh-CN"/>
        </w:rPr>
        <w:t>造粒</w:t>
      </w:r>
      <w:r>
        <w:rPr>
          <w:rFonts w:hint="default"/>
          <w:color w:val="0000FF"/>
        </w:rPr>
        <w:t>车间，便于冷却水循环。</w:t>
      </w:r>
    </w:p>
    <w:p>
      <w:pPr>
        <w:bidi w:val="0"/>
        <w:rPr>
          <w:rFonts w:hint="default"/>
          <w:color w:val="0000FF"/>
        </w:rPr>
      </w:pPr>
      <w:r>
        <w:rPr>
          <w:rFonts w:hint="default"/>
          <w:color w:val="0000FF"/>
        </w:rPr>
        <w:t>厂区内道路为混凝土地面，道路环状布置，消防道路宽度6m，可以满足消防车辆及其它车辆通行要求。</w:t>
      </w:r>
    </w:p>
    <w:p>
      <w:pPr>
        <w:bidi w:val="0"/>
        <w:rPr>
          <w:rFonts w:hint="default"/>
          <w:color w:val="0000FF"/>
        </w:rPr>
      </w:pPr>
      <w:r>
        <w:rPr>
          <w:rFonts w:hint="default"/>
          <w:color w:val="0000FF"/>
        </w:rPr>
        <w:t>厂区除建筑物以外均为硬化地面，以满足消防运输要求。安全距离符合《建筑设计防火规范》（GB50016-2014）的要求。</w:t>
      </w:r>
    </w:p>
    <w:p>
      <w:pPr>
        <w:bidi w:val="0"/>
        <w:rPr>
          <w:rFonts w:hint="default"/>
          <w:color w:val="0000FF"/>
        </w:rPr>
      </w:pPr>
      <w:r>
        <w:rPr>
          <w:rFonts w:hint="default"/>
          <w:color w:val="0000FF"/>
        </w:rPr>
        <w:t>项目各区域功能布置明确，各单元由厂内道路衔接。</w:t>
      </w:r>
      <w:r>
        <w:rPr>
          <w:rFonts w:hint="default"/>
          <w:color w:val="0000FF"/>
          <w:lang w:eastAsia="zh-CN"/>
        </w:rPr>
        <w:t>满足HJ/T364-2007中</w:t>
      </w:r>
      <w:r>
        <w:rPr>
          <w:rFonts w:hint="eastAsia"/>
          <w:color w:val="0000FF"/>
          <w:lang w:eastAsia="zh-CN"/>
        </w:rPr>
        <w:t>“</w:t>
      </w:r>
      <w:r>
        <w:rPr>
          <w:rFonts w:hint="default"/>
          <w:color w:val="0000FF"/>
        </w:rPr>
        <w:t>再生利用项目必须建有围墙并按功能区划分厂区，包括管理区、原料区、生产区、产品贮存区、污染控制区（包括不可利用的废物的贮存和处理区）。各功能区应有明显的界线和标志</w:t>
      </w:r>
      <w:r>
        <w:rPr>
          <w:rFonts w:hint="eastAsia"/>
          <w:color w:val="0000FF"/>
          <w:lang w:eastAsia="zh-CN"/>
        </w:rPr>
        <w:t>”</w:t>
      </w:r>
      <w:r>
        <w:rPr>
          <w:rFonts w:hint="default"/>
          <w:color w:val="0000FF"/>
          <w:lang w:val="en-US" w:eastAsia="zh-CN"/>
        </w:rPr>
        <w:t>和</w:t>
      </w:r>
      <w:r>
        <w:rPr>
          <w:rFonts w:hint="eastAsia"/>
          <w:color w:val="0000FF"/>
          <w:lang w:eastAsia="zh-CN"/>
        </w:rPr>
        <w:t>“</w:t>
      </w:r>
      <w:r>
        <w:rPr>
          <w:rFonts w:hint="default"/>
          <w:color w:val="0000FF"/>
        </w:rPr>
        <w:t>所有功能区必须有封闭或半封闭设施，采取防风、防雨、防渗、防火等措施，并有足够的疏散通道</w:t>
      </w:r>
      <w:r>
        <w:rPr>
          <w:rFonts w:hint="eastAsia"/>
          <w:color w:val="0000FF"/>
          <w:lang w:eastAsia="zh-CN"/>
        </w:rPr>
        <w:t>”</w:t>
      </w:r>
      <w:r>
        <w:rPr>
          <w:rFonts w:hint="default"/>
          <w:color w:val="0000FF"/>
          <w:lang w:val="en-US" w:eastAsia="zh-CN"/>
        </w:rPr>
        <w:t>的要求。</w:t>
      </w:r>
      <w:r>
        <w:rPr>
          <w:rFonts w:hint="default"/>
          <w:color w:val="0000FF"/>
        </w:rPr>
        <w:t>平面布置按照企业生产要求，合理划分场内的功能区域，布置紧凑合理，生产线结构紧凑，工艺流程顺畅，交通运输安全方便。项目总平面布置图见图3.5-1。</w:t>
      </w:r>
    </w:p>
    <w:p>
      <w:pPr>
        <w:pStyle w:val="4"/>
        <w:bidi w:val="0"/>
        <w:rPr>
          <w:rFonts w:hint="default"/>
        </w:rPr>
      </w:pPr>
      <w:bookmarkStart w:id="102" w:name="_Toc8292"/>
      <w:bookmarkStart w:id="103" w:name="_Toc13677"/>
      <w:r>
        <w:rPr>
          <w:rFonts w:hint="default"/>
        </w:rPr>
        <w:t>3.6</w:t>
      </w:r>
      <w:r>
        <w:rPr>
          <w:rFonts w:hint="eastAsia"/>
          <w:lang w:eastAsia="zh-CN"/>
        </w:rPr>
        <w:t>、</w:t>
      </w:r>
      <w:r>
        <w:rPr>
          <w:rFonts w:hint="default"/>
        </w:rPr>
        <w:t>主要经济技术指标汇总</w:t>
      </w:r>
      <w:bookmarkEnd w:id="102"/>
      <w:bookmarkEnd w:id="103"/>
    </w:p>
    <w:p>
      <w:pPr>
        <w:bidi w:val="0"/>
        <w:rPr>
          <w:rFonts w:hint="default"/>
        </w:rPr>
      </w:pPr>
      <w:r>
        <w:rPr>
          <w:rFonts w:hint="default"/>
        </w:rPr>
        <w:t>本项目主要经济技术指标见表3.6-1。</w:t>
      </w:r>
    </w:p>
    <w:p>
      <w:pPr>
        <w:pStyle w:val="17"/>
        <w:bidi w:val="0"/>
        <w:rPr>
          <w:rFonts w:hint="default"/>
          <w:b/>
          <w:bCs/>
        </w:rPr>
      </w:pPr>
      <w:r>
        <w:rPr>
          <w:rFonts w:hint="default"/>
          <w:b/>
          <w:bCs/>
        </w:rPr>
        <w:t xml:space="preserve">表3.6-1  </w:t>
      </w:r>
      <w:r>
        <w:rPr>
          <w:rFonts w:hint="eastAsia"/>
          <w:b/>
          <w:bCs/>
          <w:lang w:val="en-US" w:eastAsia="zh-CN"/>
        </w:rPr>
        <w:t xml:space="preserve"> </w:t>
      </w:r>
      <w:r>
        <w:rPr>
          <w:rFonts w:hint="default"/>
          <w:b/>
          <w:bCs/>
        </w:rPr>
        <w:t>主要经济技术指标</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3171"/>
        <w:gridCol w:w="1159"/>
        <w:gridCol w:w="1486"/>
        <w:gridCol w:w="1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84" w:type="dxa"/>
            <w:tcBorders>
              <w:tl2br w:val="nil"/>
              <w:tr2bl w:val="nil"/>
            </w:tcBorders>
            <w:vAlign w:val="center"/>
          </w:tcPr>
          <w:p>
            <w:pPr>
              <w:pStyle w:val="17"/>
              <w:bidi w:val="0"/>
              <w:rPr>
                <w:rFonts w:hint="default"/>
                <w:b/>
                <w:bCs/>
              </w:rPr>
            </w:pPr>
            <w:r>
              <w:rPr>
                <w:rFonts w:hint="default"/>
                <w:b/>
                <w:bCs/>
              </w:rPr>
              <w:t>序 号</w:t>
            </w:r>
          </w:p>
        </w:tc>
        <w:tc>
          <w:tcPr>
            <w:tcW w:w="3171" w:type="dxa"/>
            <w:tcBorders>
              <w:tl2br w:val="nil"/>
              <w:tr2bl w:val="nil"/>
            </w:tcBorders>
            <w:vAlign w:val="center"/>
          </w:tcPr>
          <w:p>
            <w:pPr>
              <w:pStyle w:val="17"/>
              <w:bidi w:val="0"/>
              <w:rPr>
                <w:rFonts w:hint="default"/>
                <w:b/>
                <w:bCs/>
              </w:rPr>
            </w:pPr>
            <w:r>
              <w:rPr>
                <w:rFonts w:hint="default"/>
                <w:b/>
                <w:bCs/>
              </w:rPr>
              <w:t>指标名称</w:t>
            </w:r>
          </w:p>
        </w:tc>
        <w:tc>
          <w:tcPr>
            <w:tcW w:w="1159" w:type="dxa"/>
            <w:tcBorders>
              <w:tl2br w:val="nil"/>
              <w:tr2bl w:val="nil"/>
            </w:tcBorders>
            <w:vAlign w:val="center"/>
          </w:tcPr>
          <w:p>
            <w:pPr>
              <w:pStyle w:val="17"/>
              <w:bidi w:val="0"/>
              <w:rPr>
                <w:rFonts w:hint="default"/>
                <w:b/>
                <w:bCs/>
              </w:rPr>
            </w:pPr>
            <w:r>
              <w:rPr>
                <w:rFonts w:hint="default"/>
                <w:b/>
                <w:bCs/>
              </w:rPr>
              <w:t>单  位</w:t>
            </w:r>
          </w:p>
        </w:tc>
        <w:tc>
          <w:tcPr>
            <w:tcW w:w="1486" w:type="dxa"/>
            <w:tcBorders>
              <w:tl2br w:val="nil"/>
              <w:tr2bl w:val="nil"/>
            </w:tcBorders>
            <w:vAlign w:val="center"/>
          </w:tcPr>
          <w:p>
            <w:pPr>
              <w:pStyle w:val="17"/>
              <w:bidi w:val="0"/>
              <w:rPr>
                <w:rFonts w:hint="default"/>
                <w:b/>
                <w:bCs/>
              </w:rPr>
            </w:pPr>
            <w:r>
              <w:rPr>
                <w:rFonts w:hint="default"/>
                <w:b/>
                <w:bCs/>
              </w:rPr>
              <w:t>数  量</w:t>
            </w:r>
          </w:p>
        </w:tc>
        <w:tc>
          <w:tcPr>
            <w:tcW w:w="1871" w:type="dxa"/>
            <w:tcBorders>
              <w:tl2br w:val="nil"/>
              <w:tr2bl w:val="nil"/>
            </w:tcBorders>
            <w:vAlign w:val="center"/>
          </w:tcPr>
          <w:p>
            <w:pPr>
              <w:pStyle w:val="17"/>
              <w:bidi w:val="0"/>
              <w:rPr>
                <w:rFonts w:hint="default"/>
                <w:b/>
                <w:bCs/>
              </w:rPr>
            </w:pPr>
            <w:r>
              <w:rPr>
                <w:rFonts w:hint="default"/>
                <w:b/>
                <w:bCs/>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r>
              <w:rPr>
                <w:rFonts w:hint="default"/>
              </w:rPr>
              <w:t>一</w:t>
            </w:r>
          </w:p>
        </w:tc>
        <w:tc>
          <w:tcPr>
            <w:tcW w:w="3171" w:type="dxa"/>
            <w:tcBorders>
              <w:tl2br w:val="nil"/>
              <w:tr2bl w:val="nil"/>
            </w:tcBorders>
            <w:vAlign w:val="center"/>
          </w:tcPr>
          <w:p>
            <w:pPr>
              <w:pStyle w:val="17"/>
              <w:bidi w:val="0"/>
              <w:rPr>
                <w:rFonts w:hint="default"/>
              </w:rPr>
            </w:pPr>
            <w:r>
              <w:rPr>
                <w:rFonts w:hint="default"/>
              </w:rPr>
              <w:t>生产规模</w:t>
            </w:r>
          </w:p>
        </w:tc>
        <w:tc>
          <w:tcPr>
            <w:tcW w:w="1159" w:type="dxa"/>
            <w:tcBorders>
              <w:tl2br w:val="nil"/>
              <w:tr2bl w:val="nil"/>
            </w:tcBorders>
            <w:vAlign w:val="center"/>
          </w:tcPr>
          <w:p>
            <w:pPr>
              <w:pStyle w:val="17"/>
              <w:bidi w:val="0"/>
              <w:rPr>
                <w:rFonts w:hint="default"/>
              </w:rPr>
            </w:pPr>
            <w:r>
              <w:rPr>
                <w:rFonts w:hint="default"/>
              </w:rPr>
              <w:t>t/a</w:t>
            </w:r>
          </w:p>
        </w:tc>
        <w:tc>
          <w:tcPr>
            <w:tcW w:w="1486" w:type="dxa"/>
            <w:tcBorders>
              <w:tl2br w:val="nil"/>
              <w:tr2bl w:val="nil"/>
            </w:tcBorders>
            <w:vAlign w:val="center"/>
          </w:tcPr>
          <w:p>
            <w:pPr>
              <w:pStyle w:val="17"/>
              <w:bidi w:val="0"/>
              <w:rPr>
                <w:rFonts w:hint="default"/>
                <w:lang w:val="en-US" w:eastAsia="zh-CN"/>
              </w:rPr>
            </w:pPr>
            <w:r>
              <w:rPr>
                <w:rFonts w:hint="eastAsia"/>
                <w:lang w:val="en-US" w:eastAsia="zh-CN"/>
              </w:rPr>
              <w:t>6100</w:t>
            </w:r>
          </w:p>
        </w:tc>
        <w:tc>
          <w:tcPr>
            <w:tcW w:w="1871" w:type="dxa"/>
            <w:tcBorders>
              <w:tl2br w:val="nil"/>
              <w:tr2bl w:val="nil"/>
            </w:tcBorders>
            <w:vAlign w:val="center"/>
          </w:tcPr>
          <w:p>
            <w:pPr>
              <w:pStyle w:val="17"/>
              <w:bidi w:val="0"/>
              <w:rPr>
                <w:rFonts w:hint="default"/>
              </w:rPr>
            </w:pPr>
            <w:r>
              <w:rPr>
                <w:rFonts w:hint="default"/>
              </w:rPr>
              <w:t>再生聚乙烯颗粒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r>
              <w:rPr>
                <w:rFonts w:hint="default"/>
              </w:rPr>
              <w:t>二</w:t>
            </w:r>
          </w:p>
        </w:tc>
        <w:tc>
          <w:tcPr>
            <w:tcW w:w="3171" w:type="dxa"/>
            <w:tcBorders>
              <w:tl2br w:val="nil"/>
              <w:tr2bl w:val="nil"/>
            </w:tcBorders>
            <w:vAlign w:val="center"/>
          </w:tcPr>
          <w:p>
            <w:pPr>
              <w:pStyle w:val="17"/>
              <w:bidi w:val="0"/>
              <w:rPr>
                <w:rFonts w:hint="default"/>
              </w:rPr>
            </w:pPr>
            <w:r>
              <w:rPr>
                <w:rFonts w:hint="default"/>
              </w:rPr>
              <w:t>年操作时间</w:t>
            </w:r>
          </w:p>
        </w:tc>
        <w:tc>
          <w:tcPr>
            <w:tcW w:w="1159" w:type="dxa"/>
            <w:tcBorders>
              <w:tl2br w:val="nil"/>
              <w:tr2bl w:val="nil"/>
            </w:tcBorders>
            <w:vAlign w:val="center"/>
          </w:tcPr>
          <w:p>
            <w:pPr>
              <w:pStyle w:val="17"/>
              <w:bidi w:val="0"/>
              <w:rPr>
                <w:rFonts w:hint="default"/>
              </w:rPr>
            </w:pPr>
            <w:r>
              <w:rPr>
                <w:rFonts w:hint="default"/>
              </w:rPr>
              <w:t>小时</w:t>
            </w:r>
          </w:p>
        </w:tc>
        <w:tc>
          <w:tcPr>
            <w:tcW w:w="1486" w:type="dxa"/>
            <w:tcBorders>
              <w:tl2br w:val="nil"/>
              <w:tr2bl w:val="nil"/>
            </w:tcBorders>
            <w:vAlign w:val="center"/>
          </w:tcPr>
          <w:p>
            <w:pPr>
              <w:pStyle w:val="17"/>
              <w:bidi w:val="0"/>
              <w:rPr>
                <w:rFonts w:hint="default"/>
                <w:lang w:val="en-US" w:eastAsia="zh-CN"/>
              </w:rPr>
            </w:pPr>
            <w:r>
              <w:rPr>
                <w:rFonts w:hint="eastAsia"/>
                <w:lang w:val="en-US" w:eastAsia="zh-CN"/>
              </w:rPr>
              <w:t>7920</w:t>
            </w:r>
          </w:p>
        </w:tc>
        <w:tc>
          <w:tcPr>
            <w:tcW w:w="1871" w:type="dxa"/>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r>
              <w:rPr>
                <w:rFonts w:hint="default"/>
              </w:rPr>
              <w:t>三</w:t>
            </w:r>
          </w:p>
        </w:tc>
        <w:tc>
          <w:tcPr>
            <w:tcW w:w="3171" w:type="dxa"/>
            <w:tcBorders>
              <w:tl2br w:val="nil"/>
              <w:tr2bl w:val="nil"/>
            </w:tcBorders>
            <w:vAlign w:val="center"/>
          </w:tcPr>
          <w:p>
            <w:pPr>
              <w:pStyle w:val="17"/>
              <w:bidi w:val="0"/>
              <w:rPr>
                <w:rFonts w:hint="default"/>
              </w:rPr>
            </w:pPr>
            <w:r>
              <w:rPr>
                <w:rFonts w:hint="default"/>
              </w:rPr>
              <w:t>主要原料用量</w:t>
            </w:r>
          </w:p>
        </w:tc>
        <w:tc>
          <w:tcPr>
            <w:tcW w:w="1159" w:type="dxa"/>
            <w:tcBorders>
              <w:tl2br w:val="nil"/>
              <w:tr2bl w:val="nil"/>
            </w:tcBorders>
            <w:vAlign w:val="center"/>
          </w:tcPr>
          <w:p>
            <w:pPr>
              <w:pStyle w:val="17"/>
              <w:bidi w:val="0"/>
              <w:rPr>
                <w:rFonts w:hint="default"/>
              </w:rPr>
            </w:pPr>
          </w:p>
        </w:tc>
        <w:tc>
          <w:tcPr>
            <w:tcW w:w="1486" w:type="dxa"/>
            <w:tcBorders>
              <w:tl2br w:val="nil"/>
              <w:tr2bl w:val="nil"/>
            </w:tcBorders>
            <w:vAlign w:val="center"/>
          </w:tcPr>
          <w:p>
            <w:pPr>
              <w:pStyle w:val="17"/>
              <w:bidi w:val="0"/>
              <w:rPr>
                <w:rFonts w:hint="default"/>
              </w:rPr>
            </w:pPr>
          </w:p>
        </w:tc>
        <w:tc>
          <w:tcPr>
            <w:tcW w:w="1871" w:type="dxa"/>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bookmarkStart w:id="104" w:name="_Hlk238888511"/>
            <w:bookmarkStart w:id="105" w:name="OLE_LINK9" w:colFirst="4" w:colLast="4"/>
            <w:bookmarkStart w:id="106" w:name="OLE_LINK10" w:colFirst="4" w:colLast="4"/>
            <w:r>
              <w:rPr>
                <w:rFonts w:hint="default"/>
              </w:rPr>
              <w:t>1</w:t>
            </w:r>
          </w:p>
        </w:tc>
        <w:tc>
          <w:tcPr>
            <w:tcW w:w="3171" w:type="dxa"/>
            <w:tcBorders>
              <w:tl2br w:val="nil"/>
              <w:tr2bl w:val="nil"/>
            </w:tcBorders>
            <w:vAlign w:val="center"/>
          </w:tcPr>
          <w:p>
            <w:pPr>
              <w:pStyle w:val="17"/>
              <w:bidi w:val="0"/>
              <w:rPr>
                <w:rFonts w:hint="default"/>
              </w:rPr>
            </w:pPr>
            <w:r>
              <w:rPr>
                <w:rFonts w:hint="default"/>
              </w:rPr>
              <w:t>废旧滴灌带</w:t>
            </w:r>
          </w:p>
        </w:tc>
        <w:tc>
          <w:tcPr>
            <w:tcW w:w="1159" w:type="dxa"/>
            <w:tcBorders>
              <w:tl2br w:val="nil"/>
              <w:tr2bl w:val="nil"/>
            </w:tcBorders>
            <w:vAlign w:val="center"/>
          </w:tcPr>
          <w:p>
            <w:pPr>
              <w:pStyle w:val="17"/>
              <w:bidi w:val="0"/>
              <w:rPr>
                <w:rFonts w:hint="default"/>
              </w:rPr>
            </w:pPr>
            <w:r>
              <w:rPr>
                <w:rFonts w:hint="default"/>
              </w:rPr>
              <w:t>t/a</w:t>
            </w:r>
          </w:p>
        </w:tc>
        <w:tc>
          <w:tcPr>
            <w:tcW w:w="1486" w:type="dxa"/>
            <w:tcBorders>
              <w:tl2br w:val="nil"/>
              <w:tr2bl w:val="nil"/>
            </w:tcBorders>
            <w:vAlign w:val="center"/>
          </w:tcPr>
          <w:p>
            <w:pPr>
              <w:pStyle w:val="17"/>
              <w:bidi w:val="0"/>
              <w:rPr>
                <w:rFonts w:hint="default"/>
                <w:lang w:val="en-US" w:eastAsia="zh-CN"/>
              </w:rPr>
            </w:pPr>
            <w:r>
              <w:rPr>
                <w:rFonts w:hint="eastAsia"/>
                <w:lang w:val="en-US" w:eastAsia="zh-CN"/>
              </w:rPr>
              <w:t>5000</w:t>
            </w:r>
          </w:p>
        </w:tc>
        <w:tc>
          <w:tcPr>
            <w:tcW w:w="1871" w:type="dxa"/>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r>
              <w:rPr>
                <w:rFonts w:hint="default"/>
              </w:rPr>
              <w:t>2</w:t>
            </w:r>
          </w:p>
        </w:tc>
        <w:tc>
          <w:tcPr>
            <w:tcW w:w="3171" w:type="dxa"/>
            <w:tcBorders>
              <w:tl2br w:val="nil"/>
              <w:tr2bl w:val="nil"/>
            </w:tcBorders>
            <w:vAlign w:val="center"/>
          </w:tcPr>
          <w:p>
            <w:pPr>
              <w:pStyle w:val="17"/>
              <w:bidi w:val="0"/>
              <w:rPr>
                <w:rFonts w:hint="default"/>
              </w:rPr>
            </w:pPr>
            <w:r>
              <w:rPr>
                <w:rFonts w:hint="default"/>
              </w:rPr>
              <w:t>聚乙烯树脂</w:t>
            </w:r>
          </w:p>
        </w:tc>
        <w:tc>
          <w:tcPr>
            <w:tcW w:w="1159" w:type="dxa"/>
            <w:tcBorders>
              <w:tl2br w:val="nil"/>
              <w:tr2bl w:val="nil"/>
            </w:tcBorders>
            <w:vAlign w:val="center"/>
          </w:tcPr>
          <w:p>
            <w:pPr>
              <w:pStyle w:val="17"/>
              <w:bidi w:val="0"/>
              <w:rPr>
                <w:rFonts w:hint="default"/>
              </w:rPr>
            </w:pPr>
            <w:r>
              <w:rPr>
                <w:rFonts w:hint="default"/>
              </w:rPr>
              <w:t>t/a</w:t>
            </w:r>
          </w:p>
        </w:tc>
        <w:tc>
          <w:tcPr>
            <w:tcW w:w="1486" w:type="dxa"/>
            <w:tcBorders>
              <w:tl2br w:val="nil"/>
              <w:tr2bl w:val="nil"/>
            </w:tcBorders>
            <w:vAlign w:val="center"/>
          </w:tcPr>
          <w:p>
            <w:pPr>
              <w:pStyle w:val="17"/>
              <w:bidi w:val="0"/>
              <w:rPr>
                <w:rFonts w:hint="default"/>
                <w:lang w:val="en-US" w:eastAsia="zh-CN"/>
              </w:rPr>
            </w:pPr>
            <w:r>
              <w:rPr>
                <w:rFonts w:hint="eastAsia"/>
                <w:lang w:val="en-US" w:eastAsia="zh-CN"/>
              </w:rPr>
              <w:t>1000</w:t>
            </w:r>
          </w:p>
        </w:tc>
        <w:tc>
          <w:tcPr>
            <w:tcW w:w="1871" w:type="dxa"/>
            <w:tcBorders>
              <w:tl2br w:val="nil"/>
              <w:tr2bl w:val="nil"/>
            </w:tcBorders>
            <w:vAlign w:val="center"/>
          </w:tcPr>
          <w:p>
            <w:pPr>
              <w:pStyle w:val="17"/>
              <w:bidi w:val="0"/>
              <w:rPr>
                <w:rFonts w:hint="default"/>
              </w:rPr>
            </w:pPr>
          </w:p>
        </w:tc>
      </w:tr>
      <w:bookmarkEnd w:id="104"/>
      <w:bookmarkEnd w:id="105"/>
      <w:bookmarkEnd w:id="106"/>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r>
              <w:rPr>
                <w:rFonts w:hint="default"/>
              </w:rPr>
              <w:t>3</w:t>
            </w:r>
          </w:p>
        </w:tc>
        <w:tc>
          <w:tcPr>
            <w:tcW w:w="3171" w:type="dxa"/>
            <w:tcBorders>
              <w:tl2br w:val="nil"/>
              <w:tr2bl w:val="nil"/>
            </w:tcBorders>
            <w:vAlign w:val="center"/>
          </w:tcPr>
          <w:p>
            <w:pPr>
              <w:pStyle w:val="17"/>
              <w:bidi w:val="0"/>
              <w:rPr>
                <w:rFonts w:hint="default"/>
              </w:rPr>
            </w:pPr>
            <w:r>
              <w:rPr>
                <w:rFonts w:hint="default"/>
              </w:rPr>
              <w:t>抗老化剂和黑色母料</w:t>
            </w:r>
          </w:p>
        </w:tc>
        <w:tc>
          <w:tcPr>
            <w:tcW w:w="1159" w:type="dxa"/>
            <w:tcBorders>
              <w:tl2br w:val="nil"/>
              <w:tr2bl w:val="nil"/>
            </w:tcBorders>
            <w:vAlign w:val="center"/>
          </w:tcPr>
          <w:p>
            <w:pPr>
              <w:pStyle w:val="17"/>
              <w:bidi w:val="0"/>
              <w:rPr>
                <w:rFonts w:hint="default"/>
              </w:rPr>
            </w:pPr>
            <w:r>
              <w:rPr>
                <w:rFonts w:hint="default"/>
              </w:rPr>
              <w:t>t/a</w:t>
            </w:r>
          </w:p>
        </w:tc>
        <w:tc>
          <w:tcPr>
            <w:tcW w:w="1486" w:type="dxa"/>
            <w:tcBorders>
              <w:tl2br w:val="nil"/>
              <w:tr2bl w:val="nil"/>
            </w:tcBorders>
            <w:vAlign w:val="center"/>
          </w:tcPr>
          <w:p>
            <w:pPr>
              <w:pStyle w:val="17"/>
              <w:bidi w:val="0"/>
              <w:rPr>
                <w:rFonts w:hint="default"/>
                <w:lang w:val="en-US" w:eastAsia="zh-CN"/>
              </w:rPr>
            </w:pPr>
            <w:r>
              <w:rPr>
                <w:rFonts w:hint="eastAsia"/>
                <w:lang w:val="en-US" w:eastAsia="zh-CN"/>
              </w:rPr>
              <w:t>100</w:t>
            </w:r>
          </w:p>
        </w:tc>
        <w:tc>
          <w:tcPr>
            <w:tcW w:w="1871" w:type="dxa"/>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r>
              <w:rPr>
                <w:rFonts w:hint="default"/>
              </w:rPr>
              <w:t>四</w:t>
            </w:r>
          </w:p>
        </w:tc>
        <w:tc>
          <w:tcPr>
            <w:tcW w:w="3171" w:type="dxa"/>
            <w:tcBorders>
              <w:tl2br w:val="nil"/>
              <w:tr2bl w:val="nil"/>
            </w:tcBorders>
            <w:vAlign w:val="center"/>
          </w:tcPr>
          <w:p>
            <w:pPr>
              <w:pStyle w:val="17"/>
              <w:bidi w:val="0"/>
              <w:rPr>
                <w:rFonts w:hint="default"/>
              </w:rPr>
            </w:pPr>
            <w:r>
              <w:rPr>
                <w:rFonts w:hint="default"/>
              </w:rPr>
              <w:t>动力消耗</w:t>
            </w:r>
          </w:p>
        </w:tc>
        <w:tc>
          <w:tcPr>
            <w:tcW w:w="1159" w:type="dxa"/>
            <w:tcBorders>
              <w:tl2br w:val="nil"/>
              <w:tr2bl w:val="nil"/>
            </w:tcBorders>
            <w:vAlign w:val="center"/>
          </w:tcPr>
          <w:p>
            <w:pPr>
              <w:pStyle w:val="17"/>
              <w:bidi w:val="0"/>
              <w:rPr>
                <w:rFonts w:hint="default"/>
              </w:rPr>
            </w:pPr>
          </w:p>
        </w:tc>
        <w:tc>
          <w:tcPr>
            <w:tcW w:w="1486" w:type="dxa"/>
            <w:tcBorders>
              <w:tl2br w:val="nil"/>
              <w:tr2bl w:val="nil"/>
            </w:tcBorders>
            <w:vAlign w:val="center"/>
          </w:tcPr>
          <w:p>
            <w:pPr>
              <w:pStyle w:val="17"/>
              <w:bidi w:val="0"/>
              <w:rPr>
                <w:rFonts w:hint="default"/>
              </w:rPr>
            </w:pPr>
          </w:p>
        </w:tc>
        <w:tc>
          <w:tcPr>
            <w:tcW w:w="1871" w:type="dxa"/>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r>
              <w:rPr>
                <w:rFonts w:hint="default"/>
              </w:rPr>
              <w:t>1</w:t>
            </w:r>
          </w:p>
        </w:tc>
        <w:tc>
          <w:tcPr>
            <w:tcW w:w="3171" w:type="dxa"/>
            <w:tcBorders>
              <w:tl2br w:val="nil"/>
              <w:tr2bl w:val="nil"/>
            </w:tcBorders>
            <w:vAlign w:val="center"/>
          </w:tcPr>
          <w:p>
            <w:pPr>
              <w:pStyle w:val="17"/>
              <w:bidi w:val="0"/>
              <w:rPr>
                <w:rFonts w:hint="default"/>
              </w:rPr>
            </w:pPr>
            <w:r>
              <w:rPr>
                <w:rFonts w:hint="default"/>
              </w:rPr>
              <w:t>新鲜水</w:t>
            </w:r>
          </w:p>
        </w:tc>
        <w:tc>
          <w:tcPr>
            <w:tcW w:w="1159" w:type="dxa"/>
            <w:tcBorders>
              <w:tl2br w:val="nil"/>
              <w:tr2bl w:val="nil"/>
            </w:tcBorders>
            <w:vAlign w:val="center"/>
          </w:tcPr>
          <w:p>
            <w:pPr>
              <w:pStyle w:val="17"/>
              <w:bidi w:val="0"/>
              <w:rPr>
                <w:rFonts w:hint="default"/>
              </w:rPr>
            </w:pPr>
            <w:r>
              <w:rPr>
                <w:rFonts w:hint="default"/>
              </w:rPr>
              <w:t>t/d</w:t>
            </w:r>
          </w:p>
        </w:tc>
        <w:tc>
          <w:tcPr>
            <w:tcW w:w="1486" w:type="dxa"/>
            <w:tcBorders>
              <w:tl2br w:val="nil"/>
              <w:tr2bl w:val="nil"/>
            </w:tcBorders>
            <w:vAlign w:val="center"/>
          </w:tcPr>
          <w:p>
            <w:pPr>
              <w:pStyle w:val="17"/>
              <w:bidi w:val="0"/>
              <w:rPr>
                <w:rFonts w:hint="default"/>
                <w:lang w:val="en-US" w:eastAsia="zh-CN"/>
              </w:rPr>
            </w:pPr>
            <w:r>
              <w:rPr>
                <w:rFonts w:hint="eastAsia"/>
                <w:lang w:val="en-US" w:eastAsia="zh-CN"/>
              </w:rPr>
              <w:t>9.27</w:t>
            </w:r>
          </w:p>
        </w:tc>
        <w:tc>
          <w:tcPr>
            <w:tcW w:w="1871" w:type="dxa"/>
            <w:tcBorders>
              <w:tl2br w:val="nil"/>
              <w:tr2bl w:val="nil"/>
            </w:tcBorders>
            <w:vAlign w:val="center"/>
          </w:tcPr>
          <w:p>
            <w:pPr>
              <w:pStyle w:val="17"/>
              <w:bidi w:val="0"/>
              <w:rPr>
                <w:rFonts w:hint="default"/>
              </w:rPr>
            </w:pPr>
            <w:r>
              <w:rPr>
                <w:rFonts w:hint="eastAsia"/>
                <w:lang w:val="en-US" w:eastAsia="zh-CN"/>
              </w:rPr>
              <w:t>2836.7</w:t>
            </w:r>
            <w:r>
              <w:rPr>
                <w:rFonts w:hint="default"/>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r>
              <w:rPr>
                <w:rFonts w:hint="default"/>
              </w:rPr>
              <w:t>2</w:t>
            </w:r>
          </w:p>
        </w:tc>
        <w:tc>
          <w:tcPr>
            <w:tcW w:w="3171" w:type="dxa"/>
            <w:tcBorders>
              <w:tl2br w:val="nil"/>
              <w:tr2bl w:val="nil"/>
            </w:tcBorders>
            <w:vAlign w:val="center"/>
          </w:tcPr>
          <w:p>
            <w:pPr>
              <w:pStyle w:val="17"/>
              <w:bidi w:val="0"/>
              <w:rPr>
                <w:rFonts w:hint="default"/>
              </w:rPr>
            </w:pPr>
            <w:r>
              <w:rPr>
                <w:rFonts w:hint="default"/>
              </w:rPr>
              <w:t>循环水</w:t>
            </w:r>
          </w:p>
        </w:tc>
        <w:tc>
          <w:tcPr>
            <w:tcW w:w="1159" w:type="dxa"/>
            <w:tcBorders>
              <w:tl2br w:val="nil"/>
              <w:tr2bl w:val="nil"/>
            </w:tcBorders>
            <w:vAlign w:val="center"/>
          </w:tcPr>
          <w:p>
            <w:pPr>
              <w:pStyle w:val="17"/>
              <w:bidi w:val="0"/>
              <w:rPr>
                <w:rFonts w:hint="default"/>
              </w:rPr>
            </w:pPr>
            <w:r>
              <w:rPr>
                <w:rFonts w:hint="default"/>
              </w:rPr>
              <w:t>t/d</w:t>
            </w:r>
          </w:p>
        </w:tc>
        <w:tc>
          <w:tcPr>
            <w:tcW w:w="1486" w:type="dxa"/>
            <w:tcBorders>
              <w:tl2br w:val="nil"/>
              <w:tr2bl w:val="nil"/>
            </w:tcBorders>
            <w:vAlign w:val="center"/>
          </w:tcPr>
          <w:p>
            <w:pPr>
              <w:pStyle w:val="17"/>
              <w:bidi w:val="0"/>
              <w:rPr>
                <w:rFonts w:hint="default"/>
                <w:lang w:val="en-US" w:eastAsia="zh-CN"/>
              </w:rPr>
            </w:pPr>
            <w:r>
              <w:rPr>
                <w:rFonts w:hint="eastAsia"/>
                <w:lang w:val="en-US" w:eastAsia="zh-CN"/>
              </w:rPr>
              <w:t>103.95</w:t>
            </w:r>
          </w:p>
        </w:tc>
        <w:tc>
          <w:tcPr>
            <w:tcW w:w="1871" w:type="dxa"/>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r>
              <w:rPr>
                <w:rFonts w:hint="default"/>
              </w:rPr>
              <w:t>3</w:t>
            </w:r>
          </w:p>
        </w:tc>
        <w:tc>
          <w:tcPr>
            <w:tcW w:w="3171" w:type="dxa"/>
            <w:tcBorders>
              <w:tl2br w:val="nil"/>
              <w:tr2bl w:val="nil"/>
            </w:tcBorders>
            <w:vAlign w:val="center"/>
          </w:tcPr>
          <w:p>
            <w:pPr>
              <w:pStyle w:val="17"/>
              <w:bidi w:val="0"/>
              <w:rPr>
                <w:rFonts w:hint="default"/>
              </w:rPr>
            </w:pPr>
            <w:r>
              <w:rPr>
                <w:rFonts w:hint="default"/>
              </w:rPr>
              <w:t>电</w:t>
            </w:r>
          </w:p>
        </w:tc>
        <w:tc>
          <w:tcPr>
            <w:tcW w:w="1159" w:type="dxa"/>
            <w:tcBorders>
              <w:tl2br w:val="nil"/>
              <w:tr2bl w:val="nil"/>
            </w:tcBorders>
            <w:vAlign w:val="center"/>
          </w:tcPr>
          <w:p>
            <w:pPr>
              <w:pStyle w:val="17"/>
              <w:bidi w:val="0"/>
              <w:rPr>
                <w:rFonts w:hint="default"/>
              </w:rPr>
            </w:pPr>
            <w:r>
              <w:rPr>
                <w:rFonts w:hint="default"/>
              </w:rPr>
              <w:t>kW</w:t>
            </w:r>
          </w:p>
        </w:tc>
        <w:tc>
          <w:tcPr>
            <w:tcW w:w="1486" w:type="dxa"/>
            <w:tcBorders>
              <w:tl2br w:val="nil"/>
              <w:tr2bl w:val="nil"/>
            </w:tcBorders>
            <w:vAlign w:val="center"/>
          </w:tcPr>
          <w:p>
            <w:pPr>
              <w:pStyle w:val="17"/>
              <w:bidi w:val="0"/>
              <w:rPr>
                <w:rFonts w:hint="default"/>
              </w:rPr>
            </w:pPr>
            <w:r>
              <w:rPr>
                <w:rFonts w:hint="eastAsia"/>
                <w:lang w:val="en-US" w:eastAsia="zh-CN"/>
              </w:rPr>
              <w:t>515.59</w:t>
            </w:r>
            <w:r>
              <w:rPr>
                <w:rFonts w:hint="default"/>
              </w:rPr>
              <w:t>×10</w:t>
            </w:r>
            <w:r>
              <w:rPr>
                <w:rFonts w:hint="default"/>
                <w:vertAlign w:val="superscript"/>
              </w:rPr>
              <w:t>4</w:t>
            </w:r>
          </w:p>
        </w:tc>
        <w:tc>
          <w:tcPr>
            <w:tcW w:w="1871" w:type="dxa"/>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r>
              <w:rPr>
                <w:rFonts w:hint="default"/>
              </w:rPr>
              <w:t>五</w:t>
            </w:r>
          </w:p>
        </w:tc>
        <w:tc>
          <w:tcPr>
            <w:tcW w:w="3171" w:type="dxa"/>
            <w:tcBorders>
              <w:tl2br w:val="nil"/>
              <w:tr2bl w:val="nil"/>
            </w:tcBorders>
            <w:vAlign w:val="center"/>
          </w:tcPr>
          <w:p>
            <w:pPr>
              <w:pStyle w:val="17"/>
              <w:bidi w:val="0"/>
              <w:rPr>
                <w:rFonts w:hint="default"/>
              </w:rPr>
            </w:pPr>
            <w:r>
              <w:rPr>
                <w:rFonts w:hint="default"/>
              </w:rPr>
              <w:t>总运量</w:t>
            </w:r>
          </w:p>
        </w:tc>
        <w:tc>
          <w:tcPr>
            <w:tcW w:w="1159" w:type="dxa"/>
            <w:tcBorders>
              <w:tl2br w:val="nil"/>
              <w:tr2bl w:val="nil"/>
            </w:tcBorders>
            <w:vAlign w:val="center"/>
          </w:tcPr>
          <w:p>
            <w:pPr>
              <w:pStyle w:val="17"/>
              <w:bidi w:val="0"/>
              <w:rPr>
                <w:rFonts w:hint="default"/>
              </w:rPr>
            </w:pPr>
            <w:r>
              <w:rPr>
                <w:rFonts w:hint="default"/>
              </w:rPr>
              <w:t>t/a</w:t>
            </w:r>
          </w:p>
        </w:tc>
        <w:tc>
          <w:tcPr>
            <w:tcW w:w="1486" w:type="dxa"/>
            <w:tcBorders>
              <w:tl2br w:val="nil"/>
              <w:tr2bl w:val="nil"/>
            </w:tcBorders>
            <w:vAlign w:val="center"/>
          </w:tcPr>
          <w:p>
            <w:pPr>
              <w:pStyle w:val="17"/>
              <w:bidi w:val="0"/>
              <w:rPr>
                <w:rFonts w:hint="default"/>
                <w:lang w:val="en-US" w:eastAsia="zh-CN"/>
              </w:rPr>
            </w:pPr>
            <w:r>
              <w:rPr>
                <w:rFonts w:hint="eastAsia"/>
                <w:lang w:val="en-US" w:eastAsia="zh-CN"/>
              </w:rPr>
              <w:t>1.22万</w:t>
            </w:r>
          </w:p>
        </w:tc>
        <w:tc>
          <w:tcPr>
            <w:tcW w:w="1871" w:type="dxa"/>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r>
              <w:rPr>
                <w:rFonts w:hint="default"/>
              </w:rPr>
              <w:t>六</w:t>
            </w:r>
          </w:p>
        </w:tc>
        <w:tc>
          <w:tcPr>
            <w:tcW w:w="3171" w:type="dxa"/>
            <w:tcBorders>
              <w:tl2br w:val="nil"/>
              <w:tr2bl w:val="nil"/>
            </w:tcBorders>
            <w:vAlign w:val="center"/>
          </w:tcPr>
          <w:p>
            <w:pPr>
              <w:pStyle w:val="17"/>
              <w:bidi w:val="0"/>
              <w:rPr>
                <w:rFonts w:hint="default"/>
              </w:rPr>
            </w:pPr>
            <w:r>
              <w:rPr>
                <w:rFonts w:hint="default"/>
              </w:rPr>
              <w:t>全厂定员</w:t>
            </w:r>
          </w:p>
        </w:tc>
        <w:tc>
          <w:tcPr>
            <w:tcW w:w="1159" w:type="dxa"/>
            <w:tcBorders>
              <w:tl2br w:val="nil"/>
              <w:tr2bl w:val="nil"/>
            </w:tcBorders>
            <w:vAlign w:val="center"/>
          </w:tcPr>
          <w:p>
            <w:pPr>
              <w:pStyle w:val="17"/>
              <w:bidi w:val="0"/>
              <w:rPr>
                <w:rFonts w:hint="default"/>
              </w:rPr>
            </w:pPr>
            <w:r>
              <w:rPr>
                <w:rFonts w:hint="default"/>
              </w:rPr>
              <w:t>人</w:t>
            </w:r>
          </w:p>
        </w:tc>
        <w:tc>
          <w:tcPr>
            <w:tcW w:w="1486" w:type="dxa"/>
            <w:tcBorders>
              <w:tl2br w:val="nil"/>
              <w:tr2bl w:val="nil"/>
            </w:tcBorders>
            <w:vAlign w:val="center"/>
          </w:tcPr>
          <w:p>
            <w:pPr>
              <w:pStyle w:val="17"/>
              <w:bidi w:val="0"/>
              <w:rPr>
                <w:rFonts w:hint="default"/>
                <w:lang w:val="en-US" w:eastAsia="zh-CN"/>
              </w:rPr>
            </w:pPr>
            <w:r>
              <w:rPr>
                <w:rFonts w:hint="eastAsia"/>
                <w:lang w:val="en-US" w:eastAsia="zh-CN"/>
              </w:rPr>
              <w:t>42</w:t>
            </w:r>
          </w:p>
        </w:tc>
        <w:tc>
          <w:tcPr>
            <w:tcW w:w="1871" w:type="dxa"/>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r>
              <w:rPr>
                <w:rFonts w:hint="default"/>
              </w:rPr>
              <w:t>七</w:t>
            </w:r>
          </w:p>
        </w:tc>
        <w:tc>
          <w:tcPr>
            <w:tcW w:w="3171" w:type="dxa"/>
            <w:tcBorders>
              <w:tl2br w:val="nil"/>
              <w:tr2bl w:val="nil"/>
            </w:tcBorders>
            <w:vAlign w:val="center"/>
          </w:tcPr>
          <w:p>
            <w:pPr>
              <w:pStyle w:val="17"/>
              <w:bidi w:val="0"/>
              <w:rPr>
                <w:rFonts w:hint="default"/>
              </w:rPr>
            </w:pPr>
            <w:r>
              <w:rPr>
                <w:rFonts w:hint="default"/>
              </w:rPr>
              <w:t>占地面积</w:t>
            </w:r>
          </w:p>
        </w:tc>
        <w:tc>
          <w:tcPr>
            <w:tcW w:w="1159" w:type="dxa"/>
            <w:tcBorders>
              <w:tl2br w:val="nil"/>
              <w:tr2bl w:val="nil"/>
            </w:tcBorders>
            <w:vAlign w:val="center"/>
          </w:tcPr>
          <w:p>
            <w:pPr>
              <w:pStyle w:val="17"/>
              <w:bidi w:val="0"/>
              <w:rPr>
                <w:rFonts w:hint="eastAsia"/>
                <w:lang w:eastAsia="zh-CN"/>
              </w:rPr>
            </w:pPr>
            <w:r>
              <w:rPr>
                <w:rFonts w:hint="eastAsia"/>
                <w:lang w:eastAsia="zh-CN"/>
              </w:rPr>
              <w:t>m²</w:t>
            </w:r>
          </w:p>
        </w:tc>
        <w:tc>
          <w:tcPr>
            <w:tcW w:w="1486" w:type="dxa"/>
            <w:tcBorders>
              <w:tl2br w:val="nil"/>
              <w:tr2bl w:val="nil"/>
            </w:tcBorders>
            <w:vAlign w:val="center"/>
          </w:tcPr>
          <w:p>
            <w:pPr>
              <w:pStyle w:val="17"/>
              <w:bidi w:val="0"/>
              <w:rPr>
                <w:rFonts w:hint="default"/>
                <w:lang w:val="en-US" w:eastAsia="zh-CN"/>
              </w:rPr>
            </w:pPr>
            <w:r>
              <w:rPr>
                <w:rFonts w:hint="eastAsia"/>
                <w:lang w:val="en-US" w:eastAsia="zh-CN"/>
              </w:rPr>
              <w:t>8277.18</w:t>
            </w:r>
          </w:p>
        </w:tc>
        <w:tc>
          <w:tcPr>
            <w:tcW w:w="1871" w:type="dxa"/>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r>
              <w:rPr>
                <w:rFonts w:hint="default"/>
              </w:rPr>
              <w:t>八</w:t>
            </w:r>
          </w:p>
        </w:tc>
        <w:tc>
          <w:tcPr>
            <w:tcW w:w="3171" w:type="dxa"/>
            <w:tcBorders>
              <w:tl2br w:val="nil"/>
              <w:tr2bl w:val="nil"/>
            </w:tcBorders>
            <w:vAlign w:val="center"/>
          </w:tcPr>
          <w:p>
            <w:pPr>
              <w:pStyle w:val="17"/>
              <w:bidi w:val="0"/>
              <w:rPr>
                <w:rFonts w:hint="default"/>
              </w:rPr>
            </w:pPr>
            <w:r>
              <w:rPr>
                <w:rFonts w:hint="default"/>
              </w:rPr>
              <w:t>建筑面积</w:t>
            </w:r>
          </w:p>
        </w:tc>
        <w:tc>
          <w:tcPr>
            <w:tcW w:w="1159" w:type="dxa"/>
            <w:tcBorders>
              <w:tl2br w:val="nil"/>
              <w:tr2bl w:val="nil"/>
            </w:tcBorders>
            <w:vAlign w:val="center"/>
          </w:tcPr>
          <w:p>
            <w:pPr>
              <w:pStyle w:val="17"/>
              <w:bidi w:val="0"/>
              <w:rPr>
                <w:rFonts w:hint="eastAsia"/>
                <w:lang w:eastAsia="zh-CN"/>
              </w:rPr>
            </w:pPr>
            <w:r>
              <w:rPr>
                <w:rFonts w:hint="eastAsia"/>
                <w:lang w:eastAsia="zh-CN"/>
              </w:rPr>
              <w:t>m²</w:t>
            </w:r>
          </w:p>
        </w:tc>
        <w:tc>
          <w:tcPr>
            <w:tcW w:w="1486" w:type="dxa"/>
            <w:tcBorders>
              <w:tl2br w:val="nil"/>
              <w:tr2bl w:val="nil"/>
            </w:tcBorders>
            <w:vAlign w:val="center"/>
          </w:tcPr>
          <w:p>
            <w:pPr>
              <w:pStyle w:val="17"/>
              <w:bidi w:val="0"/>
              <w:rPr>
                <w:rFonts w:hint="default"/>
                <w:lang w:val="en-US" w:eastAsia="zh-CN"/>
              </w:rPr>
            </w:pPr>
            <w:r>
              <w:rPr>
                <w:rFonts w:hint="eastAsia"/>
                <w:lang w:val="en-US" w:eastAsia="zh-CN"/>
              </w:rPr>
              <w:t>1586</w:t>
            </w:r>
          </w:p>
        </w:tc>
        <w:tc>
          <w:tcPr>
            <w:tcW w:w="1871" w:type="dxa"/>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r>
              <w:rPr>
                <w:rFonts w:hint="default"/>
              </w:rPr>
              <w:t>九</w:t>
            </w:r>
          </w:p>
        </w:tc>
        <w:tc>
          <w:tcPr>
            <w:tcW w:w="3171" w:type="dxa"/>
            <w:tcBorders>
              <w:tl2br w:val="nil"/>
              <w:tr2bl w:val="nil"/>
            </w:tcBorders>
            <w:vAlign w:val="center"/>
          </w:tcPr>
          <w:p>
            <w:pPr>
              <w:pStyle w:val="17"/>
              <w:bidi w:val="0"/>
              <w:rPr>
                <w:rFonts w:hint="default"/>
              </w:rPr>
            </w:pPr>
            <w:r>
              <w:rPr>
                <w:rFonts w:hint="default"/>
              </w:rPr>
              <w:t>项目总投资</w:t>
            </w:r>
          </w:p>
        </w:tc>
        <w:tc>
          <w:tcPr>
            <w:tcW w:w="1159" w:type="dxa"/>
            <w:tcBorders>
              <w:tl2br w:val="nil"/>
              <w:tr2bl w:val="nil"/>
            </w:tcBorders>
            <w:vAlign w:val="center"/>
          </w:tcPr>
          <w:p>
            <w:pPr>
              <w:pStyle w:val="17"/>
              <w:bidi w:val="0"/>
              <w:rPr>
                <w:rFonts w:hint="default"/>
              </w:rPr>
            </w:pPr>
            <w:r>
              <w:rPr>
                <w:rFonts w:hint="default"/>
              </w:rPr>
              <w:t>万元</w:t>
            </w:r>
          </w:p>
        </w:tc>
        <w:tc>
          <w:tcPr>
            <w:tcW w:w="1486" w:type="dxa"/>
            <w:tcBorders>
              <w:tl2br w:val="nil"/>
              <w:tr2bl w:val="nil"/>
            </w:tcBorders>
            <w:vAlign w:val="center"/>
          </w:tcPr>
          <w:p>
            <w:pPr>
              <w:pStyle w:val="17"/>
              <w:bidi w:val="0"/>
              <w:rPr>
                <w:rFonts w:hint="default"/>
                <w:lang w:val="en-US" w:eastAsia="zh-CN"/>
              </w:rPr>
            </w:pPr>
            <w:r>
              <w:rPr>
                <w:rFonts w:hint="eastAsia"/>
                <w:lang w:val="en-US" w:eastAsia="zh-CN"/>
              </w:rPr>
              <w:t>800</w:t>
            </w:r>
          </w:p>
        </w:tc>
        <w:tc>
          <w:tcPr>
            <w:tcW w:w="1871" w:type="dxa"/>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r>
              <w:rPr>
                <w:rFonts w:hint="default"/>
              </w:rPr>
              <w:t>1</w:t>
            </w:r>
          </w:p>
        </w:tc>
        <w:tc>
          <w:tcPr>
            <w:tcW w:w="3171" w:type="dxa"/>
            <w:tcBorders>
              <w:tl2br w:val="nil"/>
              <w:tr2bl w:val="nil"/>
            </w:tcBorders>
            <w:vAlign w:val="center"/>
          </w:tcPr>
          <w:p>
            <w:pPr>
              <w:pStyle w:val="17"/>
              <w:bidi w:val="0"/>
              <w:rPr>
                <w:rFonts w:hint="default"/>
              </w:rPr>
            </w:pPr>
            <w:r>
              <w:rPr>
                <w:rFonts w:hint="default"/>
              </w:rPr>
              <w:t>基建投资</w:t>
            </w:r>
          </w:p>
        </w:tc>
        <w:tc>
          <w:tcPr>
            <w:tcW w:w="1159" w:type="dxa"/>
            <w:tcBorders>
              <w:tl2br w:val="nil"/>
              <w:tr2bl w:val="nil"/>
            </w:tcBorders>
            <w:vAlign w:val="center"/>
          </w:tcPr>
          <w:p>
            <w:pPr>
              <w:pStyle w:val="17"/>
              <w:bidi w:val="0"/>
              <w:rPr>
                <w:rFonts w:hint="default"/>
              </w:rPr>
            </w:pPr>
            <w:r>
              <w:rPr>
                <w:rFonts w:hint="default"/>
              </w:rPr>
              <w:t>万元</w:t>
            </w:r>
          </w:p>
        </w:tc>
        <w:tc>
          <w:tcPr>
            <w:tcW w:w="1486" w:type="dxa"/>
            <w:tcBorders>
              <w:tl2br w:val="nil"/>
              <w:tr2bl w:val="nil"/>
            </w:tcBorders>
            <w:vAlign w:val="center"/>
          </w:tcPr>
          <w:p>
            <w:pPr>
              <w:pStyle w:val="17"/>
              <w:bidi w:val="0"/>
              <w:rPr>
                <w:rFonts w:hint="default"/>
                <w:lang w:val="en-US" w:eastAsia="zh-CN"/>
              </w:rPr>
            </w:pPr>
            <w:r>
              <w:rPr>
                <w:rFonts w:hint="eastAsia"/>
                <w:lang w:val="en-US" w:eastAsia="zh-CN"/>
              </w:rPr>
              <w:t>600</w:t>
            </w:r>
          </w:p>
        </w:tc>
        <w:tc>
          <w:tcPr>
            <w:tcW w:w="1871" w:type="dxa"/>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Borders>
              <w:tl2br w:val="nil"/>
              <w:tr2bl w:val="nil"/>
            </w:tcBorders>
            <w:vAlign w:val="center"/>
          </w:tcPr>
          <w:p>
            <w:pPr>
              <w:pStyle w:val="17"/>
              <w:bidi w:val="0"/>
              <w:rPr>
                <w:rFonts w:hint="default"/>
              </w:rPr>
            </w:pPr>
            <w:r>
              <w:rPr>
                <w:rFonts w:hint="default"/>
              </w:rPr>
              <w:t>2</w:t>
            </w:r>
          </w:p>
        </w:tc>
        <w:tc>
          <w:tcPr>
            <w:tcW w:w="3171" w:type="dxa"/>
            <w:tcBorders>
              <w:tl2br w:val="nil"/>
              <w:tr2bl w:val="nil"/>
            </w:tcBorders>
            <w:vAlign w:val="center"/>
          </w:tcPr>
          <w:p>
            <w:pPr>
              <w:pStyle w:val="17"/>
              <w:bidi w:val="0"/>
              <w:rPr>
                <w:rFonts w:hint="default"/>
              </w:rPr>
            </w:pPr>
            <w:r>
              <w:rPr>
                <w:rFonts w:hint="default"/>
              </w:rPr>
              <w:t>流动资金</w:t>
            </w:r>
          </w:p>
        </w:tc>
        <w:tc>
          <w:tcPr>
            <w:tcW w:w="1159" w:type="dxa"/>
            <w:tcBorders>
              <w:tl2br w:val="nil"/>
              <w:tr2bl w:val="nil"/>
            </w:tcBorders>
            <w:vAlign w:val="center"/>
          </w:tcPr>
          <w:p>
            <w:pPr>
              <w:pStyle w:val="17"/>
              <w:bidi w:val="0"/>
              <w:rPr>
                <w:rFonts w:hint="default"/>
              </w:rPr>
            </w:pPr>
            <w:r>
              <w:rPr>
                <w:rFonts w:hint="default"/>
              </w:rPr>
              <w:t>万元</w:t>
            </w:r>
          </w:p>
        </w:tc>
        <w:tc>
          <w:tcPr>
            <w:tcW w:w="1486" w:type="dxa"/>
            <w:tcBorders>
              <w:tl2br w:val="nil"/>
              <w:tr2bl w:val="nil"/>
            </w:tcBorders>
            <w:vAlign w:val="center"/>
          </w:tcPr>
          <w:p>
            <w:pPr>
              <w:pStyle w:val="17"/>
              <w:bidi w:val="0"/>
              <w:rPr>
                <w:rFonts w:hint="default"/>
                <w:lang w:val="en-US" w:eastAsia="zh-CN"/>
              </w:rPr>
            </w:pPr>
            <w:r>
              <w:rPr>
                <w:rFonts w:hint="eastAsia"/>
                <w:lang w:val="en-US" w:eastAsia="zh-CN"/>
              </w:rPr>
              <w:t>200</w:t>
            </w:r>
          </w:p>
        </w:tc>
        <w:tc>
          <w:tcPr>
            <w:tcW w:w="1871" w:type="dxa"/>
            <w:tcBorders>
              <w:tl2br w:val="nil"/>
              <w:tr2bl w:val="nil"/>
            </w:tcBorders>
            <w:vAlign w:val="center"/>
          </w:tcPr>
          <w:p>
            <w:pPr>
              <w:pStyle w:val="17"/>
              <w:bidi w:val="0"/>
              <w:rPr>
                <w:rFonts w:hint="default"/>
              </w:rPr>
            </w:pPr>
          </w:p>
        </w:tc>
      </w:tr>
    </w:tbl>
    <w:p>
      <w:pPr>
        <w:pStyle w:val="4"/>
        <w:bidi w:val="0"/>
        <w:rPr>
          <w:rFonts w:hint="default"/>
        </w:rPr>
      </w:pPr>
      <w:bookmarkStart w:id="107" w:name="_Toc27015"/>
      <w:r>
        <w:rPr>
          <w:rFonts w:hint="default"/>
        </w:rPr>
        <w:t>3.7</w:t>
      </w:r>
      <w:r>
        <w:rPr>
          <w:rFonts w:hint="eastAsia"/>
          <w:lang w:eastAsia="zh-CN"/>
        </w:rPr>
        <w:t>、</w:t>
      </w:r>
      <w:r>
        <w:rPr>
          <w:rFonts w:hint="default"/>
        </w:rPr>
        <w:t>工程分析</w:t>
      </w:r>
      <w:bookmarkEnd w:id="107"/>
    </w:p>
    <w:p>
      <w:pPr>
        <w:pStyle w:val="5"/>
        <w:bidi w:val="0"/>
        <w:rPr>
          <w:rFonts w:hint="default"/>
        </w:rPr>
      </w:pPr>
      <w:bookmarkStart w:id="108" w:name="_Toc14266"/>
      <w:r>
        <w:rPr>
          <w:rFonts w:hint="default"/>
        </w:rPr>
        <w:t>3.7.1</w:t>
      </w:r>
      <w:r>
        <w:rPr>
          <w:rFonts w:hint="eastAsia"/>
          <w:lang w:eastAsia="zh-CN"/>
        </w:rPr>
        <w:t>、</w:t>
      </w:r>
      <w:r>
        <w:rPr>
          <w:rFonts w:hint="default"/>
        </w:rPr>
        <w:t>工艺概述</w:t>
      </w:r>
      <w:bookmarkEnd w:id="108"/>
    </w:p>
    <w:p>
      <w:pPr>
        <w:bidi w:val="0"/>
        <w:rPr>
          <w:rFonts w:hint="default"/>
        </w:rPr>
      </w:pPr>
      <w:r>
        <w:rPr>
          <w:rFonts w:hint="default"/>
        </w:rPr>
        <w:t>本项目将回收的废旧滴灌带进行分拣、破碎、清洗脱水、热熔挤出造粒，再生聚乙烯颗粒料进入滴灌带、</w:t>
      </w:r>
      <w:r>
        <w:rPr>
          <w:rFonts w:hint="default"/>
          <w:lang w:eastAsia="zh-CN"/>
        </w:rPr>
        <w:t>PE管材</w:t>
      </w:r>
      <w:r>
        <w:rPr>
          <w:rFonts w:hint="default"/>
        </w:rPr>
        <w:t>、地膜生产线，塑化挤出，通过模具定型为固态，经切割而得到具有一定几何形状和尺寸的滴灌带成品、</w:t>
      </w:r>
      <w:r>
        <w:rPr>
          <w:rFonts w:hint="default"/>
          <w:lang w:eastAsia="zh-CN"/>
        </w:rPr>
        <w:t>PE管材</w:t>
      </w:r>
      <w:r>
        <w:rPr>
          <w:rFonts w:hint="default"/>
        </w:rPr>
        <w:t>产品和地膜产品，最后进行包装入库待售。</w:t>
      </w:r>
    </w:p>
    <w:p>
      <w:pPr>
        <w:pStyle w:val="5"/>
        <w:bidi w:val="0"/>
        <w:rPr>
          <w:rFonts w:hint="default"/>
        </w:rPr>
      </w:pPr>
      <w:r>
        <w:rPr>
          <w:rFonts w:hint="default"/>
        </w:rPr>
        <w:t>3.7.2</w:t>
      </w:r>
      <w:r>
        <w:rPr>
          <w:rFonts w:hint="eastAsia"/>
          <w:lang w:eastAsia="zh-CN"/>
        </w:rPr>
        <w:t>、</w:t>
      </w:r>
      <w:r>
        <w:rPr>
          <w:rFonts w:hint="default"/>
        </w:rPr>
        <w:t>工艺流程及产污环节</w:t>
      </w:r>
    </w:p>
    <w:p>
      <w:pPr>
        <w:pStyle w:val="6"/>
        <w:bidi w:val="0"/>
        <w:rPr>
          <w:rFonts w:hint="default"/>
        </w:rPr>
      </w:pPr>
      <w:r>
        <w:rPr>
          <w:rFonts w:hint="default"/>
        </w:rPr>
        <w:t>3.7.2.1</w:t>
      </w:r>
      <w:r>
        <w:rPr>
          <w:rFonts w:hint="eastAsia"/>
          <w:lang w:eastAsia="zh-CN"/>
        </w:rPr>
        <w:t>、</w:t>
      </w:r>
      <w:r>
        <w:rPr>
          <w:rFonts w:hint="default"/>
        </w:rPr>
        <w:t>聚乙烯再生颗粒生产工艺流程及产污环节</w:t>
      </w:r>
    </w:p>
    <w:p>
      <w:pPr>
        <w:bidi w:val="0"/>
        <w:rPr>
          <w:rFonts w:hint="default"/>
        </w:rPr>
      </w:pPr>
      <w:r>
        <w:rPr>
          <w:rFonts w:hint="default"/>
        </w:rPr>
        <w:t>本项目聚乙烯再生颗粒工艺流程较为简单，主要包括分拣、破碎、清洗脱水、热熔挤出造粒和包装五大步骤，具体说明如下：</w:t>
      </w:r>
    </w:p>
    <w:p>
      <w:pPr>
        <w:bidi w:val="0"/>
        <w:rPr>
          <w:rFonts w:hint="default"/>
        </w:rPr>
      </w:pPr>
      <w:r>
        <w:rPr>
          <w:rFonts w:hint="default"/>
        </w:rPr>
        <w:t>（1）分拣：对回收的废旧滴灌带进行人工挑拣，将其中杂物（主要为石块、土块、作物残渣等）清理出来，以方便后续加工。分拣工序主要产生分拣废物。</w:t>
      </w:r>
    </w:p>
    <w:p>
      <w:pPr>
        <w:bidi w:val="0"/>
        <w:rPr>
          <w:rFonts w:hint="default"/>
        </w:rPr>
      </w:pPr>
      <w:r>
        <w:rPr>
          <w:rFonts w:hint="default"/>
        </w:rPr>
        <w:t>（2）破碎：用破碎机将废旧塑料破碎成1~2cm的碎片，以方便在热熔造粒工序内加工，提高原料利用率</w:t>
      </w:r>
      <w:r>
        <w:rPr>
          <w:rFonts w:hint="eastAsia"/>
          <w:lang w:eastAsia="zh-CN"/>
        </w:rPr>
        <w:t>。</w:t>
      </w:r>
      <w:r>
        <w:rPr>
          <w:rFonts w:hint="default"/>
        </w:rPr>
        <w:t>废塑料通过提升输送机送入破碎机，破碎机顶部设置雾化喷嘴，破碎的同时进行喷淋降尘，可有效减少破碎粉尘的产生。破碎后的废塑料进入清洗工序。破碎工序主要产生粉尘、废水及噪声。</w:t>
      </w:r>
    </w:p>
    <w:p>
      <w:pPr>
        <w:bidi w:val="0"/>
        <w:rPr>
          <w:rFonts w:hint="default"/>
          <w:color w:val="0000FF"/>
        </w:rPr>
      </w:pPr>
      <w:r>
        <w:rPr>
          <w:rFonts w:hint="default"/>
          <w:color w:val="0000FF"/>
        </w:rPr>
        <w:t>（3）清洗脱水：破碎后的废塑料送至清洗水池进行清洗，清洗的目的是去除废塑料表面附着的杂质（主要为泥沙等）。本项目废塑料清洗工序不使用任何清洗剂。清洗后的废塑料进入造粒工序。清洗工序主要产生废水、噪声，清洗废水经</w:t>
      </w:r>
      <w:r>
        <w:rPr>
          <w:rFonts w:hint="eastAsia"/>
          <w:color w:val="0000FF"/>
          <w:lang w:val="en-US" w:eastAsia="zh-CN"/>
        </w:rPr>
        <w:t>沉降池及污水设备处理</w:t>
      </w:r>
      <w:r>
        <w:rPr>
          <w:rFonts w:hint="default"/>
          <w:color w:val="0000FF"/>
        </w:rPr>
        <w:t>后回用，不外排</w:t>
      </w:r>
      <w:r>
        <w:rPr>
          <w:rFonts w:hint="eastAsia"/>
          <w:color w:val="0000FF"/>
          <w:lang w:eastAsia="zh-CN"/>
        </w:rPr>
        <w:t>。</w:t>
      </w:r>
      <w:r>
        <w:rPr>
          <w:rFonts w:hint="default"/>
          <w:color w:val="0000FF"/>
        </w:rPr>
        <w:t>沉降池产生的污染物为污泥（主要为泥沙）。清洗后的废旧滴灌带在进料口堆放，进料口底部有细孔，废旧滴灌带上的部分水分沥出，剩余水分在下一步工序中在高温下蒸发。</w:t>
      </w:r>
    </w:p>
    <w:p>
      <w:pPr>
        <w:bidi w:val="0"/>
        <w:rPr>
          <w:rFonts w:hint="default"/>
        </w:rPr>
      </w:pPr>
      <w:r>
        <w:rPr>
          <w:rFonts w:hint="default"/>
        </w:rPr>
        <w:t>（4）热熔、挤出、造粒工序：造粒机由挤出机、水槽、切粒机组成，塑料的挤出成型就是塑料在挤出机中，在一定的温度（180-200℃左右）和一定的压力下熔融塑料，并连续通过有固定截面的模型，得到具有特定断面形状连续型材的加工方法，原料在料筒中借助料筒外部的加热和螺杆转动的剪切挤压作用而熔融，同时熔体在压力的推动下被连续挤出</w:t>
      </w:r>
      <w:r>
        <w:rPr>
          <w:rFonts w:hint="default"/>
          <w:lang w:eastAsia="zh-CN"/>
        </w:rPr>
        <w:t>，</w:t>
      </w:r>
      <w:r>
        <w:rPr>
          <w:rFonts w:hint="default"/>
        </w:rPr>
        <w:t>此过程有塑料挤出机过滤网片产生，被挤出的型材失去塑性变为条状，再经过冷却水槽冷却，以免发生变形，（冷却水是经过冷却循环水罐循环使用，使水温保持低温，冷却水循环使用不排放），最后进入切粒机切成圆柱状颗粒，切粒机会产生噪声，再生塑料颗粒的粒径在0.7-1.5mm范围内，塑料颗粒由于粒径较大，因此不会蓬散到空气中。为了保证再生聚乙烯颗粒的品质，需</w:t>
      </w:r>
      <w:r>
        <w:rPr>
          <w:rFonts w:hint="default"/>
          <w:lang w:val="en-US" w:eastAsia="zh-CN"/>
        </w:rPr>
        <w:t>补充少量</w:t>
      </w:r>
      <w:r>
        <w:rPr>
          <w:rFonts w:hint="default"/>
        </w:rPr>
        <w:t>新聚乙烯树脂原料。熔融、挤出、切粒工序产生的污染包括非甲烷总烃、噪声。</w:t>
      </w:r>
    </w:p>
    <w:p>
      <w:pPr>
        <w:bidi w:val="0"/>
        <w:rPr>
          <w:rFonts w:hint="default"/>
          <w:color w:val="0000FF"/>
        </w:rPr>
      </w:pPr>
      <w:r>
        <w:rPr>
          <w:rFonts w:hint="default"/>
          <w:color w:val="0000FF"/>
        </w:rPr>
        <w:t>①本项目采用电加热方式对料筒进行加热，热熔挤出工序不添加任何阻燃剂、增塑剂等添加剂，采用直接再生方式，挤出造粒过程为单纯物理熔融变化过程，聚乙烯加热温度控制在180-200℃左右，聚乙烯裂解温度为≥</w:t>
      </w:r>
      <w:r>
        <w:rPr>
          <w:rFonts w:hint="default"/>
          <w:color w:val="0000FF"/>
          <w:lang w:val="en-US" w:eastAsia="zh-CN"/>
        </w:rPr>
        <w:t>380</w:t>
      </w:r>
      <w:r>
        <w:rPr>
          <w:rFonts w:hint="default"/>
          <w:color w:val="0000FF"/>
        </w:rPr>
        <w:t>℃，因加热温度控制在不发生裂解的温度条件下，故无裂解废气产生，但在实际操作过程中，因料筒局部过热等其它原因，会有少量单体产生，主要为乙烯单体，在此工序设置集气罩对废气进行收集，收集后的气体经等离子光氧</w:t>
      </w:r>
      <w:r>
        <w:rPr>
          <w:rFonts w:hint="default"/>
          <w:color w:val="0000FF"/>
          <w:lang w:val="en-US" w:eastAsia="zh-CN"/>
        </w:rPr>
        <w:t>一体机</w:t>
      </w:r>
      <w:r>
        <w:rPr>
          <w:rFonts w:hint="eastAsia"/>
          <w:color w:val="0000FF"/>
          <w:lang w:val="en-US" w:eastAsia="zh-CN"/>
        </w:rPr>
        <w:t>+活性炭吸附</w:t>
      </w:r>
      <w:r>
        <w:rPr>
          <w:rFonts w:hint="default"/>
          <w:color w:val="0000FF"/>
        </w:rPr>
        <w:t>装置处理后，通过15m高排气筒排放，生产过程中造粒机和废气处理装置会产生噪声。</w:t>
      </w:r>
    </w:p>
    <w:p>
      <w:pPr>
        <w:bidi w:val="0"/>
        <w:rPr>
          <w:rFonts w:hint="default"/>
          <w:color w:val="0000FF"/>
        </w:rPr>
      </w:pPr>
      <w:r>
        <w:rPr>
          <w:rFonts w:hint="default"/>
          <w:color w:val="0000FF"/>
        </w:rPr>
        <w:t>②螺杆和料筒由优质合金钢制造，生产前经过参数优化设计，考虑到温度计重力补偿</w:t>
      </w:r>
      <w:r>
        <w:rPr>
          <w:rFonts w:hint="eastAsia"/>
          <w:color w:val="0000FF"/>
          <w:lang w:val="en-US" w:eastAsia="zh-CN"/>
        </w:rPr>
        <w:t>因素</w:t>
      </w:r>
      <w:r>
        <w:rPr>
          <w:rFonts w:hint="default"/>
          <w:color w:val="0000FF"/>
        </w:rPr>
        <w:t>，并由高精度数控机床加工，两者之间配合严密，精度极高，变形度极小，最大幅度减少螺杆和料筒的摩擦，减少不必要热量产生。使用低速大扭矩交流伺服电机。由于低速大扭矩交流伺服电机具有低转速、大扭矩的特性，且交流伺服电机前端已装有与主轴连为一体的推力轴承箱。因此，可不需要减速箱，直接与螺杆相连，其优点为结构简单，体积小、安装维修保养方便。无减速箱，能耗可降30%以上，噪音大幅度降低，工作环境明显改善。</w:t>
      </w:r>
    </w:p>
    <w:p>
      <w:pPr>
        <w:bidi w:val="0"/>
        <w:rPr>
          <w:rFonts w:hint="default"/>
        </w:rPr>
      </w:pPr>
      <w:r>
        <w:rPr>
          <w:rFonts w:hint="default"/>
        </w:rPr>
        <w:t>（5）包装入库：不同材质的塑料粒子最终分别进行包装后，入库等待用于生产滴灌带、</w:t>
      </w:r>
      <w:r>
        <w:rPr>
          <w:rFonts w:hint="default"/>
          <w:lang w:eastAsia="zh-CN"/>
        </w:rPr>
        <w:t>PE管材</w:t>
      </w:r>
      <w:r>
        <w:rPr>
          <w:rFonts w:hint="default"/>
        </w:rPr>
        <w:t>和地膜。</w:t>
      </w:r>
    </w:p>
    <w:p>
      <w:pPr>
        <w:bidi w:val="0"/>
        <w:ind w:left="0" w:leftChars="0" w:firstLine="0" w:firstLineChars="0"/>
        <w:rPr>
          <w:rFonts w:hint="default"/>
        </w:rPr>
      </w:pPr>
      <w:r>
        <w:rPr>
          <w:rFonts w:hint="default"/>
        </w:rPr>
        <mc:AlternateContent>
          <mc:Choice Requires="wpc">
            <w:drawing>
              <wp:inline distT="0" distB="0" distL="114300" distR="114300">
                <wp:extent cx="5787390" cy="7402830"/>
                <wp:effectExtent l="0" t="0" r="22860" b="0"/>
                <wp:docPr id="61" name="画布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 name="矩形 1"/>
                        <wps:cNvSpPr/>
                        <wps:spPr>
                          <a:xfrm>
                            <a:off x="506730" y="0"/>
                            <a:ext cx="2428875" cy="298476"/>
                          </a:xfrm>
                          <a:prstGeom prst="rect">
                            <a:avLst/>
                          </a:prstGeom>
                          <a:noFill/>
                          <a:ln>
                            <a:noFill/>
                          </a:ln>
                        </wps:spPr>
                        <wps:txbx>
                          <w:txbxContent>
                            <w:p>
                              <w:pPr>
                                <w:pStyle w:val="32"/>
                                <w:bidi w:val="0"/>
                                <w:rPr>
                                  <w:rFonts w:hint="eastAsia"/>
                                  <w:lang w:eastAsia="zh-CN"/>
                                </w:rPr>
                              </w:pPr>
                              <w:r>
                                <w:rPr>
                                  <w:rFonts w:hint="eastAsia"/>
                                  <w:lang w:eastAsia="zh-CN"/>
                                </w:rPr>
                                <w:t>废旧滴灌带</w:t>
                              </w:r>
                            </w:p>
                          </w:txbxContent>
                        </wps:txbx>
                        <wps:bodyPr upright="1"/>
                      </wps:wsp>
                      <wps:wsp>
                        <wps:cNvPr id="105" name="矩形 2"/>
                        <wps:cNvSpPr/>
                        <wps:spPr>
                          <a:xfrm>
                            <a:off x="1344930" y="1162150"/>
                            <a:ext cx="752475" cy="2984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2"/>
                                <w:bidi w:val="0"/>
                              </w:pPr>
                              <w:r>
                                <w:rPr>
                                  <w:rFonts w:hint="eastAsia"/>
                                </w:rPr>
                                <w:t>破碎</w:t>
                              </w:r>
                            </w:p>
                          </w:txbxContent>
                        </wps:txbx>
                        <wps:bodyPr upright="1"/>
                      </wps:wsp>
                      <wps:wsp>
                        <wps:cNvPr id="106" name="矩形 3"/>
                        <wps:cNvSpPr/>
                        <wps:spPr>
                          <a:xfrm>
                            <a:off x="1344930" y="2943477"/>
                            <a:ext cx="752475" cy="2984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2"/>
                                <w:bidi w:val="0"/>
                              </w:pPr>
                              <w:r>
                                <w:rPr>
                                  <w:rFonts w:hint="eastAsia"/>
                                </w:rPr>
                                <w:t>清洗</w:t>
                              </w:r>
                            </w:p>
                          </w:txbxContent>
                        </wps:txbx>
                        <wps:bodyPr upright="1"/>
                      </wps:wsp>
                      <wps:wsp>
                        <wps:cNvPr id="107" name="矩形 4"/>
                        <wps:cNvSpPr/>
                        <wps:spPr>
                          <a:xfrm>
                            <a:off x="1278255" y="4067524"/>
                            <a:ext cx="885825" cy="2984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2"/>
                                <w:bidi w:val="0"/>
                              </w:pPr>
                              <w:r>
                                <w:rPr>
                                  <w:rFonts w:hint="eastAsia"/>
                                </w:rPr>
                                <w:t>熔融、挤出</w:t>
                              </w:r>
                            </w:p>
                          </w:txbxContent>
                        </wps:txbx>
                        <wps:bodyPr upright="1"/>
                      </wps:wsp>
                      <wps:wsp>
                        <wps:cNvPr id="5" name="矩形 5"/>
                        <wps:cNvSpPr/>
                        <wps:spPr>
                          <a:xfrm>
                            <a:off x="1344930" y="5020106"/>
                            <a:ext cx="752475" cy="2984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2"/>
                                <w:bidi w:val="0"/>
                                <w:rPr>
                                  <w:rFonts w:hint="eastAsia"/>
                                  <w:lang w:eastAsia="zh-CN"/>
                                </w:rPr>
                              </w:pPr>
                              <w:r>
                                <w:rPr>
                                  <w:rFonts w:hint="eastAsia"/>
                                </w:rPr>
                                <w:t>冷却</w:t>
                              </w:r>
                            </w:p>
                          </w:txbxContent>
                        </wps:txbx>
                        <wps:bodyPr upright="1"/>
                      </wps:wsp>
                      <wps:wsp>
                        <wps:cNvPr id="108" name="矩形 6"/>
                        <wps:cNvSpPr/>
                        <wps:spPr>
                          <a:xfrm>
                            <a:off x="1074420" y="6492162"/>
                            <a:ext cx="1247775" cy="298476"/>
                          </a:xfrm>
                          <a:prstGeom prst="rect">
                            <a:avLst/>
                          </a:prstGeom>
                          <a:noFill/>
                          <a:ln>
                            <a:noFill/>
                          </a:ln>
                        </wps:spPr>
                        <wps:txbx>
                          <w:txbxContent>
                            <w:p>
                              <w:pPr>
                                <w:pStyle w:val="17"/>
                                <w:bidi w:val="0"/>
                              </w:pPr>
                              <w:r>
                                <w:rPr>
                                  <w:rFonts w:hint="eastAsia"/>
                                </w:rPr>
                                <w:t>聚乙烯再生颗粒</w:t>
                              </w:r>
                            </w:p>
                          </w:txbxContent>
                        </wps:txbx>
                        <wps:bodyPr upright="1"/>
                      </wps:wsp>
                      <wps:wsp>
                        <wps:cNvPr id="109" name="矩形 7"/>
                        <wps:cNvSpPr/>
                        <wps:spPr>
                          <a:xfrm>
                            <a:off x="3240405" y="1162050"/>
                            <a:ext cx="920750" cy="298450"/>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2"/>
                                <w:bidi w:val="0"/>
                              </w:pPr>
                              <w:r>
                                <w:rPr>
                                  <w:rFonts w:hint="eastAsia"/>
                                </w:rPr>
                                <w:t>粉尘、噪声</w:t>
                              </w:r>
                            </w:p>
                          </w:txbxContent>
                        </wps:txbx>
                        <wps:bodyPr upright="1"/>
                      </wps:wsp>
                      <wps:wsp>
                        <wps:cNvPr id="110" name="矩形 8"/>
                        <wps:cNvSpPr/>
                        <wps:spPr>
                          <a:xfrm>
                            <a:off x="1344930" y="571549"/>
                            <a:ext cx="752475" cy="2984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2"/>
                                <w:bidi w:val="0"/>
                              </w:pPr>
                              <w:r>
                                <w:rPr>
                                  <w:rFonts w:hint="eastAsia"/>
                                </w:rPr>
                                <w:t>分拣</w:t>
                              </w:r>
                            </w:p>
                          </w:txbxContent>
                        </wps:txbx>
                        <wps:bodyPr upright="1"/>
                      </wps:wsp>
                      <wps:wsp>
                        <wps:cNvPr id="111" name="直接箭头连接符 9"/>
                        <wps:cNvCnPr/>
                        <wps:spPr>
                          <a:xfrm>
                            <a:off x="1721485" y="298476"/>
                            <a:ext cx="635" cy="273073"/>
                          </a:xfrm>
                          <a:prstGeom prst="straightConnector1">
                            <a:avLst/>
                          </a:prstGeom>
                          <a:ln w="9525" cap="flat" cmpd="sng">
                            <a:solidFill>
                              <a:srgbClr val="000000"/>
                            </a:solidFill>
                            <a:prstDash val="solid"/>
                            <a:headEnd type="none" w="med" len="med"/>
                            <a:tailEnd type="triangle" w="med" len="med"/>
                          </a:ln>
                        </wps:spPr>
                        <wps:bodyPr/>
                      </wps:wsp>
                      <wps:wsp>
                        <wps:cNvPr id="112" name="矩形 10"/>
                        <wps:cNvSpPr/>
                        <wps:spPr>
                          <a:xfrm>
                            <a:off x="3245485" y="571549"/>
                            <a:ext cx="1117600" cy="298476"/>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2"/>
                                <w:bidi w:val="0"/>
                                <w:rPr>
                                  <w:rFonts w:hint="eastAsia"/>
                                  <w:lang w:eastAsia="zh-CN"/>
                                </w:rPr>
                              </w:pPr>
                              <w:r>
                                <w:rPr>
                                  <w:rFonts w:hint="eastAsia"/>
                                </w:rPr>
                                <w:t>分拣废物</w:t>
                              </w:r>
                              <w:r>
                                <w:rPr>
                                  <w:rFonts w:hint="eastAsia"/>
                                  <w:lang w:eastAsia="zh-CN"/>
                                </w:rPr>
                                <w:t>、粉尘</w:t>
                              </w:r>
                            </w:p>
                          </w:txbxContent>
                        </wps:txbx>
                        <wps:bodyPr upright="1"/>
                      </wps:wsp>
                      <wps:wsp>
                        <wps:cNvPr id="113" name="矩形 11"/>
                        <wps:cNvSpPr/>
                        <wps:spPr>
                          <a:xfrm>
                            <a:off x="3245485" y="2667229"/>
                            <a:ext cx="490220" cy="298476"/>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2"/>
                                <w:bidi w:val="0"/>
                              </w:pPr>
                              <w:r>
                                <w:rPr>
                                  <w:rFonts w:hint="eastAsia"/>
                                </w:rPr>
                                <w:t>噪声</w:t>
                              </w:r>
                            </w:p>
                          </w:txbxContent>
                        </wps:txbx>
                        <wps:bodyPr upright="1"/>
                      </wps:wsp>
                      <wps:wsp>
                        <wps:cNvPr id="12" name="矩形 12"/>
                        <wps:cNvSpPr/>
                        <wps:spPr>
                          <a:xfrm>
                            <a:off x="3245485" y="3114942"/>
                            <a:ext cx="490220" cy="298476"/>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2"/>
                                <w:bidi w:val="0"/>
                              </w:pPr>
                              <w:r>
                                <w:rPr>
                                  <w:rFonts w:hint="eastAsia"/>
                                </w:rPr>
                                <w:t>废水</w:t>
                              </w:r>
                            </w:p>
                            <w:p>
                              <w:pPr>
                                <w:pStyle w:val="32"/>
                                <w:bidi w:val="0"/>
                              </w:pPr>
                            </w:p>
                          </w:txbxContent>
                        </wps:txbx>
                        <wps:bodyPr upright="1"/>
                      </wps:wsp>
                      <wps:wsp>
                        <wps:cNvPr id="13" name="矩形 13"/>
                        <wps:cNvSpPr/>
                        <wps:spPr>
                          <a:xfrm>
                            <a:off x="4145280" y="3114942"/>
                            <a:ext cx="800735" cy="2984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2"/>
                                <w:bidi w:val="0"/>
                              </w:pPr>
                              <w:r>
                                <w:rPr>
                                  <w:rFonts w:hint="eastAsia"/>
                                  <w:lang w:eastAsia="zh-CN"/>
                                </w:rPr>
                                <w:t>三级</w:t>
                              </w:r>
                              <w:r>
                                <w:rPr>
                                  <w:rFonts w:hint="eastAsia"/>
                                </w:rPr>
                                <w:t>沉淀池</w:t>
                              </w:r>
                            </w:p>
                          </w:txbxContent>
                        </wps:txbx>
                        <wps:bodyPr upright="1"/>
                      </wps:wsp>
                      <wps:wsp>
                        <wps:cNvPr id="114" name="矩形 14"/>
                        <wps:cNvSpPr/>
                        <wps:spPr>
                          <a:xfrm>
                            <a:off x="3251835" y="4067524"/>
                            <a:ext cx="1774825" cy="298476"/>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2"/>
                                <w:bidi w:val="0"/>
                              </w:pPr>
                              <w:r>
                                <w:rPr>
                                  <w:rFonts w:hint="eastAsia"/>
                                </w:rPr>
                                <w:t>非甲烷总烃、异味、噪声</w:t>
                              </w:r>
                              <w:r>
                                <w:rPr>
                                  <w:rFonts w:hint="eastAsia"/>
                                  <w:lang w:eastAsia="zh-CN"/>
                                </w:rPr>
                                <w:t>、固废</w:t>
                              </w:r>
                            </w:p>
                          </w:txbxContent>
                        </wps:txbx>
                        <wps:bodyPr upright="1"/>
                      </wps:wsp>
                      <wps:wsp>
                        <wps:cNvPr id="115" name="矩形 15"/>
                        <wps:cNvSpPr/>
                        <wps:spPr>
                          <a:xfrm>
                            <a:off x="3234055" y="5020106"/>
                            <a:ext cx="828675" cy="2984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2"/>
                                <w:bidi w:val="0"/>
                              </w:pPr>
                              <w:r>
                                <w:rPr>
                                  <w:rFonts w:hint="eastAsia"/>
                                  <w:lang w:eastAsia="zh-CN"/>
                                </w:rPr>
                                <w:t>循环</w:t>
                              </w:r>
                              <w:r>
                                <w:rPr>
                                  <w:rFonts w:hint="eastAsia"/>
                                </w:rPr>
                                <w:t>水池</w:t>
                              </w:r>
                            </w:p>
                            <w:p>
                              <w:pPr>
                                <w:pStyle w:val="32"/>
                                <w:bidi w:val="0"/>
                              </w:pPr>
                              <w:r>
                                <w:t>品</w:t>
                              </w:r>
                            </w:p>
                            <w:p>
                              <w:pPr>
                                <w:pStyle w:val="32"/>
                                <w:bidi w:val="0"/>
                              </w:pPr>
                              <w:r>
                                <w:t>合格产品</w:t>
                              </w:r>
                            </w:p>
                            <w:p>
                              <w:pPr>
                                <w:pStyle w:val="32"/>
                                <w:bidi w:val="0"/>
                              </w:pPr>
                              <w:r>
                                <w:t>入库</w:t>
                              </w:r>
                            </w:p>
                            <w:p>
                              <w:pPr>
                                <w:pStyle w:val="32"/>
                                <w:bidi w:val="0"/>
                              </w:pPr>
                              <w:r>
                                <w:t>不合格产品</w:t>
                              </w:r>
                            </w:p>
                            <w:p>
                              <w:pPr>
                                <w:pStyle w:val="32"/>
                                <w:bidi w:val="0"/>
                              </w:pPr>
                            </w:p>
                          </w:txbxContent>
                        </wps:txbx>
                        <wps:bodyPr upright="1"/>
                      </wps:wsp>
                      <wps:wsp>
                        <wps:cNvPr id="116" name="直接箭头连接符 16"/>
                        <wps:cNvCnPr/>
                        <wps:spPr>
                          <a:xfrm>
                            <a:off x="1721485" y="870025"/>
                            <a:ext cx="635" cy="292125"/>
                          </a:xfrm>
                          <a:prstGeom prst="straightConnector1">
                            <a:avLst/>
                          </a:prstGeom>
                          <a:ln w="9525" cap="flat" cmpd="sng">
                            <a:solidFill>
                              <a:srgbClr val="000000"/>
                            </a:solidFill>
                            <a:prstDash val="solid"/>
                            <a:headEnd type="none" w="med" len="med"/>
                            <a:tailEnd type="triangle" w="med" len="med"/>
                          </a:ln>
                        </wps:spPr>
                        <wps:bodyPr/>
                      </wps:wsp>
                      <wps:wsp>
                        <wps:cNvPr id="117" name="直接箭头连接符 17"/>
                        <wps:cNvCnPr/>
                        <wps:spPr>
                          <a:xfrm>
                            <a:off x="1721485" y="1460625"/>
                            <a:ext cx="635" cy="1482852"/>
                          </a:xfrm>
                          <a:prstGeom prst="straightConnector1">
                            <a:avLst/>
                          </a:prstGeom>
                          <a:ln w="9525" cap="flat" cmpd="sng">
                            <a:solidFill>
                              <a:srgbClr val="000000"/>
                            </a:solidFill>
                            <a:prstDash val="solid"/>
                            <a:headEnd type="none" w="med" len="med"/>
                            <a:tailEnd type="triangle" w="med" len="med"/>
                          </a:ln>
                        </wps:spPr>
                        <wps:bodyPr/>
                      </wps:wsp>
                      <wps:wsp>
                        <wps:cNvPr id="18" name="直接箭头连接符 18"/>
                        <wps:cNvCnPr/>
                        <wps:spPr>
                          <a:xfrm>
                            <a:off x="1721485" y="3241953"/>
                            <a:ext cx="635" cy="825571"/>
                          </a:xfrm>
                          <a:prstGeom prst="straightConnector1">
                            <a:avLst/>
                          </a:prstGeom>
                          <a:ln w="9525" cap="flat" cmpd="sng">
                            <a:solidFill>
                              <a:srgbClr val="000000"/>
                            </a:solidFill>
                            <a:prstDash val="solid"/>
                            <a:headEnd type="none" w="med" len="med"/>
                            <a:tailEnd type="triangle" w="med" len="med"/>
                          </a:ln>
                        </wps:spPr>
                        <wps:bodyPr/>
                      </wps:wsp>
                      <wps:wsp>
                        <wps:cNvPr id="118" name="直接箭头连接符 19"/>
                        <wps:cNvCnPr/>
                        <wps:spPr>
                          <a:xfrm>
                            <a:off x="1721485" y="4366000"/>
                            <a:ext cx="635" cy="654106"/>
                          </a:xfrm>
                          <a:prstGeom prst="straightConnector1">
                            <a:avLst/>
                          </a:prstGeom>
                          <a:ln w="9525" cap="flat" cmpd="sng">
                            <a:solidFill>
                              <a:srgbClr val="000000"/>
                            </a:solidFill>
                            <a:prstDash val="solid"/>
                            <a:headEnd type="none" w="med" len="med"/>
                            <a:tailEnd type="triangle" w="med" len="med"/>
                          </a:ln>
                        </wps:spPr>
                        <wps:bodyPr/>
                      </wps:wsp>
                      <wps:wsp>
                        <wps:cNvPr id="119" name="直接箭头连接符 20"/>
                        <wps:cNvCnPr/>
                        <wps:spPr>
                          <a:xfrm>
                            <a:off x="2097405" y="720787"/>
                            <a:ext cx="1148080" cy="635"/>
                          </a:xfrm>
                          <a:prstGeom prst="straightConnector1">
                            <a:avLst/>
                          </a:prstGeom>
                          <a:ln w="9525" cap="flat" cmpd="sng">
                            <a:solidFill>
                              <a:srgbClr val="000000"/>
                            </a:solidFill>
                            <a:prstDash val="dash"/>
                            <a:headEnd type="none" w="med" len="med"/>
                            <a:tailEnd type="triangle" w="med" len="med"/>
                          </a:ln>
                        </wps:spPr>
                        <wps:bodyPr/>
                      </wps:wsp>
                      <wps:wsp>
                        <wps:cNvPr id="120" name="肘形连接符 21"/>
                        <wps:cNvCnPr/>
                        <wps:spPr>
                          <a:xfrm flipV="1">
                            <a:off x="2097405" y="2816467"/>
                            <a:ext cx="1148080" cy="276249"/>
                          </a:xfrm>
                          <a:prstGeom prst="bentConnector3">
                            <a:avLst>
                              <a:gd name="adj1" fmla="val 49944"/>
                            </a:avLst>
                          </a:prstGeom>
                          <a:ln w="9525" cap="flat" cmpd="sng">
                            <a:solidFill>
                              <a:srgbClr val="000000"/>
                            </a:solidFill>
                            <a:prstDash val="dash"/>
                            <a:miter/>
                            <a:headEnd type="none" w="med" len="med"/>
                            <a:tailEnd type="triangle" w="med" len="med"/>
                          </a:ln>
                        </wps:spPr>
                        <wps:bodyPr/>
                      </wps:wsp>
                      <wps:wsp>
                        <wps:cNvPr id="121" name="肘形连接符 22"/>
                        <wps:cNvCnPr/>
                        <wps:spPr>
                          <a:xfrm>
                            <a:off x="2097405" y="3092715"/>
                            <a:ext cx="1148080" cy="171465"/>
                          </a:xfrm>
                          <a:prstGeom prst="bentConnector3">
                            <a:avLst>
                              <a:gd name="adj1" fmla="val 49944"/>
                            </a:avLst>
                          </a:prstGeom>
                          <a:ln w="9525" cap="flat" cmpd="sng">
                            <a:solidFill>
                              <a:srgbClr val="000000"/>
                            </a:solidFill>
                            <a:prstDash val="dash"/>
                            <a:miter/>
                            <a:headEnd type="none" w="med" len="med"/>
                            <a:tailEnd type="triangle" w="med" len="med"/>
                          </a:ln>
                        </wps:spPr>
                        <wps:bodyPr/>
                      </wps:wsp>
                      <wps:wsp>
                        <wps:cNvPr id="122" name="直接箭头连接符 23"/>
                        <wps:cNvCnPr/>
                        <wps:spPr>
                          <a:xfrm>
                            <a:off x="3735705" y="3264180"/>
                            <a:ext cx="409575" cy="635"/>
                          </a:xfrm>
                          <a:prstGeom prst="straightConnector1">
                            <a:avLst/>
                          </a:prstGeom>
                          <a:ln w="9525" cap="flat" cmpd="sng">
                            <a:solidFill>
                              <a:srgbClr val="000000"/>
                            </a:solidFill>
                            <a:prstDash val="dash"/>
                            <a:headEnd type="none" w="med" len="med"/>
                            <a:tailEnd type="triangle" w="med" len="med"/>
                          </a:ln>
                        </wps:spPr>
                        <wps:bodyPr/>
                      </wps:wsp>
                      <wpg:wgp>
                        <wpg:cNvPr id="123" name="组合 27"/>
                        <wpg:cNvGrpSpPr/>
                        <wpg:grpSpPr>
                          <a:xfrm>
                            <a:off x="1915795" y="3241953"/>
                            <a:ext cx="2530475" cy="525825"/>
                            <a:chOff x="4420" y="-3574"/>
                            <a:chExt cx="3985" cy="828"/>
                          </a:xfrm>
                        </wpg:grpSpPr>
                        <wps:wsp>
                          <wps:cNvPr id="24" name="直接箭头连接符 24"/>
                          <wps:cNvCnPr/>
                          <wps:spPr>
                            <a:xfrm>
                              <a:off x="8404" y="-3304"/>
                              <a:ext cx="1" cy="550"/>
                            </a:xfrm>
                            <a:prstGeom prst="straightConnector1">
                              <a:avLst/>
                            </a:prstGeom>
                            <a:ln w="9525" cap="flat" cmpd="sng">
                              <a:solidFill>
                                <a:srgbClr val="000000"/>
                              </a:solidFill>
                              <a:prstDash val="solid"/>
                              <a:headEnd type="none" w="med" len="med"/>
                              <a:tailEnd type="none" w="med" len="med"/>
                            </a:ln>
                          </wps:spPr>
                          <wps:bodyPr/>
                        </wps:wsp>
                        <wps:wsp>
                          <wps:cNvPr id="124" name="直接箭头连接符 25"/>
                          <wps:cNvCnPr/>
                          <wps:spPr>
                            <a:xfrm flipH="1">
                              <a:off x="4433" y="-2752"/>
                              <a:ext cx="3969" cy="1"/>
                            </a:xfrm>
                            <a:prstGeom prst="straightConnector1">
                              <a:avLst/>
                            </a:prstGeom>
                            <a:ln w="9525" cap="flat" cmpd="sng">
                              <a:solidFill>
                                <a:srgbClr val="000000"/>
                              </a:solidFill>
                              <a:prstDash val="solid"/>
                              <a:headEnd type="none" w="med" len="med"/>
                              <a:tailEnd type="none" w="med" len="med"/>
                            </a:ln>
                          </wps:spPr>
                          <wps:bodyPr/>
                        </wps:wsp>
                        <wps:wsp>
                          <wps:cNvPr id="125" name="直接箭头连接符 26"/>
                          <wps:cNvCnPr/>
                          <wps:spPr>
                            <a:xfrm flipV="1">
                              <a:off x="4420" y="-3574"/>
                              <a:ext cx="1" cy="828"/>
                            </a:xfrm>
                            <a:prstGeom prst="straightConnector1">
                              <a:avLst/>
                            </a:prstGeom>
                            <a:ln w="9525" cap="flat" cmpd="sng">
                              <a:solidFill>
                                <a:srgbClr val="000000"/>
                              </a:solidFill>
                              <a:prstDash val="solid"/>
                              <a:headEnd type="none" w="med" len="med"/>
                              <a:tailEnd type="triangle" w="med" len="med"/>
                            </a:ln>
                          </wps:spPr>
                          <wps:bodyPr/>
                        </wps:wsp>
                      </wpg:wgp>
                      <wps:wsp>
                        <wps:cNvPr id="28" name="矩形 28"/>
                        <wps:cNvSpPr/>
                        <wps:spPr>
                          <a:xfrm>
                            <a:off x="9525" y="1162150"/>
                            <a:ext cx="640080" cy="298476"/>
                          </a:xfrm>
                          <a:prstGeom prst="rect">
                            <a:avLst/>
                          </a:prstGeom>
                          <a:noFill/>
                          <a:ln>
                            <a:noFill/>
                          </a:ln>
                        </wps:spPr>
                        <wps:txbx>
                          <w:txbxContent>
                            <w:p>
                              <w:pPr>
                                <w:pStyle w:val="17"/>
                                <w:bidi w:val="0"/>
                              </w:pPr>
                              <w:r>
                                <w:rPr>
                                  <w:rFonts w:hint="eastAsia"/>
                                </w:rPr>
                                <w:t>新鲜水</w:t>
                              </w:r>
                            </w:p>
                            <w:p>
                              <w:pPr>
                                <w:pStyle w:val="17"/>
                                <w:bidi w:val="0"/>
                              </w:pPr>
                            </w:p>
                          </w:txbxContent>
                        </wps:txbx>
                        <wps:bodyPr upright="1"/>
                      </wps:wsp>
                      <wps:wsp>
                        <wps:cNvPr id="126" name="直接箭头连接符 29"/>
                        <wps:cNvCnPr/>
                        <wps:spPr>
                          <a:xfrm>
                            <a:off x="649605" y="1311387"/>
                            <a:ext cx="695325" cy="635"/>
                          </a:xfrm>
                          <a:prstGeom prst="straightConnector1">
                            <a:avLst/>
                          </a:prstGeom>
                          <a:ln w="9525" cap="flat" cmpd="sng">
                            <a:solidFill>
                              <a:srgbClr val="000000"/>
                            </a:solidFill>
                            <a:prstDash val="solid"/>
                            <a:headEnd type="none" w="med" len="med"/>
                            <a:tailEnd type="triangle" w="med" len="med"/>
                          </a:ln>
                        </wps:spPr>
                        <wps:bodyPr/>
                      </wps:wsp>
                      <wps:wsp>
                        <wps:cNvPr id="127" name="矩形 30"/>
                        <wps:cNvSpPr/>
                        <wps:spPr>
                          <a:xfrm>
                            <a:off x="676275" y="1084673"/>
                            <a:ext cx="640080" cy="298476"/>
                          </a:xfrm>
                          <a:prstGeom prst="rect">
                            <a:avLst/>
                          </a:prstGeom>
                          <a:noFill/>
                          <a:ln>
                            <a:noFill/>
                          </a:ln>
                        </wps:spPr>
                        <wps:txbx>
                          <w:txbxContent>
                            <w:p>
                              <w:pPr>
                                <w:pStyle w:val="32"/>
                                <w:bidi w:val="0"/>
                              </w:pPr>
                              <w:r>
                                <w:rPr>
                                  <w:rFonts w:hint="eastAsia"/>
                                </w:rPr>
                                <w:t>喷淋</w:t>
                              </w:r>
                            </w:p>
                            <w:p>
                              <w:pPr>
                                <w:pStyle w:val="32"/>
                                <w:bidi w:val="0"/>
                                <w:rPr>
                                  <w:rFonts w:hint="eastAsia"/>
                                </w:rPr>
                              </w:pPr>
                            </w:p>
                          </w:txbxContent>
                        </wps:txbx>
                        <wps:bodyPr upright="1"/>
                      </wps:wsp>
                      <wps:wsp>
                        <wps:cNvPr id="128" name="矩形 31"/>
                        <wps:cNvSpPr/>
                        <wps:spPr>
                          <a:xfrm>
                            <a:off x="9525" y="2943477"/>
                            <a:ext cx="640080" cy="298476"/>
                          </a:xfrm>
                          <a:prstGeom prst="rect">
                            <a:avLst/>
                          </a:prstGeom>
                          <a:noFill/>
                          <a:ln>
                            <a:noFill/>
                          </a:ln>
                        </wps:spPr>
                        <wps:txbx>
                          <w:txbxContent>
                            <w:p>
                              <w:pPr>
                                <w:pStyle w:val="17"/>
                                <w:bidi w:val="0"/>
                              </w:pPr>
                              <w:r>
                                <w:rPr>
                                  <w:rFonts w:hint="eastAsia"/>
                                </w:rPr>
                                <w:t>新鲜水</w:t>
                              </w:r>
                            </w:p>
                          </w:txbxContent>
                        </wps:txbx>
                        <wps:bodyPr upright="1"/>
                      </wps:wsp>
                      <wps:wsp>
                        <wps:cNvPr id="129" name="直接箭头连接符 32"/>
                        <wps:cNvCnPr/>
                        <wps:spPr>
                          <a:xfrm>
                            <a:off x="649605" y="3092715"/>
                            <a:ext cx="695325" cy="635"/>
                          </a:xfrm>
                          <a:prstGeom prst="straightConnector1">
                            <a:avLst/>
                          </a:prstGeom>
                          <a:ln w="9525" cap="flat" cmpd="sng">
                            <a:solidFill>
                              <a:srgbClr val="000000"/>
                            </a:solidFill>
                            <a:prstDash val="solid"/>
                            <a:headEnd type="none" w="med" len="med"/>
                            <a:tailEnd type="triangle" w="med" len="med"/>
                          </a:ln>
                        </wps:spPr>
                        <wps:bodyPr/>
                      </wps:wsp>
                      <wps:wsp>
                        <wps:cNvPr id="130" name="直接箭头连接符 33"/>
                        <wps:cNvCnPr/>
                        <wps:spPr>
                          <a:xfrm>
                            <a:off x="2164080" y="4216762"/>
                            <a:ext cx="1076325" cy="635"/>
                          </a:xfrm>
                          <a:prstGeom prst="straightConnector1">
                            <a:avLst/>
                          </a:prstGeom>
                          <a:ln w="9525" cap="flat" cmpd="sng">
                            <a:solidFill>
                              <a:srgbClr val="000000"/>
                            </a:solidFill>
                            <a:prstDash val="dash"/>
                            <a:headEnd type="none" w="med" len="med"/>
                            <a:tailEnd type="triangle" w="med" len="med"/>
                          </a:ln>
                        </wps:spPr>
                        <wps:bodyPr/>
                      </wps:wsp>
                      <wps:wsp>
                        <wps:cNvPr id="131" name="直接箭头连接符 34"/>
                        <wps:cNvCnPr/>
                        <wps:spPr>
                          <a:xfrm>
                            <a:off x="2097405" y="5169343"/>
                            <a:ext cx="1143000" cy="635"/>
                          </a:xfrm>
                          <a:prstGeom prst="straightConnector1">
                            <a:avLst/>
                          </a:prstGeom>
                          <a:ln w="9525" cap="flat" cmpd="sng">
                            <a:solidFill>
                              <a:srgbClr val="000000"/>
                            </a:solidFill>
                            <a:prstDash val="solid"/>
                            <a:headEnd type="none" w="med" len="med"/>
                            <a:tailEnd type="triangle" w="med" len="med"/>
                          </a:ln>
                        </wps:spPr>
                        <wps:bodyPr/>
                      </wps:wsp>
                      <wpg:wgp>
                        <wpg:cNvPr id="132" name="组合 38"/>
                        <wpg:cNvGrpSpPr/>
                        <wpg:grpSpPr>
                          <a:xfrm>
                            <a:off x="1711960" y="4631452"/>
                            <a:ext cx="1927860" cy="396909"/>
                            <a:chOff x="4450" y="-1399"/>
                            <a:chExt cx="4135" cy="625"/>
                          </a:xfrm>
                        </wpg:grpSpPr>
                        <wps:wsp>
                          <wps:cNvPr id="133" name="直接箭头连接符 35"/>
                          <wps:cNvCnPr/>
                          <wps:spPr>
                            <a:xfrm flipV="1">
                              <a:off x="8584" y="-1398"/>
                              <a:ext cx="1" cy="624"/>
                            </a:xfrm>
                            <a:prstGeom prst="straightConnector1">
                              <a:avLst/>
                            </a:prstGeom>
                            <a:ln w="9525" cap="flat" cmpd="sng">
                              <a:solidFill>
                                <a:srgbClr val="000000"/>
                              </a:solidFill>
                              <a:prstDash val="solid"/>
                              <a:headEnd type="none" w="med" len="med"/>
                              <a:tailEnd type="none" w="med" len="med"/>
                            </a:ln>
                          </wps:spPr>
                          <wps:bodyPr/>
                        </wps:wsp>
                        <wps:wsp>
                          <wps:cNvPr id="134" name="直接箭头连接符 36"/>
                          <wps:cNvCnPr/>
                          <wps:spPr>
                            <a:xfrm flipV="1">
                              <a:off x="4450" y="-1399"/>
                              <a:ext cx="4133" cy="1"/>
                            </a:xfrm>
                            <a:prstGeom prst="straightConnector1">
                              <a:avLst/>
                            </a:prstGeom>
                            <a:ln w="9525" cap="flat" cmpd="sng">
                              <a:solidFill>
                                <a:srgbClr val="000000"/>
                              </a:solidFill>
                              <a:prstDash val="solid"/>
                              <a:headEnd type="none" w="med" len="med"/>
                              <a:tailEnd type="none" w="med" len="med"/>
                            </a:ln>
                          </wps:spPr>
                          <wps:bodyPr/>
                        </wps:wsp>
                        <wps:wsp>
                          <wps:cNvPr id="135" name="直接箭头连接符 37"/>
                          <wps:cNvCnPr/>
                          <wps:spPr>
                            <a:xfrm flipV="1">
                              <a:off x="4450" y="-1398"/>
                              <a:ext cx="1" cy="624"/>
                            </a:xfrm>
                            <a:prstGeom prst="straightConnector1">
                              <a:avLst/>
                            </a:prstGeom>
                            <a:ln w="9525" cap="flat" cmpd="sng">
                              <a:solidFill>
                                <a:srgbClr val="000000"/>
                              </a:solidFill>
                              <a:prstDash val="solid"/>
                              <a:headEnd type="triangle" w="med" len="med"/>
                              <a:tailEnd type="none" w="med" len="med"/>
                            </a:ln>
                          </wps:spPr>
                          <wps:bodyPr/>
                        </wps:wsp>
                      </wpg:wgp>
                      <wps:wsp>
                        <wps:cNvPr id="136" name="矩形 39"/>
                        <wps:cNvSpPr/>
                        <wps:spPr>
                          <a:xfrm>
                            <a:off x="2819400" y="3540429"/>
                            <a:ext cx="640080" cy="298476"/>
                          </a:xfrm>
                          <a:prstGeom prst="rect">
                            <a:avLst/>
                          </a:prstGeom>
                          <a:noFill/>
                          <a:ln>
                            <a:noFill/>
                          </a:ln>
                        </wps:spPr>
                        <wps:txbx>
                          <w:txbxContent>
                            <w:p>
                              <w:pPr>
                                <w:pStyle w:val="32"/>
                                <w:bidi w:val="0"/>
                                <w:rPr>
                                  <w:rFonts w:hint="eastAsia"/>
                                  <w:lang w:eastAsia="zh-CN"/>
                                </w:rPr>
                              </w:pPr>
                              <w:r>
                                <w:rPr>
                                  <w:rFonts w:hint="eastAsia"/>
                                  <w:lang w:eastAsia="zh-CN"/>
                                </w:rPr>
                                <w:t>循环水</w:t>
                              </w:r>
                            </w:p>
                            <w:p>
                              <w:pPr>
                                <w:pStyle w:val="32"/>
                                <w:bidi w:val="0"/>
                              </w:pPr>
                            </w:p>
                          </w:txbxContent>
                        </wps:txbx>
                        <wps:bodyPr upright="1"/>
                      </wps:wsp>
                      <wps:wsp>
                        <wps:cNvPr id="137" name="矩形 40"/>
                        <wps:cNvSpPr/>
                        <wps:spPr>
                          <a:xfrm>
                            <a:off x="2319655" y="4575567"/>
                            <a:ext cx="640080" cy="298476"/>
                          </a:xfrm>
                          <a:prstGeom prst="rect">
                            <a:avLst/>
                          </a:prstGeom>
                          <a:noFill/>
                          <a:ln>
                            <a:noFill/>
                          </a:ln>
                        </wps:spPr>
                        <wps:txbx>
                          <w:txbxContent>
                            <w:p>
                              <w:pPr>
                                <w:pStyle w:val="32"/>
                                <w:bidi w:val="0"/>
                                <w:rPr>
                                  <w:rFonts w:hint="eastAsia"/>
                                  <w:lang w:eastAsia="zh-CN"/>
                                </w:rPr>
                              </w:pPr>
                              <w:r>
                                <w:rPr>
                                  <w:rFonts w:hint="eastAsia"/>
                                  <w:lang w:eastAsia="zh-CN"/>
                                </w:rPr>
                                <w:t>循环水</w:t>
                              </w:r>
                            </w:p>
                          </w:txbxContent>
                        </wps:txbx>
                        <wps:bodyPr upright="1"/>
                      </wps:wsp>
                      <wps:wsp>
                        <wps:cNvPr id="138" name="矩形 41"/>
                        <wps:cNvSpPr/>
                        <wps:spPr>
                          <a:xfrm>
                            <a:off x="3240405" y="1673369"/>
                            <a:ext cx="490220" cy="298476"/>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2"/>
                                <w:bidi w:val="0"/>
                              </w:pPr>
                              <w:r>
                                <w:rPr>
                                  <w:rFonts w:hint="eastAsia"/>
                                </w:rPr>
                                <w:t>废水</w:t>
                              </w:r>
                            </w:p>
                          </w:txbxContent>
                        </wps:txbx>
                        <wps:bodyPr upright="1"/>
                      </wps:wsp>
                      <wps:wsp>
                        <wps:cNvPr id="139" name="直接箭头连接符 42"/>
                        <wps:cNvCnPr/>
                        <wps:spPr>
                          <a:xfrm>
                            <a:off x="2097405" y="1311387"/>
                            <a:ext cx="1143000" cy="635"/>
                          </a:xfrm>
                          <a:prstGeom prst="straightConnector1">
                            <a:avLst/>
                          </a:prstGeom>
                          <a:ln w="9525" cap="flat" cmpd="sng">
                            <a:solidFill>
                              <a:srgbClr val="000000"/>
                            </a:solidFill>
                            <a:prstDash val="dash"/>
                            <a:headEnd type="none" w="med" len="med"/>
                            <a:tailEnd type="triangle" w="med" len="med"/>
                          </a:ln>
                        </wps:spPr>
                        <wps:bodyPr/>
                      </wps:wsp>
                      <wps:wsp>
                        <wps:cNvPr id="140" name="肘形连接符 43"/>
                        <wps:cNvCnPr/>
                        <wps:spPr>
                          <a:xfrm>
                            <a:off x="2097405" y="1311387"/>
                            <a:ext cx="1143000" cy="511219"/>
                          </a:xfrm>
                          <a:prstGeom prst="bentConnector3">
                            <a:avLst>
                              <a:gd name="adj1" fmla="val 49944"/>
                            </a:avLst>
                          </a:prstGeom>
                          <a:ln w="9525" cap="flat" cmpd="sng">
                            <a:solidFill>
                              <a:srgbClr val="000000"/>
                            </a:solidFill>
                            <a:prstDash val="dash"/>
                            <a:miter/>
                            <a:headEnd type="none" w="med" len="med"/>
                            <a:tailEnd type="triangle" w="med" len="med"/>
                          </a:ln>
                        </wps:spPr>
                        <wps:bodyPr/>
                      </wps:wsp>
                      <wps:wsp>
                        <wps:cNvPr id="141" name="肘形连接符 44"/>
                        <wps:cNvCnPr/>
                        <wps:spPr>
                          <a:xfrm>
                            <a:off x="3730625" y="1822606"/>
                            <a:ext cx="715010" cy="1292336"/>
                          </a:xfrm>
                          <a:prstGeom prst="bentConnector2">
                            <a:avLst/>
                          </a:prstGeom>
                          <a:ln w="9525" cap="flat" cmpd="sng">
                            <a:solidFill>
                              <a:srgbClr val="000000"/>
                            </a:solidFill>
                            <a:prstDash val="dash"/>
                            <a:miter/>
                            <a:headEnd type="none" w="med" len="med"/>
                            <a:tailEnd type="triangle" w="med" len="med"/>
                          </a:ln>
                        </wps:spPr>
                        <wps:bodyPr/>
                      </wps:wsp>
                      <wps:wsp>
                        <wps:cNvPr id="45" name="矩形 45"/>
                        <wps:cNvSpPr/>
                        <wps:spPr>
                          <a:xfrm>
                            <a:off x="5297805" y="3106051"/>
                            <a:ext cx="489585" cy="298476"/>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2"/>
                                <w:bidi w:val="0"/>
                              </w:pPr>
                              <w:r>
                                <w:rPr>
                                  <w:rFonts w:hint="eastAsia"/>
                                </w:rPr>
                                <w:t>污泥</w:t>
                              </w:r>
                            </w:p>
                          </w:txbxContent>
                        </wps:txbx>
                        <wps:bodyPr upright="1"/>
                      </wps:wsp>
                      <wps:wsp>
                        <wps:cNvPr id="142" name="直接箭头连接符 46"/>
                        <wps:cNvCnPr/>
                        <wps:spPr>
                          <a:xfrm>
                            <a:off x="4951095" y="3253384"/>
                            <a:ext cx="335915" cy="3175"/>
                          </a:xfrm>
                          <a:prstGeom prst="straightConnector1">
                            <a:avLst/>
                          </a:prstGeom>
                          <a:ln w="9525" cap="flat" cmpd="sng">
                            <a:solidFill>
                              <a:srgbClr val="000000"/>
                            </a:solidFill>
                            <a:prstDash val="dash"/>
                            <a:headEnd type="none" w="med" len="med"/>
                            <a:tailEnd type="triangle" w="med" len="med"/>
                          </a:ln>
                        </wps:spPr>
                        <wps:bodyPr/>
                      </wps:wsp>
                      <wpg:wgp>
                        <wpg:cNvPr id="50" name="组合 50"/>
                        <wpg:cNvGrpSpPr/>
                        <wpg:grpSpPr>
                          <a:xfrm>
                            <a:off x="1933575" y="1460625"/>
                            <a:ext cx="2307590" cy="1654317"/>
                            <a:chOff x="4088" y="-5644"/>
                            <a:chExt cx="3634" cy="2605"/>
                          </a:xfrm>
                        </wpg:grpSpPr>
                        <wps:wsp>
                          <wps:cNvPr id="143" name="直接箭头连接符 47"/>
                          <wps:cNvCnPr/>
                          <wps:spPr>
                            <a:xfrm>
                              <a:off x="7721" y="-4173"/>
                              <a:ext cx="1" cy="1134"/>
                            </a:xfrm>
                            <a:prstGeom prst="straightConnector1">
                              <a:avLst/>
                            </a:prstGeom>
                            <a:ln w="9525" cap="flat" cmpd="sng">
                              <a:solidFill>
                                <a:srgbClr val="000000"/>
                              </a:solidFill>
                              <a:prstDash val="solid"/>
                              <a:headEnd type="none" w="med" len="med"/>
                              <a:tailEnd type="none" w="med" len="med"/>
                            </a:ln>
                          </wps:spPr>
                          <wps:bodyPr/>
                        </wps:wsp>
                        <wps:wsp>
                          <wps:cNvPr id="144" name="直接箭头连接符 48"/>
                          <wps:cNvCnPr/>
                          <wps:spPr>
                            <a:xfrm>
                              <a:off x="4088" y="-4173"/>
                              <a:ext cx="3628" cy="1"/>
                            </a:xfrm>
                            <a:prstGeom prst="straightConnector1">
                              <a:avLst/>
                            </a:prstGeom>
                            <a:ln w="9525" cap="flat" cmpd="sng">
                              <a:solidFill>
                                <a:srgbClr val="000000"/>
                              </a:solidFill>
                              <a:prstDash val="solid"/>
                              <a:headEnd type="none" w="med" len="med"/>
                              <a:tailEnd type="none" w="med" len="med"/>
                            </a:ln>
                          </wps:spPr>
                          <wps:bodyPr/>
                        </wps:wsp>
                        <wps:wsp>
                          <wps:cNvPr id="49" name="直接箭头连接符 49"/>
                          <wps:cNvCnPr/>
                          <wps:spPr>
                            <a:xfrm flipV="1">
                              <a:off x="4091" y="-5644"/>
                              <a:ext cx="1" cy="1474"/>
                            </a:xfrm>
                            <a:prstGeom prst="straightConnector1">
                              <a:avLst/>
                            </a:prstGeom>
                            <a:ln w="9525" cap="flat" cmpd="sng">
                              <a:solidFill>
                                <a:srgbClr val="000000"/>
                              </a:solidFill>
                              <a:prstDash val="solid"/>
                              <a:headEnd type="none" w="med" len="med"/>
                              <a:tailEnd type="triangle" w="med" len="med"/>
                            </a:ln>
                          </wps:spPr>
                          <wps:bodyPr/>
                        </wps:wsp>
                      </wpg:wgp>
                      <wps:wsp>
                        <wps:cNvPr id="145" name="矩形 51"/>
                        <wps:cNvSpPr/>
                        <wps:spPr>
                          <a:xfrm>
                            <a:off x="2819400" y="2168711"/>
                            <a:ext cx="640080" cy="298476"/>
                          </a:xfrm>
                          <a:prstGeom prst="rect">
                            <a:avLst/>
                          </a:prstGeom>
                          <a:noFill/>
                          <a:ln>
                            <a:noFill/>
                          </a:ln>
                        </wps:spPr>
                        <wps:txbx>
                          <w:txbxContent>
                            <w:p>
                              <w:pPr>
                                <w:pStyle w:val="32"/>
                                <w:bidi w:val="0"/>
                                <w:rPr>
                                  <w:rFonts w:hint="eastAsia"/>
                                  <w:lang w:eastAsia="zh-CN"/>
                                </w:rPr>
                              </w:pPr>
                              <w:r>
                                <w:rPr>
                                  <w:rFonts w:hint="eastAsia"/>
                                  <w:lang w:eastAsia="zh-CN"/>
                                </w:rPr>
                                <w:t>循环水</w:t>
                              </w:r>
                            </w:p>
                          </w:txbxContent>
                        </wps:txbx>
                        <wps:bodyPr upright="1"/>
                      </wps:wsp>
                      <wps:wsp>
                        <wps:cNvPr id="52" name="直接箭头连接符 52"/>
                        <wps:cNvCnPr/>
                        <wps:spPr>
                          <a:xfrm flipH="1">
                            <a:off x="1715135" y="5318581"/>
                            <a:ext cx="6350" cy="458509"/>
                          </a:xfrm>
                          <a:prstGeom prst="straightConnector1">
                            <a:avLst/>
                          </a:prstGeom>
                          <a:ln w="9525" cap="flat" cmpd="sng">
                            <a:solidFill>
                              <a:srgbClr val="000000"/>
                            </a:solidFill>
                            <a:prstDash val="solid"/>
                            <a:headEnd type="none" w="med" len="med"/>
                            <a:tailEnd type="triangle" w="med" len="med"/>
                          </a:ln>
                        </wps:spPr>
                        <wps:bodyPr/>
                      </wps:wsp>
                      <wps:wsp>
                        <wps:cNvPr id="53" name="矩形 53"/>
                        <wps:cNvSpPr/>
                        <wps:spPr>
                          <a:xfrm>
                            <a:off x="3268980" y="5753594"/>
                            <a:ext cx="490220" cy="298476"/>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2"/>
                                <w:bidi w:val="0"/>
                              </w:pPr>
                              <w:r>
                                <w:rPr>
                                  <w:rFonts w:hint="eastAsia"/>
                                </w:rPr>
                                <w:t>噪声</w:t>
                              </w:r>
                            </w:p>
                          </w:txbxContent>
                        </wps:txbx>
                        <wps:bodyPr upright="1"/>
                      </wps:wsp>
                      <wps:wsp>
                        <wps:cNvPr id="54" name="直接箭头连接符 54"/>
                        <wps:cNvCnPr/>
                        <wps:spPr>
                          <a:xfrm>
                            <a:off x="2106295" y="5902831"/>
                            <a:ext cx="1148080" cy="635"/>
                          </a:xfrm>
                          <a:prstGeom prst="straightConnector1">
                            <a:avLst/>
                          </a:prstGeom>
                          <a:ln w="9525" cap="flat" cmpd="sng">
                            <a:solidFill>
                              <a:srgbClr val="000000"/>
                            </a:solidFill>
                            <a:prstDash val="dash"/>
                            <a:headEnd type="none" w="med" len="med"/>
                            <a:tailEnd type="triangle" w="med" len="med"/>
                          </a:ln>
                        </wps:spPr>
                        <wps:bodyPr/>
                      </wps:wsp>
                      <wps:wsp>
                        <wps:cNvPr id="55" name="矩形 55"/>
                        <wps:cNvSpPr/>
                        <wps:spPr>
                          <a:xfrm>
                            <a:off x="1075055" y="7097369"/>
                            <a:ext cx="1247775" cy="298476"/>
                          </a:xfrm>
                          <a:prstGeom prst="rect">
                            <a:avLst/>
                          </a:prstGeom>
                          <a:noFill/>
                          <a:ln>
                            <a:noFill/>
                          </a:ln>
                        </wps:spPr>
                        <wps:txbx>
                          <w:txbxContent>
                            <w:p>
                              <w:pPr>
                                <w:pStyle w:val="17"/>
                                <w:bidi w:val="0"/>
                              </w:pPr>
                              <w:r>
                                <w:rPr>
                                  <w:rFonts w:hint="eastAsia"/>
                                </w:rPr>
                                <w:t>进入挤塑车间</w:t>
                              </w:r>
                            </w:p>
                          </w:txbxContent>
                        </wps:txbx>
                        <wps:bodyPr upright="1"/>
                      </wps:wsp>
                      <wps:wsp>
                        <wps:cNvPr id="56" name="直接箭头连接符 56"/>
                        <wps:cNvCnPr/>
                        <wps:spPr>
                          <a:xfrm>
                            <a:off x="1698625" y="6790637"/>
                            <a:ext cx="635" cy="306731"/>
                          </a:xfrm>
                          <a:prstGeom prst="straightConnector1">
                            <a:avLst/>
                          </a:prstGeom>
                          <a:ln w="9525" cap="flat" cmpd="sng">
                            <a:solidFill>
                              <a:srgbClr val="000000"/>
                            </a:solidFill>
                            <a:prstDash val="solid"/>
                            <a:headEnd type="none" w="med" len="med"/>
                            <a:tailEnd type="triangle" w="med" len="med"/>
                          </a:ln>
                        </wps:spPr>
                        <wps:bodyPr/>
                      </wps:wsp>
                      <wps:wsp>
                        <wps:cNvPr id="57" name="矩形 57"/>
                        <wps:cNvSpPr/>
                        <wps:spPr>
                          <a:xfrm>
                            <a:off x="9525" y="4067524"/>
                            <a:ext cx="640080" cy="298476"/>
                          </a:xfrm>
                          <a:prstGeom prst="rect">
                            <a:avLst/>
                          </a:prstGeom>
                          <a:noFill/>
                          <a:ln>
                            <a:noFill/>
                          </a:ln>
                        </wps:spPr>
                        <wps:txbx>
                          <w:txbxContent>
                            <w:p>
                              <w:pPr>
                                <w:pStyle w:val="17"/>
                                <w:bidi w:val="0"/>
                              </w:pPr>
                              <w:r>
                                <w:rPr>
                                  <w:rFonts w:hint="eastAsia"/>
                                </w:rPr>
                                <w:t>电加热</w:t>
                              </w:r>
                            </w:p>
                          </w:txbxContent>
                        </wps:txbx>
                        <wps:bodyPr upright="1"/>
                      </wps:wsp>
                      <wps:wsp>
                        <wps:cNvPr id="58" name="直接箭头连接符 58"/>
                        <wps:cNvCnPr/>
                        <wps:spPr>
                          <a:xfrm>
                            <a:off x="649605" y="4216762"/>
                            <a:ext cx="628650" cy="635"/>
                          </a:xfrm>
                          <a:prstGeom prst="straightConnector1">
                            <a:avLst/>
                          </a:prstGeom>
                          <a:ln w="9525" cap="flat" cmpd="sng">
                            <a:solidFill>
                              <a:srgbClr val="000000"/>
                            </a:solidFill>
                            <a:prstDash val="solid"/>
                            <a:headEnd type="none" w="med" len="med"/>
                            <a:tailEnd type="triangle" w="med" len="med"/>
                          </a:ln>
                        </wps:spPr>
                        <wps:bodyPr/>
                      </wps:wsp>
                      <wps:wsp>
                        <wps:cNvPr id="59" name="矩形 59"/>
                        <wps:cNvSpPr/>
                        <wps:spPr>
                          <a:xfrm>
                            <a:off x="1340485" y="5777091"/>
                            <a:ext cx="749300" cy="292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2"/>
                                <w:bidi w:val="0"/>
                              </w:pPr>
                              <w:r>
                                <w:rPr>
                                  <w:rFonts w:hint="eastAsia"/>
                                </w:rPr>
                                <w:t>切粒</w:t>
                              </w:r>
                            </w:p>
                          </w:txbxContent>
                        </wps:txbx>
                        <wps:bodyPr upright="1"/>
                      </wps:wsp>
                      <wps:wsp>
                        <wps:cNvPr id="60" name="直接箭头连接符 60"/>
                        <wps:cNvCnPr/>
                        <wps:spPr>
                          <a:xfrm>
                            <a:off x="1718945" y="6061595"/>
                            <a:ext cx="6350" cy="400084"/>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582.9pt;width:455.7pt;" coordsize="5787390,7402830" editas="canvas" o:gfxdata="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">
                <o:lock v:ext="edit" aspectratio="f"/>
                <v:shape id="_x0000_s1026" o:spid="_x0000_s1026" style="position:absolute;left:0;top:0;height:7402830;width:5787390;" filled="f" stroked="f" coordsize="21600,21600" o:gfxdata="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">
                  <v:fill on="f" focussize="0,0"/>
                  <v:stroke on="f"/>
                  <v:imagedata o:title=""/>
                  <o:lock v:ext="edit" aspectratio="t"/>
                </v:shape>
                <v:rect id="矩形 1" o:spid="_x0000_s1026" o:spt="1" style="position:absolute;left:506730;top:0;height:298476;width:2428875;" filled="f" stroked="f" coordsize="21600,21600" o:gfxdata="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0JK51wAAAAYBAAAPAAAAAAAAAAEAIAAAACIAAABkcnMvZG93&#10;bnJldi54bWxQSwECFAAUAAAACACHTuJA4/etVI8BAAD6AgAADgAAAAAAAAABACAAAAAmAQAAZHJz&#10;L2Uyb0RvYy54bWxQSwUGAAAAAAYABgBZAQAAJwUAAAAA&#10;">
                  <v:fill on="f" focussize="0,0"/>
                  <v:stroke on="f"/>
                  <v:imagedata o:title=""/>
                  <o:lock v:ext="edit" aspectratio="f"/>
                  <v:textbox>
                    <w:txbxContent>
                      <w:p>
                        <w:pPr>
                          <w:pStyle w:val="32"/>
                          <w:bidi w:val="0"/>
                          <w:rPr>
                            <w:rFonts w:hint="eastAsia"/>
                            <w:lang w:eastAsia="zh-CN"/>
                          </w:rPr>
                        </w:pPr>
                        <w:r>
                          <w:rPr>
                            <w:rFonts w:hint="eastAsia"/>
                            <w:lang w:eastAsia="zh-CN"/>
                          </w:rPr>
                          <w:t>废旧滴灌带</w:t>
                        </w:r>
                      </w:p>
                    </w:txbxContent>
                  </v:textbox>
                </v:rect>
                <v:rect id="矩形 2" o:spid="_x0000_s1026" o:spt="1" style="position:absolute;left:1344930;top:1162150;height:298476;width:752475;" fillcolor="#FFFFFF" filled="t" stroked="t" coordsize="21600,21600" o:gfxdata="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PxJUtUAAAAGAQAADwAAAAAAAAABACAAAAAiAAAAZHJzL2Rvd25yZXYueG1sUEsBAhQAFAAA&#10;AAgAh07iQCaKQizyAQAA6AMAAA4AAAAAAAAAAQAgAAAAJAEAAGRycy9lMm9Eb2MueG1sUEsFBgAA&#10;AAAGAAYAWQEAAIgFAAAAAA==&#10;">
                  <v:fill on="t" focussize="0,0"/>
                  <v:stroke color="#000000" joinstyle="miter"/>
                  <v:imagedata o:title=""/>
                  <o:lock v:ext="edit" aspectratio="f"/>
                  <v:textbox>
                    <w:txbxContent>
                      <w:p>
                        <w:pPr>
                          <w:pStyle w:val="32"/>
                          <w:bidi w:val="0"/>
                        </w:pPr>
                        <w:r>
                          <w:rPr>
                            <w:rFonts w:hint="eastAsia"/>
                          </w:rPr>
                          <w:t>破碎</w:t>
                        </w:r>
                      </w:p>
                    </w:txbxContent>
                  </v:textbox>
                </v:rect>
                <v:rect id="矩形 3" o:spid="_x0000_s1026" o:spt="1" style="position:absolute;left:1344930;top:2943477;height:298476;width:752475;" fillcolor="#FFFFFF" filled="t" stroked="t" coordsize="21600,21600" o:gfxdata="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D8SVLVAAAABgEAAA8AAAAAAAAAAQAgAAAAIgAAAGRycy9kb3ducmV2LnhtbFBLAQIUABQA&#10;AAAIAIdO4kByn3Pm8wEAAOgDAAAOAAAAAAAAAAEAIAAAACQBAABkcnMvZTJvRG9jLnhtbFBLBQYA&#10;AAAABgAGAFkBAACJBQAAAAA=&#10;">
                  <v:fill on="t" focussize="0,0"/>
                  <v:stroke color="#000000" joinstyle="miter"/>
                  <v:imagedata o:title=""/>
                  <o:lock v:ext="edit" aspectratio="f"/>
                  <v:textbox>
                    <w:txbxContent>
                      <w:p>
                        <w:pPr>
                          <w:pStyle w:val="32"/>
                          <w:bidi w:val="0"/>
                        </w:pPr>
                        <w:r>
                          <w:rPr>
                            <w:rFonts w:hint="eastAsia"/>
                          </w:rPr>
                          <w:t>清洗</w:t>
                        </w:r>
                      </w:p>
                    </w:txbxContent>
                  </v:textbox>
                </v:rect>
                <v:rect id="矩形 4" o:spid="_x0000_s1026" o:spt="1" style="position:absolute;left:1278255;top:4067524;height:298476;width:885825;" fillcolor="#FFFFFF" filled="t" stroked="t" coordsize="21600,21600" o:gfxdata="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PxJUtUAAAAGAQAADwAAAAAAAAABACAAAAAiAAAAZHJzL2Rvd25yZXYueG1sUEsBAhQAFAAA&#10;AAgAh07iQOK1nffyAQAA6AMAAA4AAAAAAAAAAQAgAAAAJAEAAGRycy9lMm9Eb2MueG1sUEsFBgAA&#10;AAAGAAYAWQEAAIgFAAAAAA==&#10;">
                  <v:fill on="t" focussize="0,0"/>
                  <v:stroke color="#000000" joinstyle="miter"/>
                  <v:imagedata o:title=""/>
                  <o:lock v:ext="edit" aspectratio="f"/>
                  <v:textbox>
                    <w:txbxContent>
                      <w:p>
                        <w:pPr>
                          <w:pStyle w:val="32"/>
                          <w:bidi w:val="0"/>
                        </w:pPr>
                        <w:r>
                          <w:rPr>
                            <w:rFonts w:hint="eastAsia"/>
                          </w:rPr>
                          <w:t>熔融、挤出</w:t>
                        </w:r>
                      </w:p>
                    </w:txbxContent>
                  </v:textbox>
                </v:rect>
                <v:rect id="_x0000_s1026" o:spid="_x0000_s1026" o:spt="1" style="position:absolute;left:1344930;top:5020106;height:298476;width:752475;" fillcolor="#FFFFFF" filled="t" stroked="t" coordsize="21600,21600" o:gfxdata="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D8SVLVAAAABgEAAA8AAAAAAAAAAQAgAAAAIgAAAGRycy9kb3ducmV2LnhtbFBLAQIUABQA&#10;AAAIAIdO4kCdBlCa8wEAAOYDAAAOAAAAAAAAAAEAIAAAACQBAABkcnMvZTJvRG9jLnhtbFBLBQYA&#10;AAAABgAGAFkBAACJBQAAAAA=&#10;">
                  <v:fill on="t" focussize="0,0"/>
                  <v:stroke color="#000000" joinstyle="miter"/>
                  <v:imagedata o:title=""/>
                  <o:lock v:ext="edit" aspectratio="f"/>
                  <v:textbox>
                    <w:txbxContent>
                      <w:p>
                        <w:pPr>
                          <w:pStyle w:val="32"/>
                          <w:bidi w:val="0"/>
                          <w:rPr>
                            <w:rFonts w:hint="eastAsia"/>
                            <w:lang w:eastAsia="zh-CN"/>
                          </w:rPr>
                        </w:pPr>
                        <w:r>
                          <w:rPr>
                            <w:rFonts w:hint="eastAsia"/>
                          </w:rPr>
                          <w:t>冷却</w:t>
                        </w:r>
                      </w:p>
                    </w:txbxContent>
                  </v:textbox>
                </v:rect>
                <v:rect id="矩形 6" o:spid="_x0000_s1026" o:spt="1" style="position:absolute;left:1074420;top:6492162;height:298476;width:1247775;" filled="f" stroked="f" coordsize="21600,21600" o:gfxdata="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&#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QkrnXAAAABgEAAA8AAAAAAAAAAQAgAAAAIgAAAGRy&#10;cy9kb3ducmV2LnhtbFBLAQIUABQAAAAIAIdO4kBtEllDlAEAAAEDAAAOAAAAAAAAAAEAIAAAACYB&#10;AABkcnMvZTJvRG9jLnhtbFBLBQYAAAAABgAGAFkBAAAsBQAAAAA=&#10;">
                  <v:fill on="f" focussize="0,0"/>
                  <v:stroke on="f"/>
                  <v:imagedata o:title=""/>
                  <o:lock v:ext="edit" aspectratio="f"/>
                  <v:textbox>
                    <w:txbxContent>
                      <w:p>
                        <w:pPr>
                          <w:pStyle w:val="17"/>
                          <w:bidi w:val="0"/>
                        </w:pPr>
                        <w:r>
                          <w:rPr>
                            <w:rFonts w:hint="eastAsia"/>
                          </w:rPr>
                          <w:t>聚乙烯再生颗粒</w:t>
                        </w:r>
                      </w:p>
                    </w:txbxContent>
                  </v:textbox>
                </v:rect>
                <v:rect id="矩形 7" o:spid="_x0000_s1026" o:spt="1" style="position:absolute;left:3240405;top:1162050;height:298450;width:920750;" fillcolor="#FFFFFF" filled="t" stroked="t" coordsize="21600,21600" o:gfxdata="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gQTAHXAAAABgEAAA8AAAAAAAAAAQAgAAAAIgAAAGRycy9kb3ducmV2LnhtbFBLAQIU&#10;ABQAAAAIAIdO4kDrbmsj9AEAAOcDAAAOAAAAAAAAAAEAIAAAACYBAABkcnMvZTJvRG9jLnhtbFBL&#10;BQYAAAAABgAGAFkBAACMBQAAAAA=&#10;">
                  <v:fill on="t" focussize="0,0"/>
                  <v:stroke color="#000000" joinstyle="miter" dashstyle="dash"/>
                  <v:imagedata o:title=""/>
                  <o:lock v:ext="edit" aspectratio="f"/>
                  <v:textbox>
                    <w:txbxContent>
                      <w:p>
                        <w:pPr>
                          <w:pStyle w:val="32"/>
                          <w:bidi w:val="0"/>
                        </w:pPr>
                        <w:r>
                          <w:rPr>
                            <w:rFonts w:hint="eastAsia"/>
                          </w:rPr>
                          <w:t>粉尘、噪声</w:t>
                        </w:r>
                      </w:p>
                    </w:txbxContent>
                  </v:textbox>
                </v:rect>
                <v:rect id="矩形 8" o:spid="_x0000_s1026" o:spt="1" style="position:absolute;left:1344930;top:571549;height:298476;width:752475;" fillcolor="#FFFFFF" filled="t" stroked="t" coordsize="21600,21600" o:gfxdata="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ElS1QAAAAYBAAAPAAAAAAAAAAEAIAAAACIAAABkcnMvZG93bnJldi54bWxQSwECFAAU&#10;AAAACACHTuJAimAcevQBAADnAwAADgAAAAAAAAABACAAAAAkAQAAZHJzL2Uyb0RvYy54bWxQSwUG&#10;AAAAAAYABgBZAQAAigUAAAAA&#10;">
                  <v:fill on="t" focussize="0,0"/>
                  <v:stroke color="#000000" joinstyle="miter"/>
                  <v:imagedata o:title=""/>
                  <o:lock v:ext="edit" aspectratio="f"/>
                  <v:textbox>
                    <w:txbxContent>
                      <w:p>
                        <w:pPr>
                          <w:pStyle w:val="32"/>
                          <w:bidi w:val="0"/>
                        </w:pPr>
                        <w:r>
                          <w:rPr>
                            <w:rFonts w:hint="eastAsia"/>
                          </w:rPr>
                          <w:t>分拣</w:t>
                        </w:r>
                      </w:p>
                    </w:txbxContent>
                  </v:textbox>
                </v:rect>
                <v:shape id="直接箭头连接符 9" o:spid="_x0000_s1026" o:spt="32" type="#_x0000_t32" style="position:absolute;left:1721485;top:298476;height:273073;width:635;" filled="f" stroked="t" coordsize="21600,21600" o:gfxdata="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zTlnfXAAAABgEAAA8AAAAAAAAAAQAgAAAAIgAAAGRycy9kb3ducmV2LnhtbFBL&#10;AQIUABQAAAAIAIdO4kAs/ObF9wEAALADAAAOAAAAAAAAAAEAIAAAACYBAABkcnMvZTJvRG9jLnht&#10;bFBLBQYAAAAABgAGAFkBAACPBQAAAAA=&#10;">
                  <v:fill on="f" focussize="0,0"/>
                  <v:stroke color="#000000" joinstyle="round" endarrow="block"/>
                  <v:imagedata o:title=""/>
                  <o:lock v:ext="edit" aspectratio="f"/>
                </v:shape>
                <v:rect id="矩形 10" o:spid="_x0000_s1026" o:spt="1" style="position:absolute;left:3245485;top:571549;height:298476;width:1117600;" fillcolor="#FFFFFF" filled="t" stroked="t" coordsize="21600,21600" o:gfxdata="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BBMAdcAAAAGAQAADwAAAAAAAAABACAAAAAiAAAAZHJzL2Rvd25yZXYueG1sUEsBAhQA&#10;FAAAAAgAh07iQD4k5uLzAQAA6AMAAA4AAAAAAAAAAQAgAAAAJgEAAGRycy9lMm9Eb2MueG1sUEsF&#10;BgAAAAAGAAYAWQEAAIsFAAAAAA==&#10;">
                  <v:fill on="t" focussize="0,0"/>
                  <v:stroke color="#000000" joinstyle="miter" dashstyle="dash"/>
                  <v:imagedata o:title=""/>
                  <o:lock v:ext="edit" aspectratio="f"/>
                  <v:textbox>
                    <w:txbxContent>
                      <w:p>
                        <w:pPr>
                          <w:pStyle w:val="32"/>
                          <w:bidi w:val="0"/>
                          <w:rPr>
                            <w:rFonts w:hint="eastAsia"/>
                            <w:lang w:eastAsia="zh-CN"/>
                          </w:rPr>
                        </w:pPr>
                        <w:r>
                          <w:rPr>
                            <w:rFonts w:hint="eastAsia"/>
                          </w:rPr>
                          <w:t>分拣废物</w:t>
                        </w:r>
                        <w:r>
                          <w:rPr>
                            <w:rFonts w:hint="eastAsia"/>
                            <w:lang w:eastAsia="zh-CN"/>
                          </w:rPr>
                          <w:t>、粉尘</w:t>
                        </w:r>
                      </w:p>
                    </w:txbxContent>
                  </v:textbox>
                </v:rect>
                <v:rect id="矩形 11" o:spid="_x0000_s1026" o:spt="1" style="position:absolute;left:3245485;top:2667229;height:298476;width:490220;" fillcolor="#FFFFFF" filled="t" stroked="t" coordsize="21600,21600" o:gfxdata="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BBMAdcAAAAGAQAADwAAAAAAAAABACAAAAAiAAAAZHJzL2Rvd25yZXYueG1sUEsB&#10;AhQAFAAAAAgAh07iQDT+mwP2AQAA6AMAAA4AAAAAAAAAAQAgAAAAJgEAAGRycy9lMm9Eb2MueG1s&#10;UEsFBgAAAAAGAAYAWQEAAI4FAAAAAA==&#10;">
                  <v:fill on="t" focussize="0,0"/>
                  <v:stroke color="#000000" joinstyle="miter" dashstyle="dash"/>
                  <v:imagedata o:title=""/>
                  <o:lock v:ext="edit" aspectratio="f"/>
                  <v:textbox>
                    <w:txbxContent>
                      <w:p>
                        <w:pPr>
                          <w:pStyle w:val="32"/>
                          <w:bidi w:val="0"/>
                        </w:pPr>
                        <w:r>
                          <w:rPr>
                            <w:rFonts w:hint="eastAsia"/>
                          </w:rPr>
                          <w:t>噪声</w:t>
                        </w:r>
                      </w:p>
                    </w:txbxContent>
                  </v:textbox>
                </v:rect>
                <v:rect id="_x0000_s1026" o:spid="_x0000_s1026" o:spt="1" style="position:absolute;left:3245485;top:3114942;height:298476;width:490220;" fillcolor="#FFFFFF" filled="t" stroked="t" coordsize="21600,21600" o:gfxdata="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gQTAHXAAAABgEAAA8AAAAAAAAAAQAgAAAAIgAAAGRycy9kb3ducmV2LnhtbFBLAQIU&#10;ABQAAAAIAIdO4kAXe47d9AEAAOcDAAAOAAAAAAAAAAEAIAAAACYBAABkcnMvZTJvRG9jLnhtbFBL&#10;BQYAAAAABgAGAFkBAACMBQAAAAA=&#10;">
                  <v:fill on="t" focussize="0,0"/>
                  <v:stroke color="#000000" joinstyle="miter" dashstyle="dash"/>
                  <v:imagedata o:title=""/>
                  <o:lock v:ext="edit" aspectratio="f"/>
                  <v:textbox>
                    <w:txbxContent>
                      <w:p>
                        <w:pPr>
                          <w:pStyle w:val="32"/>
                          <w:bidi w:val="0"/>
                        </w:pPr>
                        <w:r>
                          <w:rPr>
                            <w:rFonts w:hint="eastAsia"/>
                          </w:rPr>
                          <w:t>废水</w:t>
                        </w:r>
                      </w:p>
                      <w:p>
                        <w:pPr>
                          <w:pStyle w:val="32"/>
                          <w:bidi w:val="0"/>
                        </w:pPr>
                      </w:p>
                    </w:txbxContent>
                  </v:textbox>
                </v:rect>
                <v:rect id="_x0000_s1026" o:spid="_x0000_s1026" o:spt="1" style="position:absolute;left:4145280;top:3114942;height:298476;width:800735;" fillcolor="#FFFFFF" filled="t" stroked="t" coordsize="21600,21600" o:gfxdata="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PxJUtUAAAAGAQAADwAAAAAAAAABACAAAAAiAAAAZHJzL2Rvd25yZXYueG1sUEsBAhQA&#10;FAAAAAgAh07iQJKRYgr1AQAA6AMAAA4AAAAAAAAAAQAgAAAAJAEAAGRycy9lMm9Eb2MueG1sUEsF&#10;BgAAAAAGAAYAWQEAAIsFAAAAAA==&#10;">
                  <v:fill on="t" focussize="0,0"/>
                  <v:stroke color="#000000" joinstyle="miter"/>
                  <v:imagedata o:title=""/>
                  <o:lock v:ext="edit" aspectratio="f"/>
                  <v:textbox>
                    <w:txbxContent>
                      <w:p>
                        <w:pPr>
                          <w:pStyle w:val="32"/>
                          <w:bidi w:val="0"/>
                        </w:pPr>
                        <w:r>
                          <w:rPr>
                            <w:rFonts w:hint="eastAsia"/>
                            <w:lang w:eastAsia="zh-CN"/>
                          </w:rPr>
                          <w:t>三级</w:t>
                        </w:r>
                        <w:r>
                          <w:rPr>
                            <w:rFonts w:hint="eastAsia"/>
                          </w:rPr>
                          <w:t>沉淀池</w:t>
                        </w:r>
                      </w:p>
                    </w:txbxContent>
                  </v:textbox>
                </v:rect>
                <v:rect id="矩形 14" o:spid="_x0000_s1026" o:spt="1" style="position:absolute;left:3251835;top:4067524;height:298476;width:1774825;" fillcolor="#FFFFFF" filled="t" stroked="t" coordsize="21600,21600" o:gfxdata="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BBMAdcAAAAGAQAADwAAAAAAAAABACAAAAAiAAAAZHJzL2Rvd25yZXYueG1sUEsB&#10;AhQAFAAAAAgAh07iQHWWCjr2AQAA6QMAAA4AAAAAAAAAAQAgAAAAJgEAAGRycy9lMm9Eb2MueG1s&#10;UEsFBgAAAAAGAAYAWQEAAI4FAAAAAA==&#10;">
                  <v:fill on="t" focussize="0,0"/>
                  <v:stroke color="#000000" joinstyle="miter" dashstyle="dash"/>
                  <v:imagedata o:title=""/>
                  <o:lock v:ext="edit" aspectratio="f"/>
                  <v:textbox>
                    <w:txbxContent>
                      <w:p>
                        <w:pPr>
                          <w:pStyle w:val="32"/>
                          <w:bidi w:val="0"/>
                        </w:pPr>
                        <w:r>
                          <w:rPr>
                            <w:rFonts w:hint="eastAsia"/>
                          </w:rPr>
                          <w:t>非甲烷总烃、异味、噪声</w:t>
                        </w:r>
                        <w:r>
                          <w:rPr>
                            <w:rFonts w:hint="eastAsia"/>
                            <w:lang w:eastAsia="zh-CN"/>
                          </w:rPr>
                          <w:t>、固废</w:t>
                        </w:r>
                      </w:p>
                    </w:txbxContent>
                  </v:textbox>
                </v:rect>
                <v:rect id="矩形 15" o:spid="_x0000_s1026" o:spt="1" style="position:absolute;left:3234055;top:5020106;height:298476;width:828675;" fillcolor="#FFFFFF" filled="t" stroked="t" coordsize="21600,21600" o:gfxdata="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PxJUtUAAAAGAQAADwAAAAAAAAABACAAAAAiAAAAZHJzL2Rvd25yZXYueG1sUEsBAhQA&#10;FAAAAAgAh07iQLygZ+P1AQAA6QMAAA4AAAAAAAAAAQAgAAAAJAEAAGRycy9lMm9Eb2MueG1sUEsF&#10;BgAAAAAGAAYAWQEAAIsFAAAAAA==&#10;">
                  <v:fill on="t" focussize="0,0"/>
                  <v:stroke color="#000000" joinstyle="miter"/>
                  <v:imagedata o:title=""/>
                  <o:lock v:ext="edit" aspectratio="f"/>
                  <v:textbox>
                    <w:txbxContent>
                      <w:p>
                        <w:pPr>
                          <w:pStyle w:val="32"/>
                          <w:bidi w:val="0"/>
                        </w:pPr>
                        <w:r>
                          <w:rPr>
                            <w:rFonts w:hint="eastAsia"/>
                            <w:lang w:eastAsia="zh-CN"/>
                          </w:rPr>
                          <w:t>循环</w:t>
                        </w:r>
                        <w:r>
                          <w:rPr>
                            <w:rFonts w:hint="eastAsia"/>
                          </w:rPr>
                          <w:t>水池</w:t>
                        </w:r>
                      </w:p>
                      <w:p>
                        <w:pPr>
                          <w:pStyle w:val="32"/>
                          <w:bidi w:val="0"/>
                        </w:pPr>
                        <w:r>
                          <w:t>品</w:t>
                        </w:r>
                      </w:p>
                      <w:p>
                        <w:pPr>
                          <w:pStyle w:val="32"/>
                          <w:bidi w:val="0"/>
                        </w:pPr>
                        <w:r>
                          <w:t>合格产品</w:t>
                        </w:r>
                      </w:p>
                      <w:p>
                        <w:pPr>
                          <w:pStyle w:val="32"/>
                          <w:bidi w:val="0"/>
                        </w:pPr>
                        <w:r>
                          <w:t>入库</w:t>
                        </w:r>
                      </w:p>
                      <w:p>
                        <w:pPr>
                          <w:pStyle w:val="32"/>
                          <w:bidi w:val="0"/>
                        </w:pPr>
                        <w:r>
                          <w:t>不合格产品</w:t>
                        </w:r>
                      </w:p>
                      <w:p>
                        <w:pPr>
                          <w:pStyle w:val="32"/>
                          <w:bidi w:val="0"/>
                        </w:pPr>
                      </w:p>
                    </w:txbxContent>
                  </v:textbox>
                </v:rect>
                <v:shape id="直接箭头连接符 16" o:spid="_x0000_s1026" o:spt="32" type="#_x0000_t32" style="position:absolute;left:1721485;top:870025;height:292125;width:635;" filled="f" stroked="t" coordsize="21600,21600" o:gfxdata="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05Z31wAAAAYBAAAPAAAAAAAAAAEAIAAAACIAAABkcnMvZG93bnJldi54bWxQ&#10;SwECFAAUAAAACACHTuJAD1gohPgBAACxAwAADgAAAAAAAAABACAAAAAmAQAAZHJzL2Uyb0RvYy54&#10;bWxQSwUGAAAAAAYABgBZAQAAkAUAAAAA&#10;">
                  <v:fill on="f" focussize="0,0"/>
                  <v:stroke color="#000000" joinstyle="round" endarrow="block"/>
                  <v:imagedata o:title=""/>
                  <o:lock v:ext="edit" aspectratio="f"/>
                </v:shape>
                <v:shape id="直接箭头连接符 17" o:spid="_x0000_s1026" o:spt="32" type="#_x0000_t32" style="position:absolute;left:1721485;top:1460625;height:1482852;width:635;" filled="f" stroked="t" coordsize="21600,21600" o:gfxdata="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zTlnfXAAAABgEAAA8AAAAAAAAAAQAgAAAAIgAAAGRycy9kb3ducmV2LnhtbFBL&#10;AQIUABQAAAAIAIdO4kDZKUXz9wEAALMDAAAOAAAAAAAAAAEAIAAAACYBAABkcnMvZTJvRG9jLnht&#10;bFBLBQYAAAAABgAGAFkBAACPBQAAAAA=&#10;">
                  <v:fill on="f" focussize="0,0"/>
                  <v:stroke color="#000000" joinstyle="round" endarrow="block"/>
                  <v:imagedata o:title=""/>
                  <o:lock v:ext="edit" aspectratio="f"/>
                </v:shape>
                <v:shape id="_x0000_s1026" o:spid="_x0000_s1026" o:spt="32" type="#_x0000_t32" style="position:absolute;left:1721485;top:3241953;height:825571;width:635;" filled="f" stroked="t" coordsize="21600,21600" o:gfxdata="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05Z31wAAAAYBAAAPAAAAAAAAAAEAIAAAACIAAABkcnMvZG93bnJldi54bWxQ&#10;SwECFAAUAAAACACHTuJAItkXyPgBAACxAwAADgAAAAAAAAABACAAAAAmAQAAZHJzL2Uyb0RvYy54&#10;bWxQSwUGAAAAAAYABgBZAQAAkAUAAAAA&#10;">
                  <v:fill on="f" focussize="0,0"/>
                  <v:stroke color="#000000" joinstyle="round" endarrow="block"/>
                  <v:imagedata o:title=""/>
                  <o:lock v:ext="edit" aspectratio="f"/>
                </v:shape>
                <v:shape id="直接箭头连接符 19" o:spid="_x0000_s1026" o:spt="32" type="#_x0000_t32" style="position:absolute;left:1721485;top:4366000;height:654106;width:635;" filled="f" stroked="t" coordsize="21600,21600" o:gfxdata="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05Z31wAAAAYBAAAPAAAAAAAAAAEAIAAAACIAAABkcnMvZG93bnJldi54bWxQ&#10;SwECFAAUAAAACACHTuJAQY38UPgBAACyAwAADgAAAAAAAAABACAAAAAmAQAAZHJzL2Uyb0RvYy54&#10;bWxQSwUGAAAAAAYABgBZAQAAkAUAAAAA&#10;">
                  <v:fill on="f" focussize="0,0"/>
                  <v:stroke color="#000000" joinstyle="round" endarrow="block"/>
                  <v:imagedata o:title=""/>
                  <o:lock v:ext="edit" aspectratio="f"/>
                </v:shape>
                <v:shape id="直接箭头连接符 20" o:spid="_x0000_s1026" o:spt="32" type="#_x0000_t32" style="position:absolute;left:2097405;top:720787;height:635;width:1148080;" filled="f" stroked="t" coordsize="21600,21600" o:gfxdata="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A01Z/TAAAABgEAAA8AAAAAAAAAAQAgAAAAIgAAAGRycy9kb3ducmV2LnhtbFBLAQIU&#10;ABQAAAAIAIdO4kCa+Eyh+AEAALEDAAAOAAAAAAAAAAEAIAAAACIBAABkcnMvZTJvRG9jLnhtbFBL&#10;BQYAAAAABgAGAFkBAACMBQAAAAA=&#10;">
                  <v:fill on="f" focussize="0,0"/>
                  <v:stroke color="#000000" joinstyle="round" dashstyle="dash" endarrow="block"/>
                  <v:imagedata o:title=""/>
                  <o:lock v:ext="edit" aspectratio="f"/>
                </v:shape>
                <v:shape id="肘形连接符 21" o:spid="_x0000_s1026" o:spt="34" type="#_x0000_t34" style="position:absolute;left:2097405;top:2816467;flip:y;height:276249;width:1148080;" filled="f" stroked="t" coordsize="21600,21600" o:gfxdata="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uASLrXAAAABgEAAA8A&#10;AAAAAAAAAQAgAAAAIgAAAGRycy9kb3ducmV2LnhtbFBLAQIUABQAAAAIAIdO4kBMqNOxGAIAAOwD&#10;AAAOAAAAAAAAAAEAIAAAACYBAABkcnMvZTJvRG9jLnhtbFBLBQYAAAAABgAGAFkBAACwBQAAAAA=&#10;" adj="10788">
                  <v:fill on="f" focussize="0,0"/>
                  <v:stroke color="#000000" joinstyle="miter" dashstyle="dash" endarrow="block"/>
                  <v:imagedata o:title=""/>
                  <o:lock v:ext="edit" aspectratio="f"/>
                </v:shape>
                <v:shape id="肘形连接符 22" o:spid="_x0000_s1026" o:spt="34" type="#_x0000_t34" style="position:absolute;left:2097405;top:3092715;height:171465;width:1148080;" filled="f" stroked="t" coordsize="21600,21600" o:gfxdata="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I4WmtcAAAAGAQAADwAAAAAA&#10;AAABACAAAAAiAAAAZHJzL2Rvd25yZXYueG1sUEsBAhQAFAAAAAgAh07iQIZzDvQUAgAA4gMAAA4A&#10;AAAAAAAAAQAgAAAAJgEAAGRycy9lMm9Eb2MueG1sUEsFBgAAAAAGAAYAWQEAAKwFAAAAAA==&#10;" adj="10788">
                  <v:fill on="f" focussize="0,0"/>
                  <v:stroke color="#000000" joinstyle="miter" dashstyle="dash" endarrow="block"/>
                  <v:imagedata o:title=""/>
                  <o:lock v:ext="edit" aspectratio="f"/>
                </v:shape>
                <v:shape id="直接箭头连接符 23" o:spid="_x0000_s1026" o:spt="32" type="#_x0000_t32" style="position:absolute;left:3735705;top:3264180;height:635;width:409575;" filled="f" stroked="t" coordsize="21600,21600" o:gfxdata="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A01Z/TAAAABgEAAA8AAAAAAAAAAQAgAAAAIgAAAGRycy9kb3ducmV2LnhtbFBLAQIU&#10;ABQAAAAIAIdO4kDWfbtD+AEAALEDAAAOAAAAAAAAAAEAIAAAACIBAABkcnMvZTJvRG9jLnhtbFBL&#10;BQYAAAAABgAGAFkBAACMBQAAAAA=&#10;">
                  <v:fill on="f" focussize="0,0"/>
                  <v:stroke color="#000000" joinstyle="round" dashstyle="dash" endarrow="block"/>
                  <v:imagedata o:title=""/>
                  <o:lock v:ext="edit" aspectratio="f"/>
                </v:shape>
                <v:group id="组合 27" o:spid="_x0000_s1026" o:spt="203" style="position:absolute;left:1915795;top:3241953;height:525825;width:2530475;" coordorigin="4420,-3574" coordsize="3985,828" o:gfxdata="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OOXgtfWAAAABgEAAA8AAAAAAAAAAQAgAAAAIgAAAGRycy9kb3ducmV2LnhtbFBLAQIUABQA&#10;AAAIAIdO4kBPUSA31gIAACMJAAAOAAAAAAAAAAEAIAAAACUBAABkcnMvZTJvRG9jLnhtbFBLBQYA&#10;AAAABgAGAFkBAABtBgAAAAA=&#10;">
                  <o:lock v:ext="edit" aspectratio="f"/>
                  <v:shape id="_x0000_s1026" o:spid="_x0000_s1026" o:spt="32" type="#_x0000_t32" style="position:absolute;left:8404;top:-3304;height:550;width:1;" filled="f" stroked="t" coordsize="21600,21600" o:gfxdata="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Hxr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直接箭头连接符 25" o:spid="_x0000_s1026" o:spt="32" type="#_x0000_t32" style="position:absolute;left:4433;top:-2752;flip:x;height:1;width:3969;" filled="f" stroked="t" coordsize="21600,21600" o:gfxdata="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5TAM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直接箭头连接符 26" o:spid="_x0000_s1026" o:spt="32" type="#_x0000_t32" style="position:absolute;left:4420;top:-3574;flip:y;height:828;width:1;" filled="f" stroked="t" coordsize="21600,21600" o:gfxdata="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vPo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rect id="_x0000_s1026" o:spid="_x0000_s1026" o:spt="1" style="position:absolute;left:9525;top:1162150;height:298476;width:640080;" filled="f" stroked="f" coordsize="21600,21600" o:gfxdata="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9CSudcAAAAGAQAADwAAAAAAAAABACAAAAAiAAAAZHJz&#10;L2Rvd25yZXYueG1sUEsBAhQAFAAAAAgAh07iQMPlzBmTAQAA/QIAAA4AAAAAAAAAAQAgAAAAJgEA&#10;AGRycy9lMm9Eb2MueG1sUEsFBgAAAAAGAAYAWQEAACsFAAAAAA==&#10;">
                  <v:fill on="f" focussize="0,0"/>
                  <v:stroke on="f"/>
                  <v:imagedata o:title=""/>
                  <o:lock v:ext="edit" aspectratio="f"/>
                  <v:textbox>
                    <w:txbxContent>
                      <w:p>
                        <w:pPr>
                          <w:pStyle w:val="17"/>
                          <w:bidi w:val="0"/>
                        </w:pPr>
                        <w:r>
                          <w:rPr>
                            <w:rFonts w:hint="eastAsia"/>
                          </w:rPr>
                          <w:t>新鲜水</w:t>
                        </w:r>
                      </w:p>
                      <w:p>
                        <w:pPr>
                          <w:pStyle w:val="17"/>
                          <w:bidi w:val="0"/>
                        </w:pPr>
                      </w:p>
                    </w:txbxContent>
                  </v:textbox>
                </v:rect>
                <v:shape id="直接箭头连接符 29" o:spid="_x0000_s1026" o:spt="32" type="#_x0000_t32" style="position:absolute;left:649605;top:1311387;height:635;width:695325;" filled="f" stroked="t" coordsize="21600,21600" o:gfxdata="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NOWd9cAAAAGAQAADwAAAAAAAAABACAAAAAiAAAAZHJzL2Rvd25yZXYueG1sUEsB&#10;AhQAFAAAAAgAh07iQL3Ir4D2AQAAsQMAAA4AAAAAAAAAAQAgAAAAJgEAAGRycy9lMm9Eb2MueG1s&#10;UEsFBgAAAAAGAAYAWQEAAI4FAAAAAA==&#10;">
                  <v:fill on="f" focussize="0,0"/>
                  <v:stroke color="#000000" joinstyle="round" endarrow="block"/>
                  <v:imagedata o:title=""/>
                  <o:lock v:ext="edit" aspectratio="f"/>
                </v:shape>
                <v:rect id="矩形 30" o:spid="_x0000_s1026" o:spt="1" style="position:absolute;left:676275;top:1084673;height:298476;width:640080;" filled="f" stroked="f" coordsize="21600,21600" o:gfxdata="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9CSudcAAAAGAQAADwAAAAAAAAABACAAAAAiAAAAZHJz&#10;L2Rvd25yZXYueG1sUEsBAhQAFAAAAAgAh07iQH8WzauTAQAAAAMAAA4AAAAAAAAAAQAgAAAAJgEA&#10;AGRycy9lMm9Eb2MueG1sUEsFBgAAAAAGAAYAWQEAACsFAAAAAA==&#10;">
                  <v:fill on="f" focussize="0,0"/>
                  <v:stroke on="f"/>
                  <v:imagedata o:title=""/>
                  <o:lock v:ext="edit" aspectratio="f"/>
                  <v:textbox>
                    <w:txbxContent>
                      <w:p>
                        <w:pPr>
                          <w:pStyle w:val="32"/>
                          <w:bidi w:val="0"/>
                        </w:pPr>
                        <w:r>
                          <w:rPr>
                            <w:rFonts w:hint="eastAsia"/>
                          </w:rPr>
                          <w:t>喷淋</w:t>
                        </w:r>
                      </w:p>
                      <w:p>
                        <w:pPr>
                          <w:pStyle w:val="32"/>
                          <w:bidi w:val="0"/>
                          <w:rPr>
                            <w:rFonts w:hint="eastAsia"/>
                          </w:rPr>
                        </w:pPr>
                      </w:p>
                    </w:txbxContent>
                  </v:textbox>
                </v:rect>
                <v:rect id="矩形 31" o:spid="_x0000_s1026" o:spt="1" style="position:absolute;left:9525;top:2943477;height:298476;width:640080;" filled="f" stroked="f" coordsize="21600,21600" o:gfxdata="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QkrnXAAAABgEAAA8AAAAAAAAAAQAgAAAAIgAAAGRycy9k&#10;b3ducmV2LnhtbFBLAQIUABQAAAAIAIdO4kAcQI1PkQEAAP4CAAAOAAAAAAAAAAEAIAAAACYBAABk&#10;cnMvZTJvRG9jLnhtbFBLBQYAAAAABgAGAFkBAAApBQAAAAA=&#10;">
                  <v:fill on="f" focussize="0,0"/>
                  <v:stroke on="f"/>
                  <v:imagedata o:title=""/>
                  <o:lock v:ext="edit" aspectratio="f"/>
                  <v:textbox>
                    <w:txbxContent>
                      <w:p>
                        <w:pPr>
                          <w:pStyle w:val="17"/>
                          <w:bidi w:val="0"/>
                        </w:pPr>
                        <w:r>
                          <w:rPr>
                            <w:rFonts w:hint="eastAsia"/>
                          </w:rPr>
                          <w:t>新鲜水</w:t>
                        </w:r>
                      </w:p>
                    </w:txbxContent>
                  </v:textbox>
                </v:rect>
                <v:shape id="直接箭头连接符 32" o:spid="_x0000_s1026" o:spt="32" type="#_x0000_t32" style="position:absolute;left:649605;top:3092715;height:635;width:695325;" filled="f" stroked="t" coordsize="21600,21600" o:gfxdata="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05Z31wAAAAYBAAAPAAAAAAAAAAEAIAAAACIAAABkcnMvZG93bnJldi54bWxQ&#10;SwECFAAUAAAACACHTuJADenHTPgBAACxAwAADgAAAAAAAAABACAAAAAmAQAAZHJzL2Uyb0RvYy54&#10;bWxQSwUGAAAAAAYABgBZAQAAkAUAAAAA&#10;">
                  <v:fill on="f" focussize="0,0"/>
                  <v:stroke color="#000000" joinstyle="round" endarrow="block"/>
                  <v:imagedata o:title=""/>
                  <o:lock v:ext="edit" aspectratio="f"/>
                </v:shape>
                <v:shape id="直接箭头连接符 33" o:spid="_x0000_s1026" o:spt="32" type="#_x0000_t32" style="position:absolute;left:2164080;top:4216762;height:635;width:1076325;" filled="f" stroked="t" coordsize="21600,21600" o:gfxdata="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wNNWf0wAAAAYBAAAPAAAAAAAAAAEAIAAAACIAAABkcnMvZG93bnJldi54bWxQSwEC&#10;FAAUAAAACACHTuJAS10A2vkBAACyAwAADgAAAAAAAAABACAAAAAiAQAAZHJzL2Uyb0RvYy54bWxQ&#10;SwUGAAAAAAYABgBZAQAAjQUAAAAA&#10;">
                  <v:fill on="f" focussize="0,0"/>
                  <v:stroke color="#000000" joinstyle="round" dashstyle="dash" endarrow="block"/>
                  <v:imagedata o:title=""/>
                  <o:lock v:ext="edit" aspectratio="f"/>
                </v:shape>
                <v:shape id="直接箭头连接符 34" o:spid="_x0000_s1026" o:spt="32" type="#_x0000_t32" style="position:absolute;left:2097405;top:5169343;height:635;width:1143000;" filled="f" stroked="t" coordsize="21600,21600" o:gfxdata="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05Z31wAAAAYBAAAPAAAAAAAAAAEAIAAAACIAAABkcnMvZG93bnJldi54&#10;bWxQSwECFAAUAAAACACHTuJAG2NcJPsBAACzAwAADgAAAAAAAAABACAAAAAmAQAAZHJzL2Uyb0Rv&#10;Yy54bWxQSwUGAAAAAAYABgBZAQAAkwUAAAAA&#10;">
                  <v:fill on="f" focussize="0,0"/>
                  <v:stroke color="#000000" joinstyle="round" endarrow="block"/>
                  <v:imagedata o:title=""/>
                  <o:lock v:ext="edit" aspectratio="f"/>
                </v:shape>
                <v:group id="组合 38" o:spid="_x0000_s1026" o:spt="203" style="position:absolute;left:1711960;top:4631452;height:396909;width:1927860;" coordorigin="4450,-1399" coordsize="4135,625" o:gfxdata="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OOXgtfWAAAABgEAAA8AAAAAAAAAAQAg&#10;AAAAIgAAAGRycy9kb3ducmV2LnhtbFBLAQIUABQAAAAIAIdO4kAwRfGJuwIAAC4JAAAOAAAAAAAA&#10;AAEAIAAAACUBAABkcnMvZTJvRG9jLnhtbFBLBQYAAAAABgAGAFkBAABSBgAAAAA=&#10;">
                  <o:lock v:ext="edit" aspectratio="f"/>
                  <v:shape id="直接箭头连接符 35" o:spid="_x0000_s1026" o:spt="32" type="#_x0000_t32" style="position:absolute;left:8584;top:-1398;flip:y;height:624;width:1;" filled="f" stroked="t" coordsize="21600,21600" o:gfxdata="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VPq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直接箭头连接符 36" o:spid="_x0000_s1026" o:spt="32" type="#_x0000_t32" style="position:absolute;left:4450;top:-1399;flip:y;height:1;width:4133;" filled="f" stroked="t" coordsize="21600,21600" o:gfxdata="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ym0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直接箭头连接符 37" o:spid="_x0000_s1026" o:spt="32" type="#_x0000_t32" style="position:absolute;left:4450;top:-1398;flip:y;height:624;width:1;" filled="f" stroked="t" coordsize="21600,21600" o:gfxdata="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QYZvQAA&#10;ANwAAAAPAAAAAAAAAAEAIAAAACIAAABkcnMvZG93bnJldi54bWxQSwECFAAUAAAACACHTuJAMy8F&#10;njsAAAA5AAAAEAAAAAAAAAABACAAAAAMAQAAZHJzL3NoYXBleG1sLnhtbFBLBQYAAAAABgAGAFsB&#10;AAC2AwAAAAA=&#10;">
                    <v:fill on="f" focussize="0,0"/>
                    <v:stroke color="#000000" joinstyle="round" startarrow="block"/>
                    <v:imagedata o:title=""/>
                    <o:lock v:ext="edit" aspectratio="f"/>
                  </v:shape>
                </v:group>
                <v:rect id="矩形 39" o:spid="_x0000_s1026" o:spt="1" style="position:absolute;left:2819400;top:3540429;height:298476;width:640080;" filled="f" stroked="f" coordsize="21600,21600" o:gfxdata="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QkrnXAAAABgEAAA8AAAAAAAAAAQAgAAAAIgAAAGRy&#10;cy9kb3ducmV2LnhtbFBLAQIUABQAAAAIAIdO4kAFcattlAEAAAEDAAAOAAAAAAAAAAEAIAAAACYB&#10;AABkcnMvZTJvRG9jLnhtbFBLBQYAAAAABgAGAFkBAAAsBQAAAAA=&#10;">
                  <v:fill on="f" focussize="0,0"/>
                  <v:stroke on="f"/>
                  <v:imagedata o:title=""/>
                  <o:lock v:ext="edit" aspectratio="f"/>
                  <v:textbox>
                    <w:txbxContent>
                      <w:p>
                        <w:pPr>
                          <w:pStyle w:val="32"/>
                          <w:bidi w:val="0"/>
                          <w:rPr>
                            <w:rFonts w:hint="eastAsia"/>
                            <w:lang w:eastAsia="zh-CN"/>
                          </w:rPr>
                        </w:pPr>
                        <w:r>
                          <w:rPr>
                            <w:rFonts w:hint="eastAsia"/>
                            <w:lang w:eastAsia="zh-CN"/>
                          </w:rPr>
                          <w:t>循环水</w:t>
                        </w:r>
                      </w:p>
                      <w:p>
                        <w:pPr>
                          <w:pStyle w:val="32"/>
                          <w:bidi w:val="0"/>
                        </w:pPr>
                      </w:p>
                    </w:txbxContent>
                  </v:textbox>
                </v:rect>
                <v:rect id="矩形 40" o:spid="_x0000_s1026" o:spt="1" style="position:absolute;left:2319655;top:4575567;height:298476;width:640080;" filled="f" stroked="f" coordsize="21600,21600" o:gfxdata="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H9CSudcAAAAGAQAADwAAAAAAAAABACAAAAAiAAAA&#10;ZHJzL2Rvd25yZXYueG1sUEsBAhQAFAAAAAgAh07iQGL5m5+WAQAAAQMAAA4AAAAAAAAAAQAgAAAA&#10;JgEAAGRycy9lMm9Eb2MueG1sUEsFBgAAAAAGAAYAWQEAAC4FAAAAAA==&#10;">
                  <v:fill on="f" focussize="0,0"/>
                  <v:stroke on="f"/>
                  <v:imagedata o:title=""/>
                  <o:lock v:ext="edit" aspectratio="f"/>
                  <v:textbox>
                    <w:txbxContent>
                      <w:p>
                        <w:pPr>
                          <w:pStyle w:val="32"/>
                          <w:bidi w:val="0"/>
                          <w:rPr>
                            <w:rFonts w:hint="eastAsia"/>
                            <w:lang w:eastAsia="zh-CN"/>
                          </w:rPr>
                        </w:pPr>
                        <w:r>
                          <w:rPr>
                            <w:rFonts w:hint="eastAsia"/>
                            <w:lang w:eastAsia="zh-CN"/>
                          </w:rPr>
                          <w:t>循环水</w:t>
                        </w:r>
                      </w:p>
                    </w:txbxContent>
                  </v:textbox>
                </v:rect>
                <v:rect id="矩形 41" o:spid="_x0000_s1026" o:spt="1" style="position:absolute;left:3240405;top:1673369;height:298476;width:490220;" fillcolor="#FFFFFF" filled="t" stroked="t" coordsize="21600,21600" o:gfxdata="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EEwB1wAAAAYBAAAPAAAAAAAAAAEAIAAAACIAAABkcnMvZG93bnJldi54bWxQSwEC&#10;FAAUAAAACACHTuJA4K+K3PUBAADoAwAADgAAAAAAAAABACAAAAAmAQAAZHJzL2Uyb0RvYy54bWxQ&#10;SwUGAAAAAAYABgBZAQAAjQUAAAAA&#10;">
                  <v:fill on="t" focussize="0,0"/>
                  <v:stroke color="#000000" joinstyle="miter" dashstyle="dash"/>
                  <v:imagedata o:title=""/>
                  <o:lock v:ext="edit" aspectratio="f"/>
                  <v:textbox>
                    <w:txbxContent>
                      <w:p>
                        <w:pPr>
                          <w:pStyle w:val="32"/>
                          <w:bidi w:val="0"/>
                        </w:pPr>
                        <w:r>
                          <w:rPr>
                            <w:rFonts w:hint="eastAsia"/>
                          </w:rPr>
                          <w:t>废水</w:t>
                        </w:r>
                      </w:p>
                    </w:txbxContent>
                  </v:textbox>
                </v:rect>
                <v:shape id="直接箭头连接符 42" o:spid="_x0000_s1026" o:spt="32" type="#_x0000_t32" style="position:absolute;left:2097405;top:1311387;height:635;width:1143000;" filled="f" stroked="t" coordsize="21600,21600" o:gfxdata="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DTVn9MAAAAGAQAADwAAAAAAAAABACAAAAAiAAAAZHJzL2Rvd25yZXYueG1sUEsB&#10;AhQAFAAAAAgAh07iQMJjLLP6AQAAsgMAAA4AAAAAAAAAAQAgAAAAIgEAAGRycy9lMm9Eb2MueG1s&#10;UEsFBgAAAAAGAAYAWQEAAI4FAAAAAA==&#10;">
                  <v:fill on="f" focussize="0,0"/>
                  <v:stroke color="#000000" joinstyle="round" dashstyle="dash" endarrow="block"/>
                  <v:imagedata o:title=""/>
                  <o:lock v:ext="edit" aspectratio="f"/>
                </v:shape>
                <v:shape id="肘形连接符 43" o:spid="_x0000_s1026" o:spt="34" type="#_x0000_t34" style="position:absolute;left:2097405;top:1311387;height:511219;width:1143000;" filled="f" stroked="t" coordsize="21600,21600" o:gfxdata="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COFprXAAAABgEAAA8AAAAAAAAA&#10;AQAgAAAAIgAAAGRycy9kb3ducmV2LnhtbFBLAQIUABQAAAAIAIdO4kBjYNDhEgIAAOIDAAAOAAAA&#10;AAAAAAEAIAAAACYBAABkcnMvZTJvRG9jLnhtbFBLBQYAAAAABgAGAFkBAACqBQAAAAA=&#10;" adj="10788">
                  <v:fill on="f" focussize="0,0"/>
                  <v:stroke color="#000000" joinstyle="miter" dashstyle="dash" endarrow="block"/>
                  <v:imagedata o:title=""/>
                  <o:lock v:ext="edit" aspectratio="f"/>
                </v:shape>
                <v:shape id="肘形连接符 44" o:spid="_x0000_s1026" o:spt="33" type="#_x0000_t33" style="position:absolute;left:3730625;top:1822606;height:1292336;width:715010;" filled="f" stroked="t" coordsize="21600,21600" o:gfxdata="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ESsNjVAAAABgEAAA8AAAAAAAAAAQAgAAAAIgAAAGRycy9kb3ducmV2Lnht&#10;bFBLAQIUABQAAAAIAIdO4kAk7z8C/AEAALUDAAAOAAAAAAAAAAEAIAAAACQBAABkcnMvZTJvRG9j&#10;LnhtbFBLBQYAAAAABgAGAFkBAACSBQAAAAA=&#10;">
                  <v:fill on="f" focussize="0,0"/>
                  <v:stroke color="#000000" joinstyle="miter" dashstyle="dash" endarrow="block"/>
                  <v:imagedata o:title=""/>
                  <o:lock v:ext="edit" aspectratio="f"/>
                </v:shape>
                <v:rect id="_x0000_s1026" o:spid="_x0000_s1026" o:spt="1" style="position:absolute;left:5297805;top:3106051;height:298476;width:489585;" fillcolor="#FFFFFF" filled="t" stroked="t" coordsize="21600,21600" o:gfxdata="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gQTAHXAAAABgEAAA8AAAAAAAAAAQAgAAAAIgAAAGRycy9kb3ducmV2LnhtbFBLAQIU&#10;ABQAAAAIAIdO4kCGdwnq9AEAAOcDAAAOAAAAAAAAAAEAIAAAACYBAABkcnMvZTJvRG9jLnhtbFBL&#10;BQYAAAAABgAGAFkBAACMBQAAAAA=&#10;">
                  <v:fill on="t" focussize="0,0"/>
                  <v:stroke color="#000000" joinstyle="miter" dashstyle="dash"/>
                  <v:imagedata o:title=""/>
                  <o:lock v:ext="edit" aspectratio="f"/>
                  <v:textbox>
                    <w:txbxContent>
                      <w:p>
                        <w:pPr>
                          <w:pStyle w:val="32"/>
                          <w:bidi w:val="0"/>
                        </w:pPr>
                        <w:r>
                          <w:rPr>
                            <w:rFonts w:hint="eastAsia"/>
                          </w:rPr>
                          <w:t>污泥</w:t>
                        </w:r>
                      </w:p>
                    </w:txbxContent>
                  </v:textbox>
                </v:rect>
                <v:shape id="直接箭头连接符 46" o:spid="_x0000_s1026" o:spt="32" type="#_x0000_t32" style="position:absolute;left:4951095;top:3253384;height:3175;width:335915;" filled="f" stroked="t" coordsize="21600,21600" o:gfxdata="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A01Z/TAAAABgEAAA8AAAAAAAAAAQAgAAAAIgAAAGRycy9kb3ducmV2LnhtbFBL&#10;AQIUABQAAAAIAIdO4kCI58lG+wEAALIDAAAOAAAAAAAAAAEAIAAAACIBAABkcnMvZTJvRG9jLnht&#10;bFBLBQYAAAAABgAGAFkBAACPBQAAAAA=&#10;">
                  <v:fill on="f" focussize="0,0"/>
                  <v:stroke color="#000000" joinstyle="round" dashstyle="dash" endarrow="block"/>
                  <v:imagedata o:title=""/>
                  <o:lock v:ext="edit" aspectratio="f"/>
                </v:shape>
                <v:group id="_x0000_s1026" o:spid="_x0000_s1026" o:spt="203" style="position:absolute;left:1933575;top:1460625;height:1654317;width:2307590;" coordorigin="4088,-5644" coordsize="3634,2605" o:gfxdata="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OX&#10;gtfWAAAABgEAAA8AAAAAAAAAAQAgAAAAIgAAAGRycy9kb3ducmV2LnhtbFBLAQIUABQAAAAIAIdO&#10;4kBZkUxQ0AIAABwJAAAOAAAAAAAAAAEAIAAAACUBAABkcnMvZTJvRG9jLnhtbFBLBQYAAAAABgAG&#10;AFkBAABnBgAAAAA=&#10;">
                  <o:lock v:ext="edit" aspectratio="f"/>
                  <v:shape id="直接箭头连接符 47" o:spid="_x0000_s1026" o:spt="32" type="#_x0000_t32" style="position:absolute;left:7721;top:-4173;height:1134;width:1;" filled="f" stroked="t" coordsize="21600,21600" o:gfxdata="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sWS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直接箭头连接符 48" o:spid="_x0000_s1026" o:spt="32" type="#_x0000_t32" style="position:absolute;left:4088;top:-4173;height:1;width:3628;" filled="f" stroked="t" coordsize="21600,21600" o:gfxdata="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Sjj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4091;top:-5644;flip:y;height:1474;width:1;" filled="f" stroked="t" coordsize="21600,21600" o:gfxdata="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Q61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rect id="矩形 51" o:spid="_x0000_s1026" o:spt="1" style="position:absolute;left:2819400;top:2168711;height:298476;width:640080;" filled="f" stroked="f" coordsize="21600,21600" o:gfxdata="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9CSudcAAAAGAQAADwAAAAAAAAABACAAAAAiAAAAZHJzL2Rv&#10;d25yZXYueG1sUEsBAhQAFAAAAAgAh07iQEn5TvGQAQAAAQMAAA4AAAAAAAAAAQAgAAAAJgEAAGRy&#10;cy9lMm9Eb2MueG1sUEsFBgAAAAAGAAYAWQEAACgFAAAAAA==&#10;">
                  <v:fill on="f" focussize="0,0"/>
                  <v:stroke on="f"/>
                  <v:imagedata o:title=""/>
                  <o:lock v:ext="edit" aspectratio="f"/>
                  <v:textbox>
                    <w:txbxContent>
                      <w:p>
                        <w:pPr>
                          <w:pStyle w:val="32"/>
                          <w:bidi w:val="0"/>
                          <w:rPr>
                            <w:rFonts w:hint="eastAsia"/>
                            <w:lang w:eastAsia="zh-CN"/>
                          </w:rPr>
                        </w:pPr>
                        <w:r>
                          <w:rPr>
                            <w:rFonts w:hint="eastAsia"/>
                            <w:lang w:eastAsia="zh-CN"/>
                          </w:rPr>
                          <w:t>循环水</w:t>
                        </w:r>
                      </w:p>
                    </w:txbxContent>
                  </v:textbox>
                </v:rect>
                <v:shape id="_x0000_s1026" o:spid="_x0000_s1026" o:spt="32" type="#_x0000_t32" style="position:absolute;left:1715135;top:5318581;flip:x;height:458509;width:6350;" filled="f" stroked="t" coordsize="21600,21600" o:gfxdata="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zLMVHWAAAABgEAAA8AAAAAAAAAAQAgAAAAIgAAAGRycy9kb3du&#10;cmV2LnhtbFBLAQIUABQAAAAIAIdO4kAOKj6XAQIAALwDAAAOAAAAAAAAAAEAIAAAACUBAABkcnMv&#10;ZTJvRG9jLnhtbFBLBQYAAAAABgAGAFkBAACYBQAAAAA=&#10;">
                  <v:fill on="f" focussize="0,0"/>
                  <v:stroke color="#000000" joinstyle="round" endarrow="block"/>
                  <v:imagedata o:title=""/>
                  <o:lock v:ext="edit" aspectratio="f"/>
                </v:shape>
                <v:rect id="_x0000_s1026" o:spid="_x0000_s1026" o:spt="1" style="position:absolute;left:3268980;top:5753594;height:298476;width:490220;" fillcolor="#FFFFFF" filled="t" stroked="t" coordsize="21600,21600" o:gfxdata="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EEwB1wAAAAYBAAAPAAAAAAAAAAEAIAAAACIAAABkcnMvZG93bnJldi54bWxQSwEC&#10;FAAUAAAACACHTuJAkBTjgfUBAADnAwAADgAAAAAAAAABACAAAAAmAQAAZHJzL2Uyb0RvYy54bWxQ&#10;SwUGAAAAAAYABgBZAQAAjQUAAAAA&#10;">
                  <v:fill on="t" focussize="0,0"/>
                  <v:stroke color="#000000" joinstyle="miter" dashstyle="dash"/>
                  <v:imagedata o:title=""/>
                  <o:lock v:ext="edit" aspectratio="f"/>
                  <v:textbox>
                    <w:txbxContent>
                      <w:p>
                        <w:pPr>
                          <w:pStyle w:val="32"/>
                          <w:bidi w:val="0"/>
                        </w:pPr>
                        <w:r>
                          <w:rPr>
                            <w:rFonts w:hint="eastAsia"/>
                          </w:rPr>
                          <w:t>噪声</w:t>
                        </w:r>
                      </w:p>
                    </w:txbxContent>
                  </v:textbox>
                </v:rect>
                <v:shape id="_x0000_s1026" o:spid="_x0000_s1026" o:spt="32" type="#_x0000_t32" style="position:absolute;left:2106295;top:5902831;height:635;width:1148080;" filled="f" stroked="t" coordsize="21600,21600" o:gfxdata="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DTVn9MAAAAGAQAADwAAAAAAAAABACAAAAAiAAAAZHJzL2Rvd25yZXYueG1sUEsB&#10;AhQAFAAAAAgAh07iQIxsXJH6AQAAsQMAAA4AAAAAAAAAAQAgAAAAIgEAAGRycy9lMm9Eb2MueG1s&#10;UEsFBgAAAAAGAAYAWQEAAI4FAAAAAA==&#10;">
                  <v:fill on="f" focussize="0,0"/>
                  <v:stroke color="#000000" joinstyle="round" dashstyle="dash" endarrow="block"/>
                  <v:imagedata o:title=""/>
                  <o:lock v:ext="edit" aspectratio="f"/>
                </v:shape>
                <v:rect id="_x0000_s1026" o:spid="_x0000_s1026" o:spt="1" style="position:absolute;left:1075055;top:7097369;height:298476;width:1247775;" filled="f" stroked="f" coordsize="21600,21600" o:gfxdata="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&#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QkrnXAAAABgEAAA8AAAAAAAAAAQAgAAAAIgAAAGRy&#10;cy9kb3ducmV2LnhtbFBLAQIUABQAAAAIAIdO4kBular4lAEAAAEDAAAOAAAAAAAAAAEAIAAAACYB&#10;AABkcnMvZTJvRG9jLnhtbFBLBQYAAAAABgAGAFkBAAAsBQAAAAA=&#10;">
                  <v:fill on="f" focussize="0,0"/>
                  <v:stroke on="f"/>
                  <v:imagedata o:title=""/>
                  <o:lock v:ext="edit" aspectratio="f"/>
                  <v:textbox>
                    <w:txbxContent>
                      <w:p>
                        <w:pPr>
                          <w:pStyle w:val="17"/>
                          <w:bidi w:val="0"/>
                        </w:pPr>
                        <w:r>
                          <w:rPr>
                            <w:rFonts w:hint="eastAsia"/>
                          </w:rPr>
                          <w:t>进入挤塑车间</w:t>
                        </w:r>
                      </w:p>
                    </w:txbxContent>
                  </v:textbox>
                </v:rect>
                <v:shape id="_x0000_s1026" o:spid="_x0000_s1026" o:spt="32" type="#_x0000_t32" style="position:absolute;left:1698625;top:6790637;height:306731;width:635;" filled="f" stroked="t" coordsize="21600,21600" o:gfxdata="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05Z31wAAAAYBAAAPAAAAAAAAAAEAIAAAACIAAABkcnMvZG93bnJldi54bWxQ&#10;SwECFAAUAAAACACHTuJAHS64SPgBAACxAwAADgAAAAAAAAABACAAAAAmAQAAZHJzL2Uyb0RvYy54&#10;bWxQSwUGAAAAAAYABgBZAQAAkAUAAAAA&#10;">
                  <v:fill on="f" focussize="0,0"/>
                  <v:stroke color="#000000" joinstyle="round" endarrow="block"/>
                  <v:imagedata o:title=""/>
                  <o:lock v:ext="edit" aspectratio="f"/>
                </v:shape>
                <v:rect id="_x0000_s1026" o:spid="_x0000_s1026" o:spt="1" style="position:absolute;left:9525;top:4067524;height:298476;width:640080;" filled="f" stroked="f" coordsize="21600,21600" o:gfxdata="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9CSudcAAAAGAQAADwAAAAAAAAABACAAAAAiAAAAZHJz&#10;L2Rvd25yZXYueG1sUEsBAhQAFAAAAAgAh07iQOlsPOyTAQAA/QIAAA4AAAAAAAAAAQAgAAAAJgEA&#10;AGRycy9lMm9Eb2MueG1sUEsFBgAAAAAGAAYAWQEAACsFAAAAAA==&#10;">
                  <v:fill on="f" focussize="0,0"/>
                  <v:stroke on="f"/>
                  <v:imagedata o:title=""/>
                  <o:lock v:ext="edit" aspectratio="f"/>
                  <v:textbox>
                    <w:txbxContent>
                      <w:p>
                        <w:pPr>
                          <w:pStyle w:val="17"/>
                          <w:bidi w:val="0"/>
                        </w:pPr>
                        <w:r>
                          <w:rPr>
                            <w:rFonts w:hint="eastAsia"/>
                          </w:rPr>
                          <w:t>电加热</w:t>
                        </w:r>
                      </w:p>
                    </w:txbxContent>
                  </v:textbox>
                </v:rect>
                <v:shape id="_x0000_s1026" o:spid="_x0000_s1026" o:spt="32" type="#_x0000_t32" style="position:absolute;left:649605;top:4216762;height:635;width:628650;" filled="f" stroked="t" coordsize="21600,21600" o:gfxdata="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zTlnfXAAAABgEAAA8AAAAAAAAAAQAgAAAAIgAAAGRycy9kb3ducmV2LnhtbFBL&#10;AQIUABQAAAAIAIdO4kCf3mWo9wEAALADAAAOAAAAAAAAAAEAIAAAACYBAABkcnMvZTJvRG9jLnht&#10;bFBLBQYAAAAABgAGAFkBAACPBQAAAAA=&#10;">
                  <v:fill on="f" focussize="0,0"/>
                  <v:stroke color="#000000" joinstyle="round" endarrow="block"/>
                  <v:imagedata o:title=""/>
                  <o:lock v:ext="edit" aspectratio="f"/>
                </v:shape>
                <v:rect id="_x0000_s1026" o:spid="_x0000_s1026" o:spt="1" style="position:absolute;left:1340485;top:5777091;height:292125;width:749300;" fillcolor="#FFFFFF" filled="t" stroked="t" coordsize="21600,21600" o:gfxdata="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ElS1QAAAAYBAAAPAAAAAAAAAAEAIAAAACIAAABkcnMvZG93bnJldi54bWxQSwECFAAU&#10;AAAACACHTuJAwOw6O/QBAADoAwAADgAAAAAAAAABACAAAAAkAQAAZHJzL2Uyb0RvYy54bWxQSwUG&#10;AAAAAAYABgBZAQAAigUAAAAA&#10;">
                  <v:fill on="t" focussize="0,0"/>
                  <v:stroke color="#000000" joinstyle="miter"/>
                  <v:imagedata o:title=""/>
                  <o:lock v:ext="edit" aspectratio="f"/>
                  <v:textbox>
                    <w:txbxContent>
                      <w:p>
                        <w:pPr>
                          <w:pStyle w:val="32"/>
                          <w:bidi w:val="0"/>
                        </w:pPr>
                        <w:r>
                          <w:rPr>
                            <w:rFonts w:hint="eastAsia"/>
                          </w:rPr>
                          <w:t>切粒</w:t>
                        </w:r>
                      </w:p>
                    </w:txbxContent>
                  </v:textbox>
                </v:rect>
                <v:shape id="_x0000_s1026" o:spid="_x0000_s1026" o:spt="32" type="#_x0000_t32" style="position:absolute;left:1718945;top:6061595;height:400084;width:6350;" filled="f" stroked="t" coordsize="21600,21600" o:gfxdata="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05Z31wAAAAYBAAAPAAAAAAAAAAEAIAAAACIAAABkcnMvZG93bnJldi54bWxQ&#10;SwECFAAUAAAACACHTuJAjjKTMvgBAACyAwAADgAAAAAAAAABACAAAAAmAQAAZHJzL2Uyb0RvYy54&#10;bWxQSwUGAAAAAAYABgBZAQAAkAUAAAAA&#10;">
                  <v:fill on="f" focussize="0,0"/>
                  <v:stroke color="#000000" joinstyle="round" endarrow="block"/>
                  <v:imagedata o:title=""/>
                  <o:lock v:ext="edit" aspectratio="f"/>
                </v:shape>
                <w10:wrap type="none"/>
                <w10:anchorlock/>
              </v:group>
            </w:pict>
          </mc:Fallback>
        </mc:AlternateContent>
      </w:r>
    </w:p>
    <w:p>
      <w:pPr>
        <w:bidi w:val="0"/>
        <w:ind w:left="0" w:leftChars="0" w:right="0" w:rightChars="0" w:firstLine="0" w:firstLineChars="0"/>
        <w:jc w:val="center"/>
        <w:rPr>
          <w:rFonts w:hint="default" w:eastAsia="宋体"/>
          <w:b/>
          <w:bCs/>
          <w:lang w:val="en-US" w:eastAsia="zh-CN"/>
        </w:rPr>
      </w:pPr>
      <w:r>
        <w:rPr>
          <w:rFonts w:hint="eastAsia"/>
          <w:b/>
          <w:bCs/>
          <w:lang w:val="en-US" w:eastAsia="zh-CN"/>
        </w:rPr>
        <w:t>图3.7-1   造粒工艺流程及产物环节图</w:t>
      </w:r>
    </w:p>
    <w:p>
      <w:pPr>
        <w:bidi w:val="0"/>
        <w:rPr>
          <w:rFonts w:hint="default"/>
        </w:rPr>
      </w:pPr>
    </w:p>
    <w:p>
      <w:pPr>
        <w:bidi w:val="0"/>
        <w:rPr>
          <w:rFonts w:hint="default"/>
        </w:rPr>
      </w:pPr>
    </w:p>
    <w:p>
      <w:pPr>
        <w:pStyle w:val="6"/>
        <w:bidi w:val="0"/>
        <w:rPr>
          <w:rFonts w:hint="default"/>
        </w:rPr>
      </w:pPr>
      <w:r>
        <w:rPr>
          <w:rFonts w:hint="default"/>
        </w:rPr>
        <w:t>3.7.2.2</w:t>
      </w:r>
      <w:r>
        <w:rPr>
          <w:rFonts w:hint="eastAsia"/>
          <w:lang w:eastAsia="zh-CN"/>
        </w:rPr>
        <w:t>、</w:t>
      </w:r>
      <w:r>
        <w:rPr>
          <w:rFonts w:hint="default"/>
        </w:rPr>
        <w:t>滴灌带、</w:t>
      </w:r>
      <w:r>
        <w:rPr>
          <w:rFonts w:hint="default"/>
          <w:lang w:eastAsia="zh-CN"/>
        </w:rPr>
        <w:t>PE管材</w:t>
      </w:r>
      <w:r>
        <w:rPr>
          <w:rFonts w:hint="default"/>
        </w:rPr>
        <w:t>、地膜生产工艺流程及产污环节</w:t>
      </w:r>
    </w:p>
    <w:p>
      <w:pPr>
        <w:bidi w:val="0"/>
        <w:rPr>
          <w:rFonts w:hint="default"/>
        </w:rPr>
      </w:pPr>
      <w:r>
        <w:rPr>
          <w:rFonts w:hint="default"/>
        </w:rPr>
        <w:t>颗粒再生料（聚乙烯颗粒料）进入滴灌带、</w:t>
      </w:r>
      <w:r>
        <w:rPr>
          <w:rFonts w:hint="default"/>
          <w:lang w:eastAsia="zh-CN"/>
        </w:rPr>
        <w:t>PE管材</w:t>
      </w:r>
      <w:r>
        <w:rPr>
          <w:rFonts w:hint="default"/>
        </w:rPr>
        <w:t>、地膜生产线，将聚乙烯颗粒料送入挤出机进行塑化挤出，经高温作业使颗粒再生料由颗粒状固体变为可塑性的粘流体，粘流体在螺杆旋转和压力的作用下，通过模具而成为截面与口模形状相仿的连续体，连续体经过冷却，定型为固态，经切割而得到具有一定几何形状和尺寸的滴灌带成品、</w:t>
      </w:r>
      <w:r>
        <w:rPr>
          <w:rFonts w:hint="default"/>
          <w:lang w:eastAsia="zh-CN"/>
        </w:rPr>
        <w:t>PE管材</w:t>
      </w:r>
      <w:r>
        <w:rPr>
          <w:rFonts w:hint="default"/>
        </w:rPr>
        <w:t>产品和地膜产品，最后进行包装入库待售。具体说明如下：</w:t>
      </w:r>
    </w:p>
    <w:p>
      <w:pPr>
        <w:bidi w:val="0"/>
        <w:rPr>
          <w:rFonts w:hint="default"/>
        </w:rPr>
      </w:pPr>
      <w:r>
        <w:rPr>
          <w:rFonts w:hint="default"/>
        </w:rPr>
        <w:t>（1）预热搅拌：将聚乙烯再生颗粒、聚乙烯（新料）、色母、抗老化剂混合搅拌均匀，同时进行预热以去除物料携带的水分。预热搅拌工序主要产生噪声。</w:t>
      </w:r>
    </w:p>
    <w:p>
      <w:pPr>
        <w:bidi w:val="0"/>
        <w:rPr>
          <w:rFonts w:hint="default"/>
        </w:rPr>
      </w:pPr>
      <w:r>
        <w:rPr>
          <w:rFonts w:hint="default"/>
        </w:rPr>
        <w:t>（2）熔融挤出：利用塑料的热塑性，将塑料加热（140-200℃左右）融化后，加以高的压力使其快速流入模腔，经一段时间的保压和冷却，成为各种形状的材料。地膜工段直接吹膜。熔融挤出工序此过程产生的污染包括非甲烷总烃、噪声。</w:t>
      </w:r>
    </w:p>
    <w:p>
      <w:pPr>
        <w:bidi w:val="0"/>
        <w:rPr>
          <w:rFonts w:hint="default"/>
        </w:rPr>
      </w:pPr>
      <w:r>
        <w:rPr>
          <w:rFonts w:hint="default"/>
        </w:rPr>
        <w:t>（3）冷却定型：地膜工段直接吹膜成型；滴灌带和</w:t>
      </w:r>
      <w:r>
        <w:rPr>
          <w:rFonts w:hint="default"/>
          <w:lang w:eastAsia="zh-CN"/>
        </w:rPr>
        <w:t>PE管材</w:t>
      </w:r>
      <w:r>
        <w:rPr>
          <w:rFonts w:hint="default"/>
        </w:rPr>
        <w:t>工序则冷却定型（用循环冷却水进行冷却，定期对循环冷却水进行补充，无废水外排），将不合格的产品统一收集后送至造粒车间重新造粒。冷却定型工序产生的污染主要为噪声。</w:t>
      </w:r>
    </w:p>
    <w:p>
      <w:pPr>
        <w:bidi w:val="0"/>
        <w:rPr>
          <w:rFonts w:hint="default"/>
        </w:rPr>
      </w:pPr>
      <w:r>
        <w:rPr>
          <w:rFonts w:hint="default"/>
        </w:rPr>
        <w:t>（4）检测：定型完成后，安排技术人员进行检测，合格产品可入库，不合格产品返回造粒车间重新造粒。</w:t>
      </w:r>
    </w:p>
    <w:p>
      <w:pPr>
        <w:bidi w:val="0"/>
        <w:rPr>
          <w:rFonts w:hint="default"/>
        </w:rPr>
      </w:pPr>
      <w:r>
        <w:rPr>
          <w:rFonts w:hint="default"/>
        </w:rPr>
        <w:t>项目生产工艺流程及产污环节见图3.7-</w:t>
      </w:r>
      <w:r>
        <w:rPr>
          <w:rFonts w:hint="eastAsia"/>
          <w:lang w:val="en-US" w:eastAsia="zh-CN"/>
        </w:rPr>
        <w:t>2</w:t>
      </w:r>
      <w:r>
        <w:rPr>
          <w:rFonts w:hint="default"/>
        </w:rPr>
        <w:t>。</w:t>
      </w:r>
    </w:p>
    <w:p>
      <w:pPr>
        <w:bidi w:val="0"/>
        <w:ind w:left="0" w:leftChars="0" w:firstLine="0" w:firstLineChars="0"/>
        <w:rPr>
          <w:rFonts w:hint="default"/>
        </w:rPr>
      </w:pPr>
      <w:r>
        <w:rPr>
          <w:rFonts w:hint="default" w:ascii="Times New Roman" w:hAnsi="Times New Roman" w:cs="Times New Roman"/>
          <w:color w:val="auto"/>
          <w:sz w:val="24"/>
        </w:rPr>
        <mc:AlternateContent>
          <mc:Choice Requires="wpc">
            <w:drawing>
              <wp:inline distT="0" distB="0" distL="114300" distR="114300">
                <wp:extent cx="5812790" cy="4964430"/>
                <wp:effectExtent l="0" t="0" r="16510" b="0"/>
                <wp:docPr id="192" name="画布 1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 name="矩形 146"/>
                        <wps:cNvSpPr/>
                        <wps:spPr>
                          <a:xfrm>
                            <a:off x="11430" y="0"/>
                            <a:ext cx="1181100" cy="298450"/>
                          </a:xfrm>
                          <a:prstGeom prst="rect">
                            <a:avLst/>
                          </a:prstGeom>
                          <a:noFill/>
                          <a:ln>
                            <a:noFill/>
                          </a:ln>
                        </wps:spPr>
                        <wps:txbx>
                          <w:txbxContent>
                            <w:p>
                              <w:pPr>
                                <w:pStyle w:val="32"/>
                                <w:bidi w:val="0"/>
                              </w:pPr>
                              <w:r>
                                <w:rPr>
                                  <w:rFonts w:hint="eastAsia"/>
                                </w:rPr>
                                <w:t>聚乙烯再生颗粒</w:t>
                              </w:r>
                            </w:p>
                          </w:txbxContent>
                        </wps:txbx>
                        <wps:bodyPr upright="1"/>
                      </wps:wsp>
                      <wps:wsp>
                        <wps:cNvPr id="147" name="矩形 147"/>
                        <wps:cNvSpPr/>
                        <wps:spPr>
                          <a:xfrm>
                            <a:off x="2030730" y="666750"/>
                            <a:ext cx="895350"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2"/>
                                <w:bidi w:val="0"/>
                              </w:pPr>
                              <w:r>
                                <w:rPr>
                                  <w:rFonts w:hint="eastAsia"/>
                                </w:rPr>
                                <w:t>预热搅拌</w:t>
                              </w:r>
                            </w:p>
                          </w:txbxContent>
                        </wps:txbx>
                        <wps:bodyPr upright="1"/>
                      </wps:wsp>
                      <wps:wsp>
                        <wps:cNvPr id="148" name="矩形 148"/>
                        <wps:cNvSpPr/>
                        <wps:spPr>
                          <a:xfrm>
                            <a:off x="1354455" y="0"/>
                            <a:ext cx="1162050" cy="298450"/>
                          </a:xfrm>
                          <a:prstGeom prst="rect">
                            <a:avLst/>
                          </a:prstGeom>
                          <a:noFill/>
                          <a:ln>
                            <a:noFill/>
                          </a:ln>
                        </wps:spPr>
                        <wps:txbx>
                          <w:txbxContent>
                            <w:p>
                              <w:pPr>
                                <w:pStyle w:val="32"/>
                                <w:bidi w:val="0"/>
                              </w:pPr>
                              <w:r>
                                <w:rPr>
                                  <w:rFonts w:hint="eastAsia"/>
                                  <w:lang w:val="en-US" w:eastAsia="zh-CN"/>
                                </w:rPr>
                                <w:t>聚乙烯</w:t>
                              </w:r>
                              <w:r>
                                <w:rPr>
                                  <w:rFonts w:hint="eastAsia"/>
                                </w:rPr>
                                <w:t>（新料）</w:t>
                              </w:r>
                            </w:p>
                          </w:txbxContent>
                        </wps:txbx>
                        <wps:bodyPr upright="1"/>
                      </wps:wsp>
                      <wps:wsp>
                        <wps:cNvPr id="149" name="矩形 149"/>
                        <wps:cNvSpPr/>
                        <wps:spPr>
                          <a:xfrm>
                            <a:off x="2764155" y="0"/>
                            <a:ext cx="581025" cy="298450"/>
                          </a:xfrm>
                          <a:prstGeom prst="rect">
                            <a:avLst/>
                          </a:prstGeom>
                          <a:noFill/>
                          <a:ln>
                            <a:noFill/>
                          </a:ln>
                        </wps:spPr>
                        <wps:txbx>
                          <w:txbxContent>
                            <w:p>
                              <w:pPr>
                                <w:pStyle w:val="32"/>
                                <w:bidi w:val="0"/>
                              </w:pPr>
                              <w:r>
                                <w:rPr>
                                  <w:rFonts w:hint="eastAsia"/>
                                </w:rPr>
                                <w:t>色母</w:t>
                              </w:r>
                            </w:p>
                          </w:txbxContent>
                        </wps:txbx>
                        <wps:bodyPr upright="1"/>
                      </wps:wsp>
                      <wps:wsp>
                        <wps:cNvPr id="150" name="矩形 150"/>
                        <wps:cNvSpPr/>
                        <wps:spPr>
                          <a:xfrm>
                            <a:off x="3659505" y="0"/>
                            <a:ext cx="1047750" cy="298450"/>
                          </a:xfrm>
                          <a:prstGeom prst="rect">
                            <a:avLst/>
                          </a:prstGeom>
                          <a:noFill/>
                          <a:ln>
                            <a:noFill/>
                          </a:ln>
                        </wps:spPr>
                        <wps:txbx>
                          <w:txbxContent>
                            <w:p>
                              <w:pPr>
                                <w:pStyle w:val="32"/>
                                <w:bidi w:val="0"/>
                              </w:pPr>
                              <w:r>
                                <w:rPr>
                                  <w:rFonts w:hint="eastAsia"/>
                                </w:rPr>
                                <w:t>塑料抗老化剂</w:t>
                              </w:r>
                            </w:p>
                          </w:txbxContent>
                        </wps:txbx>
                        <wps:bodyPr upright="1"/>
                      </wps:wsp>
                      <wps:wsp>
                        <wps:cNvPr id="151" name="肘形连接符 151"/>
                        <wps:cNvCnPr/>
                        <wps:spPr>
                          <a:xfrm rot="-5400000" flipH="1">
                            <a:off x="1343025" y="-455295"/>
                            <a:ext cx="368300" cy="1876425"/>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52" name="肘形连接符 152"/>
                        <wps:cNvCnPr/>
                        <wps:spPr>
                          <a:xfrm rot="-5400000" flipH="1">
                            <a:off x="2009775" y="211455"/>
                            <a:ext cx="368300" cy="542925"/>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53" name="肘形连接符 153"/>
                        <wps:cNvCnPr/>
                        <wps:spPr>
                          <a:xfrm rot="5400000">
                            <a:off x="2582545" y="194310"/>
                            <a:ext cx="368300" cy="57658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54" name="肘形连接符 154"/>
                        <wps:cNvCnPr/>
                        <wps:spPr>
                          <a:xfrm rot="5400000">
                            <a:off x="3133725" y="-369570"/>
                            <a:ext cx="368300" cy="1704975"/>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55" name="矩形 155"/>
                        <wps:cNvSpPr/>
                        <wps:spPr>
                          <a:xfrm>
                            <a:off x="649605" y="666750"/>
                            <a:ext cx="640080" cy="575945"/>
                          </a:xfrm>
                          <a:prstGeom prst="rect">
                            <a:avLst/>
                          </a:prstGeom>
                          <a:noFill/>
                          <a:ln>
                            <a:noFill/>
                          </a:ln>
                        </wps:spPr>
                        <wps:txbx>
                          <w:txbxContent>
                            <w:p>
                              <w:pPr>
                                <w:pStyle w:val="32"/>
                                <w:bidi w:val="0"/>
                              </w:pPr>
                              <w:r>
                                <w:rPr>
                                  <w:rFonts w:hint="eastAsia"/>
                                </w:rPr>
                                <w:t>电加热</w:t>
                              </w:r>
                            </w:p>
                            <w:p>
                              <w:pPr>
                                <w:pStyle w:val="32"/>
                                <w:bidi w:val="0"/>
                              </w:pPr>
                              <w:r>
                                <w:t>噪声</w:t>
                              </w:r>
                            </w:p>
                            <w:p>
                              <w:pPr>
                                <w:pStyle w:val="32"/>
                                <w:bidi w:val="0"/>
                              </w:pPr>
                              <w:r>
                                <w:t>定型</w:t>
                              </w:r>
                            </w:p>
                          </w:txbxContent>
                        </wps:txbx>
                        <wps:bodyPr upright="1"/>
                      </wps:wsp>
                      <wps:wsp>
                        <wps:cNvPr id="156" name="直接箭头连接符 156"/>
                        <wps:cNvCnPr/>
                        <wps:spPr>
                          <a:xfrm>
                            <a:off x="1289685" y="815975"/>
                            <a:ext cx="741045" cy="635"/>
                          </a:xfrm>
                          <a:prstGeom prst="straightConnector1">
                            <a:avLst/>
                          </a:prstGeom>
                          <a:ln w="9525" cap="flat" cmpd="sng">
                            <a:solidFill>
                              <a:srgbClr val="000000"/>
                            </a:solidFill>
                            <a:prstDash val="solid"/>
                            <a:headEnd type="none" w="med" len="med"/>
                            <a:tailEnd type="triangle" w="med" len="med"/>
                          </a:ln>
                        </wps:spPr>
                        <wps:bodyPr/>
                      </wps:wsp>
                      <wps:wsp>
                        <wps:cNvPr id="157" name="矩形 157"/>
                        <wps:cNvSpPr/>
                        <wps:spPr>
                          <a:xfrm>
                            <a:off x="3674110" y="666750"/>
                            <a:ext cx="577215" cy="298450"/>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2"/>
                                <w:bidi w:val="0"/>
                              </w:pPr>
                              <w:r>
                                <w:rPr>
                                  <w:rFonts w:hint="eastAsia"/>
                                </w:rPr>
                                <w:t>噪声</w:t>
                              </w:r>
                            </w:p>
                          </w:txbxContent>
                        </wps:txbx>
                        <wps:bodyPr upright="1"/>
                      </wps:wsp>
                      <wps:wsp>
                        <wps:cNvPr id="158" name="直接箭头连接符 158"/>
                        <wps:cNvCnPr/>
                        <wps:spPr>
                          <a:xfrm>
                            <a:off x="2926080" y="815975"/>
                            <a:ext cx="748030" cy="635"/>
                          </a:xfrm>
                          <a:prstGeom prst="straightConnector1">
                            <a:avLst/>
                          </a:prstGeom>
                          <a:ln w="9525" cap="flat" cmpd="sng">
                            <a:solidFill>
                              <a:srgbClr val="000000"/>
                            </a:solidFill>
                            <a:prstDash val="dash"/>
                            <a:headEnd type="none" w="med" len="med"/>
                            <a:tailEnd type="triangle" w="med" len="med"/>
                          </a:ln>
                        </wps:spPr>
                        <wps:bodyPr/>
                      </wps:wsp>
                      <wps:wsp>
                        <wps:cNvPr id="159" name="矩形 159"/>
                        <wps:cNvSpPr/>
                        <wps:spPr>
                          <a:xfrm>
                            <a:off x="2030730" y="1514475"/>
                            <a:ext cx="895350"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2"/>
                                <w:bidi w:val="0"/>
                              </w:pPr>
                              <w:r>
                                <w:rPr>
                                  <w:rFonts w:hint="eastAsia"/>
                                </w:rPr>
                                <w:t>熔融、挤出</w:t>
                              </w:r>
                            </w:p>
                          </w:txbxContent>
                        </wps:txbx>
                        <wps:bodyPr upright="1"/>
                      </wps:wsp>
                      <wps:wsp>
                        <wps:cNvPr id="160" name="直接箭头连接符 160"/>
                        <wps:cNvCnPr/>
                        <wps:spPr>
                          <a:xfrm>
                            <a:off x="2478405" y="965200"/>
                            <a:ext cx="635" cy="549275"/>
                          </a:xfrm>
                          <a:prstGeom prst="straightConnector1">
                            <a:avLst/>
                          </a:prstGeom>
                          <a:ln w="9525" cap="flat" cmpd="sng">
                            <a:solidFill>
                              <a:srgbClr val="000000"/>
                            </a:solidFill>
                            <a:prstDash val="solid"/>
                            <a:headEnd type="none" w="med" len="med"/>
                            <a:tailEnd type="triangle" w="med" len="med"/>
                          </a:ln>
                        </wps:spPr>
                        <wps:bodyPr/>
                      </wps:wsp>
                      <wps:wsp>
                        <wps:cNvPr id="161" name="矩形 161"/>
                        <wps:cNvSpPr/>
                        <wps:spPr>
                          <a:xfrm>
                            <a:off x="1868805" y="965200"/>
                            <a:ext cx="773430" cy="474980"/>
                          </a:xfrm>
                          <a:prstGeom prst="rect">
                            <a:avLst/>
                          </a:prstGeom>
                          <a:noFill/>
                          <a:ln>
                            <a:noFill/>
                          </a:ln>
                        </wps:spPr>
                        <wps:txbx>
                          <w:txbxContent>
                            <w:p>
                              <w:pPr>
                                <w:pStyle w:val="17"/>
                                <w:bidi w:val="0"/>
                                <w:rPr>
                                  <w:rFonts w:hint="eastAsia"/>
                                </w:rPr>
                              </w:pPr>
                              <w:r>
                                <w:rPr>
                                  <w:rFonts w:hint="eastAsia"/>
                                </w:rPr>
                                <w:t>全自动</w:t>
                              </w:r>
                            </w:p>
                            <w:p>
                              <w:pPr>
                                <w:pStyle w:val="17"/>
                                <w:bidi w:val="0"/>
                              </w:pPr>
                              <w:r>
                                <w:rPr>
                                  <w:rFonts w:hint="eastAsia"/>
                                </w:rPr>
                                <w:t>吸料</w:t>
                              </w:r>
                            </w:p>
                          </w:txbxContent>
                        </wps:txbx>
                        <wps:bodyPr upright="1"/>
                      </wps:wsp>
                      <wps:wsp>
                        <wps:cNvPr id="162" name="矩形 162"/>
                        <wps:cNvSpPr/>
                        <wps:spPr>
                          <a:xfrm>
                            <a:off x="2030730" y="2495550"/>
                            <a:ext cx="895350"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2"/>
                                <w:bidi w:val="0"/>
                              </w:pPr>
                              <w:r>
                                <w:rPr>
                                  <w:rFonts w:hint="eastAsia"/>
                                </w:rPr>
                                <w:t>冷却</w:t>
                              </w:r>
                            </w:p>
                          </w:txbxContent>
                        </wps:txbx>
                        <wps:bodyPr upright="1"/>
                      </wps:wsp>
                      <wps:wsp>
                        <wps:cNvPr id="163" name="直接箭头连接符 163"/>
                        <wps:cNvCnPr/>
                        <wps:spPr>
                          <a:xfrm>
                            <a:off x="2478405" y="1812925"/>
                            <a:ext cx="635" cy="682625"/>
                          </a:xfrm>
                          <a:prstGeom prst="straightConnector1">
                            <a:avLst/>
                          </a:prstGeom>
                          <a:ln w="9525" cap="flat" cmpd="sng">
                            <a:solidFill>
                              <a:srgbClr val="000000"/>
                            </a:solidFill>
                            <a:prstDash val="solid"/>
                            <a:headEnd type="none" w="med" len="med"/>
                            <a:tailEnd type="triangle" w="med" len="med"/>
                          </a:ln>
                        </wps:spPr>
                        <wps:bodyPr/>
                      </wps:wsp>
                      <wps:wsp>
                        <wps:cNvPr id="164" name="矩形 164"/>
                        <wps:cNvSpPr/>
                        <wps:spPr>
                          <a:xfrm>
                            <a:off x="3650615" y="2495550"/>
                            <a:ext cx="600075" cy="408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2"/>
                                <w:bidi w:val="0"/>
                              </w:pPr>
                              <w:r>
                                <w:rPr>
                                  <w:rFonts w:hint="eastAsia"/>
                                </w:rPr>
                                <w:t>冷却塔</w:t>
                              </w:r>
                            </w:p>
                            <w:p>
                              <w:pPr>
                                <w:pStyle w:val="32"/>
                                <w:bidi w:val="0"/>
                              </w:pPr>
                              <w:r>
                                <w:t>不合格产品</w:t>
                              </w:r>
                            </w:p>
                            <w:p>
                              <w:pPr>
                                <w:pStyle w:val="32"/>
                                <w:bidi w:val="0"/>
                              </w:pPr>
                              <w:r>
                                <w:t>合格产品</w:t>
                              </w:r>
                            </w:p>
                            <w:p>
                              <w:pPr>
                                <w:pStyle w:val="32"/>
                                <w:bidi w:val="0"/>
                              </w:pPr>
                              <w:r>
                                <w:t>入库</w:t>
                              </w:r>
                            </w:p>
                          </w:txbxContent>
                        </wps:txbx>
                        <wps:bodyPr upright="1"/>
                      </wps:wsp>
                      <wps:wsp>
                        <wps:cNvPr id="165" name="矩形 165"/>
                        <wps:cNvSpPr/>
                        <wps:spPr>
                          <a:xfrm>
                            <a:off x="4898390" y="2495550"/>
                            <a:ext cx="828675" cy="385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2"/>
                                <w:bidi w:val="0"/>
                              </w:pPr>
                              <w:r>
                                <w:rPr>
                                  <w:rFonts w:hint="eastAsia"/>
                                </w:rPr>
                                <w:t>冷却水池</w:t>
                              </w:r>
                            </w:p>
                            <w:p>
                              <w:pPr>
                                <w:pStyle w:val="32"/>
                                <w:bidi w:val="0"/>
                              </w:pPr>
                              <w:r>
                                <w:t>不合格产品</w:t>
                              </w:r>
                            </w:p>
                            <w:p>
                              <w:pPr>
                                <w:pStyle w:val="32"/>
                                <w:bidi w:val="0"/>
                              </w:pPr>
                              <w:r>
                                <w:t>合格产品</w:t>
                              </w:r>
                            </w:p>
                            <w:p>
                              <w:pPr>
                                <w:pStyle w:val="32"/>
                                <w:bidi w:val="0"/>
                              </w:pPr>
                              <w:r>
                                <w:t>入库</w:t>
                              </w:r>
                            </w:p>
                            <w:p>
                              <w:pPr>
                                <w:pStyle w:val="32"/>
                                <w:bidi w:val="0"/>
                              </w:pPr>
                              <w:r>
                                <w:t>不合格产品</w:t>
                              </w:r>
                            </w:p>
                          </w:txbxContent>
                        </wps:txbx>
                        <wps:bodyPr upright="1"/>
                      </wps:wsp>
                      <wpg:wgp>
                        <wpg:cNvPr id="169" name="组合 169"/>
                        <wpg:cNvGrpSpPr/>
                        <wpg:grpSpPr>
                          <a:xfrm>
                            <a:off x="2678430" y="2098675"/>
                            <a:ext cx="2625725" cy="396875"/>
                            <a:chOff x="4450" y="-1399"/>
                            <a:chExt cx="4135" cy="625"/>
                          </a:xfrm>
                        </wpg:grpSpPr>
                        <wps:wsp>
                          <wps:cNvPr id="166" name="直接箭头连接符 166"/>
                          <wps:cNvCnPr/>
                          <wps:spPr>
                            <a:xfrm flipV="1">
                              <a:off x="8584" y="-1398"/>
                              <a:ext cx="1" cy="624"/>
                            </a:xfrm>
                            <a:prstGeom prst="straightConnector1">
                              <a:avLst/>
                            </a:prstGeom>
                            <a:ln w="9525" cap="flat" cmpd="sng">
                              <a:solidFill>
                                <a:srgbClr val="000000"/>
                              </a:solidFill>
                              <a:prstDash val="solid"/>
                              <a:headEnd type="none" w="med" len="med"/>
                              <a:tailEnd type="none" w="med" len="med"/>
                            </a:ln>
                          </wps:spPr>
                          <wps:bodyPr/>
                        </wps:wsp>
                        <wps:wsp>
                          <wps:cNvPr id="167" name="直接箭头连接符 167"/>
                          <wps:cNvCnPr/>
                          <wps:spPr>
                            <a:xfrm flipV="1">
                              <a:off x="4450" y="-1399"/>
                              <a:ext cx="4133" cy="1"/>
                            </a:xfrm>
                            <a:prstGeom prst="straightConnector1">
                              <a:avLst/>
                            </a:prstGeom>
                            <a:ln w="9525" cap="flat" cmpd="sng">
                              <a:solidFill>
                                <a:srgbClr val="000000"/>
                              </a:solidFill>
                              <a:prstDash val="solid"/>
                              <a:headEnd type="none" w="med" len="med"/>
                              <a:tailEnd type="none" w="med" len="med"/>
                            </a:ln>
                          </wps:spPr>
                          <wps:bodyPr/>
                        </wps:wsp>
                        <wps:wsp>
                          <wps:cNvPr id="168" name="直接箭头连接符 168"/>
                          <wps:cNvCnPr/>
                          <wps:spPr>
                            <a:xfrm flipV="1">
                              <a:off x="4450" y="-1398"/>
                              <a:ext cx="1" cy="624"/>
                            </a:xfrm>
                            <a:prstGeom prst="straightConnector1">
                              <a:avLst/>
                            </a:prstGeom>
                            <a:ln w="9525" cap="flat" cmpd="sng">
                              <a:solidFill>
                                <a:srgbClr val="000000"/>
                              </a:solidFill>
                              <a:prstDash val="solid"/>
                              <a:headEnd type="triangle" w="med" len="med"/>
                              <a:tailEnd type="none" w="med" len="med"/>
                            </a:ln>
                          </wps:spPr>
                          <wps:bodyPr/>
                        </wps:wsp>
                      </wpg:wgp>
                      <wps:wsp>
                        <wps:cNvPr id="170" name="矩形 170"/>
                        <wps:cNvSpPr/>
                        <wps:spPr>
                          <a:xfrm>
                            <a:off x="3562985" y="2035175"/>
                            <a:ext cx="640080" cy="298450"/>
                          </a:xfrm>
                          <a:prstGeom prst="rect">
                            <a:avLst/>
                          </a:prstGeom>
                          <a:noFill/>
                          <a:ln>
                            <a:noFill/>
                          </a:ln>
                        </wps:spPr>
                        <wps:txbx>
                          <w:txbxContent>
                            <w:p>
                              <w:pPr>
                                <w:pStyle w:val="32"/>
                                <w:bidi w:val="0"/>
                              </w:pPr>
                              <w:r>
                                <w:rPr>
                                  <w:rFonts w:hint="eastAsia"/>
                                </w:rPr>
                                <w:t>循环水</w:t>
                              </w:r>
                            </w:p>
                            <w:p>
                              <w:pPr>
                                <w:pStyle w:val="32"/>
                                <w:bidi w:val="0"/>
                              </w:pPr>
                              <w:r>
                                <w:t>噪声</w:t>
                              </w:r>
                            </w:p>
                            <w:p>
                              <w:pPr>
                                <w:pStyle w:val="32"/>
                                <w:bidi w:val="0"/>
                              </w:pPr>
                              <w:r>
                                <w:t>定型</w:t>
                              </w:r>
                            </w:p>
                          </w:txbxContent>
                        </wps:txbx>
                        <wps:bodyPr upright="1"/>
                      </wps:wsp>
                      <wps:wsp>
                        <wps:cNvPr id="171" name="直接箭头连接符 171"/>
                        <wps:cNvCnPr/>
                        <wps:spPr>
                          <a:xfrm>
                            <a:off x="2926080" y="2644775"/>
                            <a:ext cx="724535" cy="635"/>
                          </a:xfrm>
                          <a:prstGeom prst="straightConnector1">
                            <a:avLst/>
                          </a:prstGeom>
                          <a:ln w="9525" cap="flat" cmpd="sng">
                            <a:solidFill>
                              <a:srgbClr val="000000"/>
                            </a:solidFill>
                            <a:prstDash val="solid"/>
                            <a:headEnd type="none" w="med" len="med"/>
                            <a:tailEnd type="triangle" w="med" len="med"/>
                          </a:ln>
                        </wps:spPr>
                        <wps:bodyPr/>
                      </wps:wsp>
                      <wps:wsp>
                        <wps:cNvPr id="172" name="直接箭头连接符 172"/>
                        <wps:cNvCnPr/>
                        <wps:spPr>
                          <a:xfrm>
                            <a:off x="4250690" y="2644775"/>
                            <a:ext cx="647700" cy="635"/>
                          </a:xfrm>
                          <a:prstGeom prst="straightConnector1">
                            <a:avLst/>
                          </a:prstGeom>
                          <a:ln w="9525" cap="flat" cmpd="sng">
                            <a:solidFill>
                              <a:srgbClr val="000000"/>
                            </a:solidFill>
                            <a:prstDash val="solid"/>
                            <a:headEnd type="none" w="med" len="med"/>
                            <a:tailEnd type="triangle" w="med" len="med"/>
                          </a:ln>
                        </wps:spPr>
                        <wps:bodyPr/>
                      </wps:wsp>
                      <wps:wsp>
                        <wps:cNvPr id="173" name="矩形 173"/>
                        <wps:cNvSpPr/>
                        <wps:spPr>
                          <a:xfrm>
                            <a:off x="3649980" y="3170555"/>
                            <a:ext cx="624840" cy="298450"/>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2"/>
                                <w:bidi w:val="0"/>
                              </w:pPr>
                              <w:r>
                                <w:rPr>
                                  <w:rFonts w:hint="eastAsia"/>
                                </w:rPr>
                                <w:t>噪声</w:t>
                              </w:r>
                            </w:p>
                          </w:txbxContent>
                        </wps:txbx>
                        <wps:bodyPr upright="1"/>
                      </wps:wsp>
                      <wps:wsp>
                        <wps:cNvPr id="174" name="直接箭头连接符 174"/>
                        <wps:cNvCnPr/>
                        <wps:spPr>
                          <a:xfrm flipH="1">
                            <a:off x="3871595" y="2794000"/>
                            <a:ext cx="635" cy="367030"/>
                          </a:xfrm>
                          <a:prstGeom prst="straightConnector1">
                            <a:avLst/>
                          </a:prstGeom>
                          <a:ln w="9525" cap="flat" cmpd="sng">
                            <a:solidFill>
                              <a:srgbClr val="000000"/>
                            </a:solidFill>
                            <a:prstDash val="dash"/>
                            <a:headEnd type="none" w="med" len="med"/>
                            <a:tailEnd type="triangle" w="med" len="med"/>
                          </a:ln>
                        </wps:spPr>
                        <wps:bodyPr/>
                      </wps:wsp>
                      <wps:wsp>
                        <wps:cNvPr id="175" name="矩形 175"/>
                        <wps:cNvSpPr/>
                        <wps:spPr>
                          <a:xfrm>
                            <a:off x="2030730" y="3171825"/>
                            <a:ext cx="895350"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2"/>
                                <w:bidi w:val="0"/>
                              </w:pPr>
                              <w:r>
                                <w:rPr>
                                  <w:rFonts w:hint="eastAsia"/>
                                </w:rPr>
                                <w:t>定型</w:t>
                              </w:r>
                            </w:p>
                          </w:txbxContent>
                        </wps:txbx>
                        <wps:bodyPr upright="1"/>
                      </wps:wsp>
                      <wps:wsp>
                        <wps:cNvPr id="176" name="矩形 176"/>
                        <wps:cNvSpPr/>
                        <wps:spPr>
                          <a:xfrm>
                            <a:off x="2030730" y="3810000"/>
                            <a:ext cx="895350"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2"/>
                                <w:bidi w:val="0"/>
                              </w:pPr>
                              <w:r>
                                <w:rPr>
                                  <w:rFonts w:hint="eastAsia"/>
                                </w:rPr>
                                <w:t>检测</w:t>
                              </w:r>
                            </w:p>
                          </w:txbxContent>
                        </wps:txbx>
                        <wps:bodyPr upright="1"/>
                      </wps:wsp>
                      <wps:wsp>
                        <wps:cNvPr id="177" name="矩形 177"/>
                        <wps:cNvSpPr/>
                        <wps:spPr>
                          <a:xfrm>
                            <a:off x="2030730" y="4543425"/>
                            <a:ext cx="895350"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2"/>
                                <w:bidi w:val="0"/>
                              </w:pPr>
                              <w:r>
                                <w:rPr>
                                  <w:rFonts w:hint="eastAsia"/>
                                </w:rPr>
                                <w:t>入库</w:t>
                              </w:r>
                            </w:p>
                          </w:txbxContent>
                        </wps:txbx>
                        <wps:bodyPr upright="1"/>
                      </wps:wsp>
                      <wps:wsp>
                        <wps:cNvPr id="178" name="矩形 178"/>
                        <wps:cNvSpPr/>
                        <wps:spPr>
                          <a:xfrm>
                            <a:off x="3345180" y="1433195"/>
                            <a:ext cx="1845945" cy="504190"/>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2"/>
                                <w:bidi w:val="0"/>
                                <w:rPr>
                                  <w:rFonts w:hint="eastAsia"/>
                                  <w:lang w:val="en-US" w:eastAsia="zh-CN"/>
                                </w:rPr>
                              </w:pPr>
                              <w:r>
                                <w:rPr>
                                  <w:rFonts w:hint="eastAsia"/>
                                </w:rPr>
                                <w:t>非甲烷总烃、异味、噪声</w:t>
                              </w:r>
                            </w:p>
                            <w:p>
                              <w:pPr>
                                <w:pStyle w:val="32"/>
                                <w:bidi w:val="0"/>
                              </w:pPr>
                              <w:r>
                                <w:t>合格产品</w:t>
                              </w:r>
                            </w:p>
                          </w:txbxContent>
                        </wps:txbx>
                        <wps:bodyPr upright="1"/>
                      </wps:wsp>
                      <wps:wsp>
                        <wps:cNvPr id="179" name="直接箭头连接符 179"/>
                        <wps:cNvCnPr/>
                        <wps:spPr>
                          <a:xfrm flipV="1">
                            <a:off x="2926080" y="1661160"/>
                            <a:ext cx="419100" cy="2540"/>
                          </a:xfrm>
                          <a:prstGeom prst="straightConnector1">
                            <a:avLst/>
                          </a:prstGeom>
                          <a:ln w="9525" cap="flat" cmpd="sng">
                            <a:solidFill>
                              <a:srgbClr val="000000"/>
                            </a:solidFill>
                            <a:prstDash val="dash"/>
                            <a:headEnd type="none" w="med" len="med"/>
                            <a:tailEnd type="triangle" w="med" len="med"/>
                          </a:ln>
                        </wps:spPr>
                        <wps:bodyPr/>
                      </wps:wsp>
                      <wps:wsp>
                        <wps:cNvPr id="180" name="直接箭头连接符 180"/>
                        <wps:cNvCnPr/>
                        <wps:spPr>
                          <a:xfrm>
                            <a:off x="2478405" y="2794000"/>
                            <a:ext cx="635" cy="377825"/>
                          </a:xfrm>
                          <a:prstGeom prst="straightConnector1">
                            <a:avLst/>
                          </a:prstGeom>
                          <a:ln w="9525" cap="flat" cmpd="sng">
                            <a:solidFill>
                              <a:srgbClr val="000000"/>
                            </a:solidFill>
                            <a:prstDash val="solid"/>
                            <a:headEnd type="none" w="med" len="med"/>
                            <a:tailEnd type="triangle" w="med" len="med"/>
                          </a:ln>
                        </wps:spPr>
                        <wps:bodyPr/>
                      </wps:wsp>
                      <wps:wsp>
                        <wps:cNvPr id="181" name="直接箭头连接符 181"/>
                        <wps:cNvCnPr/>
                        <wps:spPr>
                          <a:xfrm>
                            <a:off x="2478405" y="3470275"/>
                            <a:ext cx="635" cy="339725"/>
                          </a:xfrm>
                          <a:prstGeom prst="straightConnector1">
                            <a:avLst/>
                          </a:prstGeom>
                          <a:ln w="9525" cap="flat" cmpd="sng">
                            <a:solidFill>
                              <a:srgbClr val="000000"/>
                            </a:solidFill>
                            <a:prstDash val="solid"/>
                            <a:headEnd type="none" w="med" len="med"/>
                            <a:tailEnd type="triangle" w="med" len="med"/>
                          </a:ln>
                        </wps:spPr>
                        <wps:bodyPr/>
                      </wps:wsp>
                      <wps:wsp>
                        <wps:cNvPr id="182" name="直接箭头连接符 182"/>
                        <wps:cNvCnPr/>
                        <wps:spPr>
                          <a:xfrm>
                            <a:off x="2478405" y="4108450"/>
                            <a:ext cx="635" cy="434975"/>
                          </a:xfrm>
                          <a:prstGeom prst="straightConnector1">
                            <a:avLst/>
                          </a:prstGeom>
                          <a:ln w="9525" cap="flat" cmpd="sng">
                            <a:solidFill>
                              <a:srgbClr val="000000"/>
                            </a:solidFill>
                            <a:prstDash val="solid"/>
                            <a:headEnd type="none" w="med" len="med"/>
                            <a:tailEnd type="triangle" w="med" len="med"/>
                          </a:ln>
                        </wps:spPr>
                        <wps:bodyPr/>
                      </wps:wsp>
                      <wps:wsp>
                        <wps:cNvPr id="183" name="直接箭头连接符 183"/>
                        <wps:cNvCnPr/>
                        <wps:spPr>
                          <a:xfrm flipV="1">
                            <a:off x="2926080" y="3319780"/>
                            <a:ext cx="723900" cy="1270"/>
                          </a:xfrm>
                          <a:prstGeom prst="straightConnector1">
                            <a:avLst/>
                          </a:prstGeom>
                          <a:ln w="9525" cap="flat" cmpd="sng">
                            <a:solidFill>
                              <a:srgbClr val="000000"/>
                            </a:solidFill>
                            <a:prstDash val="dash"/>
                            <a:headEnd type="none" w="med" len="med"/>
                            <a:tailEnd type="triangle" w="med" len="med"/>
                          </a:ln>
                        </wps:spPr>
                        <wps:bodyPr/>
                      </wps:wsp>
                      <wps:wsp>
                        <wps:cNvPr id="184" name="矩形 184"/>
                        <wps:cNvSpPr/>
                        <wps:spPr>
                          <a:xfrm>
                            <a:off x="421005" y="3810000"/>
                            <a:ext cx="771525" cy="298450"/>
                          </a:xfrm>
                          <a:prstGeom prst="rect">
                            <a:avLst/>
                          </a:prstGeom>
                          <a:solidFill>
                            <a:srgbClr val="FFFFFF"/>
                          </a:solidFill>
                          <a:ln w="9525" cap="flat" cmpd="sng">
                            <a:solidFill>
                              <a:srgbClr val="000000"/>
                            </a:solidFill>
                            <a:prstDash val="dash"/>
                            <a:miter/>
                            <a:headEnd type="none" w="med" len="med"/>
                            <a:tailEnd type="none" w="med" len="med"/>
                          </a:ln>
                        </wps:spPr>
                        <wps:txbx>
                          <w:txbxContent>
                            <w:p>
                              <w:pPr>
                                <w:pStyle w:val="32"/>
                                <w:bidi w:val="0"/>
                              </w:pPr>
                              <w:r>
                                <w:rPr>
                                  <w:rFonts w:hint="eastAsia"/>
                                </w:rPr>
                                <w:t>不合格产品</w:t>
                              </w:r>
                            </w:p>
                          </w:txbxContent>
                        </wps:txbx>
                        <wps:bodyPr upright="1"/>
                      </wps:wsp>
                      <wps:wsp>
                        <wps:cNvPr id="185" name="直接箭头连接符 185"/>
                        <wps:cNvCnPr/>
                        <wps:spPr>
                          <a:xfrm flipH="1">
                            <a:off x="1192530" y="3959225"/>
                            <a:ext cx="838200" cy="635"/>
                          </a:xfrm>
                          <a:prstGeom prst="straightConnector1">
                            <a:avLst/>
                          </a:prstGeom>
                          <a:ln w="9525" cap="flat" cmpd="sng">
                            <a:solidFill>
                              <a:srgbClr val="000000"/>
                            </a:solidFill>
                            <a:prstDash val="dash"/>
                            <a:headEnd type="none" w="med" len="med"/>
                            <a:tailEnd type="triangle" w="med" len="med"/>
                          </a:ln>
                        </wps:spPr>
                        <wps:bodyPr/>
                      </wps:wsp>
                      <wps:wsp>
                        <wps:cNvPr id="186" name="肘形连接符 186"/>
                        <wps:cNvCnPr/>
                        <wps:spPr>
                          <a:xfrm rot="-10800000" flipV="1">
                            <a:off x="807085" y="3321050"/>
                            <a:ext cx="1223645" cy="488950"/>
                          </a:xfrm>
                          <a:prstGeom prst="bentConnector2">
                            <a:avLst/>
                          </a:prstGeom>
                          <a:ln w="9525" cap="flat" cmpd="sng">
                            <a:solidFill>
                              <a:srgbClr val="000000"/>
                            </a:solidFill>
                            <a:prstDash val="dash"/>
                            <a:miter/>
                            <a:headEnd type="none" w="med" len="med"/>
                            <a:tailEnd type="triangle" w="med" len="med"/>
                          </a:ln>
                        </wps:spPr>
                        <wps:bodyPr/>
                      </wps:wsp>
                      <wps:wsp>
                        <wps:cNvPr id="187" name="矩形 187"/>
                        <wps:cNvSpPr/>
                        <wps:spPr>
                          <a:xfrm>
                            <a:off x="268605" y="4438650"/>
                            <a:ext cx="1068705" cy="525780"/>
                          </a:xfrm>
                          <a:prstGeom prst="rect">
                            <a:avLst/>
                          </a:prstGeom>
                          <a:noFill/>
                          <a:ln>
                            <a:noFill/>
                          </a:ln>
                        </wps:spPr>
                        <wps:txbx>
                          <w:txbxContent>
                            <w:p>
                              <w:pPr>
                                <w:pStyle w:val="32"/>
                                <w:bidi w:val="0"/>
                              </w:pPr>
                              <w:r>
                                <w:rPr>
                                  <w:rFonts w:hint="eastAsia"/>
                                </w:rPr>
                                <w:t>返回造粒车间重新造粒</w:t>
                              </w:r>
                            </w:p>
                          </w:txbxContent>
                        </wps:txbx>
                        <wps:bodyPr upright="1"/>
                      </wps:wsp>
                      <wps:wsp>
                        <wps:cNvPr id="188" name="直接箭头连接符 188"/>
                        <wps:cNvCnPr/>
                        <wps:spPr>
                          <a:xfrm flipH="1">
                            <a:off x="803275" y="4108450"/>
                            <a:ext cx="3810" cy="330200"/>
                          </a:xfrm>
                          <a:prstGeom prst="straightConnector1">
                            <a:avLst/>
                          </a:prstGeom>
                          <a:ln w="9525" cap="flat" cmpd="sng">
                            <a:solidFill>
                              <a:srgbClr val="000000"/>
                            </a:solidFill>
                            <a:prstDash val="dash"/>
                            <a:headEnd type="none" w="med" len="med"/>
                            <a:tailEnd type="triangle" w="med" len="med"/>
                          </a:ln>
                        </wps:spPr>
                        <wps:bodyPr/>
                      </wps:wsp>
                      <wps:wsp>
                        <wps:cNvPr id="189" name="矩形 189"/>
                        <wps:cNvSpPr/>
                        <wps:spPr>
                          <a:xfrm>
                            <a:off x="2262505" y="4184650"/>
                            <a:ext cx="1006475" cy="265430"/>
                          </a:xfrm>
                          <a:prstGeom prst="rect">
                            <a:avLst/>
                          </a:prstGeom>
                          <a:noFill/>
                          <a:ln>
                            <a:noFill/>
                          </a:ln>
                        </wps:spPr>
                        <wps:txbx>
                          <w:txbxContent>
                            <w:p>
                              <w:pPr>
                                <w:pStyle w:val="32"/>
                                <w:bidi w:val="0"/>
                              </w:pPr>
                              <w:r>
                                <w:rPr>
                                  <w:rFonts w:hint="eastAsia"/>
                                </w:rPr>
                                <w:t>合格产品</w:t>
                              </w:r>
                            </w:p>
                          </w:txbxContent>
                        </wps:txbx>
                        <wps:bodyPr upright="1"/>
                      </wps:wsp>
                      <wps:wsp>
                        <wps:cNvPr id="190" name="矩形 190"/>
                        <wps:cNvSpPr/>
                        <wps:spPr>
                          <a:xfrm>
                            <a:off x="649605" y="1514475"/>
                            <a:ext cx="640080" cy="591185"/>
                          </a:xfrm>
                          <a:prstGeom prst="rect">
                            <a:avLst/>
                          </a:prstGeom>
                          <a:noFill/>
                          <a:ln>
                            <a:noFill/>
                          </a:ln>
                        </wps:spPr>
                        <wps:txbx>
                          <w:txbxContent>
                            <w:p>
                              <w:pPr>
                                <w:pStyle w:val="32"/>
                                <w:bidi w:val="0"/>
                              </w:pPr>
                              <w:r>
                                <w:rPr>
                                  <w:rFonts w:hint="eastAsia"/>
                                </w:rPr>
                                <w:t>电加热</w:t>
                              </w:r>
                            </w:p>
                            <w:p>
                              <w:pPr>
                                <w:pStyle w:val="32"/>
                                <w:bidi w:val="0"/>
                              </w:pPr>
                              <w:r>
                                <w:t>噪声</w:t>
                              </w:r>
                            </w:p>
                            <w:p>
                              <w:pPr>
                                <w:pStyle w:val="32"/>
                                <w:bidi w:val="0"/>
                              </w:pPr>
                              <w:r>
                                <w:t>定型</w:t>
                              </w:r>
                            </w:p>
                          </w:txbxContent>
                        </wps:txbx>
                        <wps:bodyPr upright="1"/>
                      </wps:wsp>
                      <wps:wsp>
                        <wps:cNvPr id="191" name="直接箭头连接符 191"/>
                        <wps:cNvCnPr/>
                        <wps:spPr>
                          <a:xfrm>
                            <a:off x="1289685" y="1663700"/>
                            <a:ext cx="741045" cy="635"/>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390.9pt;width:457.7pt;" coordsize="5812790,4964430" editas="canvas" o:gfxdata="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">
                <o:lock v:ext="edit" aspectratio="f"/>
                <v:shape id="_x0000_s1026" o:spid="_x0000_s1026" style="position:absolute;left:0;top:0;height:4964430;width:5812790;" filled="f" stroked="f" coordsize="21600,21600" o:gfxdata="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">
                  <v:fill on="f" focussize="0,0"/>
                  <v:stroke on="f"/>
                  <v:imagedata o:title=""/>
                  <o:lock v:ext="edit" aspectratio="t"/>
                </v:shape>
                <v:rect id="_x0000_s1026" o:spid="_x0000_s1026" o:spt="1" style="position:absolute;left:11430;top:0;height:298450;width:1181100;" filled="f" stroked="f" coordsize="21600,21600" o:gfxdata="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uMk4QtgAAAAFAQAADwAAAAAAAAABACAAAAAiAAAAZHJzL2Rvd25yZXYueG1s&#10;UEsBAhQAFAAAAAgAh07iQLTjhZOGAQAA+wIAAA4AAAAAAAAAAQAgAAAAJwEAAGRycy9lMm9Eb2Mu&#10;eG1sUEsFBgAAAAAGAAYAWQEAAB8FAAAAAA==&#10;">
                  <v:fill on="f" focussize="0,0"/>
                  <v:stroke on="f"/>
                  <v:imagedata o:title=""/>
                  <o:lock v:ext="edit" aspectratio="f"/>
                  <v:textbox>
                    <w:txbxContent>
                      <w:p>
                        <w:pPr>
                          <w:pStyle w:val="32"/>
                          <w:bidi w:val="0"/>
                        </w:pPr>
                        <w:r>
                          <w:rPr>
                            <w:rFonts w:hint="eastAsia"/>
                          </w:rPr>
                          <w:t>聚乙烯再生颗粒</w:t>
                        </w:r>
                      </w:p>
                    </w:txbxContent>
                  </v:textbox>
                </v:rect>
                <v:rect id="_x0000_s1026" o:spid="_x0000_s1026" o:spt="1" style="position:absolute;left:2030730;top:666750;height:298450;width:895350;" fillcolor="#FFFFFF" filled="t" stroked="t" coordsize="21600,21600" o:gfxdata="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2pIpfVAAAABQEAAA8AAAAAAAAAAQAgAAAAIgAAAGRycy9kb3ducmV2LnhtbFBLAQIU&#10;ABQAAAAIAIdO4kCe6cRe9gEAAOkDAAAOAAAAAAAAAAEAIAAAACQBAABkcnMvZTJvRG9jLnhtbFBL&#10;BQYAAAAABgAGAFkBAACMBQAAAAA=&#10;">
                  <v:fill on="t" focussize="0,0"/>
                  <v:stroke color="#000000" joinstyle="miter"/>
                  <v:imagedata o:title=""/>
                  <o:lock v:ext="edit" aspectratio="f"/>
                  <v:textbox>
                    <w:txbxContent>
                      <w:p>
                        <w:pPr>
                          <w:pStyle w:val="32"/>
                          <w:bidi w:val="0"/>
                        </w:pPr>
                        <w:r>
                          <w:rPr>
                            <w:rFonts w:hint="eastAsia"/>
                          </w:rPr>
                          <w:t>预热搅拌</w:t>
                        </w:r>
                      </w:p>
                    </w:txbxContent>
                  </v:textbox>
                </v:rect>
                <v:rect id="_x0000_s1026" o:spid="_x0000_s1026" o:spt="1" style="position:absolute;left:1354455;top:0;height:298450;width:1162050;" filled="f" stroked="f" coordsize="21600,21600" o:gfxdata="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LjJOELYAAAABQEAAA8AAAAAAAAAAQAgAAAAIgAAAGRycy9kb3ducmV2&#10;LnhtbFBLAQIUABQAAAAIAIdO4kA2l+i2igEAAP0CAAAOAAAAAAAAAAEAIAAAACcBAABkcnMvZTJv&#10;RG9jLnhtbFBLBQYAAAAABgAGAFkBAAAjBQAAAAA=&#10;">
                  <v:fill on="f" focussize="0,0"/>
                  <v:stroke on="f"/>
                  <v:imagedata o:title=""/>
                  <o:lock v:ext="edit" aspectratio="f"/>
                  <v:textbox>
                    <w:txbxContent>
                      <w:p>
                        <w:pPr>
                          <w:pStyle w:val="32"/>
                          <w:bidi w:val="0"/>
                        </w:pPr>
                        <w:r>
                          <w:rPr>
                            <w:rFonts w:hint="eastAsia"/>
                            <w:lang w:val="en-US" w:eastAsia="zh-CN"/>
                          </w:rPr>
                          <w:t>聚乙烯</w:t>
                        </w:r>
                        <w:r>
                          <w:rPr>
                            <w:rFonts w:hint="eastAsia"/>
                          </w:rPr>
                          <w:t>（新料）</w:t>
                        </w:r>
                      </w:p>
                    </w:txbxContent>
                  </v:textbox>
                </v:rect>
                <v:rect id="_x0000_s1026" o:spid="_x0000_s1026" o:spt="1" style="position:absolute;left:2764155;top:0;height:298450;width:581025;" filled="f" stroked="f" coordsize="21600,21600" o:gfxdata="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Mk4QtgAAAAFAQAADwAAAAAAAAABACAAAAAiAAAAZHJzL2Rv&#10;d25yZXYueG1sUEsBAhQAFAAAAAgAh07iQA1fBU2PAQAA/AIAAA4AAAAAAAAAAQAgAAAAJwEAAGRy&#10;cy9lMm9Eb2MueG1sUEsFBgAAAAAGAAYAWQEAACgFAAAAAA==&#10;">
                  <v:fill on="f" focussize="0,0"/>
                  <v:stroke on="f"/>
                  <v:imagedata o:title=""/>
                  <o:lock v:ext="edit" aspectratio="f"/>
                  <v:textbox>
                    <w:txbxContent>
                      <w:p>
                        <w:pPr>
                          <w:pStyle w:val="32"/>
                          <w:bidi w:val="0"/>
                        </w:pPr>
                        <w:r>
                          <w:rPr>
                            <w:rFonts w:hint="eastAsia"/>
                          </w:rPr>
                          <w:t>色母</w:t>
                        </w:r>
                      </w:p>
                    </w:txbxContent>
                  </v:textbox>
                </v:rect>
                <v:rect id="_x0000_s1026" o:spid="_x0000_s1026" o:spt="1" style="position:absolute;left:3659505;top:0;height:298450;width:1047750;" filled="f" stroked="f" coordsize="21600,21600" o:gfxdata="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LjJOELYAAAABQEAAA8AAAAAAAAAAQAgAAAAIgAAAGRycy9kb3ducmV2&#10;LnhtbFBLAQIUABQAAAAIAIdO4kAligS8igEAAP0CAAAOAAAAAAAAAAEAIAAAACcBAABkcnMvZTJv&#10;RG9jLnhtbFBLBQYAAAAABgAGAFkBAAAjBQAAAAA=&#10;">
                  <v:fill on="f" focussize="0,0"/>
                  <v:stroke on="f"/>
                  <v:imagedata o:title=""/>
                  <o:lock v:ext="edit" aspectratio="f"/>
                  <v:textbox>
                    <w:txbxContent>
                      <w:p>
                        <w:pPr>
                          <w:pStyle w:val="32"/>
                          <w:bidi w:val="0"/>
                        </w:pPr>
                        <w:r>
                          <w:rPr>
                            <w:rFonts w:hint="eastAsia"/>
                          </w:rPr>
                          <w:t>塑料抗老化剂</w:t>
                        </w:r>
                      </w:p>
                    </w:txbxContent>
                  </v:textbox>
                </v:rect>
                <v:shape id="_x0000_s1026" o:spid="_x0000_s1026" o:spt="34" type="#_x0000_t34" style="position:absolute;left:1343025;top:-455295;flip:x;height:1876425;width:368300;rotation:5898240f;" filled="f" stroked="t" coordsize="21600,21600" o:gfxdata="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uQNmtQAAAAF&#10;AQAADwAAAAAAAAABACAAAAAiAAAAZHJzL2Rvd25yZXYueG1sUEsBAhQAFAAAAAgAh07iQEV4B90g&#10;AgAA/QMAAA4AAAAAAAAAAQAgAAAAIwEAAGRycy9lMm9Eb2MueG1sUEsFBgAAAAAGAAYAWQEAALUF&#10;AAAAAA==&#10;" adj="10800">
                  <v:fill on="f" focussize="0,0"/>
                  <v:stroke color="#000000" joinstyle="miter" endarrow="block"/>
                  <v:imagedata o:title=""/>
                  <o:lock v:ext="edit" aspectratio="f"/>
                </v:shape>
                <v:shape id="_x0000_s1026" o:spid="_x0000_s1026" o:spt="34" type="#_x0000_t34" style="position:absolute;left:2009775;top:211455;flip:x;height:542925;width:368300;rotation:5898240f;" filled="f" stroked="t" coordsize="21600,21600" o:gfxdata="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uQNmtQAAAAF&#10;AQAADwAAAAAAAAABACAAAAAiAAAAZHJzL2Rvd25yZXYueG1sUEsBAhQAFAAAAAgAh07iQJu4QDgg&#10;AgAA+wMAAA4AAAAAAAAAAQAgAAAAIwEAAGRycy9lMm9Eb2MueG1sUEsFBgAAAAAGAAYAWQEAALUF&#10;AAAAAA==&#10;" adj="10800">
                  <v:fill on="f" focussize="0,0"/>
                  <v:stroke color="#000000" joinstyle="miter" endarrow="block"/>
                  <v:imagedata o:title=""/>
                  <o:lock v:ext="edit" aspectratio="f"/>
                </v:shape>
                <v:shape id="_x0000_s1026" o:spid="_x0000_s1026" o:spt="34" type="#_x0000_t34" style="position:absolute;left:2582545;top:194310;height:576580;width:368300;rotation:5898240f;" filled="f" stroked="t" coordsize="21600,21600" o:gfxdata="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z9VdUAAAAFAQAADwAA&#10;AAAAAAABACAAAAAiAAAAZHJzL2Rvd25yZXYueG1sUEsBAhQAFAAAAAgAh07iQOXJXtIZAgAA8AMA&#10;AA4AAAAAAAAAAQAgAAAAJAEAAGRycy9lMm9Eb2MueG1sUEsFBgAAAAAGAAYAWQEAAK8FAAAAAA==&#10;" adj="10800">
                  <v:fill on="f" focussize="0,0"/>
                  <v:stroke color="#000000" joinstyle="miter" endarrow="block"/>
                  <v:imagedata o:title=""/>
                  <o:lock v:ext="edit" aspectratio="f"/>
                </v:shape>
                <v:shape id="_x0000_s1026" o:spid="_x0000_s1026" o:spt="34" type="#_x0000_t34" style="position:absolute;left:3133725;top:-369570;height:1704975;width:368300;rotation:5898240f;" filled="f" stroked="t" coordsize="21600,21600" o:gfxdata="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P1V1QAAAAUBAAAP&#10;AAAAAAAAAAEAIAAAACIAAABkcnMvZG93bnJldi54bWxQSwECFAAUAAAACACHTuJAG/PlXBsCAADy&#10;AwAADgAAAAAAAAABACAAAAAkAQAAZHJzL2Uyb0RvYy54bWxQSwUGAAAAAAYABgBZAQAAsQUAAAAA&#10;" adj="10800">
                  <v:fill on="f" focussize="0,0"/>
                  <v:stroke color="#000000" joinstyle="miter" endarrow="block"/>
                  <v:imagedata o:title=""/>
                  <o:lock v:ext="edit" aspectratio="f"/>
                </v:shape>
                <v:rect id="_x0000_s1026" o:spid="_x0000_s1026" o:spt="1" style="position:absolute;left:649605;top:666750;height:575945;width:640080;" filled="f" stroked="f" coordsize="21600,21600" o:gfxdata="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jJOELYAAAABQEAAA8AAAAAAAAAAQAgAAAAIgAAAGRycy9k&#10;b3ducmV2LnhtbFBLAQIUABQAAAAIAIdO4kBY5semkAEAAAADAAAOAAAAAAAAAAEAIAAAACcBAABk&#10;cnMvZTJvRG9jLnhtbFBLBQYAAAAABgAGAFkBAAApBQAAAAA=&#10;">
                  <v:fill on="f" focussize="0,0"/>
                  <v:stroke on="f"/>
                  <v:imagedata o:title=""/>
                  <o:lock v:ext="edit" aspectratio="f"/>
                  <v:textbox>
                    <w:txbxContent>
                      <w:p>
                        <w:pPr>
                          <w:pStyle w:val="32"/>
                          <w:bidi w:val="0"/>
                        </w:pPr>
                        <w:r>
                          <w:rPr>
                            <w:rFonts w:hint="eastAsia"/>
                          </w:rPr>
                          <w:t>电加热</w:t>
                        </w:r>
                      </w:p>
                      <w:p>
                        <w:pPr>
                          <w:pStyle w:val="32"/>
                          <w:bidi w:val="0"/>
                        </w:pPr>
                        <w:r>
                          <w:t>噪声</w:t>
                        </w:r>
                      </w:p>
                      <w:p>
                        <w:pPr>
                          <w:pStyle w:val="32"/>
                          <w:bidi w:val="0"/>
                        </w:pPr>
                        <w:r>
                          <w:t>定型</w:t>
                        </w:r>
                      </w:p>
                    </w:txbxContent>
                  </v:textbox>
                </v:rect>
                <v:shape id="_x0000_s1026" o:spid="_x0000_s1026" o:spt="32" type="#_x0000_t32" style="position:absolute;left:1289685;top:815975;height:635;width:741045;" filled="f" stroked="t" coordsize="21600,21600" o:gfxdata="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9XfJ9YAAAAFAQAADwAAAAAAAAABACAAAAAiAAAAZHJzL2Rvd25yZXYueG1s&#10;UEsBAhQAFAAAAAgAh07iQBJN2QX6AQAAsgMAAA4AAAAAAAAAAQAgAAAAJQEAAGRycy9lMm9Eb2Mu&#10;eG1sUEsFBgAAAAAGAAYAWQEAAJEFAAAAAA==&#10;">
                  <v:fill on="f" focussize="0,0"/>
                  <v:stroke color="#000000" joinstyle="round" endarrow="block"/>
                  <v:imagedata o:title=""/>
                  <o:lock v:ext="edit" aspectratio="f"/>
                </v:shape>
                <v:rect id="_x0000_s1026" o:spid="_x0000_s1026" o:spt="1" style="position:absolute;left:3674110;top:666750;height:298450;width:577215;" fillcolor="#FFFFFF" filled="t" stroked="t" coordsize="21600,21600" o:gfxdata="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xFdIdcAAAAFAQAADwAAAAAAAAABACAAAAAiAAAAZHJzL2Rvd25yZXYueG1sUEsB&#10;AhQAFAAAAAgAh07iQONOTzX2AQAA6AMAAA4AAAAAAAAAAQAgAAAAJgEAAGRycy9lMm9Eb2MueG1s&#10;UEsFBgAAAAAGAAYAWQEAAI4FAAAAAA==&#10;">
                  <v:fill on="t" focussize="0,0"/>
                  <v:stroke color="#000000" joinstyle="miter" dashstyle="dash"/>
                  <v:imagedata o:title=""/>
                  <o:lock v:ext="edit" aspectratio="f"/>
                  <v:textbox>
                    <w:txbxContent>
                      <w:p>
                        <w:pPr>
                          <w:pStyle w:val="32"/>
                          <w:bidi w:val="0"/>
                        </w:pPr>
                        <w:r>
                          <w:rPr>
                            <w:rFonts w:hint="eastAsia"/>
                          </w:rPr>
                          <w:t>噪声</w:t>
                        </w:r>
                      </w:p>
                    </w:txbxContent>
                  </v:textbox>
                </v:rect>
                <v:shape id="_x0000_s1026" o:spid="_x0000_s1026" o:spt="32" type="#_x0000_t32" style="position:absolute;left:2926080;top:815975;height:635;width:748030;" filled="f" stroked="t" coordsize="21600,21600" o:gfxdata="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gK7NzTAAAABQEAAA8AAAAAAAAAAQAgAAAAIgAAAGRycy9kb3ducmV2LnhtbFBL&#10;AQIUABQAAAAIAIdO4kBe9YrE+wEAALEDAAAOAAAAAAAAAAEAIAAAACIBAABkcnMvZTJvRG9jLnht&#10;bFBLBQYAAAAABgAGAFkBAACPBQAAAAA=&#10;">
                  <v:fill on="f" focussize="0,0"/>
                  <v:stroke color="#000000" joinstyle="round" dashstyle="dash" endarrow="block"/>
                  <v:imagedata o:title=""/>
                  <o:lock v:ext="edit" aspectratio="f"/>
                </v:shape>
                <v:rect id="_x0000_s1026" o:spid="_x0000_s1026" o:spt="1" style="position:absolute;left:2030730;top:1514475;height:298450;width:895350;" fillcolor="#FFFFFF" filled="t" stroked="t" coordsize="21600,21600" o:gfxdata="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2pIpfVAAAABQEAAA8AAAAAAAAAAQAgAAAAIgAAAGRycy9kb3ducmV2LnhtbFBLAQIUABQA&#10;AAAIAIdO4kDQf6xl8wEAAOoDAAAOAAAAAAAAAAEAIAAAACQBAABkcnMvZTJvRG9jLnhtbFBLBQYA&#10;AAAABgAGAFkBAACJBQAAAAA=&#10;">
                  <v:fill on="t" focussize="0,0"/>
                  <v:stroke color="#000000" joinstyle="miter"/>
                  <v:imagedata o:title=""/>
                  <o:lock v:ext="edit" aspectratio="f"/>
                  <v:textbox>
                    <w:txbxContent>
                      <w:p>
                        <w:pPr>
                          <w:pStyle w:val="32"/>
                          <w:bidi w:val="0"/>
                        </w:pPr>
                        <w:r>
                          <w:rPr>
                            <w:rFonts w:hint="eastAsia"/>
                          </w:rPr>
                          <w:t>熔融、挤出</w:t>
                        </w:r>
                      </w:p>
                    </w:txbxContent>
                  </v:textbox>
                </v:rect>
                <v:shape id="_x0000_s1026" o:spid="_x0000_s1026" o:spt="32" type="#_x0000_t32" style="position:absolute;left:2478405;top:965200;height:549275;width:635;" filled="f" stroked="t" coordsize="21600,21600" o:gfxdata="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1d8n1gAAAAUBAAAPAAAAAAAAAAEAIAAAACIAAABkcnMvZG93bnJldi54bWxQSwEC&#10;FAAUAAAACACHTuJAMIRi8/YBAACyAwAADgAAAAAAAAABACAAAAAlAQAAZHJzL2Uyb0RvYy54bWxQ&#10;SwUGAAAAAAYABgBZAQAAjQUAAAAA&#10;">
                  <v:fill on="f" focussize="0,0"/>
                  <v:stroke color="#000000" joinstyle="round" endarrow="block"/>
                  <v:imagedata o:title=""/>
                  <o:lock v:ext="edit" aspectratio="f"/>
                </v:shape>
                <v:rect id="_x0000_s1026" o:spid="_x0000_s1026" o:spt="1" style="position:absolute;left:1868805;top:965200;height:474980;width:773430;" filled="f" stroked="f" coordsize="21600,21600" o:gfxdata="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Mk4QtgAAAAFAQAADwAAAAAAAAABACAAAAAiAAAAZHJz&#10;L2Rvd25yZXYueG1sUEsBAhQAFAAAAAgAh07iQGgJBmqSAQAAAQMAAA4AAAAAAAAAAQAgAAAAJwEA&#10;AGRycy9lMm9Eb2MueG1sUEsFBgAAAAAGAAYAWQEAACsFAAAAAA==&#10;">
                  <v:fill on="f" focussize="0,0"/>
                  <v:stroke on="f"/>
                  <v:imagedata o:title=""/>
                  <o:lock v:ext="edit" aspectratio="f"/>
                  <v:textbox>
                    <w:txbxContent>
                      <w:p>
                        <w:pPr>
                          <w:pStyle w:val="17"/>
                          <w:bidi w:val="0"/>
                          <w:rPr>
                            <w:rFonts w:hint="eastAsia"/>
                          </w:rPr>
                        </w:pPr>
                        <w:r>
                          <w:rPr>
                            <w:rFonts w:hint="eastAsia"/>
                          </w:rPr>
                          <w:t>全自动</w:t>
                        </w:r>
                      </w:p>
                      <w:p>
                        <w:pPr>
                          <w:pStyle w:val="17"/>
                          <w:bidi w:val="0"/>
                        </w:pPr>
                        <w:r>
                          <w:rPr>
                            <w:rFonts w:hint="eastAsia"/>
                          </w:rPr>
                          <w:t>吸料</w:t>
                        </w:r>
                      </w:p>
                    </w:txbxContent>
                  </v:textbox>
                </v:rect>
                <v:rect id="_x0000_s1026" o:spid="_x0000_s1026" o:spt="1" style="position:absolute;left:2030730;top:2495550;height:298450;width:895350;" fillcolor="#FFFFFF" filled="t" stroked="t" coordsize="21600,21600" o:gfxdata="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akil9UAAAAFAQAADwAAAAAAAAABACAAAAAiAAAAZHJzL2Rvd25yZXYueG1sUEsBAhQA&#10;FAAAAAgAh07iQMqJmTr1AQAA6gMAAA4AAAAAAAAAAQAgAAAAJAEAAGRycy9lMm9Eb2MueG1sUEsF&#10;BgAAAAAGAAYAWQEAAIsFAAAAAA==&#10;">
                  <v:fill on="t" focussize="0,0"/>
                  <v:stroke color="#000000" joinstyle="miter"/>
                  <v:imagedata o:title=""/>
                  <o:lock v:ext="edit" aspectratio="f"/>
                  <v:textbox>
                    <w:txbxContent>
                      <w:p>
                        <w:pPr>
                          <w:pStyle w:val="32"/>
                          <w:bidi w:val="0"/>
                        </w:pPr>
                        <w:r>
                          <w:rPr>
                            <w:rFonts w:hint="eastAsia"/>
                          </w:rPr>
                          <w:t>冷却</w:t>
                        </w:r>
                      </w:p>
                    </w:txbxContent>
                  </v:textbox>
                </v:rect>
                <v:shape id="_x0000_s1026" o:spid="_x0000_s1026" o:spt="32" type="#_x0000_t32" style="position:absolute;left:2478405;top:1812925;height:682625;width:635;" filled="f" stroked="t" coordsize="21600,21600" o:gfxdata="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9XfJ9YAAAAFAQAADwAAAAAAAAABACAAAAAiAAAAZHJzL2Rvd25yZXYueG1s&#10;UEsBAhQAFAAAAAgAh07iQPJbq5j6AQAAswMAAA4AAAAAAAAAAQAgAAAAJQEAAGRycy9lMm9Eb2Mu&#10;eG1sUEsFBgAAAAAGAAYAWQEAAJEFAAAAAA==&#10;">
                  <v:fill on="f" focussize="0,0"/>
                  <v:stroke color="#000000" joinstyle="round" endarrow="block"/>
                  <v:imagedata o:title=""/>
                  <o:lock v:ext="edit" aspectratio="f"/>
                </v:shape>
                <v:rect id="_x0000_s1026" o:spid="_x0000_s1026" o:spt="1" style="position:absolute;left:3650615;top:2495550;height:408940;width:600075;" fillcolor="#FFFFFF" filled="t" stroked="t" coordsize="21600,21600" o:gfxdata="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akil9UAAAAFAQAADwAAAAAAAAABACAAAAAiAAAAZHJzL2Rvd25yZXYueG1sUEsB&#10;AhQAFAAAAAgAh07iQPWKtE74AQAA6gMAAA4AAAAAAAAAAQAgAAAAJAEAAGRycy9lMm9Eb2MueG1s&#10;UEsFBgAAAAAGAAYAWQEAAI4FAAAAAA==&#10;">
                  <v:fill on="t" focussize="0,0"/>
                  <v:stroke color="#000000" joinstyle="miter"/>
                  <v:imagedata o:title=""/>
                  <o:lock v:ext="edit" aspectratio="f"/>
                  <v:textbox>
                    <w:txbxContent>
                      <w:p>
                        <w:pPr>
                          <w:pStyle w:val="32"/>
                          <w:bidi w:val="0"/>
                        </w:pPr>
                        <w:r>
                          <w:rPr>
                            <w:rFonts w:hint="eastAsia"/>
                          </w:rPr>
                          <w:t>冷却塔</w:t>
                        </w:r>
                      </w:p>
                      <w:p>
                        <w:pPr>
                          <w:pStyle w:val="32"/>
                          <w:bidi w:val="0"/>
                        </w:pPr>
                        <w:r>
                          <w:t>不合格产品</w:t>
                        </w:r>
                      </w:p>
                      <w:p>
                        <w:pPr>
                          <w:pStyle w:val="32"/>
                          <w:bidi w:val="0"/>
                        </w:pPr>
                        <w:r>
                          <w:t>合格产品</w:t>
                        </w:r>
                      </w:p>
                      <w:p>
                        <w:pPr>
                          <w:pStyle w:val="32"/>
                          <w:bidi w:val="0"/>
                        </w:pPr>
                        <w:r>
                          <w:t>入库</w:t>
                        </w:r>
                      </w:p>
                    </w:txbxContent>
                  </v:textbox>
                </v:rect>
                <v:rect id="_x0000_s1026" o:spid="_x0000_s1026" o:spt="1" style="position:absolute;left:4898390;top:2495550;height:385445;width:828675;" fillcolor="#FFFFFF" filled="t" stroked="t" coordsize="21600,21600" o:gfxdata="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qSKX1QAAAAUBAAAPAAAAAAAAAAEAIAAAACIAAABkcnMvZG93bnJldi54bWxQSwEC&#10;FAAUAAAACACHTuJA2B7qL/cBAADqAwAADgAAAAAAAAABACAAAAAkAQAAZHJzL2Uyb0RvYy54bWxQ&#10;SwUGAAAAAAYABgBZAQAAjQUAAAAA&#10;">
                  <v:fill on="t" focussize="0,0"/>
                  <v:stroke color="#000000" joinstyle="miter"/>
                  <v:imagedata o:title=""/>
                  <o:lock v:ext="edit" aspectratio="f"/>
                  <v:textbox>
                    <w:txbxContent>
                      <w:p>
                        <w:pPr>
                          <w:pStyle w:val="32"/>
                          <w:bidi w:val="0"/>
                        </w:pPr>
                        <w:r>
                          <w:rPr>
                            <w:rFonts w:hint="eastAsia"/>
                          </w:rPr>
                          <w:t>冷却水池</w:t>
                        </w:r>
                      </w:p>
                      <w:p>
                        <w:pPr>
                          <w:pStyle w:val="32"/>
                          <w:bidi w:val="0"/>
                        </w:pPr>
                        <w:r>
                          <w:t>不合格产品</w:t>
                        </w:r>
                      </w:p>
                      <w:p>
                        <w:pPr>
                          <w:pStyle w:val="32"/>
                          <w:bidi w:val="0"/>
                        </w:pPr>
                        <w:r>
                          <w:t>合格产品</w:t>
                        </w:r>
                      </w:p>
                      <w:p>
                        <w:pPr>
                          <w:pStyle w:val="32"/>
                          <w:bidi w:val="0"/>
                        </w:pPr>
                        <w:r>
                          <w:t>入库</w:t>
                        </w:r>
                      </w:p>
                      <w:p>
                        <w:pPr>
                          <w:pStyle w:val="32"/>
                          <w:bidi w:val="0"/>
                        </w:pPr>
                        <w:r>
                          <w:t>不合格产品</w:t>
                        </w:r>
                      </w:p>
                    </w:txbxContent>
                  </v:textbox>
                </v:rect>
                <v:group id="_x0000_s1026" o:spid="_x0000_s1026" o:spt="203" style="position:absolute;left:2678430;top:2098675;height:396875;width:2625725;" coordorigin="4450,-1399" coordsize="4135,625" o:gfxdata="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v0nk51wAAAAUBAAAPAAAAAAAAAAEA&#10;IAAAACIAAABkcnMvZG93bnJldi54bWxQSwECFAAUAAAACACHTuJANHEEXbsCAAAyCQAADgAAAAAA&#10;AAABACAAAAAmAQAAZHJzL2Uyb0RvYy54bWxQSwUGAAAAAAYABgBZAQAAUwYAAAAA&#10;">
                  <o:lock v:ext="edit" aspectratio="f"/>
                  <v:shape id="_x0000_s1026" o:spid="_x0000_s1026" o:spt="32" type="#_x0000_t32" style="position:absolute;left:8584;top:-1398;flip:y;height:624;width:1;" filled="f" stroked="t" coordsize="21600,21600" o:gfxdata="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GyI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4450;top:-1399;flip:y;height:1;width:4133;" filled="f" stroked="t" coordsize="21600,21600" o:gfxdata="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10Xu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4450;top:-1398;flip:y;height:624;width:1;" filled="f" stroked="t" coordsize="21600,21600" o:gfxdata="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jhpq/&#10;AAAA3AAAAA8AAAAAAAAAAQAgAAAAIgAAAGRycy9kb3ducmV2LnhtbFBLAQIUABQAAAAIAIdO4kAz&#10;LwWeOwAAADkAAAAQAAAAAAAAAAEAIAAAAA4BAABkcnMvc2hhcGV4bWwueG1sUEsFBgAAAAAGAAYA&#10;WwEAALgDAAAAAA==&#10;">
                    <v:fill on="f" focussize="0,0"/>
                    <v:stroke color="#000000" joinstyle="round" startarrow="block"/>
                    <v:imagedata o:title=""/>
                    <o:lock v:ext="edit" aspectratio="f"/>
                  </v:shape>
                </v:group>
                <v:rect id="_x0000_s1026" o:spid="_x0000_s1026" o:spt="1" style="position:absolute;left:3562985;top:2035175;height:298450;width:640080;" filled="f" stroked="f" coordsize="21600,21600" o:gfxdata="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LjJOELYAAAABQEAAA8AAAAAAAAAAQAgAAAAIgAA&#10;AGRycy9kb3ducmV2LnhtbFBLAQIUABQAAAAIAIdO4kA/2M7olgEAAAIDAAAOAAAAAAAAAAEAIAAA&#10;ACcBAABkcnMvZTJvRG9jLnhtbFBLBQYAAAAABgAGAFkBAAAvBQAAAAA=&#10;">
                  <v:fill on="f" focussize="0,0"/>
                  <v:stroke on="f"/>
                  <v:imagedata o:title=""/>
                  <o:lock v:ext="edit" aspectratio="f"/>
                  <v:textbox>
                    <w:txbxContent>
                      <w:p>
                        <w:pPr>
                          <w:pStyle w:val="32"/>
                          <w:bidi w:val="0"/>
                        </w:pPr>
                        <w:r>
                          <w:rPr>
                            <w:rFonts w:hint="eastAsia"/>
                          </w:rPr>
                          <w:t>循环水</w:t>
                        </w:r>
                      </w:p>
                      <w:p>
                        <w:pPr>
                          <w:pStyle w:val="32"/>
                          <w:bidi w:val="0"/>
                        </w:pPr>
                        <w:r>
                          <w:t>噪声</w:t>
                        </w:r>
                      </w:p>
                      <w:p>
                        <w:pPr>
                          <w:pStyle w:val="32"/>
                          <w:bidi w:val="0"/>
                        </w:pPr>
                        <w:r>
                          <w:t>定型</w:t>
                        </w:r>
                      </w:p>
                    </w:txbxContent>
                  </v:textbox>
                </v:rect>
                <v:shape id="_x0000_s1026" o:spid="_x0000_s1026" o:spt="32" type="#_x0000_t32" style="position:absolute;left:2926080;top:2644775;height:635;width:724535;" filled="f" stroked="t" coordsize="21600,21600" o:gfxdata="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V3yfWAAAABQEAAA8AAAAAAAAAAQAgAAAAIgAAAGRycy9kb3ducmV2LnhtbFBL&#10;AQIUABQAAAAIAIdO4kCvSKdI+AEAALMDAAAOAAAAAAAAAAEAIAAAACUBAABkcnMvZTJvRG9jLnht&#10;bFBLBQYAAAAABgAGAFkBAACPBQAAAAA=&#10;">
                  <v:fill on="f" focussize="0,0"/>
                  <v:stroke color="#000000" joinstyle="round" endarrow="block"/>
                  <v:imagedata o:title=""/>
                  <o:lock v:ext="edit" aspectratio="f"/>
                </v:shape>
                <v:shape id="_x0000_s1026" o:spid="_x0000_s1026" o:spt="32" type="#_x0000_t32" style="position:absolute;left:4250690;top:2644775;height:635;width:647700;" filled="f" stroked="t" coordsize="21600,21600" o:gfxdata="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1d8n1gAAAAUBAAAPAAAAAAAAAAEAIAAAACIAAABkcnMvZG93bnJldi54bWxQ&#10;SwECFAAUAAAACACHTuJA5BgiafkBAACzAwAADgAAAAAAAAABACAAAAAlAQAAZHJzL2Uyb0RvYy54&#10;bWxQSwUGAAAAAAYABgBZAQAAkAUAAAAA&#10;">
                  <v:fill on="f" focussize="0,0"/>
                  <v:stroke color="#000000" joinstyle="round" endarrow="block"/>
                  <v:imagedata o:title=""/>
                  <o:lock v:ext="edit" aspectratio="f"/>
                </v:shape>
                <v:rect id="_x0000_s1026" o:spid="_x0000_s1026" o:spt="1" style="position:absolute;left:3649980;top:3170555;height:298450;width:624840;" fillcolor="#FFFFFF" filled="t" stroked="t" coordsize="21600,21600" o:gfxdata="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xFdIdcAAAAFAQAADwAAAAAAAAABACAAAAAiAAAAZHJzL2Rvd25yZXYueG1s&#10;UEsBAhQAFAAAAAgAh07iQHXBcWz5AQAA6QMAAA4AAAAAAAAAAQAgAAAAJgEAAGRycy9lMm9Eb2Mu&#10;eG1sUEsFBgAAAAAGAAYAWQEAAJEFAAAAAA==&#10;">
                  <v:fill on="t" focussize="0,0"/>
                  <v:stroke color="#000000" joinstyle="miter" dashstyle="dash"/>
                  <v:imagedata o:title=""/>
                  <o:lock v:ext="edit" aspectratio="f"/>
                  <v:textbox>
                    <w:txbxContent>
                      <w:p>
                        <w:pPr>
                          <w:pStyle w:val="32"/>
                          <w:bidi w:val="0"/>
                        </w:pPr>
                        <w:r>
                          <w:rPr>
                            <w:rFonts w:hint="eastAsia"/>
                          </w:rPr>
                          <w:t>噪声</w:t>
                        </w:r>
                      </w:p>
                    </w:txbxContent>
                  </v:textbox>
                </v:rect>
                <v:shape id="_x0000_s1026" o:spid="_x0000_s1026" o:spt="32" type="#_x0000_t32" style="position:absolute;left:3871595;top:2794000;flip:x;height:367030;width:635;" filled="f" stroked="t" coordsize="21600,21600" o:gfxdata="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Jy8vtMAAAAFAQAADwAAAAAAAAABACAAAAAiAAAAZHJzL2Rvd25y&#10;ZXYueG1sUEsBAhQAFAAAAAgAh07iQABvCFQDAgAAvAMAAA4AAAAAAAAAAQAgAAAAIgEAAGRycy9l&#10;Mm9Eb2MueG1sUEsFBgAAAAAGAAYAWQEAAJcFAAAAAA==&#10;">
                  <v:fill on="f" focussize="0,0"/>
                  <v:stroke color="#000000" joinstyle="round" dashstyle="dash" endarrow="block"/>
                  <v:imagedata o:title=""/>
                  <o:lock v:ext="edit" aspectratio="f"/>
                </v:shape>
                <v:rect id="_x0000_s1026" o:spid="_x0000_s1026" o:spt="1" style="position:absolute;left:2030730;top:3171825;height:298450;width:895350;" fillcolor="#FFFFFF" filled="t" stroked="t" coordsize="21600,21600" o:gfxdata="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9qSKX1QAAAAUBAAAPAAAAAAAAAAEAIAAAACIAAABkcnMvZG93bnJldi54bWxQSwECFAAU&#10;AAAACACHTuJAkTgxEfQBAADqAwAADgAAAAAAAAABACAAAAAkAQAAZHJzL2Uyb0RvYy54bWxQSwUG&#10;AAAAAAYABgBZAQAAigUAAAAA&#10;">
                  <v:fill on="t" focussize="0,0"/>
                  <v:stroke color="#000000" joinstyle="miter"/>
                  <v:imagedata o:title=""/>
                  <o:lock v:ext="edit" aspectratio="f"/>
                  <v:textbox>
                    <w:txbxContent>
                      <w:p>
                        <w:pPr>
                          <w:pStyle w:val="32"/>
                          <w:bidi w:val="0"/>
                        </w:pPr>
                        <w:r>
                          <w:rPr>
                            <w:rFonts w:hint="eastAsia"/>
                          </w:rPr>
                          <w:t>定型</w:t>
                        </w:r>
                      </w:p>
                    </w:txbxContent>
                  </v:textbox>
                </v:rect>
                <v:rect id="_x0000_s1026" o:spid="_x0000_s1026" o:spt="1" style="position:absolute;left:2030730;top:3810000;height:298450;width:895350;" fillcolor="#FFFFFF" filled="t" stroked="t" coordsize="21600,21600" o:gfxdata="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qSKX1QAAAAUBAAAPAAAAAAAAAAEAIAAAACIAAABkcnMvZG93bnJldi54bWxQSwEC&#10;FAAUAAAACACHTuJAX4jGH/cBAADqAwAADgAAAAAAAAABACAAAAAkAQAAZHJzL2Uyb0RvYy54bWxQ&#10;SwUGAAAAAAYABgBZAQAAjQUAAAAA&#10;">
                  <v:fill on="t" focussize="0,0"/>
                  <v:stroke color="#000000" joinstyle="miter"/>
                  <v:imagedata o:title=""/>
                  <o:lock v:ext="edit" aspectratio="f"/>
                  <v:textbox>
                    <w:txbxContent>
                      <w:p>
                        <w:pPr>
                          <w:pStyle w:val="32"/>
                          <w:bidi w:val="0"/>
                        </w:pPr>
                        <w:r>
                          <w:rPr>
                            <w:rFonts w:hint="eastAsia"/>
                          </w:rPr>
                          <w:t>检测</w:t>
                        </w:r>
                      </w:p>
                    </w:txbxContent>
                  </v:textbox>
                </v:rect>
                <v:rect id="_x0000_s1026" o:spid="_x0000_s1026" o:spt="1" style="position:absolute;left:2030730;top:4543425;height:298450;width:895350;" fillcolor="#FFFFFF" filled="t" stroked="t" coordsize="21600,21600" o:gfxdata="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akil9UAAAAFAQAADwAAAAAAAAABACAAAAAiAAAAZHJzL2Rvd25yZXYueG1sUEsBAhQA&#10;FAAAAAgAh07iQKewh7T1AQAA6gMAAA4AAAAAAAAAAQAgAAAAJAEAAGRycy9lMm9Eb2MueG1sUEsF&#10;BgAAAAAGAAYAWQEAAIsFAAAAAA==&#10;">
                  <v:fill on="t" focussize="0,0"/>
                  <v:stroke color="#000000" joinstyle="miter"/>
                  <v:imagedata o:title=""/>
                  <o:lock v:ext="edit" aspectratio="f"/>
                  <v:textbox>
                    <w:txbxContent>
                      <w:p>
                        <w:pPr>
                          <w:pStyle w:val="32"/>
                          <w:bidi w:val="0"/>
                        </w:pPr>
                        <w:r>
                          <w:rPr>
                            <w:rFonts w:hint="eastAsia"/>
                          </w:rPr>
                          <w:t>入库</w:t>
                        </w:r>
                      </w:p>
                    </w:txbxContent>
                  </v:textbox>
                </v:rect>
                <v:rect id="_x0000_s1026" o:spid="_x0000_s1026" o:spt="1" style="position:absolute;left:3345180;top:1433195;height:504190;width:1845945;" fillcolor="#FFFFFF" filled="t" stroked="t" coordsize="21600,21600" o:gfxdata="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PEV0h1wAAAAUBAAAPAAAAAAAAAAEAIAAAACIAAABkcnMvZG93bnJldi54bWxQ&#10;SwECFAAUAAAACACHTuJAM3Fh3/gBAADqAwAADgAAAAAAAAABACAAAAAmAQAAZHJzL2Uyb0RvYy54&#10;bWxQSwUGAAAAAAYABgBZAQAAkAUAAAAA&#10;">
                  <v:fill on="t" focussize="0,0"/>
                  <v:stroke color="#000000" joinstyle="miter" dashstyle="dash"/>
                  <v:imagedata o:title=""/>
                  <o:lock v:ext="edit" aspectratio="f"/>
                  <v:textbox>
                    <w:txbxContent>
                      <w:p>
                        <w:pPr>
                          <w:pStyle w:val="32"/>
                          <w:bidi w:val="0"/>
                          <w:rPr>
                            <w:rFonts w:hint="eastAsia"/>
                            <w:lang w:val="en-US" w:eastAsia="zh-CN"/>
                          </w:rPr>
                        </w:pPr>
                        <w:r>
                          <w:rPr>
                            <w:rFonts w:hint="eastAsia"/>
                          </w:rPr>
                          <w:t>非甲烷总烃、异味、噪声</w:t>
                        </w:r>
                      </w:p>
                      <w:p>
                        <w:pPr>
                          <w:pStyle w:val="32"/>
                          <w:bidi w:val="0"/>
                        </w:pPr>
                        <w:r>
                          <w:t>合格产品</w:t>
                        </w:r>
                      </w:p>
                    </w:txbxContent>
                  </v:textbox>
                </v:rect>
                <v:shape id="_x0000_s1026" o:spid="_x0000_s1026" o:spt="32" type="#_x0000_t32" style="position:absolute;left:2926080;top:1661160;flip:y;height:2540;width:419100;" filled="f" stroked="t" coordsize="21600,21600" o:gfxdata="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ScvL7TAAAABQEAAA8AAAAAAAAAAQAgAAAAIgAAAGRycy9kb3ducmV2&#10;LnhtbFBLAQIUABQAAAAIAIdO4kBO3LeNAQIAAL0DAAAOAAAAAAAAAAEAIAAAACIBAABkcnMvZTJv&#10;RG9jLnhtbFBLBQYAAAAABgAGAFkBAACVBQAAAAA=&#10;">
                  <v:fill on="f" focussize="0,0"/>
                  <v:stroke color="#000000" joinstyle="round" dashstyle="dash" endarrow="block"/>
                  <v:imagedata o:title=""/>
                  <o:lock v:ext="edit" aspectratio="f"/>
                </v:shape>
                <v:shape id="_x0000_s1026" o:spid="_x0000_s1026" o:spt="32" type="#_x0000_t32" style="position:absolute;left:2478405;top:2794000;height:377825;width:635;" filled="f" stroked="t" coordsize="21600,21600" o:gfxdata="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V3yfWAAAABQEAAA8AAAAAAAAAAQAgAAAAIgAAAGRycy9kb3ducmV2LnhtbFBL&#10;AQIUABQAAAAIAIdO4kC9EwSA+AEAALMDAAAOAAAAAAAAAAEAIAAAACUBAABkcnMvZTJvRG9jLnht&#10;bFBLBQYAAAAABgAGAFkBAACPBQAAAAA=&#10;">
                  <v:fill on="f" focussize="0,0"/>
                  <v:stroke color="#000000" joinstyle="round" endarrow="block"/>
                  <v:imagedata o:title=""/>
                  <o:lock v:ext="edit" aspectratio="f"/>
                </v:shape>
                <v:shape id="_x0000_s1026" o:spid="_x0000_s1026" o:spt="32" type="#_x0000_t32" style="position:absolute;left:2478405;top:3470275;height:339725;width:635;" filled="f" stroked="t" coordsize="21600,21600" o:gfxdata="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9XfJ9YAAAAFAQAADwAAAAAAAAABACAAAAAiAAAAZHJzL2Rvd25yZXYueG1s&#10;UEsBAhQAFAAAAAgAh07iQGg/ZKv6AQAAswMAAA4AAAAAAAAAAQAgAAAAJQEAAGRycy9lMm9Eb2Mu&#10;eG1sUEsFBgAAAAAGAAYAWQEAAJEFAAAAAA==&#10;">
                  <v:fill on="f" focussize="0,0"/>
                  <v:stroke color="#000000" joinstyle="round" endarrow="block"/>
                  <v:imagedata o:title=""/>
                  <o:lock v:ext="edit" aspectratio="f"/>
                </v:shape>
                <v:shape id="_x0000_s1026" o:spid="_x0000_s1026" o:spt="32" type="#_x0000_t32" style="position:absolute;left:2478405;top:4108450;height:434975;width:635;" filled="f" stroked="t" coordsize="21600,21600" o:gfxdata="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V3yfWAAAABQEAAA8AAAAAAAAAAQAgAAAAIgAAAGRycy9kb3ducmV2LnhtbFBL&#10;AQIUABQAAAAIAIdO4kBu9bnQ+AEAALMDAAAOAAAAAAAAAAEAIAAAACUBAABkcnMvZTJvRG9jLnht&#10;bFBLBQYAAAAABgAGAFkBAACPBQAAAAA=&#10;">
                  <v:fill on="f" focussize="0,0"/>
                  <v:stroke color="#000000" joinstyle="round" endarrow="block"/>
                  <v:imagedata o:title=""/>
                  <o:lock v:ext="edit" aspectratio="f"/>
                </v:shape>
                <v:shape id="_x0000_s1026" o:spid="_x0000_s1026" o:spt="32" type="#_x0000_t32" style="position:absolute;left:2926080;top:3319780;flip:y;height:1270;width:723900;" filled="f" stroked="t" coordsize="21600,21600" o:gfxdata="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ScvL7TAAAABQEAAA8AAAAAAAAAAQAgAAAAIgAAAGRycy9kb3ducmV2&#10;LnhtbFBLAQIUABQAAAAIAIdO4kCcr3bgAQIAAL0DAAAOAAAAAAAAAAEAIAAAACIBAABkcnMvZTJv&#10;RG9jLnhtbFBLBQYAAAAABgAGAFkBAACVBQAAAAA=&#10;">
                  <v:fill on="f" focussize="0,0"/>
                  <v:stroke color="#000000" joinstyle="round" dashstyle="dash" endarrow="block"/>
                  <v:imagedata o:title=""/>
                  <o:lock v:ext="edit" aspectratio="f"/>
                </v:shape>
                <v:rect id="_x0000_s1026" o:spid="_x0000_s1026" o:spt="1" style="position:absolute;left:421005;top:3810000;height:298450;width:771525;" fillcolor="#FFFFFF" filled="t" stroked="t" coordsize="21600,21600" o:gfxdata="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8RXSHXAAAABQEAAA8AAAAAAAAAAQAgAAAAIgAAAGRycy9kb3ducmV2LnhtbFBLAQIU&#10;ABQAAAAIAIdO4kB5jftI9AEAAOgDAAAOAAAAAAAAAAEAIAAAACYBAABkcnMvZTJvRG9jLnhtbFBL&#10;BQYAAAAABgAGAFkBAACMBQAAAAA=&#10;">
                  <v:fill on="t" focussize="0,0"/>
                  <v:stroke color="#000000" joinstyle="miter" dashstyle="dash"/>
                  <v:imagedata o:title=""/>
                  <o:lock v:ext="edit" aspectratio="f"/>
                  <v:textbox>
                    <w:txbxContent>
                      <w:p>
                        <w:pPr>
                          <w:pStyle w:val="32"/>
                          <w:bidi w:val="0"/>
                        </w:pPr>
                        <w:r>
                          <w:rPr>
                            <w:rFonts w:hint="eastAsia"/>
                          </w:rPr>
                          <w:t>不合格产品</w:t>
                        </w:r>
                      </w:p>
                    </w:txbxContent>
                  </v:textbox>
                </v:rect>
                <v:shape id="_x0000_s1026" o:spid="_x0000_s1026" o:spt="32" type="#_x0000_t32" style="position:absolute;left:1192530;top:3959225;flip:x;height:635;width:838200;" filled="f" stroked="t" coordsize="21600,21600" o:gfxdata="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ScvL7TAAAABQEAAA8AAAAAAAAAAQAgAAAAIgAAAGRycy9kb3ducmV2&#10;LnhtbFBLAQIUABQAAAAIAIdO4kAq7SIyAQIAALwDAAAOAAAAAAAAAAEAIAAAACIBAABkcnMvZTJv&#10;RG9jLnhtbFBLBQYAAAAABgAGAFkBAACVBQAAAAA=&#10;">
                  <v:fill on="f" focussize="0,0"/>
                  <v:stroke color="#000000" joinstyle="round" dashstyle="dash" endarrow="block"/>
                  <v:imagedata o:title=""/>
                  <o:lock v:ext="edit" aspectratio="f"/>
                </v:shape>
                <v:shape id="_x0000_s1026" o:spid="_x0000_s1026" o:spt="33" type="#_x0000_t33" style="position:absolute;left:807085;top:3321050;flip:y;height:488950;width:1223645;rotation:11796480f;" filled="f" stroked="t" coordsize="21600,21600" o:gfxdata="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l5Hv1AAAAAUBAAAPAAAAAAAAAAEAIAAAACIA&#10;AABkcnMvZG93bnJldi54bWxQSwECFAAUAAAACACHTuJAuaWCOQ0CAADPAwAADgAAAAAAAAABACAA&#10;AAAjAQAAZHJzL2Uyb0RvYy54bWxQSwUGAAAAAAYABgBZAQAAogUAAAAA&#10;">
                  <v:fill on="f" focussize="0,0"/>
                  <v:stroke color="#000000" joinstyle="miter" dashstyle="dash" endarrow="block"/>
                  <v:imagedata o:title=""/>
                  <o:lock v:ext="edit" aspectratio="f"/>
                </v:shape>
                <v:rect id="_x0000_s1026" o:spid="_x0000_s1026" o:spt="1" style="position:absolute;left:268605;top:4438650;height:525780;width:1068705;" filled="f" stroked="f" coordsize="21600,21600" o:gfxdata="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&#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4yThC2AAAAAUBAAAPAAAAAAAAAAEAIAAAACIAAABk&#10;cnMvZG93bnJldi54bWxQSwECFAAUAAAACACHTuJAlpNO75QBAAACAwAADgAAAAAAAAABACAAAAAn&#10;AQAAZHJzL2Uyb0RvYy54bWxQSwUGAAAAAAYABgBZAQAALQUAAAAA&#10;">
                  <v:fill on="f" focussize="0,0"/>
                  <v:stroke on="f"/>
                  <v:imagedata o:title=""/>
                  <o:lock v:ext="edit" aspectratio="f"/>
                  <v:textbox>
                    <w:txbxContent>
                      <w:p>
                        <w:pPr>
                          <w:pStyle w:val="32"/>
                          <w:bidi w:val="0"/>
                        </w:pPr>
                        <w:r>
                          <w:rPr>
                            <w:rFonts w:hint="eastAsia"/>
                          </w:rPr>
                          <w:t>返回造粒车间重新造粒</w:t>
                        </w:r>
                      </w:p>
                    </w:txbxContent>
                  </v:textbox>
                </v:rect>
                <v:shape id="_x0000_s1026" o:spid="_x0000_s1026" o:spt="32" type="#_x0000_t32" style="position:absolute;left:803275;top:4108450;flip:x;height:330200;width:3810;" filled="f" stroked="t" coordsize="21600,21600" o:gfxdata="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UnLy+0wAAAAUBAAAPAAAAAAAAAAEAIAAAACIAAABkcnMvZG93bnJldi54&#10;bWxQSwECFAAUAAAACACHTuJAS6wubP8BAAC8AwAADgAAAAAAAAABACAAAAAiAQAAZHJzL2Uyb0Rv&#10;Yy54bWxQSwUGAAAAAAYABgBZAQAAkwUAAAAA&#10;">
                  <v:fill on="f" focussize="0,0"/>
                  <v:stroke color="#000000" joinstyle="round" dashstyle="dash" endarrow="block"/>
                  <v:imagedata o:title=""/>
                  <o:lock v:ext="edit" aspectratio="f"/>
                </v:shape>
                <v:rect id="_x0000_s1026" o:spid="_x0000_s1026" o:spt="1" style="position:absolute;left:2262505;top:4184650;height:265430;width:1006475;" filled="f" stroked="f" coordsize="21600,21600" o:gfxdata="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LjJOELYAAAABQEAAA8AAAAAAAAAAQAgAAAAIgAA&#10;AGRycy9kb3ducmV2LnhtbFBLAQIUABQAAAAIAIdO4kAfB7bUlgEAAAMDAAAOAAAAAAAAAAEAIAAA&#10;ACcBAABkcnMvZTJvRG9jLnhtbFBLBQYAAAAABgAGAFkBAAAvBQAAAAA=&#10;">
                  <v:fill on="f" focussize="0,0"/>
                  <v:stroke on="f"/>
                  <v:imagedata o:title=""/>
                  <o:lock v:ext="edit" aspectratio="f"/>
                  <v:textbox>
                    <w:txbxContent>
                      <w:p>
                        <w:pPr>
                          <w:pStyle w:val="32"/>
                          <w:bidi w:val="0"/>
                        </w:pPr>
                        <w:r>
                          <w:rPr>
                            <w:rFonts w:hint="eastAsia"/>
                          </w:rPr>
                          <w:t>合格产品</w:t>
                        </w:r>
                      </w:p>
                    </w:txbxContent>
                  </v:textbox>
                </v:rect>
                <v:rect id="_x0000_s1026" o:spid="_x0000_s1026" o:spt="1" style="position:absolute;left:649605;top:1514475;height:591185;width:640080;" filled="f" stroked="f" coordsize="21600,21600" o:gfxdata="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jJOELYAAAABQEAAA8AAAAAAAAAAQAgAAAAIgAAAGRy&#10;cy9kb3ducmV2LnhtbFBLAQIUABQAAAAIAIdO4kCoJ46RkwEAAAEDAAAOAAAAAAAAAAEAIAAAACcB&#10;AABkcnMvZTJvRG9jLnhtbFBLBQYAAAAABgAGAFkBAAAsBQAAAAA=&#10;">
                  <v:fill on="f" focussize="0,0"/>
                  <v:stroke on="f"/>
                  <v:imagedata o:title=""/>
                  <o:lock v:ext="edit" aspectratio="f"/>
                  <v:textbox>
                    <w:txbxContent>
                      <w:p>
                        <w:pPr>
                          <w:pStyle w:val="32"/>
                          <w:bidi w:val="0"/>
                        </w:pPr>
                        <w:r>
                          <w:rPr>
                            <w:rFonts w:hint="eastAsia"/>
                          </w:rPr>
                          <w:t>电加热</w:t>
                        </w:r>
                      </w:p>
                      <w:p>
                        <w:pPr>
                          <w:pStyle w:val="32"/>
                          <w:bidi w:val="0"/>
                        </w:pPr>
                        <w:r>
                          <w:t>噪声</w:t>
                        </w:r>
                      </w:p>
                      <w:p>
                        <w:pPr>
                          <w:pStyle w:val="32"/>
                          <w:bidi w:val="0"/>
                        </w:pPr>
                        <w:r>
                          <w:t>定型</w:t>
                        </w:r>
                      </w:p>
                    </w:txbxContent>
                  </v:textbox>
                </v:rect>
                <v:shape id="_x0000_s1026" o:spid="_x0000_s1026" o:spt="32" type="#_x0000_t32" style="position:absolute;left:1289685;top:1663700;height:635;width:741045;" filled="f" stroked="t" coordsize="21600,21600" o:gfxdata="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9XfJ9YAAAAFAQAADwAAAAAAAAABACAAAAAiAAAAZHJzL2Rvd25yZXYueG1sUEsB&#10;AhQAFAAAAAgAh07iQJcRGGj3AQAAswMAAA4AAAAAAAAAAQAgAAAAJQEAAGRycy9lMm9Eb2MueG1s&#10;UEsFBgAAAAAGAAYAWQEAAI4FAAAAAA==&#10;">
                  <v:fill on="f" focussize="0,0"/>
                  <v:stroke color="#000000" joinstyle="round" endarrow="block"/>
                  <v:imagedata o:title=""/>
                  <o:lock v:ext="edit" aspectratio="f"/>
                </v:shape>
                <w10:wrap type="none"/>
                <w10:anchorlock/>
              </v:group>
            </w:pict>
          </mc:Fallback>
        </mc:AlternateContent>
      </w:r>
    </w:p>
    <w:p>
      <w:pPr>
        <w:bidi w:val="0"/>
        <w:jc w:val="center"/>
        <w:rPr>
          <w:rFonts w:hint="default"/>
          <w:b/>
          <w:bCs/>
        </w:rPr>
      </w:pPr>
      <w:r>
        <w:rPr>
          <w:rFonts w:hint="default"/>
          <w:b/>
          <w:bCs/>
        </w:rPr>
        <w:t>图3.7-</w:t>
      </w:r>
      <w:r>
        <w:rPr>
          <w:rFonts w:hint="eastAsia"/>
          <w:b/>
          <w:bCs/>
          <w:lang w:val="en-US" w:eastAsia="zh-CN"/>
        </w:rPr>
        <w:t>2</w:t>
      </w:r>
      <w:r>
        <w:rPr>
          <w:rFonts w:hint="default"/>
          <w:b/>
          <w:bCs/>
        </w:rPr>
        <w:t xml:space="preserve"> </w:t>
      </w:r>
      <w:r>
        <w:rPr>
          <w:rFonts w:hint="eastAsia"/>
          <w:b/>
          <w:bCs/>
          <w:lang w:val="en-US" w:eastAsia="zh-CN"/>
        </w:rPr>
        <w:t xml:space="preserve">  </w:t>
      </w:r>
      <w:r>
        <w:rPr>
          <w:rFonts w:hint="default"/>
          <w:b/>
          <w:bCs/>
        </w:rPr>
        <w:t>本项目生产工艺流程及产污环节图</w:t>
      </w:r>
    </w:p>
    <w:p>
      <w:pPr>
        <w:pStyle w:val="5"/>
        <w:bidi w:val="0"/>
        <w:rPr>
          <w:rFonts w:hint="default"/>
        </w:rPr>
      </w:pPr>
      <w:r>
        <w:rPr>
          <w:rFonts w:hint="default"/>
        </w:rPr>
        <w:t>3.7.3</w:t>
      </w:r>
      <w:r>
        <w:rPr>
          <w:rFonts w:hint="eastAsia"/>
          <w:lang w:eastAsia="zh-CN"/>
        </w:rPr>
        <w:t>、</w:t>
      </w:r>
      <w:r>
        <w:rPr>
          <w:rFonts w:hint="default"/>
        </w:rPr>
        <w:t>平衡分析</w:t>
      </w:r>
    </w:p>
    <w:p>
      <w:pPr>
        <w:pStyle w:val="6"/>
        <w:bidi w:val="0"/>
        <w:rPr>
          <w:rFonts w:hint="default"/>
        </w:rPr>
      </w:pPr>
      <w:r>
        <w:rPr>
          <w:rFonts w:hint="default"/>
        </w:rPr>
        <w:t>3.7.3.1</w:t>
      </w:r>
      <w:r>
        <w:rPr>
          <w:rFonts w:hint="eastAsia"/>
          <w:lang w:eastAsia="zh-CN"/>
        </w:rPr>
        <w:t>、</w:t>
      </w:r>
      <w:r>
        <w:rPr>
          <w:rFonts w:hint="default"/>
        </w:rPr>
        <w:t>项目物料平衡</w:t>
      </w:r>
    </w:p>
    <w:p>
      <w:pPr>
        <w:bidi w:val="0"/>
        <w:rPr>
          <w:rFonts w:hint="default"/>
        </w:rPr>
      </w:pPr>
      <w:r>
        <w:rPr>
          <w:rFonts w:hint="default"/>
        </w:rPr>
        <w:t>本项目物料平衡见表3.7-1。</w:t>
      </w:r>
    </w:p>
    <w:p>
      <w:pPr>
        <w:pStyle w:val="17"/>
        <w:bidi w:val="0"/>
        <w:rPr>
          <w:rFonts w:hint="default"/>
          <w:b/>
          <w:bCs/>
        </w:rPr>
      </w:pPr>
      <w:r>
        <w:rPr>
          <w:rFonts w:hint="default"/>
          <w:b/>
          <w:bCs/>
        </w:rPr>
        <w:t>表3.7-1   本项目物料平衡表（t/a）</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72"/>
        <w:gridCol w:w="1876"/>
        <w:gridCol w:w="3023"/>
        <w:gridCol w:w="16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48" w:type="dxa"/>
            <w:gridSpan w:val="2"/>
            <w:tcBorders>
              <w:tl2br w:val="nil"/>
              <w:tr2bl w:val="nil"/>
            </w:tcBorders>
            <w:vAlign w:val="center"/>
          </w:tcPr>
          <w:p>
            <w:pPr>
              <w:pStyle w:val="17"/>
              <w:bidi w:val="0"/>
              <w:rPr>
                <w:rFonts w:hint="default"/>
                <w:b/>
                <w:bCs/>
              </w:rPr>
            </w:pPr>
            <w:r>
              <w:rPr>
                <w:rFonts w:hint="default"/>
                <w:b/>
                <w:bCs/>
              </w:rPr>
              <w:t>投入</w:t>
            </w:r>
          </w:p>
        </w:tc>
        <w:tc>
          <w:tcPr>
            <w:tcW w:w="4623" w:type="dxa"/>
            <w:gridSpan w:val="2"/>
            <w:tcBorders>
              <w:tl2br w:val="nil"/>
              <w:tr2bl w:val="nil"/>
            </w:tcBorders>
            <w:vAlign w:val="center"/>
          </w:tcPr>
          <w:p>
            <w:pPr>
              <w:pStyle w:val="17"/>
              <w:bidi w:val="0"/>
              <w:rPr>
                <w:rFonts w:hint="default"/>
                <w:b/>
                <w:bCs/>
              </w:rPr>
            </w:pPr>
            <w:r>
              <w:rPr>
                <w:rFonts w:hint="default"/>
                <w:b/>
                <w:bCs/>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2" w:type="dxa"/>
            <w:tcBorders>
              <w:tl2br w:val="nil"/>
              <w:tr2bl w:val="nil"/>
            </w:tcBorders>
            <w:vAlign w:val="center"/>
          </w:tcPr>
          <w:p>
            <w:pPr>
              <w:pStyle w:val="17"/>
              <w:bidi w:val="0"/>
              <w:rPr>
                <w:rFonts w:hint="default"/>
              </w:rPr>
            </w:pPr>
            <w:r>
              <w:rPr>
                <w:rFonts w:hint="default"/>
              </w:rPr>
              <w:t>名称</w:t>
            </w:r>
          </w:p>
        </w:tc>
        <w:tc>
          <w:tcPr>
            <w:tcW w:w="1876" w:type="dxa"/>
            <w:tcBorders>
              <w:tl2br w:val="nil"/>
              <w:tr2bl w:val="nil"/>
            </w:tcBorders>
            <w:vAlign w:val="center"/>
          </w:tcPr>
          <w:p>
            <w:pPr>
              <w:pStyle w:val="17"/>
              <w:bidi w:val="0"/>
              <w:rPr>
                <w:rFonts w:hint="default"/>
              </w:rPr>
            </w:pPr>
            <w:r>
              <w:rPr>
                <w:rFonts w:hint="default"/>
              </w:rPr>
              <w:t>数量</w:t>
            </w:r>
          </w:p>
        </w:tc>
        <w:tc>
          <w:tcPr>
            <w:tcW w:w="3023" w:type="dxa"/>
            <w:tcBorders>
              <w:tl2br w:val="nil"/>
              <w:tr2bl w:val="nil"/>
            </w:tcBorders>
            <w:vAlign w:val="center"/>
          </w:tcPr>
          <w:p>
            <w:pPr>
              <w:pStyle w:val="17"/>
              <w:bidi w:val="0"/>
              <w:rPr>
                <w:rFonts w:hint="default"/>
              </w:rPr>
            </w:pPr>
            <w:r>
              <w:rPr>
                <w:rFonts w:hint="default"/>
              </w:rPr>
              <w:t>名称</w:t>
            </w:r>
          </w:p>
        </w:tc>
        <w:tc>
          <w:tcPr>
            <w:tcW w:w="1600" w:type="dxa"/>
            <w:tcBorders>
              <w:tl2br w:val="nil"/>
              <w:tr2bl w:val="nil"/>
            </w:tcBorders>
            <w:vAlign w:val="center"/>
          </w:tcPr>
          <w:p>
            <w:pPr>
              <w:pStyle w:val="17"/>
              <w:bidi w:val="0"/>
              <w:rPr>
                <w:rFonts w:hint="default"/>
              </w:rPr>
            </w:pPr>
            <w:r>
              <w:rPr>
                <w:rFonts w:hint="default"/>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2" w:type="dxa"/>
            <w:tcBorders>
              <w:tl2br w:val="nil"/>
              <w:tr2bl w:val="nil"/>
            </w:tcBorders>
            <w:vAlign w:val="center"/>
          </w:tcPr>
          <w:p>
            <w:pPr>
              <w:pStyle w:val="17"/>
              <w:bidi w:val="0"/>
              <w:rPr>
                <w:rFonts w:hint="default"/>
              </w:rPr>
            </w:pPr>
            <w:r>
              <w:rPr>
                <w:rFonts w:hint="default"/>
              </w:rPr>
              <w:t>废旧滴灌带</w:t>
            </w:r>
          </w:p>
        </w:tc>
        <w:tc>
          <w:tcPr>
            <w:tcW w:w="1876" w:type="dxa"/>
            <w:tcBorders>
              <w:tl2br w:val="nil"/>
              <w:tr2bl w:val="nil"/>
            </w:tcBorders>
            <w:vAlign w:val="center"/>
          </w:tcPr>
          <w:p>
            <w:pPr>
              <w:pStyle w:val="17"/>
              <w:bidi w:val="0"/>
              <w:rPr>
                <w:rFonts w:hint="default"/>
                <w:lang w:val="en-US"/>
              </w:rPr>
            </w:pPr>
            <w:r>
              <w:rPr>
                <w:rFonts w:hint="eastAsia"/>
                <w:lang w:val="en-US" w:eastAsia="zh-CN"/>
              </w:rPr>
              <w:t>5340</w:t>
            </w:r>
          </w:p>
        </w:tc>
        <w:tc>
          <w:tcPr>
            <w:tcW w:w="3023" w:type="dxa"/>
            <w:tcBorders>
              <w:tl2br w:val="nil"/>
              <w:tr2bl w:val="nil"/>
            </w:tcBorders>
            <w:vAlign w:val="center"/>
          </w:tcPr>
          <w:p>
            <w:pPr>
              <w:pStyle w:val="17"/>
              <w:bidi w:val="0"/>
              <w:rPr>
                <w:rFonts w:hint="default"/>
              </w:rPr>
            </w:pPr>
            <w:r>
              <w:rPr>
                <w:rFonts w:hint="default"/>
              </w:rPr>
              <w:t>农用地膜</w:t>
            </w:r>
          </w:p>
        </w:tc>
        <w:tc>
          <w:tcPr>
            <w:tcW w:w="1600" w:type="dxa"/>
            <w:tcBorders>
              <w:tl2br w:val="nil"/>
              <w:tr2bl w:val="nil"/>
            </w:tcBorders>
            <w:vAlign w:val="center"/>
          </w:tcPr>
          <w:p>
            <w:pPr>
              <w:pStyle w:val="17"/>
              <w:bidi w:val="0"/>
              <w:rPr>
                <w:rFonts w:hint="default"/>
                <w:lang w:val="en-US" w:eastAsia="zh-CN"/>
              </w:rPr>
            </w:pPr>
            <w:r>
              <w:rPr>
                <w:rFonts w:hint="eastAsia"/>
                <w:lang w:val="en-US" w:eastAsia="zh-CN"/>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2" w:type="dxa"/>
            <w:tcBorders>
              <w:tl2br w:val="nil"/>
              <w:tr2bl w:val="nil"/>
            </w:tcBorders>
            <w:vAlign w:val="center"/>
          </w:tcPr>
          <w:p>
            <w:pPr>
              <w:pStyle w:val="17"/>
              <w:bidi w:val="0"/>
              <w:rPr>
                <w:rFonts w:hint="default"/>
              </w:rPr>
            </w:pPr>
            <w:r>
              <w:rPr>
                <w:rFonts w:hint="default"/>
              </w:rPr>
              <w:t>新聚乙烯树脂</w:t>
            </w:r>
          </w:p>
        </w:tc>
        <w:tc>
          <w:tcPr>
            <w:tcW w:w="1876" w:type="dxa"/>
            <w:tcBorders>
              <w:tl2br w:val="nil"/>
              <w:tr2bl w:val="nil"/>
            </w:tcBorders>
            <w:vAlign w:val="center"/>
          </w:tcPr>
          <w:p>
            <w:pPr>
              <w:pStyle w:val="17"/>
              <w:bidi w:val="0"/>
              <w:rPr>
                <w:rFonts w:hint="default"/>
                <w:lang w:val="en-US" w:eastAsia="zh-CN"/>
              </w:rPr>
            </w:pPr>
            <w:r>
              <w:rPr>
                <w:rFonts w:hint="eastAsia"/>
                <w:lang w:val="en-US" w:eastAsia="zh-CN"/>
              </w:rPr>
              <w:t>1000</w:t>
            </w:r>
          </w:p>
        </w:tc>
        <w:tc>
          <w:tcPr>
            <w:tcW w:w="3023" w:type="dxa"/>
            <w:tcBorders>
              <w:tl2br w:val="nil"/>
              <w:tr2bl w:val="nil"/>
            </w:tcBorders>
            <w:vAlign w:val="center"/>
          </w:tcPr>
          <w:p>
            <w:pPr>
              <w:pStyle w:val="17"/>
              <w:bidi w:val="0"/>
              <w:rPr>
                <w:rFonts w:hint="default"/>
              </w:rPr>
            </w:pPr>
            <w:r>
              <w:rPr>
                <w:rFonts w:hint="default"/>
              </w:rPr>
              <w:t>滴灌带</w:t>
            </w:r>
          </w:p>
        </w:tc>
        <w:tc>
          <w:tcPr>
            <w:tcW w:w="1600" w:type="dxa"/>
            <w:tcBorders>
              <w:tl2br w:val="nil"/>
              <w:tr2bl w:val="nil"/>
            </w:tcBorders>
            <w:vAlign w:val="center"/>
          </w:tcPr>
          <w:p>
            <w:pPr>
              <w:pStyle w:val="17"/>
              <w:bidi w:val="0"/>
              <w:rPr>
                <w:rFonts w:hint="default"/>
                <w:lang w:val="en-US" w:eastAsia="zh-CN"/>
              </w:rPr>
            </w:pPr>
            <w:r>
              <w:rPr>
                <w:rFonts w:hint="eastAsia"/>
                <w:lang w:val="en-US" w:eastAsia="zh-CN"/>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2" w:type="dxa"/>
            <w:tcBorders>
              <w:tl2br w:val="nil"/>
              <w:tr2bl w:val="nil"/>
            </w:tcBorders>
            <w:vAlign w:val="center"/>
          </w:tcPr>
          <w:p>
            <w:pPr>
              <w:pStyle w:val="17"/>
              <w:bidi w:val="0"/>
              <w:rPr>
                <w:rFonts w:hint="default"/>
              </w:rPr>
            </w:pPr>
            <w:r>
              <w:rPr>
                <w:rFonts w:hint="default"/>
              </w:rPr>
              <w:t>黑色母料</w:t>
            </w:r>
          </w:p>
        </w:tc>
        <w:tc>
          <w:tcPr>
            <w:tcW w:w="1876" w:type="dxa"/>
            <w:tcBorders>
              <w:tl2br w:val="nil"/>
              <w:tr2bl w:val="nil"/>
            </w:tcBorders>
            <w:vAlign w:val="center"/>
          </w:tcPr>
          <w:p>
            <w:pPr>
              <w:pStyle w:val="17"/>
              <w:bidi w:val="0"/>
              <w:rPr>
                <w:rFonts w:hint="default"/>
                <w:lang w:val="en-US" w:eastAsia="zh-CN"/>
              </w:rPr>
            </w:pPr>
            <w:r>
              <w:rPr>
                <w:rFonts w:hint="eastAsia"/>
                <w:lang w:val="en-US" w:eastAsia="zh-CN"/>
              </w:rPr>
              <w:t>95</w:t>
            </w:r>
          </w:p>
        </w:tc>
        <w:tc>
          <w:tcPr>
            <w:tcW w:w="3023" w:type="dxa"/>
            <w:tcBorders>
              <w:tl2br w:val="nil"/>
              <w:tr2bl w:val="nil"/>
            </w:tcBorders>
            <w:vAlign w:val="center"/>
          </w:tcPr>
          <w:p>
            <w:pPr>
              <w:pStyle w:val="17"/>
              <w:bidi w:val="0"/>
              <w:rPr>
                <w:rFonts w:hint="default"/>
                <w:lang w:eastAsia="zh-CN"/>
              </w:rPr>
            </w:pPr>
            <w:r>
              <w:rPr>
                <w:rFonts w:hint="default"/>
                <w:lang w:eastAsia="zh-CN"/>
              </w:rPr>
              <w:t>PE管材</w:t>
            </w:r>
          </w:p>
        </w:tc>
        <w:tc>
          <w:tcPr>
            <w:tcW w:w="1600" w:type="dxa"/>
            <w:tcBorders>
              <w:tl2br w:val="nil"/>
              <w:tr2bl w:val="nil"/>
            </w:tcBorders>
            <w:vAlign w:val="center"/>
          </w:tcPr>
          <w:p>
            <w:pPr>
              <w:pStyle w:val="17"/>
              <w:bidi w:val="0"/>
              <w:rPr>
                <w:rFonts w:hint="default"/>
                <w:lang w:val="en-US" w:eastAsia="zh-CN"/>
              </w:rPr>
            </w:pPr>
            <w:r>
              <w:rPr>
                <w:rFonts w:hint="eastAsia"/>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2" w:type="dxa"/>
            <w:tcBorders>
              <w:tl2br w:val="nil"/>
              <w:tr2bl w:val="nil"/>
            </w:tcBorders>
            <w:vAlign w:val="center"/>
          </w:tcPr>
          <w:p>
            <w:pPr>
              <w:pStyle w:val="17"/>
              <w:bidi w:val="0"/>
              <w:rPr>
                <w:rFonts w:hint="default"/>
              </w:rPr>
            </w:pPr>
            <w:r>
              <w:rPr>
                <w:rFonts w:hint="default"/>
              </w:rPr>
              <w:t>抗老化剂</w:t>
            </w:r>
          </w:p>
        </w:tc>
        <w:tc>
          <w:tcPr>
            <w:tcW w:w="1876" w:type="dxa"/>
            <w:tcBorders>
              <w:tl2br w:val="nil"/>
              <w:tr2bl w:val="nil"/>
            </w:tcBorders>
            <w:vAlign w:val="center"/>
          </w:tcPr>
          <w:p>
            <w:pPr>
              <w:pStyle w:val="17"/>
              <w:bidi w:val="0"/>
              <w:rPr>
                <w:rFonts w:hint="default"/>
                <w:lang w:val="en-US" w:eastAsia="zh-CN"/>
              </w:rPr>
            </w:pPr>
            <w:r>
              <w:rPr>
                <w:rFonts w:hint="eastAsia"/>
                <w:lang w:val="en-US" w:eastAsia="zh-CN"/>
              </w:rPr>
              <w:t>10.405</w:t>
            </w:r>
          </w:p>
        </w:tc>
        <w:tc>
          <w:tcPr>
            <w:tcW w:w="3023" w:type="dxa"/>
            <w:tcBorders>
              <w:tl2br w:val="nil"/>
              <w:tr2bl w:val="nil"/>
            </w:tcBorders>
            <w:vAlign w:val="center"/>
          </w:tcPr>
          <w:p>
            <w:pPr>
              <w:pStyle w:val="17"/>
              <w:bidi w:val="0"/>
              <w:rPr>
                <w:rFonts w:hint="default"/>
              </w:rPr>
            </w:pPr>
            <w:r>
              <w:rPr>
                <w:rFonts w:hint="default"/>
              </w:rPr>
              <w:t>分拣杂物</w:t>
            </w:r>
          </w:p>
        </w:tc>
        <w:tc>
          <w:tcPr>
            <w:tcW w:w="1600" w:type="dxa"/>
            <w:tcBorders>
              <w:tl2br w:val="nil"/>
              <w:tr2bl w:val="nil"/>
            </w:tcBorders>
            <w:vAlign w:val="center"/>
          </w:tcPr>
          <w:p>
            <w:pPr>
              <w:pStyle w:val="17"/>
              <w:bidi w:val="0"/>
              <w:rPr>
                <w:rFonts w:hint="default"/>
                <w:lang w:val="en-US" w:eastAsia="zh-CN"/>
              </w:rPr>
            </w:pPr>
            <w:r>
              <w:rPr>
                <w:rFonts w:hint="eastAsia"/>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2" w:type="dxa"/>
            <w:tcBorders>
              <w:tl2br w:val="nil"/>
              <w:tr2bl w:val="nil"/>
            </w:tcBorders>
            <w:vAlign w:val="center"/>
          </w:tcPr>
          <w:p>
            <w:pPr>
              <w:pStyle w:val="17"/>
              <w:bidi w:val="0"/>
              <w:rPr>
                <w:rFonts w:hint="default"/>
              </w:rPr>
            </w:pPr>
          </w:p>
        </w:tc>
        <w:tc>
          <w:tcPr>
            <w:tcW w:w="1876" w:type="dxa"/>
            <w:tcBorders>
              <w:tl2br w:val="nil"/>
              <w:tr2bl w:val="nil"/>
            </w:tcBorders>
            <w:vAlign w:val="center"/>
          </w:tcPr>
          <w:p>
            <w:pPr>
              <w:pStyle w:val="17"/>
              <w:bidi w:val="0"/>
              <w:rPr>
                <w:rFonts w:hint="default"/>
              </w:rPr>
            </w:pPr>
          </w:p>
        </w:tc>
        <w:tc>
          <w:tcPr>
            <w:tcW w:w="3023" w:type="dxa"/>
            <w:tcBorders>
              <w:tl2br w:val="nil"/>
              <w:tr2bl w:val="nil"/>
            </w:tcBorders>
            <w:vAlign w:val="center"/>
          </w:tcPr>
          <w:p>
            <w:pPr>
              <w:pStyle w:val="17"/>
              <w:bidi w:val="0"/>
              <w:rPr>
                <w:rFonts w:hint="default"/>
              </w:rPr>
            </w:pPr>
            <w:r>
              <w:rPr>
                <w:rFonts w:hint="default"/>
              </w:rPr>
              <w:t>清洗泥沙杂质</w:t>
            </w:r>
          </w:p>
        </w:tc>
        <w:tc>
          <w:tcPr>
            <w:tcW w:w="1600" w:type="dxa"/>
            <w:tcBorders>
              <w:tl2br w:val="nil"/>
              <w:tr2bl w:val="nil"/>
            </w:tcBorders>
            <w:vAlign w:val="center"/>
          </w:tcPr>
          <w:p>
            <w:pPr>
              <w:pStyle w:val="17"/>
              <w:bidi w:val="0"/>
              <w:rPr>
                <w:rFonts w:hint="default"/>
                <w:lang w:val="en-US" w:eastAsia="zh-CN"/>
              </w:rPr>
            </w:pPr>
            <w:r>
              <w:rPr>
                <w:rFonts w:hint="eastAsia"/>
                <w:lang w:val="en-US" w:eastAsia="zh-CN"/>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2" w:type="dxa"/>
            <w:tcBorders>
              <w:tl2br w:val="nil"/>
              <w:tr2bl w:val="nil"/>
            </w:tcBorders>
            <w:vAlign w:val="center"/>
          </w:tcPr>
          <w:p>
            <w:pPr>
              <w:pStyle w:val="17"/>
              <w:bidi w:val="0"/>
              <w:rPr>
                <w:rFonts w:hint="default"/>
              </w:rPr>
            </w:pPr>
          </w:p>
        </w:tc>
        <w:tc>
          <w:tcPr>
            <w:tcW w:w="1876" w:type="dxa"/>
            <w:tcBorders>
              <w:tl2br w:val="nil"/>
              <w:tr2bl w:val="nil"/>
            </w:tcBorders>
            <w:vAlign w:val="center"/>
          </w:tcPr>
          <w:p>
            <w:pPr>
              <w:pStyle w:val="17"/>
              <w:bidi w:val="0"/>
              <w:rPr>
                <w:rFonts w:hint="default"/>
              </w:rPr>
            </w:pPr>
          </w:p>
        </w:tc>
        <w:tc>
          <w:tcPr>
            <w:tcW w:w="3023" w:type="dxa"/>
            <w:tcBorders>
              <w:tl2br w:val="nil"/>
              <w:tr2bl w:val="nil"/>
            </w:tcBorders>
            <w:vAlign w:val="center"/>
          </w:tcPr>
          <w:p>
            <w:pPr>
              <w:pStyle w:val="17"/>
              <w:bidi w:val="0"/>
              <w:rPr>
                <w:rFonts w:hint="eastAsia"/>
                <w:lang w:eastAsia="zh-CN"/>
              </w:rPr>
            </w:pPr>
            <w:r>
              <w:rPr>
                <w:rFonts w:hint="default"/>
              </w:rPr>
              <w:t>废气</w:t>
            </w:r>
            <w:r>
              <w:rPr>
                <w:rFonts w:hint="eastAsia"/>
                <w:lang w:eastAsia="zh-CN"/>
              </w:rPr>
              <w:t>（</w:t>
            </w:r>
            <w:r>
              <w:rPr>
                <w:rFonts w:hint="eastAsia"/>
                <w:lang w:val="en-US" w:eastAsia="zh-CN"/>
              </w:rPr>
              <w:t>非甲烷总烃</w:t>
            </w:r>
            <w:r>
              <w:rPr>
                <w:rFonts w:hint="eastAsia"/>
                <w:lang w:eastAsia="zh-CN"/>
              </w:rPr>
              <w:t>）</w:t>
            </w:r>
          </w:p>
        </w:tc>
        <w:tc>
          <w:tcPr>
            <w:tcW w:w="1600" w:type="dxa"/>
            <w:tcBorders>
              <w:tl2br w:val="nil"/>
              <w:tr2bl w:val="nil"/>
            </w:tcBorders>
            <w:vAlign w:val="center"/>
          </w:tcPr>
          <w:p>
            <w:pPr>
              <w:pStyle w:val="17"/>
              <w:bidi w:val="0"/>
              <w:rPr>
                <w:rFonts w:hint="default"/>
                <w:lang w:val="en-US" w:eastAsia="zh-CN"/>
              </w:rPr>
            </w:pPr>
            <w:r>
              <w:rPr>
                <w:rFonts w:hint="eastAsia"/>
                <w:lang w:val="en-US" w:eastAsia="zh-CN"/>
              </w:rPr>
              <w:t>1.925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2" w:type="dxa"/>
            <w:tcBorders>
              <w:tl2br w:val="nil"/>
              <w:tr2bl w:val="nil"/>
            </w:tcBorders>
            <w:vAlign w:val="center"/>
          </w:tcPr>
          <w:p>
            <w:pPr>
              <w:pStyle w:val="17"/>
              <w:bidi w:val="0"/>
              <w:rPr>
                <w:rFonts w:hint="default"/>
              </w:rPr>
            </w:pPr>
          </w:p>
        </w:tc>
        <w:tc>
          <w:tcPr>
            <w:tcW w:w="1876" w:type="dxa"/>
            <w:tcBorders>
              <w:tl2br w:val="nil"/>
              <w:tr2bl w:val="nil"/>
            </w:tcBorders>
            <w:vAlign w:val="center"/>
          </w:tcPr>
          <w:p>
            <w:pPr>
              <w:pStyle w:val="17"/>
              <w:bidi w:val="0"/>
              <w:rPr>
                <w:rFonts w:hint="default"/>
              </w:rPr>
            </w:pPr>
          </w:p>
        </w:tc>
        <w:tc>
          <w:tcPr>
            <w:tcW w:w="3023" w:type="dxa"/>
            <w:tcBorders>
              <w:tl2br w:val="nil"/>
              <w:tr2bl w:val="nil"/>
            </w:tcBorders>
            <w:vAlign w:val="center"/>
          </w:tcPr>
          <w:p>
            <w:pPr>
              <w:pStyle w:val="17"/>
              <w:bidi w:val="0"/>
              <w:rPr>
                <w:rFonts w:hint="default"/>
              </w:rPr>
            </w:pPr>
            <w:r>
              <w:rPr>
                <w:rFonts w:hint="default"/>
              </w:rPr>
              <w:t>粉尘</w:t>
            </w:r>
          </w:p>
        </w:tc>
        <w:tc>
          <w:tcPr>
            <w:tcW w:w="1600" w:type="dxa"/>
            <w:tcBorders>
              <w:tl2br w:val="nil"/>
              <w:tr2bl w:val="nil"/>
            </w:tcBorders>
            <w:vAlign w:val="center"/>
          </w:tcPr>
          <w:p>
            <w:pPr>
              <w:pStyle w:val="17"/>
              <w:bidi w:val="0"/>
              <w:rPr>
                <w:rFonts w:hint="default"/>
                <w:lang w:val="en-US" w:eastAsia="zh-CN"/>
              </w:rPr>
            </w:pPr>
            <w:r>
              <w:rPr>
                <w:rFonts w:hint="eastAsia"/>
                <w:lang w:val="en-US" w:eastAsia="zh-CN"/>
              </w:rPr>
              <w:t>3.30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2572" w:type="dxa"/>
            <w:tcBorders>
              <w:tl2br w:val="nil"/>
              <w:tr2bl w:val="nil"/>
            </w:tcBorders>
            <w:vAlign w:val="center"/>
          </w:tcPr>
          <w:p>
            <w:pPr>
              <w:pStyle w:val="17"/>
              <w:bidi w:val="0"/>
              <w:rPr>
                <w:rFonts w:hint="default"/>
              </w:rPr>
            </w:pPr>
          </w:p>
        </w:tc>
        <w:tc>
          <w:tcPr>
            <w:tcW w:w="1876" w:type="dxa"/>
            <w:tcBorders>
              <w:tl2br w:val="nil"/>
              <w:tr2bl w:val="nil"/>
            </w:tcBorders>
            <w:vAlign w:val="center"/>
          </w:tcPr>
          <w:p>
            <w:pPr>
              <w:pStyle w:val="17"/>
              <w:bidi w:val="0"/>
              <w:rPr>
                <w:rFonts w:hint="default"/>
              </w:rPr>
            </w:pPr>
          </w:p>
        </w:tc>
        <w:tc>
          <w:tcPr>
            <w:tcW w:w="3023" w:type="dxa"/>
            <w:tcBorders>
              <w:tl2br w:val="nil"/>
              <w:tr2bl w:val="nil"/>
            </w:tcBorders>
            <w:vAlign w:val="center"/>
          </w:tcPr>
          <w:p>
            <w:pPr>
              <w:pStyle w:val="17"/>
              <w:bidi w:val="0"/>
              <w:rPr>
                <w:rFonts w:hint="default"/>
              </w:rPr>
            </w:pPr>
            <w:r>
              <w:rPr>
                <w:rFonts w:hint="default"/>
              </w:rPr>
              <w:t>废过滤网</w:t>
            </w:r>
          </w:p>
        </w:tc>
        <w:tc>
          <w:tcPr>
            <w:tcW w:w="1600" w:type="dxa"/>
            <w:tcBorders>
              <w:tl2br w:val="nil"/>
              <w:tr2bl w:val="nil"/>
            </w:tcBorders>
            <w:vAlign w:val="center"/>
          </w:tcPr>
          <w:p>
            <w:pPr>
              <w:pStyle w:val="17"/>
              <w:bidi w:val="0"/>
              <w:rPr>
                <w:rFonts w:hint="eastAsia"/>
                <w:lang w:eastAsia="zh-CN"/>
              </w:rPr>
            </w:pPr>
            <w:r>
              <w:rPr>
                <w:rFonts w:hint="default"/>
              </w:rPr>
              <w:t>0.1</w:t>
            </w:r>
            <w:r>
              <w:rPr>
                <w:rFonts w:hint="eastAsia"/>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2572" w:type="dxa"/>
            <w:tcBorders>
              <w:tl2br w:val="nil"/>
              <w:tr2bl w:val="nil"/>
            </w:tcBorders>
            <w:vAlign w:val="center"/>
          </w:tcPr>
          <w:p>
            <w:pPr>
              <w:pStyle w:val="17"/>
              <w:bidi w:val="0"/>
              <w:rPr>
                <w:rFonts w:hint="default"/>
              </w:rPr>
            </w:pPr>
            <w:r>
              <w:rPr>
                <w:rFonts w:hint="default"/>
              </w:rPr>
              <w:t>合计</w:t>
            </w:r>
          </w:p>
        </w:tc>
        <w:tc>
          <w:tcPr>
            <w:tcW w:w="1876" w:type="dxa"/>
            <w:tcBorders>
              <w:tl2br w:val="nil"/>
              <w:tr2bl w:val="nil"/>
            </w:tcBorders>
            <w:vAlign w:val="center"/>
          </w:tcPr>
          <w:p>
            <w:pPr>
              <w:pStyle w:val="17"/>
              <w:bidi w:val="0"/>
              <w:rPr>
                <w:rFonts w:hint="default"/>
                <w:lang w:val="en-US"/>
              </w:rPr>
            </w:pPr>
            <w:r>
              <w:rPr>
                <w:rFonts w:hint="eastAsia"/>
                <w:lang w:val="en-US" w:eastAsia="zh-CN"/>
              </w:rPr>
              <w:t>6445.405</w:t>
            </w:r>
          </w:p>
        </w:tc>
        <w:tc>
          <w:tcPr>
            <w:tcW w:w="3023" w:type="dxa"/>
            <w:tcBorders>
              <w:tl2br w:val="nil"/>
              <w:tr2bl w:val="nil"/>
            </w:tcBorders>
            <w:vAlign w:val="center"/>
          </w:tcPr>
          <w:p>
            <w:pPr>
              <w:pStyle w:val="17"/>
              <w:bidi w:val="0"/>
              <w:rPr>
                <w:rFonts w:hint="default"/>
              </w:rPr>
            </w:pPr>
            <w:r>
              <w:rPr>
                <w:rFonts w:hint="default"/>
              </w:rPr>
              <w:t>合计</w:t>
            </w:r>
          </w:p>
        </w:tc>
        <w:tc>
          <w:tcPr>
            <w:tcW w:w="1600" w:type="dxa"/>
            <w:tcBorders>
              <w:tl2br w:val="nil"/>
              <w:tr2bl w:val="nil"/>
            </w:tcBorders>
            <w:vAlign w:val="center"/>
          </w:tcPr>
          <w:p>
            <w:pPr>
              <w:pStyle w:val="17"/>
              <w:bidi w:val="0"/>
              <w:rPr>
                <w:rFonts w:hint="default"/>
                <w:lang w:val="en-US" w:eastAsia="zh-CN"/>
              </w:rPr>
            </w:pPr>
            <w:r>
              <w:rPr>
                <w:rFonts w:hint="eastAsia"/>
                <w:lang w:val="en-US" w:eastAsia="zh-CN"/>
              </w:rPr>
              <w:t>6445.405</w:t>
            </w:r>
          </w:p>
        </w:tc>
      </w:tr>
    </w:tbl>
    <w:p>
      <w:pPr>
        <w:pStyle w:val="6"/>
        <w:bidi w:val="0"/>
        <w:rPr>
          <w:rFonts w:hint="default"/>
        </w:rPr>
      </w:pPr>
      <w:r>
        <w:rPr>
          <w:rFonts w:hint="default"/>
        </w:rPr>
        <w:t>3.7.3.2</w:t>
      </w:r>
      <w:r>
        <w:rPr>
          <w:rFonts w:hint="eastAsia"/>
          <w:lang w:eastAsia="zh-CN"/>
        </w:rPr>
        <w:t>、</w:t>
      </w:r>
      <w:r>
        <w:rPr>
          <w:rFonts w:hint="default"/>
        </w:rPr>
        <w:t>水平衡</w:t>
      </w:r>
    </w:p>
    <w:p>
      <w:pPr>
        <w:bidi w:val="0"/>
        <w:rPr>
          <w:rFonts w:hint="default"/>
        </w:rPr>
      </w:pPr>
      <w:r>
        <w:rPr>
          <w:rFonts w:hint="default"/>
        </w:rPr>
        <w:t>本项目用水主要包括需要生活用水和生产用水。</w:t>
      </w:r>
    </w:p>
    <w:p>
      <w:pPr>
        <w:bidi w:val="0"/>
        <w:rPr>
          <w:rFonts w:hint="default"/>
        </w:rPr>
      </w:pPr>
      <w:r>
        <w:rPr>
          <w:rFonts w:hint="default"/>
        </w:rPr>
        <w:t>本项目生产用水包括冷却循环水补水、车间地面冲洗用水、破碎机喷洒用水和原料清洗用水，其中冷却循环水补水量为</w:t>
      </w:r>
      <w:r>
        <w:rPr>
          <w:rFonts w:hint="eastAsia"/>
          <w:lang w:val="en-US" w:eastAsia="zh-CN"/>
        </w:rPr>
        <w:t>39.6</w:t>
      </w:r>
      <w:r>
        <w:rPr>
          <w:rFonts w:hint="eastAsia"/>
          <w:lang w:eastAsia="zh-CN"/>
        </w:rPr>
        <w:t>m³</w:t>
      </w:r>
      <w:r>
        <w:rPr>
          <w:rFonts w:hint="default"/>
        </w:rPr>
        <w:t>/a（0.12</w:t>
      </w:r>
      <w:r>
        <w:rPr>
          <w:rFonts w:hint="eastAsia"/>
          <w:lang w:eastAsia="zh-CN"/>
        </w:rPr>
        <w:t>m³</w:t>
      </w:r>
      <w:r>
        <w:rPr>
          <w:rFonts w:hint="default"/>
        </w:rPr>
        <w:t>/d）；车间地面冲洗用水量为</w:t>
      </w:r>
      <w:r>
        <w:rPr>
          <w:rFonts w:hint="eastAsia"/>
          <w:lang w:val="en-US" w:eastAsia="zh-CN"/>
        </w:rPr>
        <w:t>56.1</w:t>
      </w:r>
      <w:r>
        <w:rPr>
          <w:rFonts w:hint="eastAsia"/>
          <w:lang w:eastAsia="zh-CN"/>
        </w:rPr>
        <w:t>m³</w:t>
      </w:r>
      <w:r>
        <w:rPr>
          <w:rFonts w:hint="default"/>
        </w:rPr>
        <w:t>/a（0.17</w:t>
      </w:r>
      <w:r>
        <w:rPr>
          <w:rFonts w:hint="eastAsia"/>
          <w:lang w:eastAsia="zh-CN"/>
        </w:rPr>
        <w:t>m³</w:t>
      </w:r>
      <w:r>
        <w:rPr>
          <w:rFonts w:hint="default"/>
        </w:rPr>
        <w:t>/d）；原料清洗用水量为</w:t>
      </w:r>
      <w:r>
        <w:rPr>
          <w:rFonts w:hint="eastAsia"/>
          <w:lang w:val="en-US" w:eastAsia="zh-CN"/>
        </w:rPr>
        <w:t>15250</w:t>
      </w:r>
      <w:r>
        <w:rPr>
          <w:rFonts w:hint="eastAsia"/>
          <w:lang w:eastAsia="zh-CN"/>
        </w:rPr>
        <w:t>m³</w:t>
      </w:r>
      <w:r>
        <w:rPr>
          <w:rFonts w:hint="default"/>
        </w:rPr>
        <w:t>/a（</w:t>
      </w:r>
      <w:r>
        <w:rPr>
          <w:rFonts w:hint="eastAsia"/>
          <w:lang w:val="en-US" w:eastAsia="zh-CN"/>
        </w:rPr>
        <w:t>46.25</w:t>
      </w:r>
      <w:r>
        <w:rPr>
          <w:rFonts w:hint="eastAsia"/>
          <w:lang w:eastAsia="zh-CN"/>
        </w:rPr>
        <w:t>m³</w:t>
      </w:r>
      <w:r>
        <w:rPr>
          <w:rFonts w:hint="default"/>
        </w:rPr>
        <w:t>/d），此部分用水主要为沉淀池沉淀后的清水</w:t>
      </w:r>
      <w:r>
        <w:rPr>
          <w:rFonts w:hint="eastAsia"/>
          <w:lang w:val="en-US" w:eastAsia="zh-CN"/>
        </w:rPr>
        <w:t>15250</w:t>
      </w:r>
      <w:r>
        <w:rPr>
          <w:rFonts w:hint="eastAsia"/>
          <w:lang w:eastAsia="zh-CN"/>
        </w:rPr>
        <w:t>m³</w:t>
      </w:r>
      <w:r>
        <w:rPr>
          <w:rFonts w:hint="default"/>
        </w:rPr>
        <w:t>/a（</w:t>
      </w:r>
      <w:r>
        <w:rPr>
          <w:rFonts w:hint="eastAsia"/>
          <w:lang w:val="en-US" w:eastAsia="zh-CN"/>
        </w:rPr>
        <w:t>46.25</w:t>
      </w:r>
      <w:r>
        <w:rPr>
          <w:rFonts w:hint="eastAsia"/>
          <w:lang w:eastAsia="zh-CN"/>
        </w:rPr>
        <w:t>m³</w:t>
      </w:r>
      <w:r>
        <w:rPr>
          <w:rFonts w:hint="default"/>
        </w:rPr>
        <w:t>/d）和新鲜水</w:t>
      </w:r>
      <w:r>
        <w:rPr>
          <w:rFonts w:hint="eastAsia"/>
          <w:lang w:val="en-US" w:eastAsia="zh-CN"/>
        </w:rPr>
        <w:t>610.5</w:t>
      </w:r>
      <w:r>
        <w:rPr>
          <w:rFonts w:hint="eastAsia"/>
          <w:lang w:eastAsia="zh-CN"/>
        </w:rPr>
        <w:t>m³</w:t>
      </w:r>
      <w:r>
        <w:rPr>
          <w:rFonts w:hint="default"/>
        </w:rPr>
        <w:t>/a（</w:t>
      </w:r>
      <w:r>
        <w:rPr>
          <w:rFonts w:hint="eastAsia"/>
          <w:lang w:val="en-US" w:eastAsia="zh-CN"/>
        </w:rPr>
        <w:t>1.85</w:t>
      </w:r>
      <w:r>
        <w:rPr>
          <w:rFonts w:hint="eastAsia"/>
          <w:lang w:eastAsia="zh-CN"/>
        </w:rPr>
        <w:t>m³</w:t>
      </w:r>
      <w:r>
        <w:rPr>
          <w:rFonts w:hint="default"/>
        </w:rPr>
        <w:t>/d）提供。生产废水全部回用，不外排。</w:t>
      </w:r>
    </w:p>
    <w:p>
      <w:pPr>
        <w:bidi w:val="0"/>
        <w:rPr>
          <w:rFonts w:hint="default"/>
        </w:rPr>
      </w:pPr>
      <w:r>
        <w:rPr>
          <w:rFonts w:hint="default"/>
        </w:rPr>
        <w:t>生活用水量为</w:t>
      </w:r>
      <w:r>
        <w:rPr>
          <w:rFonts w:hint="eastAsia"/>
          <w:lang w:val="en-US" w:eastAsia="zh-CN"/>
        </w:rPr>
        <w:t>1386</w:t>
      </w:r>
      <w:r>
        <w:rPr>
          <w:rFonts w:hint="eastAsia"/>
          <w:lang w:eastAsia="zh-CN"/>
        </w:rPr>
        <w:t>m³</w:t>
      </w:r>
      <w:r>
        <w:rPr>
          <w:rFonts w:hint="default"/>
        </w:rPr>
        <w:t>/a（</w:t>
      </w:r>
      <w:r>
        <w:rPr>
          <w:rFonts w:hint="eastAsia"/>
          <w:lang w:val="en-US" w:eastAsia="zh-CN"/>
        </w:rPr>
        <w:t>4.2</w:t>
      </w:r>
      <w:r>
        <w:rPr>
          <w:rFonts w:hint="eastAsia"/>
          <w:lang w:eastAsia="zh-CN"/>
        </w:rPr>
        <w:t>m³</w:t>
      </w:r>
      <w:r>
        <w:rPr>
          <w:rFonts w:hint="default"/>
        </w:rPr>
        <w:t>/d），生活污水产生量约为</w:t>
      </w:r>
      <w:r>
        <w:rPr>
          <w:rFonts w:hint="eastAsia"/>
          <w:lang w:val="en-US" w:eastAsia="zh-CN"/>
        </w:rPr>
        <w:t>1108.8</w:t>
      </w:r>
      <w:r>
        <w:rPr>
          <w:rFonts w:hint="eastAsia"/>
          <w:lang w:eastAsia="zh-CN"/>
        </w:rPr>
        <w:t>m³</w:t>
      </w:r>
      <w:r>
        <w:rPr>
          <w:rFonts w:hint="default"/>
        </w:rPr>
        <w:t>/a（</w:t>
      </w:r>
      <w:r>
        <w:rPr>
          <w:rFonts w:hint="eastAsia"/>
          <w:lang w:val="en-US" w:eastAsia="zh-CN"/>
        </w:rPr>
        <w:t>3.36</w:t>
      </w:r>
      <w:r>
        <w:rPr>
          <w:rFonts w:hint="eastAsia"/>
          <w:lang w:eastAsia="zh-CN"/>
        </w:rPr>
        <w:t>m³</w:t>
      </w:r>
      <w:r>
        <w:rPr>
          <w:rFonts w:hint="default"/>
        </w:rPr>
        <w:t>/d），经</w:t>
      </w:r>
      <w:r>
        <w:rPr>
          <w:rFonts w:hint="eastAsia"/>
          <w:lang w:val="en-US" w:eastAsia="zh-CN"/>
        </w:rPr>
        <w:t>抽运至二工镇</w:t>
      </w:r>
      <w:r>
        <w:rPr>
          <w:rFonts w:hint="eastAsia"/>
          <w:lang w:eastAsia="zh-CN"/>
        </w:rPr>
        <w:t>污水处理厂</w:t>
      </w:r>
      <w:r>
        <w:rPr>
          <w:rFonts w:hint="eastAsia"/>
          <w:lang w:val="en-US" w:eastAsia="zh-CN"/>
        </w:rPr>
        <w:t>处理后</w:t>
      </w:r>
      <w:r>
        <w:rPr>
          <w:rFonts w:hint="default"/>
        </w:rPr>
        <w:t>达到一级A</w:t>
      </w:r>
      <w:r>
        <w:rPr>
          <w:rFonts w:hint="default"/>
          <w:lang w:eastAsia="zh-CN"/>
        </w:rPr>
        <w:t>，</w:t>
      </w:r>
      <w:r>
        <w:rPr>
          <w:rFonts w:hint="default"/>
          <w:lang w:val="en-US" w:eastAsia="zh-CN"/>
        </w:rPr>
        <w:t>用于生态林灌溉</w:t>
      </w:r>
      <w:r>
        <w:rPr>
          <w:rFonts w:hint="default"/>
        </w:rPr>
        <w:t>。</w:t>
      </w:r>
    </w:p>
    <w:p>
      <w:pPr>
        <w:bidi w:val="0"/>
        <w:rPr>
          <w:rFonts w:hint="default"/>
        </w:rPr>
      </w:pPr>
      <w:r>
        <w:rPr>
          <w:rFonts w:hint="default"/>
        </w:rPr>
        <w:t>本项目水平衡见表3.7-2。</w:t>
      </w:r>
    </w:p>
    <w:p>
      <w:pPr>
        <w:pStyle w:val="17"/>
        <w:bidi w:val="0"/>
        <w:rPr>
          <w:rFonts w:hint="default"/>
          <w:b/>
          <w:bCs/>
        </w:rPr>
      </w:pPr>
      <w:r>
        <w:rPr>
          <w:rFonts w:hint="default"/>
          <w:b/>
          <w:bCs/>
        </w:rPr>
        <w:t xml:space="preserve">表3.7-2  </w:t>
      </w:r>
      <w:r>
        <w:rPr>
          <w:rFonts w:hint="eastAsia"/>
          <w:b/>
          <w:bCs/>
          <w:lang w:val="en-US" w:eastAsia="zh-CN"/>
        </w:rPr>
        <w:t xml:space="preserve"> </w:t>
      </w:r>
      <w:r>
        <w:rPr>
          <w:rFonts w:hint="default"/>
          <w:b/>
          <w:bCs/>
        </w:rPr>
        <w:t>本项目水平衡表（单位</w:t>
      </w:r>
      <w:r>
        <w:rPr>
          <w:rFonts w:hint="eastAsia"/>
          <w:b/>
          <w:bCs/>
          <w:lang w:eastAsia="zh-CN"/>
        </w:rPr>
        <w:t>m³</w:t>
      </w:r>
      <w:r>
        <w:rPr>
          <w:rFonts w:hint="default"/>
          <w:b/>
          <w:bCs/>
        </w:rPr>
        <w:t>/d）</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6"/>
        <w:gridCol w:w="955"/>
        <w:gridCol w:w="886"/>
        <w:gridCol w:w="1042"/>
        <w:gridCol w:w="1085"/>
        <w:gridCol w:w="818"/>
        <w:gridCol w:w="26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76" w:type="dxa"/>
            <w:vMerge w:val="restart"/>
            <w:tcBorders>
              <w:tl2br w:val="nil"/>
              <w:tr2bl w:val="nil"/>
            </w:tcBorders>
            <w:vAlign w:val="center"/>
          </w:tcPr>
          <w:p>
            <w:pPr>
              <w:pStyle w:val="17"/>
              <w:bidi w:val="0"/>
              <w:rPr>
                <w:rFonts w:hint="default"/>
                <w:b/>
                <w:bCs/>
              </w:rPr>
            </w:pPr>
            <w:r>
              <w:rPr>
                <w:rFonts w:hint="default"/>
                <w:b/>
                <w:bCs/>
              </w:rPr>
              <w:t>用水项目</w:t>
            </w:r>
          </w:p>
        </w:tc>
        <w:tc>
          <w:tcPr>
            <w:tcW w:w="1841" w:type="dxa"/>
            <w:gridSpan w:val="2"/>
            <w:tcBorders>
              <w:tl2br w:val="nil"/>
              <w:tr2bl w:val="nil"/>
            </w:tcBorders>
            <w:vAlign w:val="center"/>
          </w:tcPr>
          <w:p>
            <w:pPr>
              <w:pStyle w:val="17"/>
              <w:bidi w:val="0"/>
              <w:rPr>
                <w:rFonts w:hint="default"/>
                <w:b/>
                <w:bCs/>
              </w:rPr>
            </w:pPr>
            <w:r>
              <w:rPr>
                <w:rFonts w:hint="default"/>
                <w:b/>
                <w:bCs/>
              </w:rPr>
              <w:t>进水</w:t>
            </w:r>
          </w:p>
        </w:tc>
        <w:tc>
          <w:tcPr>
            <w:tcW w:w="2945" w:type="dxa"/>
            <w:gridSpan w:val="3"/>
            <w:tcBorders>
              <w:tl2br w:val="nil"/>
              <w:tr2bl w:val="nil"/>
            </w:tcBorders>
            <w:vAlign w:val="center"/>
          </w:tcPr>
          <w:p>
            <w:pPr>
              <w:pStyle w:val="17"/>
              <w:bidi w:val="0"/>
              <w:rPr>
                <w:rFonts w:hint="default"/>
                <w:b/>
                <w:bCs/>
              </w:rPr>
            </w:pPr>
            <w:r>
              <w:rPr>
                <w:rFonts w:hint="default"/>
                <w:b/>
                <w:bCs/>
              </w:rPr>
              <w:t>排水</w:t>
            </w:r>
          </w:p>
        </w:tc>
        <w:tc>
          <w:tcPr>
            <w:tcW w:w="2609" w:type="dxa"/>
            <w:vMerge w:val="restart"/>
            <w:tcBorders>
              <w:tl2br w:val="nil"/>
              <w:tr2bl w:val="nil"/>
            </w:tcBorders>
            <w:vAlign w:val="center"/>
          </w:tcPr>
          <w:p>
            <w:pPr>
              <w:pStyle w:val="17"/>
              <w:bidi w:val="0"/>
              <w:rPr>
                <w:rFonts w:hint="default"/>
                <w:b/>
                <w:bCs/>
              </w:rPr>
            </w:pPr>
            <w:r>
              <w:rPr>
                <w:rFonts w:hint="default"/>
                <w:b/>
                <w:bCs/>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76" w:type="dxa"/>
            <w:vMerge w:val="continue"/>
            <w:tcBorders>
              <w:tl2br w:val="nil"/>
              <w:tr2bl w:val="nil"/>
            </w:tcBorders>
            <w:vAlign w:val="center"/>
          </w:tcPr>
          <w:p>
            <w:pPr>
              <w:pStyle w:val="17"/>
              <w:bidi w:val="0"/>
              <w:rPr>
                <w:rFonts w:hint="default"/>
                <w:b/>
                <w:bCs/>
              </w:rPr>
            </w:pPr>
          </w:p>
        </w:tc>
        <w:tc>
          <w:tcPr>
            <w:tcW w:w="955" w:type="dxa"/>
            <w:tcBorders>
              <w:tl2br w:val="nil"/>
              <w:tr2bl w:val="nil"/>
            </w:tcBorders>
            <w:vAlign w:val="center"/>
          </w:tcPr>
          <w:p>
            <w:pPr>
              <w:pStyle w:val="17"/>
              <w:bidi w:val="0"/>
              <w:rPr>
                <w:rFonts w:hint="default"/>
                <w:b/>
                <w:bCs/>
              </w:rPr>
            </w:pPr>
            <w:r>
              <w:rPr>
                <w:rFonts w:hint="default"/>
                <w:b/>
                <w:bCs/>
              </w:rPr>
              <w:t>新鲜水</w:t>
            </w:r>
          </w:p>
        </w:tc>
        <w:tc>
          <w:tcPr>
            <w:tcW w:w="886" w:type="dxa"/>
            <w:tcBorders>
              <w:tl2br w:val="nil"/>
              <w:tr2bl w:val="nil"/>
            </w:tcBorders>
            <w:vAlign w:val="center"/>
          </w:tcPr>
          <w:p>
            <w:pPr>
              <w:pStyle w:val="17"/>
              <w:bidi w:val="0"/>
              <w:rPr>
                <w:rFonts w:hint="default"/>
                <w:b/>
                <w:bCs/>
              </w:rPr>
            </w:pPr>
            <w:r>
              <w:rPr>
                <w:rFonts w:hint="default"/>
                <w:b/>
                <w:bCs/>
              </w:rPr>
              <w:t>循环水</w:t>
            </w:r>
          </w:p>
        </w:tc>
        <w:tc>
          <w:tcPr>
            <w:tcW w:w="1042" w:type="dxa"/>
            <w:tcBorders>
              <w:tl2br w:val="nil"/>
              <w:tr2bl w:val="nil"/>
            </w:tcBorders>
            <w:vAlign w:val="center"/>
          </w:tcPr>
          <w:p>
            <w:pPr>
              <w:pStyle w:val="17"/>
              <w:bidi w:val="0"/>
              <w:rPr>
                <w:rFonts w:hint="default"/>
                <w:b/>
                <w:bCs/>
              </w:rPr>
            </w:pPr>
            <w:r>
              <w:rPr>
                <w:rFonts w:hint="default"/>
                <w:b/>
                <w:bCs/>
              </w:rPr>
              <w:t>损耗水量</w:t>
            </w:r>
          </w:p>
        </w:tc>
        <w:tc>
          <w:tcPr>
            <w:tcW w:w="1085" w:type="dxa"/>
            <w:tcBorders>
              <w:tl2br w:val="nil"/>
              <w:tr2bl w:val="nil"/>
            </w:tcBorders>
            <w:vAlign w:val="center"/>
          </w:tcPr>
          <w:p>
            <w:pPr>
              <w:pStyle w:val="17"/>
              <w:bidi w:val="0"/>
              <w:rPr>
                <w:rFonts w:hint="default"/>
                <w:b/>
                <w:bCs/>
              </w:rPr>
            </w:pPr>
            <w:r>
              <w:rPr>
                <w:rFonts w:hint="default"/>
                <w:b/>
                <w:bCs/>
              </w:rPr>
              <w:t>循环水量</w:t>
            </w:r>
          </w:p>
        </w:tc>
        <w:tc>
          <w:tcPr>
            <w:tcW w:w="818" w:type="dxa"/>
            <w:tcBorders>
              <w:tl2br w:val="nil"/>
              <w:tr2bl w:val="nil"/>
            </w:tcBorders>
            <w:vAlign w:val="center"/>
          </w:tcPr>
          <w:p>
            <w:pPr>
              <w:pStyle w:val="17"/>
              <w:bidi w:val="0"/>
              <w:rPr>
                <w:rFonts w:hint="default"/>
                <w:b/>
                <w:bCs/>
              </w:rPr>
            </w:pPr>
            <w:r>
              <w:rPr>
                <w:rFonts w:hint="default"/>
                <w:b/>
                <w:bCs/>
              </w:rPr>
              <w:t>排水量</w:t>
            </w:r>
          </w:p>
        </w:tc>
        <w:tc>
          <w:tcPr>
            <w:tcW w:w="2609" w:type="dxa"/>
            <w:vMerge w:val="continue"/>
            <w:tcBorders>
              <w:tl2br w:val="nil"/>
              <w:tr2bl w:val="nil"/>
            </w:tcBorders>
            <w:vAlign w:val="center"/>
          </w:tcPr>
          <w:p>
            <w:pPr>
              <w:pStyle w:val="17"/>
              <w:bidi w:val="0"/>
              <w:rPr>
                <w:rFonts w:hint="default"/>
                <w:b/>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76" w:type="dxa"/>
            <w:tcBorders>
              <w:tl2br w:val="nil"/>
              <w:tr2bl w:val="nil"/>
            </w:tcBorders>
            <w:vAlign w:val="center"/>
          </w:tcPr>
          <w:p>
            <w:pPr>
              <w:pStyle w:val="17"/>
              <w:bidi w:val="0"/>
              <w:ind w:firstLine="0" w:firstLineChars="0"/>
              <w:rPr>
                <w:rFonts w:hint="default"/>
              </w:rPr>
            </w:pPr>
            <w:r>
              <w:rPr>
                <w:rFonts w:hint="default"/>
              </w:rPr>
              <w:t>冷却循环水</w:t>
            </w:r>
          </w:p>
        </w:tc>
        <w:tc>
          <w:tcPr>
            <w:tcW w:w="955" w:type="dxa"/>
            <w:tcBorders>
              <w:tl2br w:val="nil"/>
              <w:tr2bl w:val="nil"/>
            </w:tcBorders>
            <w:vAlign w:val="center"/>
          </w:tcPr>
          <w:p>
            <w:pPr>
              <w:pStyle w:val="17"/>
              <w:bidi w:val="0"/>
              <w:ind w:firstLine="0" w:firstLineChars="0"/>
              <w:rPr>
                <w:rFonts w:hint="default"/>
              </w:rPr>
            </w:pPr>
            <w:r>
              <w:rPr>
                <w:rFonts w:hint="default"/>
              </w:rPr>
              <w:t>0.12</w:t>
            </w:r>
          </w:p>
        </w:tc>
        <w:tc>
          <w:tcPr>
            <w:tcW w:w="886" w:type="dxa"/>
            <w:tcBorders>
              <w:tl2br w:val="nil"/>
              <w:tr2bl w:val="nil"/>
            </w:tcBorders>
            <w:vAlign w:val="center"/>
          </w:tcPr>
          <w:p>
            <w:pPr>
              <w:pStyle w:val="17"/>
              <w:bidi w:val="0"/>
              <w:ind w:firstLine="0" w:firstLineChars="0"/>
              <w:rPr>
                <w:rFonts w:hint="default"/>
              </w:rPr>
            </w:pPr>
            <w:r>
              <w:rPr>
                <w:rFonts w:hint="default"/>
              </w:rPr>
              <w:t>2.28</w:t>
            </w:r>
          </w:p>
        </w:tc>
        <w:tc>
          <w:tcPr>
            <w:tcW w:w="1042" w:type="dxa"/>
            <w:tcBorders>
              <w:tl2br w:val="nil"/>
              <w:tr2bl w:val="nil"/>
            </w:tcBorders>
            <w:vAlign w:val="center"/>
          </w:tcPr>
          <w:p>
            <w:pPr>
              <w:pStyle w:val="17"/>
              <w:bidi w:val="0"/>
              <w:ind w:firstLine="0" w:firstLineChars="0"/>
              <w:rPr>
                <w:rFonts w:hint="default"/>
              </w:rPr>
            </w:pPr>
            <w:r>
              <w:rPr>
                <w:rFonts w:hint="default"/>
              </w:rPr>
              <w:t>0.12</w:t>
            </w:r>
          </w:p>
        </w:tc>
        <w:tc>
          <w:tcPr>
            <w:tcW w:w="1085" w:type="dxa"/>
            <w:tcBorders>
              <w:tl2br w:val="nil"/>
              <w:tr2bl w:val="nil"/>
            </w:tcBorders>
            <w:vAlign w:val="center"/>
          </w:tcPr>
          <w:p>
            <w:pPr>
              <w:pStyle w:val="17"/>
              <w:bidi w:val="0"/>
              <w:ind w:firstLine="0" w:firstLineChars="0"/>
              <w:rPr>
                <w:rFonts w:hint="default"/>
              </w:rPr>
            </w:pPr>
            <w:r>
              <w:rPr>
                <w:rFonts w:hint="default"/>
              </w:rPr>
              <w:t>2.28</w:t>
            </w:r>
          </w:p>
        </w:tc>
        <w:tc>
          <w:tcPr>
            <w:tcW w:w="818" w:type="dxa"/>
            <w:tcBorders>
              <w:tl2br w:val="nil"/>
              <w:tr2bl w:val="nil"/>
            </w:tcBorders>
            <w:vAlign w:val="center"/>
          </w:tcPr>
          <w:p>
            <w:pPr>
              <w:pStyle w:val="17"/>
              <w:bidi w:val="0"/>
              <w:ind w:firstLine="0" w:firstLineChars="0"/>
              <w:rPr>
                <w:rFonts w:hint="default"/>
              </w:rPr>
            </w:pPr>
            <w:r>
              <w:rPr>
                <w:rFonts w:hint="default"/>
              </w:rPr>
              <w:t>0</w:t>
            </w:r>
          </w:p>
        </w:tc>
        <w:tc>
          <w:tcPr>
            <w:tcW w:w="2609" w:type="dxa"/>
            <w:tcBorders>
              <w:tl2br w:val="nil"/>
              <w:tr2bl w:val="nil"/>
            </w:tcBorders>
            <w:vAlign w:val="center"/>
          </w:tcPr>
          <w:p>
            <w:pPr>
              <w:pStyle w:val="17"/>
              <w:bidi w:val="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76" w:type="dxa"/>
            <w:tcBorders>
              <w:tl2br w:val="nil"/>
              <w:tr2bl w:val="nil"/>
            </w:tcBorders>
            <w:vAlign w:val="center"/>
          </w:tcPr>
          <w:p>
            <w:pPr>
              <w:pStyle w:val="17"/>
              <w:bidi w:val="0"/>
              <w:ind w:firstLine="0" w:firstLineChars="0"/>
              <w:rPr>
                <w:rFonts w:hint="default"/>
              </w:rPr>
            </w:pPr>
            <w:r>
              <w:rPr>
                <w:rFonts w:hint="default"/>
              </w:rPr>
              <w:t>破碎机喷洒用水</w:t>
            </w:r>
          </w:p>
        </w:tc>
        <w:tc>
          <w:tcPr>
            <w:tcW w:w="955" w:type="dxa"/>
            <w:tcBorders>
              <w:tl2br w:val="nil"/>
              <w:tr2bl w:val="nil"/>
            </w:tcBorders>
            <w:vAlign w:val="center"/>
          </w:tcPr>
          <w:p>
            <w:pPr>
              <w:pStyle w:val="17"/>
              <w:bidi w:val="0"/>
              <w:ind w:firstLine="0" w:firstLineChars="0"/>
              <w:rPr>
                <w:rFonts w:hint="default"/>
              </w:rPr>
            </w:pPr>
            <w:r>
              <w:rPr>
                <w:rFonts w:hint="default"/>
              </w:rPr>
              <w:t>0.45</w:t>
            </w:r>
          </w:p>
        </w:tc>
        <w:tc>
          <w:tcPr>
            <w:tcW w:w="886" w:type="dxa"/>
            <w:tcBorders>
              <w:tl2br w:val="nil"/>
              <w:tr2bl w:val="nil"/>
            </w:tcBorders>
            <w:vAlign w:val="center"/>
          </w:tcPr>
          <w:p>
            <w:pPr>
              <w:pStyle w:val="17"/>
              <w:bidi w:val="0"/>
              <w:ind w:firstLine="0" w:firstLineChars="0"/>
              <w:rPr>
                <w:rFonts w:hint="default"/>
              </w:rPr>
            </w:pPr>
            <w:r>
              <w:rPr>
                <w:rFonts w:hint="default"/>
              </w:rPr>
              <w:t>1.50</w:t>
            </w:r>
          </w:p>
        </w:tc>
        <w:tc>
          <w:tcPr>
            <w:tcW w:w="1042" w:type="dxa"/>
            <w:tcBorders>
              <w:tl2br w:val="nil"/>
              <w:tr2bl w:val="nil"/>
            </w:tcBorders>
            <w:vAlign w:val="center"/>
          </w:tcPr>
          <w:p>
            <w:pPr>
              <w:pStyle w:val="17"/>
              <w:bidi w:val="0"/>
              <w:ind w:firstLine="0" w:firstLineChars="0"/>
              <w:rPr>
                <w:rFonts w:hint="default"/>
              </w:rPr>
            </w:pPr>
            <w:r>
              <w:rPr>
                <w:rFonts w:hint="default"/>
              </w:rPr>
              <w:t>0.45</w:t>
            </w:r>
          </w:p>
        </w:tc>
        <w:tc>
          <w:tcPr>
            <w:tcW w:w="1085" w:type="dxa"/>
            <w:tcBorders>
              <w:tl2br w:val="nil"/>
              <w:tr2bl w:val="nil"/>
            </w:tcBorders>
            <w:vAlign w:val="center"/>
          </w:tcPr>
          <w:p>
            <w:pPr>
              <w:pStyle w:val="17"/>
              <w:bidi w:val="0"/>
              <w:ind w:firstLine="0" w:firstLineChars="0"/>
              <w:rPr>
                <w:rFonts w:hint="default"/>
              </w:rPr>
            </w:pPr>
            <w:r>
              <w:rPr>
                <w:rFonts w:hint="default"/>
              </w:rPr>
              <w:t>1.50</w:t>
            </w:r>
          </w:p>
        </w:tc>
        <w:tc>
          <w:tcPr>
            <w:tcW w:w="818" w:type="dxa"/>
            <w:tcBorders>
              <w:tl2br w:val="nil"/>
              <w:tr2bl w:val="nil"/>
            </w:tcBorders>
            <w:vAlign w:val="center"/>
          </w:tcPr>
          <w:p>
            <w:pPr>
              <w:pStyle w:val="17"/>
              <w:bidi w:val="0"/>
              <w:ind w:firstLine="0" w:firstLineChars="0"/>
              <w:rPr>
                <w:rFonts w:hint="default"/>
              </w:rPr>
            </w:pPr>
            <w:r>
              <w:rPr>
                <w:rFonts w:hint="default"/>
              </w:rPr>
              <w:t>0</w:t>
            </w:r>
          </w:p>
        </w:tc>
        <w:tc>
          <w:tcPr>
            <w:tcW w:w="2609" w:type="dxa"/>
            <w:tcBorders>
              <w:tl2br w:val="nil"/>
              <w:tr2bl w:val="nil"/>
            </w:tcBorders>
            <w:vAlign w:val="center"/>
          </w:tcPr>
          <w:p>
            <w:pPr>
              <w:pStyle w:val="17"/>
              <w:bidi w:val="0"/>
              <w:rPr>
                <w:rFonts w:hint="default" w:eastAsia="宋体"/>
                <w:lang w:val="en-US" w:eastAsia="zh-CN"/>
              </w:rPr>
            </w:pPr>
            <w:r>
              <w:rPr>
                <w:rFonts w:hint="default"/>
              </w:rPr>
              <w:t>沉淀池</w:t>
            </w:r>
            <w:r>
              <w:rPr>
                <w:rFonts w:hint="eastAsia"/>
                <w:lang w:val="en-US" w:eastAsia="zh-CN"/>
              </w:rPr>
              <w:t>及污水处理设备净化后循环使用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76" w:type="dxa"/>
            <w:tcBorders>
              <w:tl2br w:val="nil"/>
              <w:tr2bl w:val="nil"/>
            </w:tcBorders>
            <w:vAlign w:val="center"/>
          </w:tcPr>
          <w:p>
            <w:pPr>
              <w:pStyle w:val="17"/>
              <w:bidi w:val="0"/>
              <w:ind w:firstLine="0" w:firstLineChars="0"/>
              <w:rPr>
                <w:rFonts w:hint="default"/>
              </w:rPr>
            </w:pPr>
            <w:r>
              <w:rPr>
                <w:rFonts w:hint="default"/>
              </w:rPr>
              <w:t>原料清洗用水</w:t>
            </w:r>
          </w:p>
        </w:tc>
        <w:tc>
          <w:tcPr>
            <w:tcW w:w="955" w:type="dxa"/>
            <w:tcBorders>
              <w:tl2br w:val="nil"/>
              <w:tr2bl w:val="nil"/>
            </w:tcBorders>
            <w:vAlign w:val="center"/>
          </w:tcPr>
          <w:p>
            <w:pPr>
              <w:pStyle w:val="17"/>
              <w:bidi w:val="0"/>
              <w:ind w:firstLine="0" w:firstLineChars="0"/>
              <w:rPr>
                <w:rFonts w:hint="default"/>
              </w:rPr>
            </w:pPr>
            <w:r>
              <w:rPr>
                <w:rFonts w:hint="default"/>
              </w:rPr>
              <w:t>1.85</w:t>
            </w:r>
          </w:p>
        </w:tc>
        <w:tc>
          <w:tcPr>
            <w:tcW w:w="886" w:type="dxa"/>
            <w:tcBorders>
              <w:tl2br w:val="nil"/>
              <w:tr2bl w:val="nil"/>
            </w:tcBorders>
            <w:vAlign w:val="center"/>
          </w:tcPr>
          <w:p>
            <w:pPr>
              <w:pStyle w:val="17"/>
              <w:bidi w:val="0"/>
              <w:ind w:firstLine="0" w:firstLineChars="0"/>
              <w:rPr>
                <w:rFonts w:hint="default"/>
              </w:rPr>
            </w:pPr>
            <w:r>
              <w:rPr>
                <w:rFonts w:hint="eastAsia"/>
                <w:lang w:val="en-US" w:eastAsia="zh-CN"/>
              </w:rPr>
              <w:t>46.25</w:t>
            </w:r>
          </w:p>
        </w:tc>
        <w:tc>
          <w:tcPr>
            <w:tcW w:w="1042" w:type="dxa"/>
            <w:tcBorders>
              <w:tl2br w:val="nil"/>
              <w:tr2bl w:val="nil"/>
            </w:tcBorders>
            <w:vAlign w:val="center"/>
          </w:tcPr>
          <w:p>
            <w:pPr>
              <w:pStyle w:val="17"/>
              <w:bidi w:val="0"/>
              <w:ind w:firstLine="0" w:firstLineChars="0"/>
              <w:rPr>
                <w:rFonts w:hint="default"/>
              </w:rPr>
            </w:pPr>
            <w:r>
              <w:rPr>
                <w:rFonts w:hint="default"/>
              </w:rPr>
              <w:t>1.85</w:t>
            </w:r>
          </w:p>
        </w:tc>
        <w:tc>
          <w:tcPr>
            <w:tcW w:w="1085" w:type="dxa"/>
            <w:tcBorders>
              <w:tl2br w:val="nil"/>
              <w:tr2bl w:val="nil"/>
            </w:tcBorders>
            <w:vAlign w:val="center"/>
          </w:tcPr>
          <w:p>
            <w:pPr>
              <w:pStyle w:val="17"/>
              <w:bidi w:val="0"/>
              <w:ind w:firstLine="0" w:firstLineChars="0"/>
              <w:rPr>
                <w:rFonts w:hint="default"/>
              </w:rPr>
            </w:pPr>
            <w:r>
              <w:rPr>
                <w:rFonts w:hint="eastAsia"/>
                <w:lang w:val="en-US" w:eastAsia="zh-CN"/>
              </w:rPr>
              <w:t>100</w:t>
            </w:r>
          </w:p>
        </w:tc>
        <w:tc>
          <w:tcPr>
            <w:tcW w:w="818" w:type="dxa"/>
            <w:tcBorders>
              <w:tl2br w:val="nil"/>
              <w:tr2bl w:val="nil"/>
            </w:tcBorders>
            <w:vAlign w:val="center"/>
          </w:tcPr>
          <w:p>
            <w:pPr>
              <w:pStyle w:val="17"/>
              <w:bidi w:val="0"/>
              <w:ind w:firstLine="0" w:firstLineChars="0"/>
              <w:rPr>
                <w:rFonts w:hint="default"/>
              </w:rPr>
            </w:pPr>
            <w:r>
              <w:rPr>
                <w:rFonts w:hint="default"/>
              </w:rPr>
              <w:t>0</w:t>
            </w:r>
          </w:p>
        </w:tc>
        <w:tc>
          <w:tcPr>
            <w:tcW w:w="2609" w:type="dxa"/>
            <w:tcBorders>
              <w:tl2br w:val="nil"/>
              <w:tr2bl w:val="nil"/>
            </w:tcBorders>
            <w:vAlign w:val="center"/>
          </w:tcPr>
          <w:p>
            <w:pPr>
              <w:pStyle w:val="17"/>
              <w:bidi w:val="0"/>
              <w:rPr>
                <w:rFonts w:hint="default"/>
              </w:rPr>
            </w:pPr>
            <w:r>
              <w:rPr>
                <w:rFonts w:hint="default"/>
              </w:rPr>
              <w:t>沉淀池</w:t>
            </w:r>
            <w:r>
              <w:rPr>
                <w:rFonts w:hint="eastAsia"/>
                <w:lang w:val="en-US" w:eastAsia="zh-CN"/>
              </w:rPr>
              <w:t>及污水处理设备净化后循环使用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76" w:type="dxa"/>
            <w:tcBorders>
              <w:tl2br w:val="nil"/>
              <w:tr2bl w:val="nil"/>
            </w:tcBorders>
            <w:vAlign w:val="center"/>
          </w:tcPr>
          <w:p>
            <w:pPr>
              <w:pStyle w:val="17"/>
              <w:bidi w:val="0"/>
              <w:ind w:firstLine="0" w:firstLineChars="0"/>
              <w:rPr>
                <w:rFonts w:hint="default"/>
              </w:rPr>
            </w:pPr>
            <w:r>
              <w:rPr>
                <w:rFonts w:hint="default"/>
              </w:rPr>
              <w:t>地面冲洗</w:t>
            </w:r>
          </w:p>
        </w:tc>
        <w:tc>
          <w:tcPr>
            <w:tcW w:w="955" w:type="dxa"/>
            <w:tcBorders>
              <w:tl2br w:val="nil"/>
              <w:tr2bl w:val="nil"/>
            </w:tcBorders>
            <w:vAlign w:val="center"/>
          </w:tcPr>
          <w:p>
            <w:pPr>
              <w:pStyle w:val="17"/>
              <w:bidi w:val="0"/>
              <w:ind w:firstLine="0" w:firstLineChars="0"/>
              <w:rPr>
                <w:rFonts w:hint="default"/>
              </w:rPr>
            </w:pPr>
            <w:r>
              <w:rPr>
                <w:rFonts w:hint="eastAsia"/>
                <w:lang w:val="en-US" w:eastAsia="zh-CN"/>
              </w:rPr>
              <w:t>--</w:t>
            </w:r>
          </w:p>
        </w:tc>
        <w:tc>
          <w:tcPr>
            <w:tcW w:w="886" w:type="dxa"/>
            <w:tcBorders>
              <w:tl2br w:val="nil"/>
              <w:tr2bl w:val="nil"/>
            </w:tcBorders>
            <w:vAlign w:val="center"/>
          </w:tcPr>
          <w:p>
            <w:pPr>
              <w:pStyle w:val="17"/>
              <w:bidi w:val="0"/>
              <w:ind w:firstLine="0" w:firstLineChars="0"/>
              <w:rPr>
                <w:rFonts w:hint="default"/>
              </w:rPr>
            </w:pPr>
            <w:r>
              <w:rPr>
                <w:rFonts w:hint="default"/>
              </w:rPr>
              <w:t>0.17</w:t>
            </w:r>
          </w:p>
        </w:tc>
        <w:tc>
          <w:tcPr>
            <w:tcW w:w="1042" w:type="dxa"/>
            <w:tcBorders>
              <w:tl2br w:val="nil"/>
              <w:tr2bl w:val="nil"/>
            </w:tcBorders>
            <w:vAlign w:val="center"/>
          </w:tcPr>
          <w:p>
            <w:pPr>
              <w:pStyle w:val="17"/>
              <w:bidi w:val="0"/>
              <w:ind w:firstLine="0" w:firstLineChars="0"/>
              <w:rPr>
                <w:rFonts w:hint="default"/>
              </w:rPr>
            </w:pPr>
            <w:r>
              <w:rPr>
                <w:rFonts w:hint="default"/>
              </w:rPr>
              <w:t>--</w:t>
            </w:r>
          </w:p>
        </w:tc>
        <w:tc>
          <w:tcPr>
            <w:tcW w:w="1085" w:type="dxa"/>
            <w:tcBorders>
              <w:tl2br w:val="nil"/>
              <w:tr2bl w:val="nil"/>
            </w:tcBorders>
            <w:vAlign w:val="center"/>
          </w:tcPr>
          <w:p>
            <w:pPr>
              <w:pStyle w:val="17"/>
              <w:bidi w:val="0"/>
              <w:ind w:firstLine="0" w:firstLineChars="0"/>
              <w:rPr>
                <w:rFonts w:hint="default"/>
              </w:rPr>
            </w:pPr>
            <w:r>
              <w:rPr>
                <w:rFonts w:hint="default"/>
              </w:rPr>
              <w:t>0.17</w:t>
            </w:r>
          </w:p>
        </w:tc>
        <w:tc>
          <w:tcPr>
            <w:tcW w:w="818" w:type="dxa"/>
            <w:tcBorders>
              <w:tl2br w:val="nil"/>
              <w:tr2bl w:val="nil"/>
            </w:tcBorders>
            <w:vAlign w:val="center"/>
          </w:tcPr>
          <w:p>
            <w:pPr>
              <w:pStyle w:val="17"/>
              <w:bidi w:val="0"/>
              <w:ind w:firstLine="0" w:firstLineChars="0"/>
              <w:rPr>
                <w:rFonts w:hint="default"/>
              </w:rPr>
            </w:pPr>
            <w:r>
              <w:rPr>
                <w:rFonts w:hint="default"/>
              </w:rPr>
              <w:t>0</w:t>
            </w:r>
          </w:p>
        </w:tc>
        <w:tc>
          <w:tcPr>
            <w:tcW w:w="2609" w:type="dxa"/>
            <w:tcBorders>
              <w:tl2br w:val="nil"/>
              <w:tr2bl w:val="nil"/>
            </w:tcBorders>
            <w:vAlign w:val="center"/>
          </w:tcPr>
          <w:p>
            <w:pPr>
              <w:pStyle w:val="17"/>
              <w:bidi w:val="0"/>
              <w:rPr>
                <w:rFonts w:hint="default"/>
              </w:rPr>
            </w:pPr>
            <w:r>
              <w:rPr>
                <w:rFonts w:hint="default"/>
              </w:rPr>
              <w:t>沉淀池</w:t>
            </w:r>
            <w:r>
              <w:rPr>
                <w:rFonts w:hint="eastAsia"/>
                <w:lang w:val="en-US" w:eastAsia="zh-CN"/>
              </w:rPr>
              <w:t>及污水处理设备净化后循环使用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76" w:type="dxa"/>
            <w:tcBorders>
              <w:tl2br w:val="nil"/>
              <w:tr2bl w:val="nil"/>
            </w:tcBorders>
            <w:vAlign w:val="center"/>
          </w:tcPr>
          <w:p>
            <w:pPr>
              <w:pStyle w:val="17"/>
              <w:bidi w:val="0"/>
              <w:ind w:firstLine="0" w:firstLineChars="0"/>
              <w:rPr>
                <w:rFonts w:hint="default"/>
              </w:rPr>
            </w:pPr>
            <w:r>
              <w:rPr>
                <w:rFonts w:hint="default"/>
              </w:rPr>
              <w:t>绿化用水</w:t>
            </w:r>
          </w:p>
        </w:tc>
        <w:tc>
          <w:tcPr>
            <w:tcW w:w="955" w:type="dxa"/>
            <w:tcBorders>
              <w:tl2br w:val="nil"/>
              <w:tr2bl w:val="nil"/>
            </w:tcBorders>
            <w:vAlign w:val="center"/>
          </w:tcPr>
          <w:p>
            <w:pPr>
              <w:pStyle w:val="17"/>
              <w:bidi w:val="0"/>
              <w:ind w:firstLine="0" w:firstLineChars="0"/>
              <w:rPr>
                <w:rFonts w:hint="default"/>
                <w:lang w:val="en-US" w:eastAsia="zh-CN"/>
              </w:rPr>
            </w:pPr>
            <w:r>
              <w:rPr>
                <w:rFonts w:hint="eastAsia"/>
                <w:lang w:val="en-US" w:eastAsia="zh-CN"/>
              </w:rPr>
              <w:t>2.48</w:t>
            </w:r>
          </w:p>
        </w:tc>
        <w:tc>
          <w:tcPr>
            <w:tcW w:w="886" w:type="dxa"/>
            <w:tcBorders>
              <w:tl2br w:val="nil"/>
              <w:tr2bl w:val="nil"/>
            </w:tcBorders>
            <w:vAlign w:val="center"/>
          </w:tcPr>
          <w:p>
            <w:pPr>
              <w:pStyle w:val="17"/>
              <w:bidi w:val="0"/>
              <w:ind w:firstLine="0" w:firstLineChars="0"/>
              <w:rPr>
                <w:rFonts w:hint="default"/>
              </w:rPr>
            </w:pPr>
            <w:r>
              <w:rPr>
                <w:rFonts w:hint="default"/>
              </w:rPr>
              <w:t>--</w:t>
            </w:r>
          </w:p>
        </w:tc>
        <w:tc>
          <w:tcPr>
            <w:tcW w:w="1042" w:type="dxa"/>
            <w:tcBorders>
              <w:tl2br w:val="nil"/>
              <w:tr2bl w:val="nil"/>
            </w:tcBorders>
            <w:vAlign w:val="center"/>
          </w:tcPr>
          <w:p>
            <w:pPr>
              <w:pStyle w:val="17"/>
              <w:bidi w:val="0"/>
              <w:ind w:firstLine="0" w:firstLineChars="0"/>
              <w:rPr>
                <w:rFonts w:hint="default"/>
                <w:lang w:val="en-US" w:eastAsia="zh-CN"/>
              </w:rPr>
            </w:pPr>
            <w:r>
              <w:rPr>
                <w:rFonts w:hint="eastAsia"/>
                <w:lang w:val="en-US" w:eastAsia="zh-CN"/>
              </w:rPr>
              <w:t>2.48</w:t>
            </w:r>
          </w:p>
        </w:tc>
        <w:tc>
          <w:tcPr>
            <w:tcW w:w="1085" w:type="dxa"/>
            <w:tcBorders>
              <w:tl2br w:val="nil"/>
              <w:tr2bl w:val="nil"/>
            </w:tcBorders>
            <w:vAlign w:val="center"/>
          </w:tcPr>
          <w:p>
            <w:pPr>
              <w:pStyle w:val="17"/>
              <w:bidi w:val="0"/>
              <w:ind w:firstLine="0" w:firstLineChars="0"/>
              <w:rPr>
                <w:rFonts w:hint="default"/>
              </w:rPr>
            </w:pPr>
            <w:r>
              <w:rPr>
                <w:rFonts w:hint="default"/>
              </w:rPr>
              <w:t>--</w:t>
            </w:r>
          </w:p>
        </w:tc>
        <w:tc>
          <w:tcPr>
            <w:tcW w:w="818" w:type="dxa"/>
            <w:tcBorders>
              <w:tl2br w:val="nil"/>
              <w:tr2bl w:val="nil"/>
            </w:tcBorders>
            <w:vAlign w:val="center"/>
          </w:tcPr>
          <w:p>
            <w:pPr>
              <w:pStyle w:val="17"/>
              <w:bidi w:val="0"/>
              <w:ind w:firstLine="0" w:firstLineChars="0"/>
              <w:rPr>
                <w:rFonts w:hint="default"/>
              </w:rPr>
            </w:pPr>
            <w:r>
              <w:rPr>
                <w:rFonts w:hint="default"/>
              </w:rPr>
              <w:t>0</w:t>
            </w:r>
          </w:p>
        </w:tc>
        <w:tc>
          <w:tcPr>
            <w:tcW w:w="2609" w:type="dxa"/>
            <w:tcBorders>
              <w:tl2br w:val="nil"/>
              <w:tr2bl w:val="nil"/>
            </w:tcBorders>
            <w:vAlign w:val="center"/>
          </w:tcPr>
          <w:p>
            <w:pPr>
              <w:pStyle w:val="17"/>
              <w:bidi w:val="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76" w:type="dxa"/>
            <w:tcBorders>
              <w:tl2br w:val="nil"/>
              <w:tr2bl w:val="nil"/>
            </w:tcBorders>
            <w:vAlign w:val="center"/>
          </w:tcPr>
          <w:p>
            <w:pPr>
              <w:pStyle w:val="17"/>
              <w:bidi w:val="0"/>
              <w:ind w:firstLine="0" w:firstLineChars="0"/>
              <w:rPr>
                <w:rFonts w:hint="default"/>
              </w:rPr>
            </w:pPr>
            <w:r>
              <w:rPr>
                <w:rFonts w:hint="default"/>
              </w:rPr>
              <w:t>生活用水</w:t>
            </w:r>
          </w:p>
        </w:tc>
        <w:tc>
          <w:tcPr>
            <w:tcW w:w="955" w:type="dxa"/>
            <w:tcBorders>
              <w:tl2br w:val="nil"/>
              <w:tr2bl w:val="nil"/>
            </w:tcBorders>
            <w:vAlign w:val="center"/>
          </w:tcPr>
          <w:p>
            <w:pPr>
              <w:pStyle w:val="17"/>
              <w:bidi w:val="0"/>
              <w:ind w:firstLine="0" w:firstLineChars="0"/>
              <w:rPr>
                <w:rFonts w:hint="default"/>
              </w:rPr>
            </w:pPr>
            <w:r>
              <w:rPr>
                <w:rFonts w:hint="eastAsia"/>
                <w:lang w:val="en-US" w:eastAsia="zh-CN"/>
              </w:rPr>
              <w:t>4.2</w:t>
            </w:r>
          </w:p>
        </w:tc>
        <w:tc>
          <w:tcPr>
            <w:tcW w:w="886" w:type="dxa"/>
            <w:tcBorders>
              <w:tl2br w:val="nil"/>
              <w:tr2bl w:val="nil"/>
            </w:tcBorders>
            <w:vAlign w:val="center"/>
          </w:tcPr>
          <w:p>
            <w:pPr>
              <w:pStyle w:val="17"/>
              <w:bidi w:val="0"/>
              <w:ind w:firstLine="0" w:firstLineChars="0"/>
              <w:rPr>
                <w:rFonts w:hint="default"/>
              </w:rPr>
            </w:pPr>
            <w:r>
              <w:rPr>
                <w:rFonts w:hint="default"/>
              </w:rPr>
              <w:t>--</w:t>
            </w:r>
          </w:p>
        </w:tc>
        <w:tc>
          <w:tcPr>
            <w:tcW w:w="1042" w:type="dxa"/>
            <w:tcBorders>
              <w:tl2br w:val="nil"/>
              <w:tr2bl w:val="nil"/>
            </w:tcBorders>
            <w:vAlign w:val="center"/>
          </w:tcPr>
          <w:p>
            <w:pPr>
              <w:pStyle w:val="17"/>
              <w:bidi w:val="0"/>
              <w:ind w:firstLine="0" w:firstLineChars="0"/>
              <w:rPr>
                <w:rFonts w:hint="default"/>
              </w:rPr>
            </w:pPr>
            <w:r>
              <w:rPr>
                <w:rFonts w:hint="eastAsia"/>
                <w:lang w:val="en-US" w:eastAsia="zh-CN"/>
              </w:rPr>
              <w:t>0.84</w:t>
            </w:r>
          </w:p>
        </w:tc>
        <w:tc>
          <w:tcPr>
            <w:tcW w:w="1085" w:type="dxa"/>
            <w:tcBorders>
              <w:tl2br w:val="nil"/>
              <w:tr2bl w:val="nil"/>
            </w:tcBorders>
            <w:vAlign w:val="center"/>
          </w:tcPr>
          <w:p>
            <w:pPr>
              <w:pStyle w:val="17"/>
              <w:bidi w:val="0"/>
              <w:ind w:firstLine="0" w:firstLineChars="0"/>
              <w:rPr>
                <w:rFonts w:hint="default"/>
              </w:rPr>
            </w:pPr>
            <w:r>
              <w:rPr>
                <w:rFonts w:hint="default"/>
              </w:rPr>
              <w:t>--</w:t>
            </w:r>
          </w:p>
        </w:tc>
        <w:tc>
          <w:tcPr>
            <w:tcW w:w="818" w:type="dxa"/>
            <w:tcBorders>
              <w:tl2br w:val="nil"/>
              <w:tr2bl w:val="nil"/>
            </w:tcBorders>
            <w:vAlign w:val="center"/>
          </w:tcPr>
          <w:p>
            <w:pPr>
              <w:pStyle w:val="17"/>
              <w:bidi w:val="0"/>
              <w:ind w:firstLine="0" w:firstLineChars="0"/>
              <w:rPr>
                <w:rFonts w:hint="default"/>
              </w:rPr>
            </w:pPr>
            <w:r>
              <w:rPr>
                <w:rFonts w:hint="eastAsia"/>
                <w:lang w:val="en-US" w:eastAsia="zh-CN"/>
              </w:rPr>
              <w:t>3.36</w:t>
            </w:r>
          </w:p>
        </w:tc>
        <w:tc>
          <w:tcPr>
            <w:tcW w:w="2609" w:type="dxa"/>
            <w:tcBorders>
              <w:tl2br w:val="nil"/>
              <w:tr2bl w:val="nil"/>
            </w:tcBorders>
            <w:vAlign w:val="center"/>
          </w:tcPr>
          <w:p>
            <w:pPr>
              <w:pStyle w:val="17"/>
              <w:bidi w:val="0"/>
              <w:rPr>
                <w:rFonts w:hint="default" w:eastAsia="宋体"/>
                <w:lang w:val="en-US" w:eastAsia="zh-CN"/>
              </w:rPr>
            </w:pPr>
            <w:r>
              <w:rPr>
                <w:rFonts w:hint="eastAsia"/>
                <w:lang w:val="en-US" w:eastAsia="zh-CN"/>
              </w:rPr>
              <w:t>抽运至吉木萨尔县二工镇污水处理厂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76" w:type="dxa"/>
            <w:tcBorders>
              <w:tl2br w:val="nil"/>
              <w:tr2bl w:val="nil"/>
            </w:tcBorders>
            <w:vAlign w:val="center"/>
          </w:tcPr>
          <w:p>
            <w:pPr>
              <w:pStyle w:val="17"/>
              <w:bidi w:val="0"/>
              <w:ind w:firstLine="0" w:firstLineChars="0"/>
              <w:rPr>
                <w:rFonts w:hint="default"/>
              </w:rPr>
            </w:pPr>
            <w:r>
              <w:rPr>
                <w:rFonts w:hint="default"/>
              </w:rPr>
              <w:t>合计</w:t>
            </w:r>
          </w:p>
        </w:tc>
        <w:tc>
          <w:tcPr>
            <w:tcW w:w="955" w:type="dxa"/>
            <w:tcBorders>
              <w:tl2br w:val="nil"/>
              <w:tr2bl w:val="nil"/>
            </w:tcBorders>
            <w:vAlign w:val="center"/>
          </w:tcPr>
          <w:p>
            <w:pPr>
              <w:pStyle w:val="17"/>
              <w:bidi w:val="0"/>
              <w:ind w:firstLine="0" w:firstLineChars="0"/>
              <w:rPr>
                <w:rFonts w:hint="default"/>
              </w:rPr>
            </w:pPr>
            <w:r>
              <w:rPr>
                <w:rFonts w:hint="eastAsia"/>
                <w:lang w:val="en-US" w:eastAsia="zh-CN"/>
              </w:rPr>
              <w:t>9.27</w:t>
            </w:r>
          </w:p>
        </w:tc>
        <w:tc>
          <w:tcPr>
            <w:tcW w:w="886" w:type="dxa"/>
            <w:tcBorders>
              <w:tl2br w:val="nil"/>
              <w:tr2bl w:val="nil"/>
            </w:tcBorders>
            <w:vAlign w:val="center"/>
          </w:tcPr>
          <w:p>
            <w:pPr>
              <w:pStyle w:val="17"/>
              <w:bidi w:val="0"/>
              <w:ind w:firstLine="0" w:firstLineChars="0"/>
              <w:rPr>
                <w:rFonts w:hint="default"/>
                <w:lang w:val="en-US"/>
              </w:rPr>
            </w:pPr>
            <w:r>
              <w:rPr>
                <w:rFonts w:hint="eastAsia"/>
                <w:lang w:val="en-US" w:eastAsia="zh-CN"/>
              </w:rPr>
              <w:t>50.2</w:t>
            </w:r>
          </w:p>
        </w:tc>
        <w:tc>
          <w:tcPr>
            <w:tcW w:w="1042" w:type="dxa"/>
            <w:tcBorders>
              <w:tl2br w:val="nil"/>
              <w:tr2bl w:val="nil"/>
            </w:tcBorders>
            <w:vAlign w:val="center"/>
          </w:tcPr>
          <w:p>
            <w:pPr>
              <w:pStyle w:val="17"/>
              <w:bidi w:val="0"/>
              <w:ind w:firstLine="0" w:firstLineChars="0"/>
              <w:rPr>
                <w:rFonts w:hint="default"/>
              </w:rPr>
            </w:pPr>
            <w:r>
              <w:rPr>
                <w:rFonts w:hint="eastAsia"/>
                <w:lang w:val="en-US" w:eastAsia="zh-CN"/>
              </w:rPr>
              <w:t>9.27</w:t>
            </w:r>
          </w:p>
        </w:tc>
        <w:tc>
          <w:tcPr>
            <w:tcW w:w="1085" w:type="dxa"/>
            <w:tcBorders>
              <w:tl2br w:val="nil"/>
              <w:tr2bl w:val="nil"/>
            </w:tcBorders>
            <w:vAlign w:val="center"/>
          </w:tcPr>
          <w:p>
            <w:pPr>
              <w:pStyle w:val="17"/>
              <w:bidi w:val="0"/>
              <w:ind w:firstLine="0" w:firstLineChars="0"/>
              <w:rPr>
                <w:rFonts w:hint="default"/>
              </w:rPr>
            </w:pPr>
            <w:r>
              <w:rPr>
                <w:rFonts w:hint="eastAsia"/>
                <w:lang w:val="en-US" w:eastAsia="zh-CN"/>
              </w:rPr>
              <w:t>50.2</w:t>
            </w:r>
          </w:p>
        </w:tc>
        <w:tc>
          <w:tcPr>
            <w:tcW w:w="818" w:type="dxa"/>
            <w:tcBorders>
              <w:tl2br w:val="nil"/>
              <w:tr2bl w:val="nil"/>
            </w:tcBorders>
            <w:vAlign w:val="center"/>
          </w:tcPr>
          <w:p>
            <w:pPr>
              <w:pStyle w:val="17"/>
              <w:bidi w:val="0"/>
              <w:ind w:firstLine="0" w:firstLineChars="0"/>
              <w:rPr>
                <w:rFonts w:hint="default"/>
              </w:rPr>
            </w:pPr>
            <w:r>
              <w:rPr>
                <w:rFonts w:hint="eastAsia"/>
                <w:lang w:val="en-US" w:eastAsia="zh-CN"/>
              </w:rPr>
              <w:t>3.36</w:t>
            </w:r>
          </w:p>
        </w:tc>
        <w:tc>
          <w:tcPr>
            <w:tcW w:w="2609" w:type="dxa"/>
            <w:tcBorders>
              <w:tl2br w:val="nil"/>
              <w:tr2bl w:val="nil"/>
            </w:tcBorders>
            <w:vAlign w:val="center"/>
          </w:tcPr>
          <w:p>
            <w:pPr>
              <w:pStyle w:val="17"/>
              <w:bidi w:val="0"/>
              <w:rPr>
                <w:rFonts w:hint="default"/>
              </w:rPr>
            </w:pPr>
            <w:r>
              <w:rPr>
                <w:rFonts w:hint="default"/>
              </w:rPr>
              <w:t>--</w:t>
            </w:r>
          </w:p>
        </w:tc>
      </w:tr>
    </w:tbl>
    <w:p>
      <w:pPr>
        <w:pStyle w:val="4"/>
        <w:bidi w:val="0"/>
        <w:rPr>
          <w:rFonts w:hint="default"/>
        </w:rPr>
      </w:pPr>
      <w:bookmarkStart w:id="109" w:name="_Toc22806"/>
      <w:bookmarkStart w:id="110" w:name="_Toc27671"/>
      <w:r>
        <w:rPr>
          <w:rFonts w:hint="default"/>
        </w:rPr>
        <w:t>3.8</w:t>
      </w:r>
      <w:r>
        <w:rPr>
          <w:rFonts w:hint="eastAsia"/>
          <w:lang w:eastAsia="zh-CN"/>
        </w:rPr>
        <w:t>、</w:t>
      </w:r>
      <w:r>
        <w:rPr>
          <w:rFonts w:hint="default"/>
        </w:rPr>
        <w:t>施工期污染源</w:t>
      </w:r>
      <w:bookmarkEnd w:id="109"/>
      <w:r>
        <w:rPr>
          <w:rFonts w:hint="default"/>
        </w:rPr>
        <w:t>及环境影响</w:t>
      </w:r>
      <w:bookmarkEnd w:id="110"/>
    </w:p>
    <w:p>
      <w:pPr>
        <w:pStyle w:val="5"/>
        <w:bidi w:val="0"/>
        <w:rPr>
          <w:rFonts w:hint="default"/>
        </w:rPr>
      </w:pPr>
      <w:r>
        <w:rPr>
          <w:rFonts w:hint="default"/>
        </w:rPr>
        <w:t>3.8.1</w:t>
      </w:r>
      <w:r>
        <w:rPr>
          <w:rFonts w:hint="eastAsia"/>
          <w:lang w:eastAsia="zh-CN"/>
        </w:rPr>
        <w:t>、</w:t>
      </w:r>
      <w:r>
        <w:rPr>
          <w:rFonts w:hint="default"/>
        </w:rPr>
        <w:t>施工期污染源</w:t>
      </w:r>
    </w:p>
    <w:p>
      <w:pPr>
        <w:bidi w:val="0"/>
        <w:rPr>
          <w:rFonts w:hint="default"/>
        </w:rPr>
      </w:pPr>
      <w:r>
        <w:rPr>
          <w:rFonts w:hint="default"/>
        </w:rPr>
        <w:t>施工期工程内容主要为厂房的建设及设备的安装，期间主要产生施工扬尘、噪声、建筑垃圾等，其生产工艺流程及产污节点见图3.8-1。</w:t>
      </w:r>
    </w:p>
    <w:p>
      <w:pPr>
        <w:bidi w:val="0"/>
        <w:jc w:val="center"/>
        <w:rPr>
          <w:rFonts w:hint="default"/>
          <w:b/>
          <w:bCs/>
        </w:rPr>
      </w:pPr>
      <w:r>
        <w:rPr>
          <w:rFonts w:hint="default"/>
          <w:b/>
          <w:bCs/>
        </w:rPr>
        <w:drawing>
          <wp:anchor distT="0" distB="0" distL="114300" distR="114300" simplePos="0" relativeHeight="251665408" behindDoc="0" locked="0" layoutInCell="1" allowOverlap="1">
            <wp:simplePos x="0" y="0"/>
            <wp:positionH relativeFrom="column">
              <wp:posOffset>-146050</wp:posOffset>
            </wp:positionH>
            <wp:positionV relativeFrom="paragraph">
              <wp:posOffset>66675</wp:posOffset>
            </wp:positionV>
            <wp:extent cx="5688330" cy="1687830"/>
            <wp:effectExtent l="0" t="0" r="7620" b="7620"/>
            <wp:wrapTopAndBottom/>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88330" cy="1687830"/>
                    </a:xfrm>
                    <a:prstGeom prst="rect">
                      <a:avLst/>
                    </a:prstGeom>
                    <a:noFill/>
                    <a:ln>
                      <a:noFill/>
                    </a:ln>
                  </pic:spPr>
                </pic:pic>
              </a:graphicData>
            </a:graphic>
          </wp:anchor>
        </w:drawing>
      </w:r>
      <w:r>
        <w:rPr>
          <w:rFonts w:hint="default"/>
          <w:b/>
          <w:bCs/>
        </w:rPr>
        <w:t xml:space="preserve">图3.8-1 </w:t>
      </w:r>
      <w:r>
        <w:rPr>
          <w:rFonts w:hint="eastAsia"/>
          <w:b/>
          <w:bCs/>
          <w:lang w:val="en-US" w:eastAsia="zh-CN"/>
        </w:rPr>
        <w:t xml:space="preserve"> </w:t>
      </w:r>
      <w:r>
        <w:rPr>
          <w:rFonts w:hint="default"/>
          <w:b/>
          <w:bCs/>
        </w:rPr>
        <w:t xml:space="preserve"> 施工工艺流程及产污节点图</w:t>
      </w:r>
    </w:p>
    <w:p>
      <w:pPr>
        <w:bidi w:val="0"/>
        <w:rPr>
          <w:rFonts w:hint="default"/>
        </w:rPr>
      </w:pPr>
      <w:r>
        <w:rPr>
          <w:rFonts w:hint="default"/>
        </w:rPr>
        <w:t>（1）扬尘、废气</w:t>
      </w:r>
    </w:p>
    <w:p>
      <w:pPr>
        <w:bidi w:val="0"/>
        <w:rPr>
          <w:rFonts w:hint="default"/>
        </w:rPr>
      </w:pPr>
      <w:r>
        <w:rPr>
          <w:rFonts w:hint="default"/>
        </w:rPr>
        <w:t>①施工扬尘</w:t>
      </w:r>
    </w:p>
    <w:p>
      <w:pPr>
        <w:bidi w:val="0"/>
        <w:rPr>
          <w:rFonts w:hint="default"/>
        </w:rPr>
      </w:pPr>
      <w:r>
        <w:rPr>
          <w:rFonts w:hint="default"/>
        </w:rPr>
        <w:t>基础开挖、施工渣土堆场、进出车辆带泥砂量、水泥搬运，砂石、混凝土等建筑材料运输、装卸等均可能产生扬尘，要求建设单位施工期间应严格遵守《防治城市扬尘污染技术规范》（HJ/T393-2007）的相关要求。</w:t>
      </w:r>
    </w:p>
    <w:p>
      <w:pPr>
        <w:bidi w:val="0"/>
        <w:rPr>
          <w:rFonts w:hint="default"/>
        </w:rPr>
      </w:pPr>
      <w:r>
        <w:rPr>
          <w:rFonts w:hint="default"/>
        </w:rPr>
        <w:t>②废气</w:t>
      </w:r>
    </w:p>
    <w:p>
      <w:pPr>
        <w:bidi w:val="0"/>
        <w:rPr>
          <w:rFonts w:hint="default"/>
        </w:rPr>
      </w:pPr>
      <w:r>
        <w:rPr>
          <w:rFonts w:hint="default"/>
        </w:rPr>
        <w:t>施工期运输机械运行时会产生一定量的尾气，其主要污染物为烃类、一氧化碳及氮氧化物等。</w:t>
      </w:r>
    </w:p>
    <w:p>
      <w:pPr>
        <w:bidi w:val="0"/>
        <w:rPr>
          <w:rFonts w:hint="default"/>
        </w:rPr>
      </w:pPr>
      <w:r>
        <w:rPr>
          <w:rFonts w:hint="default"/>
        </w:rPr>
        <w:t>（2）废水</w:t>
      </w:r>
    </w:p>
    <w:p>
      <w:pPr>
        <w:bidi w:val="0"/>
        <w:rPr>
          <w:rFonts w:hint="default"/>
        </w:rPr>
      </w:pPr>
      <w:r>
        <w:rPr>
          <w:rFonts w:hint="default"/>
        </w:rPr>
        <w:t>①施工废水</w:t>
      </w:r>
    </w:p>
    <w:p>
      <w:pPr>
        <w:bidi w:val="0"/>
        <w:rPr>
          <w:rFonts w:hint="default"/>
        </w:rPr>
      </w:pPr>
      <w:r>
        <w:rPr>
          <w:rFonts w:hint="default"/>
        </w:rPr>
        <w:t>施工期产生的废水包括修建基础设施时地基的开挖、混凝土料的备制、建筑时砂石料冲洗及机械清洗等废水。项目施工产生的污水中泥沙悬浮物含量较大。可以修建简易沉砂池沉淀后回用于施工过程。施工机械设备冲洗、施工车辆冲洗废水中主要污染物为石油类和悬浮物，沉淀后用于施工场地抑尘。</w:t>
      </w:r>
    </w:p>
    <w:p>
      <w:pPr>
        <w:bidi w:val="0"/>
        <w:rPr>
          <w:rFonts w:hint="default"/>
        </w:rPr>
      </w:pPr>
      <w:r>
        <w:rPr>
          <w:rFonts w:hint="default"/>
        </w:rPr>
        <w:t>②生活污水</w:t>
      </w:r>
    </w:p>
    <w:p>
      <w:pPr>
        <w:bidi w:val="0"/>
        <w:rPr>
          <w:rFonts w:hint="default"/>
        </w:rPr>
      </w:pPr>
      <w:r>
        <w:rPr>
          <w:rFonts w:hint="default"/>
        </w:rPr>
        <w:t>项目施工高峰期按施工人数50人计，生活用水定额100L/人∙d计取，生活污水按用水量的80%计，则施工期间产生的生活污水为Q=5</w:t>
      </w:r>
      <w:r>
        <w:rPr>
          <w:rFonts w:hint="default"/>
          <w:lang w:val="en-US" w:eastAsia="zh-CN"/>
        </w:rPr>
        <w:t>0</w:t>
      </w:r>
      <w:r>
        <w:rPr>
          <w:rFonts w:hint="default"/>
        </w:rPr>
        <w:t>人×</w:t>
      </w:r>
      <w:r>
        <w:rPr>
          <w:rFonts w:hint="default"/>
          <w:lang w:val="en-US" w:eastAsia="zh-CN"/>
        </w:rPr>
        <w:t>100</w:t>
      </w:r>
      <w:r>
        <w:rPr>
          <w:rFonts w:hint="default"/>
        </w:rPr>
        <w:t>×</w:t>
      </w:r>
      <w:r>
        <w:rPr>
          <w:rFonts w:hint="default"/>
          <w:lang w:val="en-US" w:eastAsia="zh-CN"/>
        </w:rPr>
        <w:t>80%</w:t>
      </w:r>
      <w:r>
        <w:rPr>
          <w:rFonts w:hint="default"/>
        </w:rPr>
        <w:t>=</w:t>
      </w:r>
      <w:r>
        <w:rPr>
          <w:rFonts w:hint="default"/>
          <w:lang w:val="en-US" w:eastAsia="zh-CN"/>
        </w:rPr>
        <w:t>4</w:t>
      </w:r>
      <w:r>
        <w:rPr>
          <w:rFonts w:hint="eastAsia"/>
          <w:lang w:val="en-US" w:eastAsia="zh-CN"/>
        </w:rPr>
        <w:t>m³</w:t>
      </w:r>
      <w:r>
        <w:rPr>
          <w:rFonts w:hint="default"/>
          <w:lang w:val="en-US" w:eastAsia="zh-CN"/>
        </w:rPr>
        <w:t>/d</w:t>
      </w:r>
      <w:r>
        <w:rPr>
          <w:rFonts w:hint="default"/>
        </w:rPr>
        <w:t>，</w:t>
      </w:r>
      <w:r>
        <w:rPr>
          <w:rFonts w:hint="default"/>
          <w:lang w:val="en-US" w:eastAsia="zh-CN"/>
        </w:rPr>
        <w:t>建议</w:t>
      </w:r>
      <w:r>
        <w:rPr>
          <w:rFonts w:hint="default"/>
        </w:rPr>
        <w:t>厂内设简易厕所和化粪池收纳施工废水，也可优先建设办公综合楼等生活设施，生活污水</w:t>
      </w:r>
      <w:r>
        <w:rPr>
          <w:rFonts w:hint="eastAsia"/>
          <w:lang w:val="en-US" w:eastAsia="zh-CN"/>
        </w:rPr>
        <w:t>经化粪池预处理后抽运至吉木萨尔县二工镇污水处理厂</w:t>
      </w:r>
      <w:r>
        <w:rPr>
          <w:rFonts w:hint="default"/>
        </w:rPr>
        <w:t>。</w:t>
      </w:r>
    </w:p>
    <w:p>
      <w:pPr>
        <w:bidi w:val="0"/>
        <w:rPr>
          <w:rFonts w:hint="default"/>
        </w:rPr>
      </w:pPr>
      <w:r>
        <w:rPr>
          <w:rFonts w:hint="default"/>
        </w:rPr>
        <w:t>（3）噪声</w:t>
      </w:r>
    </w:p>
    <w:p>
      <w:pPr>
        <w:bidi w:val="0"/>
        <w:rPr>
          <w:rFonts w:hint="default"/>
        </w:rPr>
      </w:pPr>
      <w:r>
        <w:rPr>
          <w:rFonts w:hint="default"/>
        </w:rPr>
        <w:t>工程施工中的固定噪声源主要是各类机泵产生的噪声；流动噪声源包括机动车辆、挖掘机及其他作业设备产生的噪声。</w:t>
      </w:r>
    </w:p>
    <w:p>
      <w:pPr>
        <w:bidi w:val="0"/>
        <w:rPr>
          <w:rFonts w:hint="default"/>
        </w:rPr>
      </w:pPr>
      <w:r>
        <w:rPr>
          <w:rFonts w:hint="default"/>
        </w:rPr>
        <w:t>（4）固体废物</w:t>
      </w:r>
    </w:p>
    <w:p>
      <w:pPr>
        <w:bidi w:val="0"/>
        <w:rPr>
          <w:rFonts w:hint="default"/>
        </w:rPr>
      </w:pPr>
      <w:r>
        <w:rPr>
          <w:rFonts w:hint="default"/>
        </w:rPr>
        <w:t>①施工土石方及建筑垃圾</w:t>
      </w:r>
    </w:p>
    <w:p>
      <w:pPr>
        <w:bidi w:val="0"/>
        <w:rPr>
          <w:rFonts w:hint="default"/>
        </w:rPr>
      </w:pPr>
      <w:r>
        <w:rPr>
          <w:rFonts w:hint="default"/>
        </w:rPr>
        <w:t>施工期基础开挖产生的土石方，可就地用于场区平整。产生的建筑垃圾，主要包括砂石、石块、碎砖、废木料、废金属等杂物，可回收的应尽量回收，不能回收的经集中收集后由施工单位及时清运。</w:t>
      </w:r>
    </w:p>
    <w:p>
      <w:pPr>
        <w:bidi w:val="0"/>
        <w:rPr>
          <w:rFonts w:hint="default"/>
        </w:rPr>
      </w:pPr>
      <w:r>
        <w:rPr>
          <w:rFonts w:hint="default"/>
        </w:rPr>
        <w:t>②施工人员生活垃圾</w:t>
      </w:r>
    </w:p>
    <w:p>
      <w:pPr>
        <w:bidi w:val="0"/>
        <w:rPr>
          <w:rFonts w:hint="default"/>
        </w:rPr>
      </w:pPr>
      <w:r>
        <w:rPr>
          <w:rFonts w:hint="default"/>
        </w:rPr>
        <w:t>施工期间项目施工高峰期施工人员按50人计，生活垃圾按0.30kg/人·计，则施工期间生活垃圾日产生量约15kg/d。垃圾经袋装收集后依托厂内垃圾箱收集，定期清运至</w:t>
      </w:r>
      <w:r>
        <w:rPr>
          <w:rFonts w:hint="eastAsia"/>
          <w:lang w:eastAsia="zh-CN"/>
        </w:rPr>
        <w:t>吉木萨尔县</w:t>
      </w:r>
      <w:r>
        <w:rPr>
          <w:rFonts w:hint="default"/>
          <w:lang w:eastAsia="zh-CN"/>
        </w:rPr>
        <w:t>垃圾填埋场</w:t>
      </w:r>
      <w:r>
        <w:rPr>
          <w:rFonts w:hint="default"/>
        </w:rPr>
        <w:t>。</w:t>
      </w:r>
    </w:p>
    <w:p>
      <w:pPr>
        <w:pStyle w:val="5"/>
        <w:bidi w:val="0"/>
        <w:rPr>
          <w:rFonts w:hint="default"/>
        </w:rPr>
      </w:pPr>
      <w:r>
        <w:rPr>
          <w:rFonts w:hint="default"/>
        </w:rPr>
        <w:t>3.8.2</w:t>
      </w:r>
      <w:r>
        <w:rPr>
          <w:rFonts w:hint="eastAsia"/>
          <w:lang w:eastAsia="zh-CN"/>
        </w:rPr>
        <w:t>、</w:t>
      </w:r>
      <w:r>
        <w:rPr>
          <w:rFonts w:hint="default"/>
        </w:rPr>
        <w:t>施工期环境影响分析</w:t>
      </w:r>
    </w:p>
    <w:p>
      <w:pPr>
        <w:pStyle w:val="6"/>
        <w:bidi w:val="0"/>
        <w:rPr>
          <w:rFonts w:hint="default"/>
        </w:rPr>
      </w:pPr>
      <w:r>
        <w:rPr>
          <w:rFonts w:hint="default"/>
        </w:rPr>
        <w:t>3.8.2.1</w:t>
      </w:r>
      <w:r>
        <w:rPr>
          <w:rFonts w:hint="eastAsia"/>
          <w:lang w:eastAsia="zh-CN"/>
        </w:rPr>
        <w:t>、</w:t>
      </w:r>
      <w:r>
        <w:rPr>
          <w:rFonts w:hint="default"/>
        </w:rPr>
        <w:t>施工废气</w:t>
      </w:r>
    </w:p>
    <w:p>
      <w:pPr>
        <w:bidi w:val="0"/>
        <w:rPr>
          <w:rFonts w:hint="default"/>
        </w:rPr>
      </w:pPr>
      <w:r>
        <w:rPr>
          <w:rFonts w:hint="default"/>
        </w:rPr>
        <w:t>（1）施工扬尘</w:t>
      </w:r>
    </w:p>
    <w:p>
      <w:pPr>
        <w:bidi w:val="0"/>
        <w:rPr>
          <w:rFonts w:hint="default"/>
        </w:rPr>
      </w:pPr>
      <w:r>
        <w:rPr>
          <w:rFonts w:hint="default"/>
        </w:rPr>
        <w:t>施工期对环境的污染主要为厂区地基处理、地面平整、运输车辆的行驶、混凝土的制备、装卸施工材料、弃土、材料临时堆存等带来的扬尘；施工机械和运输车辆产生的燃油废气，主要污染物为NOx、CO和烃类物。</w:t>
      </w:r>
    </w:p>
    <w:p>
      <w:pPr>
        <w:bidi w:val="0"/>
        <w:rPr>
          <w:rFonts w:hint="default"/>
        </w:rPr>
      </w:pPr>
      <w:bookmarkStart w:id="111" w:name="_Toc40050932"/>
      <w:bookmarkStart w:id="112" w:name="_Toc290277553"/>
      <w:bookmarkStart w:id="113" w:name="_Toc290276855"/>
      <w:bookmarkStart w:id="114" w:name="_Toc290277204"/>
      <w:r>
        <w:rPr>
          <w:rFonts w:hint="default"/>
        </w:rPr>
        <w:t>①车辆行驶扬尘</w:t>
      </w:r>
      <w:bookmarkEnd w:id="111"/>
      <w:bookmarkEnd w:id="112"/>
      <w:bookmarkEnd w:id="113"/>
      <w:bookmarkEnd w:id="114"/>
      <w:r>
        <w:rPr>
          <w:rFonts w:hint="default"/>
        </w:rPr>
        <w:t>对环境的影响</w:t>
      </w:r>
    </w:p>
    <w:p>
      <w:pPr>
        <w:bidi w:val="0"/>
        <w:rPr>
          <w:rFonts w:hint="default"/>
        </w:rPr>
      </w:pPr>
      <w:r>
        <w:rPr>
          <w:rFonts w:hint="default"/>
        </w:rPr>
        <w:t>根据有关文献资料，在施工过程中，车辆行驶产生的扬尘占总扬尘的60%以上。车辆行驶产生的扬尘，在完全干燥的情况下，可按下列经验公示进行计算：</w:t>
      </w:r>
    </w:p>
    <w:p>
      <w:pPr>
        <w:bidi w:val="0"/>
        <w:rPr>
          <w:rFonts w:hint="default"/>
        </w:rPr>
      </w:pPr>
      <w:r>
        <w:rPr>
          <w:rFonts w:hint="default"/>
          <w:lang w:val="en-US"/>
        </w:rPr>
        <w:drawing>
          <wp:inline distT="0" distB="0" distL="0" distR="0">
            <wp:extent cx="2304415" cy="23749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304415" cy="237490"/>
                    </a:xfrm>
                    <a:prstGeom prst="rect">
                      <a:avLst/>
                    </a:prstGeom>
                    <a:noFill/>
                    <a:ln>
                      <a:noFill/>
                    </a:ln>
                  </pic:spPr>
                </pic:pic>
              </a:graphicData>
            </a:graphic>
          </wp:inline>
        </w:drawing>
      </w:r>
    </w:p>
    <w:p>
      <w:pPr>
        <w:bidi w:val="0"/>
        <w:rPr>
          <w:rFonts w:hint="default"/>
        </w:rPr>
      </w:pPr>
      <w:r>
        <w:rPr>
          <w:rFonts w:hint="default"/>
        </w:rPr>
        <w:t>式中：Q中汽车行驶的扬尘，kg/km扬辆；</w:t>
      </w:r>
    </w:p>
    <w:p>
      <w:pPr>
        <w:bidi w:val="0"/>
        <w:rPr>
          <w:rFonts w:hint="default"/>
        </w:rPr>
      </w:pPr>
      <w:r>
        <w:rPr>
          <w:rFonts w:hint="default"/>
        </w:rPr>
        <w:t>V；汽车速度，km/hr；</w:t>
      </w:r>
    </w:p>
    <w:p>
      <w:pPr>
        <w:bidi w:val="0"/>
        <w:rPr>
          <w:rFonts w:hint="default"/>
        </w:rPr>
      </w:pPr>
      <w:r>
        <w:rPr>
          <w:rFonts w:hint="default"/>
        </w:rPr>
        <w:t>Wm汽车载重量，吨；</w:t>
      </w:r>
    </w:p>
    <w:p>
      <w:pPr>
        <w:bidi w:val="0"/>
        <w:rPr>
          <w:rFonts w:hint="default"/>
        </w:rPr>
      </w:pPr>
      <w:r>
        <w:rPr>
          <w:rFonts w:hint="default"/>
        </w:rPr>
        <w:t>P车道路表面粉尘量，kg/</w:t>
      </w:r>
      <w:r>
        <w:rPr>
          <w:rFonts w:hint="eastAsia"/>
          <w:lang w:eastAsia="zh-CN"/>
        </w:rPr>
        <w:t>m²</w:t>
      </w:r>
      <w:r>
        <w:rPr>
          <w:rFonts w:hint="default"/>
        </w:rPr>
        <w:t>。</w:t>
      </w:r>
    </w:p>
    <w:p>
      <w:pPr>
        <w:bidi w:val="0"/>
        <w:rPr>
          <w:rFonts w:hint="default"/>
        </w:rPr>
      </w:pPr>
      <w:r>
        <w:rPr>
          <w:rFonts w:hint="default"/>
        </w:rPr>
        <w:t>表3.8-1为一辆10吨重卡车，通过一段1km的路面时，不同路面清洁程度，不同行驶速度情况下的扬尘量。可见在同样路面清洁程度条件下，车速越快，扬尘量越大；而同样车速情况下，路面越脏，扬尘量越大，因此，限制车辆行驶速度及保持路面的清洁是减少汽车行驶道路扬尘的最有效手段。</w:t>
      </w:r>
    </w:p>
    <w:p>
      <w:pPr>
        <w:bidi w:val="0"/>
        <w:rPr>
          <w:rFonts w:hint="default"/>
        </w:rPr>
      </w:pPr>
      <w:r>
        <w:rPr>
          <w:rFonts w:hint="default"/>
        </w:rPr>
        <w:t>施工阶段通过对行驶路面进行</w:t>
      </w:r>
      <w:r>
        <w:rPr>
          <w:rFonts w:hint="eastAsia"/>
          <w:lang w:val="en-US" w:eastAsia="zh-CN"/>
        </w:rPr>
        <w:t>清扫并适量</w:t>
      </w:r>
      <w:r>
        <w:rPr>
          <w:rFonts w:hint="default"/>
        </w:rPr>
        <w:t>洒水，可以使得空气中粉尘量减少70%左右，洒水试验资料见表3.8-2，扬尘造成的粉尘污染距离可缩小到20～50m范围。</w:t>
      </w:r>
    </w:p>
    <w:p>
      <w:pPr>
        <w:pStyle w:val="17"/>
        <w:bidi w:val="0"/>
        <w:rPr>
          <w:rFonts w:hint="default"/>
          <w:b/>
          <w:bCs/>
        </w:rPr>
      </w:pPr>
      <w:r>
        <w:rPr>
          <w:rFonts w:hint="default"/>
          <w:b/>
          <w:bCs/>
        </w:rPr>
        <w:t>表3.8-1</w:t>
      </w:r>
      <w:r>
        <w:rPr>
          <w:rFonts w:hint="eastAsia"/>
          <w:b/>
          <w:bCs/>
          <w:lang w:val="en-US" w:eastAsia="zh-CN"/>
        </w:rPr>
        <w:t xml:space="preserve"> </w:t>
      </w:r>
      <w:r>
        <w:rPr>
          <w:rFonts w:hint="default"/>
          <w:b/>
          <w:bCs/>
        </w:rPr>
        <w:t xml:space="preserve">  不同车速和地面清洁程度的汽车扬尘</w:t>
      </w:r>
      <w:r>
        <w:rPr>
          <w:rFonts w:hint="eastAsia"/>
          <w:b/>
          <w:bCs/>
          <w:lang w:val="en-US" w:eastAsia="zh-CN"/>
        </w:rPr>
        <w:t xml:space="preserve"> </w:t>
      </w:r>
      <w:r>
        <w:rPr>
          <w:rFonts w:hint="default"/>
          <w:b/>
          <w:bCs/>
        </w:rPr>
        <w:t xml:space="preserve">  单位：kg/辆·km</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289"/>
        <w:gridCol w:w="1289"/>
        <w:gridCol w:w="1289"/>
        <w:gridCol w:w="1289"/>
        <w:gridCol w:w="1289"/>
        <w:gridCol w:w="12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6" w:type="dxa"/>
            <w:vMerge w:val="restart"/>
            <w:tcBorders>
              <w:tl2br w:val="nil"/>
              <w:tr2bl w:val="nil"/>
            </w:tcBorders>
            <w:vAlign w:val="center"/>
          </w:tcPr>
          <w:p>
            <w:pPr>
              <w:pStyle w:val="17"/>
              <w:bidi w:val="0"/>
              <w:rPr>
                <w:rFonts w:hint="default"/>
                <w:b/>
                <w:bCs/>
              </w:rPr>
            </w:pPr>
            <w:r>
              <w:rPr>
                <w:rFonts w:hint="default"/>
                <w:b/>
                <w:bCs/>
              </w:rPr>
              <w:t>车速</w:t>
            </w:r>
          </w:p>
          <w:p>
            <w:pPr>
              <w:pStyle w:val="17"/>
              <w:bidi w:val="0"/>
              <w:rPr>
                <w:rFonts w:hint="default"/>
                <w:b/>
                <w:bCs/>
              </w:rPr>
            </w:pPr>
            <w:r>
              <w:rPr>
                <w:rFonts w:hint="default"/>
                <w:b/>
                <w:bCs/>
              </w:rPr>
              <w:t>粉尘量</w:t>
            </w:r>
          </w:p>
        </w:tc>
        <w:tc>
          <w:tcPr>
            <w:tcW w:w="1289" w:type="dxa"/>
            <w:tcBorders>
              <w:tl2br w:val="nil"/>
              <w:tr2bl w:val="nil"/>
            </w:tcBorders>
            <w:vAlign w:val="center"/>
          </w:tcPr>
          <w:p>
            <w:pPr>
              <w:pStyle w:val="17"/>
              <w:bidi w:val="0"/>
              <w:rPr>
                <w:rFonts w:hint="default"/>
                <w:b/>
                <w:bCs/>
              </w:rPr>
            </w:pPr>
            <w:r>
              <w:rPr>
                <w:rFonts w:hint="default"/>
                <w:b/>
                <w:bCs/>
              </w:rPr>
              <w:t>0.1</w:t>
            </w:r>
          </w:p>
        </w:tc>
        <w:tc>
          <w:tcPr>
            <w:tcW w:w="1289" w:type="dxa"/>
            <w:tcBorders>
              <w:tl2br w:val="nil"/>
              <w:tr2bl w:val="nil"/>
            </w:tcBorders>
            <w:vAlign w:val="center"/>
          </w:tcPr>
          <w:p>
            <w:pPr>
              <w:pStyle w:val="17"/>
              <w:bidi w:val="0"/>
              <w:rPr>
                <w:rFonts w:hint="default"/>
                <w:b/>
                <w:bCs/>
              </w:rPr>
            </w:pPr>
            <w:r>
              <w:rPr>
                <w:rFonts w:hint="default"/>
                <w:b/>
                <w:bCs/>
              </w:rPr>
              <w:t>0.2</w:t>
            </w:r>
          </w:p>
        </w:tc>
        <w:tc>
          <w:tcPr>
            <w:tcW w:w="1289" w:type="dxa"/>
            <w:tcBorders>
              <w:tl2br w:val="nil"/>
              <w:tr2bl w:val="nil"/>
            </w:tcBorders>
            <w:vAlign w:val="center"/>
          </w:tcPr>
          <w:p>
            <w:pPr>
              <w:pStyle w:val="17"/>
              <w:bidi w:val="0"/>
              <w:rPr>
                <w:rFonts w:hint="default"/>
                <w:b/>
                <w:bCs/>
              </w:rPr>
            </w:pPr>
            <w:r>
              <w:rPr>
                <w:rFonts w:hint="default"/>
                <w:b/>
                <w:bCs/>
              </w:rPr>
              <w:t>0.3</w:t>
            </w:r>
          </w:p>
        </w:tc>
        <w:tc>
          <w:tcPr>
            <w:tcW w:w="1289" w:type="dxa"/>
            <w:tcBorders>
              <w:tl2br w:val="nil"/>
              <w:tr2bl w:val="nil"/>
            </w:tcBorders>
            <w:vAlign w:val="center"/>
          </w:tcPr>
          <w:p>
            <w:pPr>
              <w:pStyle w:val="17"/>
              <w:bidi w:val="0"/>
              <w:rPr>
                <w:rFonts w:hint="default"/>
                <w:b/>
                <w:bCs/>
              </w:rPr>
            </w:pPr>
            <w:r>
              <w:rPr>
                <w:rFonts w:hint="default"/>
                <w:b/>
                <w:bCs/>
              </w:rPr>
              <w:t>0.4</w:t>
            </w:r>
          </w:p>
        </w:tc>
        <w:tc>
          <w:tcPr>
            <w:tcW w:w="1289" w:type="dxa"/>
            <w:tcBorders>
              <w:tl2br w:val="nil"/>
              <w:tr2bl w:val="nil"/>
            </w:tcBorders>
            <w:vAlign w:val="center"/>
          </w:tcPr>
          <w:p>
            <w:pPr>
              <w:pStyle w:val="17"/>
              <w:bidi w:val="0"/>
              <w:rPr>
                <w:rFonts w:hint="default"/>
                <w:b/>
                <w:bCs/>
              </w:rPr>
            </w:pPr>
            <w:r>
              <w:rPr>
                <w:rFonts w:hint="default"/>
                <w:b/>
                <w:bCs/>
              </w:rPr>
              <w:t>0.5</w:t>
            </w:r>
          </w:p>
        </w:tc>
        <w:tc>
          <w:tcPr>
            <w:tcW w:w="1290" w:type="dxa"/>
            <w:tcBorders>
              <w:tl2br w:val="nil"/>
              <w:tr2bl w:val="nil"/>
            </w:tcBorders>
            <w:vAlign w:val="center"/>
          </w:tcPr>
          <w:p>
            <w:pPr>
              <w:pStyle w:val="17"/>
              <w:bidi w:val="0"/>
              <w:rPr>
                <w:rFonts w:hint="default"/>
                <w:b/>
                <w:bCs/>
              </w:rPr>
            </w:pPr>
            <w:r>
              <w:rPr>
                <w:rFonts w:hint="default"/>
                <w:b/>
                <w:bCs/>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6" w:type="dxa"/>
            <w:vMerge w:val="continue"/>
            <w:tcBorders>
              <w:tl2br w:val="nil"/>
              <w:tr2bl w:val="nil"/>
            </w:tcBorders>
            <w:vAlign w:val="center"/>
          </w:tcPr>
          <w:p>
            <w:pPr>
              <w:pStyle w:val="17"/>
              <w:bidi w:val="0"/>
              <w:rPr>
                <w:rFonts w:hint="default"/>
                <w:b/>
                <w:bCs/>
              </w:rPr>
            </w:pPr>
          </w:p>
        </w:tc>
        <w:tc>
          <w:tcPr>
            <w:tcW w:w="1289" w:type="dxa"/>
            <w:tcBorders>
              <w:tl2br w:val="nil"/>
              <w:tr2bl w:val="nil"/>
            </w:tcBorders>
            <w:vAlign w:val="center"/>
          </w:tcPr>
          <w:p>
            <w:pPr>
              <w:pStyle w:val="17"/>
              <w:bidi w:val="0"/>
              <w:rPr>
                <w:rFonts w:hint="default"/>
                <w:b/>
                <w:bCs/>
              </w:rPr>
            </w:pPr>
            <w:r>
              <w:rPr>
                <w:rFonts w:hint="default"/>
                <w:b/>
                <w:bCs/>
              </w:rPr>
              <w:t>（kg/</w:t>
            </w:r>
            <w:r>
              <w:rPr>
                <w:rFonts w:hint="eastAsia"/>
                <w:b/>
                <w:bCs/>
                <w:lang w:eastAsia="zh-CN"/>
              </w:rPr>
              <w:t>m²</w:t>
            </w:r>
            <w:r>
              <w:rPr>
                <w:rFonts w:hint="default"/>
                <w:b/>
                <w:bCs/>
              </w:rPr>
              <w:t>）</w:t>
            </w:r>
          </w:p>
        </w:tc>
        <w:tc>
          <w:tcPr>
            <w:tcW w:w="1289" w:type="dxa"/>
            <w:tcBorders>
              <w:tl2br w:val="nil"/>
              <w:tr2bl w:val="nil"/>
            </w:tcBorders>
            <w:vAlign w:val="center"/>
          </w:tcPr>
          <w:p>
            <w:pPr>
              <w:pStyle w:val="17"/>
              <w:bidi w:val="0"/>
              <w:rPr>
                <w:rFonts w:hint="default"/>
                <w:b/>
                <w:bCs/>
              </w:rPr>
            </w:pPr>
            <w:r>
              <w:rPr>
                <w:rFonts w:hint="default"/>
                <w:b/>
                <w:bCs/>
              </w:rPr>
              <w:t>（kg/</w:t>
            </w:r>
            <w:r>
              <w:rPr>
                <w:rFonts w:hint="eastAsia"/>
                <w:b/>
                <w:bCs/>
                <w:lang w:eastAsia="zh-CN"/>
              </w:rPr>
              <w:t>m²</w:t>
            </w:r>
            <w:r>
              <w:rPr>
                <w:rFonts w:hint="default"/>
                <w:b/>
                <w:bCs/>
              </w:rPr>
              <w:t>）</w:t>
            </w:r>
          </w:p>
        </w:tc>
        <w:tc>
          <w:tcPr>
            <w:tcW w:w="1289" w:type="dxa"/>
            <w:tcBorders>
              <w:tl2br w:val="nil"/>
              <w:tr2bl w:val="nil"/>
            </w:tcBorders>
            <w:vAlign w:val="center"/>
          </w:tcPr>
          <w:p>
            <w:pPr>
              <w:pStyle w:val="17"/>
              <w:bidi w:val="0"/>
              <w:rPr>
                <w:rFonts w:hint="default"/>
                <w:b/>
                <w:bCs/>
              </w:rPr>
            </w:pPr>
            <w:r>
              <w:rPr>
                <w:rFonts w:hint="default"/>
                <w:b/>
                <w:bCs/>
              </w:rPr>
              <w:t>（kg/</w:t>
            </w:r>
            <w:r>
              <w:rPr>
                <w:rFonts w:hint="eastAsia"/>
                <w:b/>
                <w:bCs/>
                <w:lang w:eastAsia="zh-CN"/>
              </w:rPr>
              <w:t>m²</w:t>
            </w:r>
            <w:r>
              <w:rPr>
                <w:rFonts w:hint="default"/>
                <w:b/>
                <w:bCs/>
              </w:rPr>
              <w:t>）</w:t>
            </w:r>
          </w:p>
        </w:tc>
        <w:tc>
          <w:tcPr>
            <w:tcW w:w="1289" w:type="dxa"/>
            <w:tcBorders>
              <w:tl2br w:val="nil"/>
              <w:tr2bl w:val="nil"/>
            </w:tcBorders>
            <w:vAlign w:val="center"/>
          </w:tcPr>
          <w:p>
            <w:pPr>
              <w:pStyle w:val="17"/>
              <w:bidi w:val="0"/>
              <w:rPr>
                <w:rFonts w:hint="default"/>
                <w:b/>
                <w:bCs/>
              </w:rPr>
            </w:pPr>
            <w:r>
              <w:rPr>
                <w:rFonts w:hint="default"/>
                <w:b/>
                <w:bCs/>
              </w:rPr>
              <w:t>（kg/</w:t>
            </w:r>
            <w:r>
              <w:rPr>
                <w:rFonts w:hint="eastAsia"/>
                <w:b/>
                <w:bCs/>
                <w:lang w:eastAsia="zh-CN"/>
              </w:rPr>
              <w:t>m²</w:t>
            </w:r>
            <w:r>
              <w:rPr>
                <w:rFonts w:hint="default"/>
                <w:b/>
                <w:bCs/>
              </w:rPr>
              <w:t>）</w:t>
            </w:r>
          </w:p>
        </w:tc>
        <w:tc>
          <w:tcPr>
            <w:tcW w:w="1289" w:type="dxa"/>
            <w:tcBorders>
              <w:tl2br w:val="nil"/>
              <w:tr2bl w:val="nil"/>
            </w:tcBorders>
            <w:vAlign w:val="center"/>
          </w:tcPr>
          <w:p>
            <w:pPr>
              <w:pStyle w:val="17"/>
              <w:bidi w:val="0"/>
              <w:rPr>
                <w:rFonts w:hint="default"/>
                <w:b/>
                <w:bCs/>
              </w:rPr>
            </w:pPr>
            <w:r>
              <w:rPr>
                <w:rFonts w:hint="default"/>
                <w:b/>
                <w:bCs/>
              </w:rPr>
              <w:t>（kg/</w:t>
            </w:r>
            <w:r>
              <w:rPr>
                <w:rFonts w:hint="eastAsia"/>
                <w:b/>
                <w:bCs/>
                <w:lang w:eastAsia="zh-CN"/>
              </w:rPr>
              <w:t>m²</w:t>
            </w:r>
            <w:r>
              <w:rPr>
                <w:rFonts w:hint="default"/>
                <w:b/>
                <w:bCs/>
              </w:rPr>
              <w:t>）</w:t>
            </w:r>
          </w:p>
        </w:tc>
        <w:tc>
          <w:tcPr>
            <w:tcW w:w="1290" w:type="dxa"/>
            <w:tcBorders>
              <w:tl2br w:val="nil"/>
              <w:tr2bl w:val="nil"/>
            </w:tcBorders>
            <w:vAlign w:val="center"/>
          </w:tcPr>
          <w:p>
            <w:pPr>
              <w:pStyle w:val="17"/>
              <w:bidi w:val="0"/>
              <w:rPr>
                <w:rFonts w:hint="default"/>
                <w:b/>
                <w:bCs/>
              </w:rPr>
            </w:pPr>
            <w:r>
              <w:rPr>
                <w:rFonts w:hint="default"/>
                <w:b/>
                <w:bCs/>
              </w:rPr>
              <w:t>（kg/</w:t>
            </w:r>
            <w:r>
              <w:rPr>
                <w:rFonts w:hint="eastAsia"/>
                <w:b/>
                <w:bCs/>
                <w:lang w:eastAsia="zh-CN"/>
              </w:rPr>
              <w:t>m²</w:t>
            </w:r>
            <w:r>
              <w:rPr>
                <w:rFonts w:hint="default"/>
                <w:b/>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6" w:type="dxa"/>
            <w:tcBorders>
              <w:tl2br w:val="nil"/>
              <w:tr2bl w:val="nil"/>
            </w:tcBorders>
            <w:vAlign w:val="center"/>
          </w:tcPr>
          <w:p>
            <w:pPr>
              <w:pStyle w:val="17"/>
              <w:bidi w:val="0"/>
              <w:rPr>
                <w:rFonts w:hint="default"/>
              </w:rPr>
            </w:pPr>
            <w:r>
              <w:rPr>
                <w:rFonts w:hint="default"/>
              </w:rPr>
              <w:t>5（km/h）</w:t>
            </w:r>
          </w:p>
        </w:tc>
        <w:tc>
          <w:tcPr>
            <w:tcW w:w="1289" w:type="dxa"/>
            <w:tcBorders>
              <w:tl2br w:val="nil"/>
              <w:tr2bl w:val="nil"/>
            </w:tcBorders>
            <w:vAlign w:val="center"/>
          </w:tcPr>
          <w:p>
            <w:pPr>
              <w:pStyle w:val="17"/>
              <w:bidi w:val="0"/>
              <w:rPr>
                <w:rFonts w:hint="default"/>
              </w:rPr>
            </w:pPr>
            <w:r>
              <w:rPr>
                <w:rFonts w:hint="default"/>
              </w:rPr>
              <w:t>0.0511</w:t>
            </w:r>
          </w:p>
        </w:tc>
        <w:tc>
          <w:tcPr>
            <w:tcW w:w="1289" w:type="dxa"/>
            <w:tcBorders>
              <w:tl2br w:val="nil"/>
              <w:tr2bl w:val="nil"/>
            </w:tcBorders>
            <w:vAlign w:val="center"/>
          </w:tcPr>
          <w:p>
            <w:pPr>
              <w:pStyle w:val="17"/>
              <w:bidi w:val="0"/>
              <w:rPr>
                <w:rFonts w:hint="default"/>
              </w:rPr>
            </w:pPr>
            <w:r>
              <w:rPr>
                <w:rFonts w:hint="default"/>
              </w:rPr>
              <w:t>0.0859</w:t>
            </w:r>
          </w:p>
        </w:tc>
        <w:tc>
          <w:tcPr>
            <w:tcW w:w="1289" w:type="dxa"/>
            <w:tcBorders>
              <w:tl2br w:val="nil"/>
              <w:tr2bl w:val="nil"/>
            </w:tcBorders>
            <w:vAlign w:val="center"/>
          </w:tcPr>
          <w:p>
            <w:pPr>
              <w:pStyle w:val="17"/>
              <w:bidi w:val="0"/>
              <w:rPr>
                <w:rFonts w:hint="default"/>
              </w:rPr>
            </w:pPr>
            <w:r>
              <w:rPr>
                <w:rFonts w:hint="default"/>
              </w:rPr>
              <w:t>0.1164</w:t>
            </w:r>
          </w:p>
        </w:tc>
        <w:tc>
          <w:tcPr>
            <w:tcW w:w="1289" w:type="dxa"/>
            <w:tcBorders>
              <w:tl2br w:val="nil"/>
              <w:tr2bl w:val="nil"/>
            </w:tcBorders>
            <w:vAlign w:val="center"/>
          </w:tcPr>
          <w:p>
            <w:pPr>
              <w:pStyle w:val="17"/>
              <w:bidi w:val="0"/>
              <w:rPr>
                <w:rFonts w:hint="default"/>
              </w:rPr>
            </w:pPr>
            <w:r>
              <w:rPr>
                <w:rFonts w:hint="default"/>
              </w:rPr>
              <w:t>0.1444</w:t>
            </w:r>
          </w:p>
        </w:tc>
        <w:tc>
          <w:tcPr>
            <w:tcW w:w="1289" w:type="dxa"/>
            <w:tcBorders>
              <w:tl2br w:val="nil"/>
              <w:tr2bl w:val="nil"/>
            </w:tcBorders>
            <w:vAlign w:val="center"/>
          </w:tcPr>
          <w:p>
            <w:pPr>
              <w:pStyle w:val="17"/>
              <w:bidi w:val="0"/>
              <w:rPr>
                <w:rFonts w:hint="default"/>
              </w:rPr>
            </w:pPr>
            <w:r>
              <w:rPr>
                <w:rFonts w:hint="default"/>
              </w:rPr>
              <w:t>0.1707</w:t>
            </w:r>
          </w:p>
        </w:tc>
        <w:tc>
          <w:tcPr>
            <w:tcW w:w="1290" w:type="dxa"/>
            <w:tcBorders>
              <w:tl2br w:val="nil"/>
              <w:tr2bl w:val="nil"/>
            </w:tcBorders>
            <w:vAlign w:val="center"/>
          </w:tcPr>
          <w:p>
            <w:pPr>
              <w:pStyle w:val="17"/>
              <w:bidi w:val="0"/>
              <w:rPr>
                <w:rFonts w:hint="default"/>
              </w:rPr>
            </w:pPr>
            <w:r>
              <w:rPr>
                <w:rFonts w:hint="default"/>
              </w:rPr>
              <w:t>0.2871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6" w:type="dxa"/>
            <w:tcBorders>
              <w:tl2br w:val="nil"/>
              <w:tr2bl w:val="nil"/>
            </w:tcBorders>
            <w:vAlign w:val="center"/>
          </w:tcPr>
          <w:p>
            <w:pPr>
              <w:pStyle w:val="17"/>
              <w:bidi w:val="0"/>
              <w:rPr>
                <w:rFonts w:hint="default"/>
              </w:rPr>
            </w:pPr>
            <w:r>
              <w:rPr>
                <w:rFonts w:hint="default"/>
              </w:rPr>
              <w:t>10（km/h）</w:t>
            </w:r>
          </w:p>
        </w:tc>
        <w:tc>
          <w:tcPr>
            <w:tcW w:w="1289" w:type="dxa"/>
            <w:tcBorders>
              <w:tl2br w:val="nil"/>
              <w:tr2bl w:val="nil"/>
            </w:tcBorders>
            <w:vAlign w:val="center"/>
          </w:tcPr>
          <w:p>
            <w:pPr>
              <w:pStyle w:val="17"/>
              <w:bidi w:val="0"/>
              <w:rPr>
                <w:rFonts w:hint="default"/>
              </w:rPr>
            </w:pPr>
            <w:r>
              <w:rPr>
                <w:rFonts w:hint="default"/>
              </w:rPr>
              <w:t>0.1021</w:t>
            </w:r>
          </w:p>
        </w:tc>
        <w:tc>
          <w:tcPr>
            <w:tcW w:w="1289" w:type="dxa"/>
            <w:tcBorders>
              <w:tl2br w:val="nil"/>
              <w:tr2bl w:val="nil"/>
            </w:tcBorders>
            <w:vAlign w:val="center"/>
          </w:tcPr>
          <w:p>
            <w:pPr>
              <w:pStyle w:val="17"/>
              <w:bidi w:val="0"/>
              <w:rPr>
                <w:rFonts w:hint="default"/>
              </w:rPr>
            </w:pPr>
            <w:r>
              <w:rPr>
                <w:rFonts w:hint="default"/>
              </w:rPr>
              <w:t>0.1717</w:t>
            </w:r>
          </w:p>
        </w:tc>
        <w:tc>
          <w:tcPr>
            <w:tcW w:w="1289" w:type="dxa"/>
            <w:tcBorders>
              <w:tl2br w:val="nil"/>
              <w:tr2bl w:val="nil"/>
            </w:tcBorders>
            <w:vAlign w:val="center"/>
          </w:tcPr>
          <w:p>
            <w:pPr>
              <w:pStyle w:val="17"/>
              <w:bidi w:val="0"/>
              <w:rPr>
                <w:rFonts w:hint="default"/>
              </w:rPr>
            </w:pPr>
            <w:r>
              <w:rPr>
                <w:rFonts w:hint="default"/>
              </w:rPr>
              <w:t>0.2328</w:t>
            </w:r>
          </w:p>
        </w:tc>
        <w:tc>
          <w:tcPr>
            <w:tcW w:w="1289" w:type="dxa"/>
            <w:tcBorders>
              <w:tl2br w:val="nil"/>
              <w:tr2bl w:val="nil"/>
            </w:tcBorders>
            <w:vAlign w:val="center"/>
          </w:tcPr>
          <w:p>
            <w:pPr>
              <w:pStyle w:val="17"/>
              <w:bidi w:val="0"/>
              <w:rPr>
                <w:rFonts w:hint="default"/>
              </w:rPr>
            </w:pPr>
            <w:r>
              <w:rPr>
                <w:rFonts w:hint="default"/>
              </w:rPr>
              <w:t>0.2888</w:t>
            </w:r>
          </w:p>
        </w:tc>
        <w:tc>
          <w:tcPr>
            <w:tcW w:w="1289" w:type="dxa"/>
            <w:tcBorders>
              <w:tl2br w:val="nil"/>
              <w:tr2bl w:val="nil"/>
            </w:tcBorders>
            <w:vAlign w:val="center"/>
          </w:tcPr>
          <w:p>
            <w:pPr>
              <w:pStyle w:val="17"/>
              <w:bidi w:val="0"/>
              <w:rPr>
                <w:rFonts w:hint="default"/>
              </w:rPr>
            </w:pPr>
            <w:r>
              <w:rPr>
                <w:rFonts w:hint="default"/>
              </w:rPr>
              <w:t>0.3414</w:t>
            </w:r>
          </w:p>
        </w:tc>
        <w:tc>
          <w:tcPr>
            <w:tcW w:w="1290" w:type="dxa"/>
            <w:tcBorders>
              <w:tl2br w:val="nil"/>
              <w:tr2bl w:val="nil"/>
            </w:tcBorders>
            <w:vAlign w:val="center"/>
          </w:tcPr>
          <w:p>
            <w:pPr>
              <w:pStyle w:val="17"/>
              <w:bidi w:val="0"/>
              <w:rPr>
                <w:rFonts w:hint="default"/>
              </w:rPr>
            </w:pPr>
            <w:r>
              <w:rPr>
                <w:rFonts w:hint="default"/>
              </w:rPr>
              <w:t>0.5742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6" w:type="dxa"/>
            <w:tcBorders>
              <w:tl2br w:val="nil"/>
              <w:tr2bl w:val="nil"/>
            </w:tcBorders>
            <w:vAlign w:val="center"/>
          </w:tcPr>
          <w:p>
            <w:pPr>
              <w:pStyle w:val="17"/>
              <w:bidi w:val="0"/>
              <w:rPr>
                <w:rFonts w:hint="default"/>
              </w:rPr>
            </w:pPr>
            <w:r>
              <w:rPr>
                <w:rFonts w:hint="default"/>
              </w:rPr>
              <w:t>15（km/h）</w:t>
            </w:r>
          </w:p>
        </w:tc>
        <w:tc>
          <w:tcPr>
            <w:tcW w:w="1289" w:type="dxa"/>
            <w:tcBorders>
              <w:tl2br w:val="nil"/>
              <w:tr2bl w:val="nil"/>
            </w:tcBorders>
            <w:vAlign w:val="center"/>
          </w:tcPr>
          <w:p>
            <w:pPr>
              <w:pStyle w:val="17"/>
              <w:bidi w:val="0"/>
              <w:rPr>
                <w:rFonts w:hint="default"/>
              </w:rPr>
            </w:pPr>
            <w:r>
              <w:rPr>
                <w:rFonts w:hint="default"/>
              </w:rPr>
              <w:t>0.1532</w:t>
            </w:r>
          </w:p>
        </w:tc>
        <w:tc>
          <w:tcPr>
            <w:tcW w:w="1289" w:type="dxa"/>
            <w:tcBorders>
              <w:tl2br w:val="nil"/>
              <w:tr2bl w:val="nil"/>
            </w:tcBorders>
            <w:vAlign w:val="center"/>
          </w:tcPr>
          <w:p>
            <w:pPr>
              <w:pStyle w:val="17"/>
              <w:bidi w:val="0"/>
              <w:rPr>
                <w:rFonts w:hint="default"/>
              </w:rPr>
            </w:pPr>
            <w:r>
              <w:rPr>
                <w:rFonts w:hint="default"/>
              </w:rPr>
              <w:t>0.2576</w:t>
            </w:r>
          </w:p>
        </w:tc>
        <w:tc>
          <w:tcPr>
            <w:tcW w:w="1289" w:type="dxa"/>
            <w:tcBorders>
              <w:tl2br w:val="nil"/>
              <w:tr2bl w:val="nil"/>
            </w:tcBorders>
            <w:vAlign w:val="center"/>
          </w:tcPr>
          <w:p>
            <w:pPr>
              <w:pStyle w:val="17"/>
              <w:bidi w:val="0"/>
              <w:rPr>
                <w:rFonts w:hint="default"/>
              </w:rPr>
            </w:pPr>
            <w:r>
              <w:rPr>
                <w:rFonts w:hint="default"/>
              </w:rPr>
              <w:t>0.3491</w:t>
            </w:r>
          </w:p>
        </w:tc>
        <w:tc>
          <w:tcPr>
            <w:tcW w:w="1289" w:type="dxa"/>
            <w:tcBorders>
              <w:tl2br w:val="nil"/>
              <w:tr2bl w:val="nil"/>
            </w:tcBorders>
            <w:vAlign w:val="center"/>
          </w:tcPr>
          <w:p>
            <w:pPr>
              <w:pStyle w:val="17"/>
              <w:bidi w:val="0"/>
              <w:rPr>
                <w:rFonts w:hint="default"/>
              </w:rPr>
            </w:pPr>
            <w:r>
              <w:rPr>
                <w:rFonts w:hint="default"/>
              </w:rPr>
              <w:t>0.4332</w:t>
            </w:r>
          </w:p>
        </w:tc>
        <w:tc>
          <w:tcPr>
            <w:tcW w:w="1289" w:type="dxa"/>
            <w:tcBorders>
              <w:tl2br w:val="nil"/>
              <w:tr2bl w:val="nil"/>
            </w:tcBorders>
            <w:vAlign w:val="center"/>
          </w:tcPr>
          <w:p>
            <w:pPr>
              <w:pStyle w:val="17"/>
              <w:bidi w:val="0"/>
              <w:rPr>
                <w:rFonts w:hint="default"/>
              </w:rPr>
            </w:pPr>
            <w:r>
              <w:rPr>
                <w:rFonts w:hint="default"/>
              </w:rPr>
              <w:t>0.5121</w:t>
            </w:r>
          </w:p>
        </w:tc>
        <w:tc>
          <w:tcPr>
            <w:tcW w:w="1290" w:type="dxa"/>
            <w:tcBorders>
              <w:tl2br w:val="nil"/>
              <w:tr2bl w:val="nil"/>
            </w:tcBorders>
            <w:vAlign w:val="center"/>
          </w:tcPr>
          <w:p>
            <w:pPr>
              <w:pStyle w:val="17"/>
              <w:bidi w:val="0"/>
              <w:rPr>
                <w:rFonts w:hint="default"/>
              </w:rPr>
            </w:pPr>
            <w:r>
              <w:rPr>
                <w:rFonts w:hint="default"/>
              </w:rPr>
              <w:t>0.8613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6" w:type="dxa"/>
            <w:tcBorders>
              <w:tl2br w:val="nil"/>
              <w:tr2bl w:val="nil"/>
            </w:tcBorders>
            <w:vAlign w:val="center"/>
          </w:tcPr>
          <w:p>
            <w:pPr>
              <w:pStyle w:val="17"/>
              <w:bidi w:val="0"/>
              <w:rPr>
                <w:rFonts w:hint="default"/>
              </w:rPr>
            </w:pPr>
            <w:r>
              <w:rPr>
                <w:rFonts w:hint="default"/>
              </w:rPr>
              <w:t>25（km/h）</w:t>
            </w:r>
          </w:p>
        </w:tc>
        <w:tc>
          <w:tcPr>
            <w:tcW w:w="1289" w:type="dxa"/>
            <w:tcBorders>
              <w:tl2br w:val="nil"/>
              <w:tr2bl w:val="nil"/>
            </w:tcBorders>
            <w:vAlign w:val="center"/>
          </w:tcPr>
          <w:p>
            <w:pPr>
              <w:pStyle w:val="17"/>
              <w:bidi w:val="0"/>
              <w:rPr>
                <w:rFonts w:hint="default"/>
              </w:rPr>
            </w:pPr>
            <w:r>
              <w:rPr>
                <w:rFonts w:hint="default"/>
              </w:rPr>
              <w:t>0.2553</w:t>
            </w:r>
          </w:p>
        </w:tc>
        <w:tc>
          <w:tcPr>
            <w:tcW w:w="1289" w:type="dxa"/>
            <w:tcBorders>
              <w:tl2br w:val="nil"/>
              <w:tr2bl w:val="nil"/>
            </w:tcBorders>
            <w:vAlign w:val="center"/>
          </w:tcPr>
          <w:p>
            <w:pPr>
              <w:pStyle w:val="17"/>
              <w:bidi w:val="0"/>
              <w:rPr>
                <w:rFonts w:hint="default"/>
              </w:rPr>
            </w:pPr>
            <w:r>
              <w:rPr>
                <w:rFonts w:hint="default"/>
              </w:rPr>
              <w:t>0.4293</w:t>
            </w:r>
          </w:p>
        </w:tc>
        <w:tc>
          <w:tcPr>
            <w:tcW w:w="1289" w:type="dxa"/>
            <w:tcBorders>
              <w:tl2br w:val="nil"/>
              <w:tr2bl w:val="nil"/>
            </w:tcBorders>
            <w:vAlign w:val="center"/>
          </w:tcPr>
          <w:p>
            <w:pPr>
              <w:pStyle w:val="17"/>
              <w:bidi w:val="0"/>
              <w:rPr>
                <w:rFonts w:hint="default"/>
              </w:rPr>
            </w:pPr>
            <w:r>
              <w:rPr>
                <w:rFonts w:hint="default"/>
              </w:rPr>
              <w:t>0.5819</w:t>
            </w:r>
          </w:p>
        </w:tc>
        <w:tc>
          <w:tcPr>
            <w:tcW w:w="1289" w:type="dxa"/>
            <w:tcBorders>
              <w:tl2br w:val="nil"/>
              <w:tr2bl w:val="nil"/>
            </w:tcBorders>
            <w:vAlign w:val="center"/>
          </w:tcPr>
          <w:p>
            <w:pPr>
              <w:pStyle w:val="17"/>
              <w:bidi w:val="0"/>
              <w:rPr>
                <w:rFonts w:hint="default"/>
              </w:rPr>
            </w:pPr>
            <w:r>
              <w:rPr>
                <w:rFonts w:hint="default"/>
              </w:rPr>
              <w:t>0.7220</w:t>
            </w:r>
          </w:p>
        </w:tc>
        <w:tc>
          <w:tcPr>
            <w:tcW w:w="1289" w:type="dxa"/>
            <w:tcBorders>
              <w:tl2br w:val="nil"/>
              <w:tr2bl w:val="nil"/>
            </w:tcBorders>
            <w:vAlign w:val="center"/>
          </w:tcPr>
          <w:p>
            <w:pPr>
              <w:pStyle w:val="17"/>
              <w:bidi w:val="0"/>
              <w:rPr>
                <w:rFonts w:hint="default"/>
              </w:rPr>
            </w:pPr>
            <w:r>
              <w:rPr>
                <w:rFonts w:hint="default"/>
              </w:rPr>
              <w:t>0.8536</w:t>
            </w:r>
          </w:p>
        </w:tc>
        <w:tc>
          <w:tcPr>
            <w:tcW w:w="1290" w:type="dxa"/>
            <w:tcBorders>
              <w:tl2br w:val="nil"/>
              <w:tr2bl w:val="nil"/>
            </w:tcBorders>
            <w:vAlign w:val="center"/>
          </w:tcPr>
          <w:p>
            <w:pPr>
              <w:pStyle w:val="17"/>
              <w:bidi w:val="0"/>
              <w:rPr>
                <w:rFonts w:hint="default"/>
              </w:rPr>
            </w:pPr>
            <w:r>
              <w:rPr>
                <w:rFonts w:hint="default"/>
              </w:rPr>
              <w:t>1.4355</w:t>
            </w:r>
          </w:p>
        </w:tc>
      </w:tr>
    </w:tbl>
    <w:p>
      <w:pPr>
        <w:pStyle w:val="17"/>
        <w:bidi w:val="0"/>
        <w:rPr>
          <w:rFonts w:hint="default"/>
          <w:b/>
          <w:bCs/>
        </w:rPr>
      </w:pPr>
      <w:r>
        <w:rPr>
          <w:rFonts w:hint="default"/>
          <w:b/>
          <w:bCs/>
        </w:rPr>
        <w:t xml:space="preserve">表3.8-2  </w:t>
      </w:r>
      <w:r>
        <w:rPr>
          <w:rFonts w:hint="eastAsia"/>
          <w:b/>
          <w:bCs/>
          <w:lang w:val="en-US" w:eastAsia="zh-CN"/>
        </w:rPr>
        <w:t xml:space="preserve"> </w:t>
      </w:r>
      <w:r>
        <w:rPr>
          <w:rFonts w:hint="default"/>
          <w:b/>
          <w:bCs/>
        </w:rPr>
        <w:t>施工阶段洒水降尘试验结果</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1585"/>
        <w:gridCol w:w="1474"/>
        <w:gridCol w:w="1474"/>
        <w:gridCol w:w="1475"/>
        <w:gridCol w:w="14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70" w:type="dxa"/>
            <w:gridSpan w:val="2"/>
            <w:tcBorders>
              <w:tl2br w:val="nil"/>
              <w:tr2bl w:val="nil"/>
            </w:tcBorders>
            <w:vAlign w:val="center"/>
          </w:tcPr>
          <w:p>
            <w:pPr>
              <w:pStyle w:val="17"/>
              <w:bidi w:val="0"/>
              <w:rPr>
                <w:rFonts w:hint="default"/>
                <w:b/>
                <w:bCs/>
              </w:rPr>
            </w:pPr>
            <w:r>
              <w:rPr>
                <w:rFonts w:hint="default"/>
                <w:b/>
                <w:bCs/>
              </w:rPr>
              <w:t>距离路面距离（m）</w:t>
            </w:r>
          </w:p>
        </w:tc>
        <w:tc>
          <w:tcPr>
            <w:tcW w:w="1474" w:type="dxa"/>
            <w:tcBorders>
              <w:tl2br w:val="nil"/>
              <w:tr2bl w:val="nil"/>
            </w:tcBorders>
            <w:vAlign w:val="center"/>
          </w:tcPr>
          <w:p>
            <w:pPr>
              <w:pStyle w:val="17"/>
              <w:bidi w:val="0"/>
              <w:rPr>
                <w:rFonts w:hint="default"/>
                <w:b/>
                <w:bCs/>
              </w:rPr>
            </w:pPr>
            <w:r>
              <w:rPr>
                <w:rFonts w:hint="default"/>
                <w:b/>
                <w:bCs/>
              </w:rPr>
              <w:t>5</w:t>
            </w:r>
          </w:p>
        </w:tc>
        <w:tc>
          <w:tcPr>
            <w:tcW w:w="1474" w:type="dxa"/>
            <w:tcBorders>
              <w:tl2br w:val="nil"/>
              <w:tr2bl w:val="nil"/>
            </w:tcBorders>
            <w:vAlign w:val="center"/>
          </w:tcPr>
          <w:p>
            <w:pPr>
              <w:pStyle w:val="17"/>
              <w:bidi w:val="0"/>
              <w:rPr>
                <w:rFonts w:hint="default"/>
                <w:b/>
                <w:bCs/>
              </w:rPr>
            </w:pPr>
            <w:r>
              <w:rPr>
                <w:rFonts w:hint="default"/>
                <w:b/>
                <w:bCs/>
              </w:rPr>
              <w:t>20</w:t>
            </w:r>
          </w:p>
        </w:tc>
        <w:tc>
          <w:tcPr>
            <w:tcW w:w="1475" w:type="dxa"/>
            <w:tcBorders>
              <w:tl2br w:val="nil"/>
              <w:tr2bl w:val="nil"/>
            </w:tcBorders>
            <w:vAlign w:val="center"/>
          </w:tcPr>
          <w:p>
            <w:pPr>
              <w:pStyle w:val="17"/>
              <w:bidi w:val="0"/>
              <w:rPr>
                <w:rFonts w:hint="default"/>
                <w:b/>
                <w:bCs/>
              </w:rPr>
            </w:pPr>
            <w:r>
              <w:rPr>
                <w:rFonts w:hint="default"/>
                <w:b/>
                <w:bCs/>
              </w:rPr>
              <w:t>50</w:t>
            </w:r>
          </w:p>
        </w:tc>
        <w:tc>
          <w:tcPr>
            <w:tcW w:w="1478" w:type="dxa"/>
            <w:tcBorders>
              <w:tl2br w:val="nil"/>
              <w:tr2bl w:val="nil"/>
            </w:tcBorders>
            <w:vAlign w:val="center"/>
          </w:tcPr>
          <w:p>
            <w:pPr>
              <w:pStyle w:val="17"/>
              <w:bidi w:val="0"/>
              <w:rPr>
                <w:rFonts w:hint="default"/>
                <w:b/>
                <w:bCs/>
              </w:rPr>
            </w:pPr>
            <w:r>
              <w:rPr>
                <w:rFonts w:hint="default"/>
                <w:b/>
                <w:bCs/>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5" w:type="dxa"/>
            <w:vMerge w:val="restart"/>
            <w:tcBorders>
              <w:tl2br w:val="nil"/>
              <w:tr2bl w:val="nil"/>
            </w:tcBorders>
            <w:vAlign w:val="center"/>
          </w:tcPr>
          <w:p>
            <w:pPr>
              <w:pStyle w:val="17"/>
              <w:bidi w:val="0"/>
              <w:rPr>
                <w:rFonts w:hint="default"/>
              </w:rPr>
            </w:pPr>
            <w:r>
              <w:rPr>
                <w:rFonts w:hint="default"/>
              </w:rPr>
              <w:t>TSP浓度（mg/</w:t>
            </w:r>
            <w:r>
              <w:rPr>
                <w:rFonts w:hint="eastAsia"/>
                <w:lang w:eastAsia="zh-CN"/>
              </w:rPr>
              <w:t>m³</w:t>
            </w:r>
            <w:r>
              <w:rPr>
                <w:rFonts w:hint="default"/>
              </w:rPr>
              <w:t>）</w:t>
            </w:r>
          </w:p>
        </w:tc>
        <w:tc>
          <w:tcPr>
            <w:tcW w:w="1585" w:type="dxa"/>
            <w:tcBorders>
              <w:tl2br w:val="nil"/>
              <w:tr2bl w:val="nil"/>
            </w:tcBorders>
            <w:vAlign w:val="center"/>
          </w:tcPr>
          <w:p>
            <w:pPr>
              <w:pStyle w:val="17"/>
              <w:bidi w:val="0"/>
              <w:rPr>
                <w:rFonts w:hint="default"/>
              </w:rPr>
            </w:pPr>
            <w:r>
              <w:rPr>
                <w:rFonts w:hint="default"/>
              </w:rPr>
              <w:t>不洒水</w:t>
            </w:r>
          </w:p>
        </w:tc>
        <w:tc>
          <w:tcPr>
            <w:tcW w:w="1474" w:type="dxa"/>
            <w:tcBorders>
              <w:tl2br w:val="nil"/>
              <w:tr2bl w:val="nil"/>
            </w:tcBorders>
            <w:vAlign w:val="center"/>
          </w:tcPr>
          <w:p>
            <w:pPr>
              <w:pStyle w:val="17"/>
              <w:bidi w:val="0"/>
              <w:rPr>
                <w:rFonts w:hint="default"/>
              </w:rPr>
            </w:pPr>
            <w:r>
              <w:rPr>
                <w:rFonts w:hint="default"/>
              </w:rPr>
              <w:t>10.14</w:t>
            </w:r>
          </w:p>
        </w:tc>
        <w:tc>
          <w:tcPr>
            <w:tcW w:w="1474" w:type="dxa"/>
            <w:tcBorders>
              <w:tl2br w:val="nil"/>
              <w:tr2bl w:val="nil"/>
            </w:tcBorders>
            <w:vAlign w:val="center"/>
          </w:tcPr>
          <w:p>
            <w:pPr>
              <w:pStyle w:val="17"/>
              <w:bidi w:val="0"/>
              <w:rPr>
                <w:rFonts w:hint="default"/>
              </w:rPr>
            </w:pPr>
            <w:r>
              <w:rPr>
                <w:rFonts w:hint="default"/>
              </w:rPr>
              <w:t>2.810</w:t>
            </w:r>
          </w:p>
        </w:tc>
        <w:tc>
          <w:tcPr>
            <w:tcW w:w="1475" w:type="dxa"/>
            <w:tcBorders>
              <w:tl2br w:val="nil"/>
              <w:tr2bl w:val="nil"/>
            </w:tcBorders>
            <w:vAlign w:val="center"/>
          </w:tcPr>
          <w:p>
            <w:pPr>
              <w:pStyle w:val="17"/>
              <w:bidi w:val="0"/>
              <w:rPr>
                <w:rFonts w:hint="default"/>
              </w:rPr>
            </w:pPr>
            <w:r>
              <w:rPr>
                <w:rFonts w:hint="default"/>
              </w:rPr>
              <w:t>1.15</w:t>
            </w:r>
          </w:p>
        </w:tc>
        <w:tc>
          <w:tcPr>
            <w:tcW w:w="1478" w:type="dxa"/>
            <w:tcBorders>
              <w:tl2br w:val="nil"/>
              <w:tr2bl w:val="nil"/>
            </w:tcBorders>
            <w:vAlign w:val="center"/>
          </w:tcPr>
          <w:p>
            <w:pPr>
              <w:pStyle w:val="17"/>
              <w:bidi w:val="0"/>
              <w:rPr>
                <w:rFonts w:hint="default"/>
              </w:rPr>
            </w:pPr>
            <w:r>
              <w:rPr>
                <w:rFonts w:hint="default"/>
              </w:rPr>
              <w:t>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5" w:type="dxa"/>
            <w:vMerge w:val="continue"/>
            <w:tcBorders>
              <w:tl2br w:val="nil"/>
              <w:tr2bl w:val="nil"/>
            </w:tcBorders>
            <w:vAlign w:val="center"/>
          </w:tcPr>
          <w:p>
            <w:pPr>
              <w:pStyle w:val="17"/>
              <w:bidi w:val="0"/>
              <w:rPr>
                <w:rFonts w:hint="default"/>
              </w:rPr>
            </w:pPr>
          </w:p>
        </w:tc>
        <w:tc>
          <w:tcPr>
            <w:tcW w:w="1585" w:type="dxa"/>
            <w:tcBorders>
              <w:tl2br w:val="nil"/>
              <w:tr2bl w:val="nil"/>
            </w:tcBorders>
            <w:vAlign w:val="center"/>
          </w:tcPr>
          <w:p>
            <w:pPr>
              <w:pStyle w:val="17"/>
              <w:bidi w:val="0"/>
              <w:rPr>
                <w:rFonts w:hint="default"/>
              </w:rPr>
            </w:pPr>
            <w:r>
              <w:rPr>
                <w:rFonts w:hint="default"/>
              </w:rPr>
              <w:t>洒水</w:t>
            </w:r>
          </w:p>
        </w:tc>
        <w:tc>
          <w:tcPr>
            <w:tcW w:w="1474" w:type="dxa"/>
            <w:tcBorders>
              <w:tl2br w:val="nil"/>
              <w:tr2bl w:val="nil"/>
            </w:tcBorders>
            <w:vAlign w:val="center"/>
          </w:tcPr>
          <w:p>
            <w:pPr>
              <w:pStyle w:val="17"/>
              <w:bidi w:val="0"/>
              <w:rPr>
                <w:rFonts w:hint="default"/>
              </w:rPr>
            </w:pPr>
            <w:r>
              <w:rPr>
                <w:rFonts w:hint="default"/>
              </w:rPr>
              <w:t>2.01</w:t>
            </w:r>
          </w:p>
        </w:tc>
        <w:tc>
          <w:tcPr>
            <w:tcW w:w="1474" w:type="dxa"/>
            <w:tcBorders>
              <w:tl2br w:val="nil"/>
              <w:tr2bl w:val="nil"/>
            </w:tcBorders>
            <w:vAlign w:val="center"/>
          </w:tcPr>
          <w:p>
            <w:pPr>
              <w:pStyle w:val="17"/>
              <w:bidi w:val="0"/>
              <w:rPr>
                <w:rFonts w:hint="default"/>
              </w:rPr>
            </w:pPr>
            <w:r>
              <w:rPr>
                <w:rFonts w:hint="default"/>
              </w:rPr>
              <w:t>1.40</w:t>
            </w:r>
          </w:p>
        </w:tc>
        <w:tc>
          <w:tcPr>
            <w:tcW w:w="1475" w:type="dxa"/>
            <w:tcBorders>
              <w:tl2br w:val="nil"/>
              <w:tr2bl w:val="nil"/>
            </w:tcBorders>
            <w:vAlign w:val="center"/>
          </w:tcPr>
          <w:p>
            <w:pPr>
              <w:pStyle w:val="17"/>
              <w:bidi w:val="0"/>
              <w:rPr>
                <w:rFonts w:hint="default"/>
              </w:rPr>
            </w:pPr>
            <w:r>
              <w:rPr>
                <w:rFonts w:hint="default"/>
              </w:rPr>
              <w:t>0.68</w:t>
            </w:r>
          </w:p>
        </w:tc>
        <w:tc>
          <w:tcPr>
            <w:tcW w:w="1478" w:type="dxa"/>
            <w:tcBorders>
              <w:tl2br w:val="nil"/>
              <w:tr2bl w:val="nil"/>
            </w:tcBorders>
            <w:vAlign w:val="center"/>
          </w:tcPr>
          <w:p>
            <w:pPr>
              <w:pStyle w:val="17"/>
              <w:bidi w:val="0"/>
              <w:rPr>
                <w:rFonts w:hint="default"/>
              </w:rPr>
            </w:pPr>
            <w:r>
              <w:rPr>
                <w:rFonts w:hint="default"/>
              </w:rPr>
              <w:t>0.60</w:t>
            </w:r>
          </w:p>
        </w:tc>
      </w:tr>
    </w:tbl>
    <w:p>
      <w:pPr>
        <w:bidi w:val="0"/>
        <w:rPr>
          <w:rFonts w:hint="default"/>
        </w:rPr>
      </w:pPr>
      <w:r>
        <w:rPr>
          <w:rFonts w:hint="default"/>
        </w:rPr>
        <w:t>②堆场扬尘</w:t>
      </w:r>
    </w:p>
    <w:p>
      <w:pPr>
        <w:bidi w:val="0"/>
        <w:rPr>
          <w:rFonts w:hint="default"/>
        </w:rPr>
      </w:pPr>
      <w:r>
        <w:rPr>
          <w:rFonts w:hint="default"/>
        </w:rPr>
        <w:t>施工阶段扬尘的另一个主要来源是露天堆场和裸露场地的风力扬尘。由于施工需要，建筑材料需要露天堆放，部分施工作业点表层土壤需要人工开挖且临时堆放，在气候干燥又有风的情况下，会产生扬尘，其扬尘量可按堆场起尘的经验公式计算：</w:t>
      </w:r>
    </w:p>
    <w:p>
      <w:pPr>
        <w:bidi w:val="0"/>
        <w:rPr>
          <w:rFonts w:hint="default"/>
        </w:rPr>
      </w:pPr>
      <w:r>
        <w:rPr>
          <w:rFonts w:hint="default" w:ascii="Times New Roman" w:hAnsi="Times New Roman" w:eastAsia="宋体" w:cs="Times New Roman"/>
          <w:position w:val="-12"/>
        </w:rPr>
        <w:object>
          <v:shape id="_x0000_i1034" o:spt="75" type="#_x0000_t75" style="height:20.25pt;width:117.75pt;" o:ole="t" filled="f" o:preferrelative="t" stroked="f" coordsize="21600,21600">
            <v:path/>
            <v:fill on="f" focussize="0,0"/>
            <v:stroke on="f" joinstyle="miter"/>
            <v:imagedata r:id="rId36" o:title=""/>
            <o:lock v:ext="edit" aspectratio="t"/>
            <w10:wrap type="none"/>
            <w10:anchorlock/>
          </v:shape>
          <o:OLEObject Type="Embed" ProgID="Equation.3" ShapeID="_x0000_i1034" DrawAspect="Content" ObjectID="_1468075734" r:id="rId35">
            <o:LockedField>false</o:LockedField>
          </o:OLEObject>
        </w:object>
      </w:r>
    </w:p>
    <w:p>
      <w:pPr>
        <w:bidi w:val="0"/>
        <w:rPr>
          <w:rFonts w:hint="default"/>
        </w:rPr>
      </w:pPr>
      <w:r>
        <w:rPr>
          <w:rFonts w:hint="default"/>
        </w:rPr>
        <w:t>式中：Q中起尘量，kg/吨·年；</w:t>
      </w:r>
    </w:p>
    <w:p>
      <w:pPr>
        <w:bidi w:val="0"/>
        <w:rPr>
          <w:rFonts w:hint="default"/>
        </w:rPr>
      </w:pPr>
      <w:r>
        <w:rPr>
          <w:rFonts w:hint="default"/>
        </w:rPr>
        <w:t>V50—距离地面50m处风速，m/s；</w:t>
      </w:r>
    </w:p>
    <w:p>
      <w:pPr>
        <w:bidi w:val="0"/>
        <w:rPr>
          <w:rFonts w:hint="default"/>
        </w:rPr>
      </w:pPr>
      <w:r>
        <w:rPr>
          <w:rFonts w:hint="default"/>
        </w:rPr>
        <w:t>V0—起尘风速，m/s；</w:t>
      </w:r>
    </w:p>
    <w:p>
      <w:pPr>
        <w:bidi w:val="0"/>
        <w:rPr>
          <w:rFonts w:hint="default"/>
        </w:rPr>
      </w:pPr>
      <w:r>
        <w:rPr>
          <w:rFonts w:hint="default"/>
        </w:rPr>
        <w:t>W—尘粒的含水率，%。</w:t>
      </w:r>
    </w:p>
    <w:p>
      <w:pPr>
        <w:bidi w:val="0"/>
        <w:rPr>
          <w:rFonts w:hint="default"/>
        </w:rPr>
      </w:pPr>
      <w:r>
        <w:rPr>
          <w:rFonts w:hint="default"/>
        </w:rPr>
        <w:t>起尘风速与粒径和含水率有关，因此，减少露天堆放和保证一定的含水率及减少裸露地面是减少风力起尘的有效手段。粉尘在空气中的扩散稀释与风速等气象条件也有关，与粉尘本身的沉降速度有关。根据北京市环境保护科研所等单位在市政施工现场的实测资料，在一般气象条件下，平均风速2～3m/s的情况下，建筑工地内TSP浓度为其上风向对照点的2.0～2.5倍，建筑施工扬尘的影响范围在其下风向可达150m，影响范围内TSP浓度平均值可达0.49mg/</w:t>
      </w:r>
      <w:r>
        <w:rPr>
          <w:rFonts w:hint="eastAsia"/>
          <w:lang w:eastAsia="zh-CN"/>
        </w:rPr>
        <w:t>m³</w:t>
      </w:r>
      <w:r>
        <w:rPr>
          <w:rFonts w:hint="default"/>
        </w:rPr>
        <w:t>的，是上风向对照点的1.5倍，相当于《环境空气质量标准》TSP日均浓度二级标准值的1.6倍。围栏对减少施工扬尘污染有一定作用，当有围栏时同等条件下其影响距离可缩短40%。</w:t>
      </w:r>
    </w:p>
    <w:p>
      <w:pPr>
        <w:bidi w:val="0"/>
        <w:rPr>
          <w:rFonts w:hint="default"/>
        </w:rPr>
      </w:pPr>
      <w:r>
        <w:rPr>
          <w:rFonts w:hint="default"/>
        </w:rPr>
        <w:t>综上所述，在正常工况下，施工作业的扬尘影响范围一般都在距离施工现场100m之内，根据对一些施工现场的监测结果，距离施工现场100m处，施工粉尘的浓度约在0.12mg/</w:t>
      </w:r>
      <w:r>
        <w:rPr>
          <w:rFonts w:hint="eastAsia"/>
          <w:lang w:eastAsia="zh-CN"/>
        </w:rPr>
        <w:t>m³</w:t>
      </w:r>
      <w:r>
        <w:rPr>
          <w:rFonts w:hint="default"/>
        </w:rPr>
        <w:t>～</w:t>
      </w:r>
      <w:r>
        <w:rPr>
          <w:rFonts w:hint="default"/>
          <w:lang w:val="en-US" w:eastAsia="zh-CN"/>
        </w:rPr>
        <w:t>1.40</w:t>
      </w:r>
      <w:r>
        <w:rPr>
          <w:rFonts w:hint="default"/>
        </w:rPr>
        <w:t>mg/</w:t>
      </w:r>
      <w:r>
        <w:rPr>
          <w:rFonts w:hint="eastAsia"/>
          <w:lang w:eastAsia="zh-CN"/>
        </w:rPr>
        <w:t>m³</w:t>
      </w:r>
      <w:r>
        <w:rPr>
          <w:rFonts w:hint="default"/>
        </w:rPr>
        <w:t>之间。浓度影响随风速的变化而变化，总的趋势是小风、静风天气作业时，影响范围小，大风天作业时污染较大，对500m外的环境空气影响很小。</w:t>
      </w:r>
    </w:p>
    <w:p>
      <w:pPr>
        <w:bidi w:val="0"/>
        <w:rPr>
          <w:rFonts w:hint="default"/>
        </w:rPr>
      </w:pPr>
      <w:r>
        <w:rPr>
          <w:rFonts w:hint="default"/>
        </w:rPr>
        <w:t>根据现状调查本项目1</w:t>
      </w:r>
      <w:r>
        <w:rPr>
          <w:rFonts w:hint="default"/>
          <w:lang w:val="en-US" w:eastAsia="zh-CN"/>
        </w:rPr>
        <w:t>k</w:t>
      </w:r>
      <w:r>
        <w:rPr>
          <w:rFonts w:hint="default"/>
        </w:rPr>
        <w:t>m内无集中居民居住区、自然保护区、风景名胜区等环境敏感点，施工期扬尘对外环境影响小，随着施工期的结束，施工扬尘影响将会消失。</w:t>
      </w:r>
    </w:p>
    <w:p>
      <w:pPr>
        <w:bidi w:val="0"/>
        <w:rPr>
          <w:rFonts w:hint="default"/>
        </w:rPr>
      </w:pPr>
      <w:r>
        <w:rPr>
          <w:rFonts w:hint="default"/>
        </w:rPr>
        <w:t>（2）施工期废气</w:t>
      </w:r>
    </w:p>
    <w:p>
      <w:pPr>
        <w:bidi w:val="0"/>
        <w:rPr>
          <w:rFonts w:hint="default"/>
        </w:rPr>
      </w:pPr>
      <w:r>
        <w:rPr>
          <w:rFonts w:hint="default"/>
        </w:rPr>
        <w:t>施工废气主要包括：各种燃油机械的废气排放、运输车辆产生的尾气以及施工队伍临时食堂炉灶的油烟排放。主要污染物为NOx、CO和碳氢化合物(HC)等，中型车辆平均时速为30km/h，一氧化碳排放量为15.0g/km</w:t>
      </w:r>
      <w:r>
        <w:rPr>
          <w:rFonts w:hint="default"/>
          <w:lang w:val="en-US" w:eastAsia="zh-CN"/>
        </w:rPr>
        <w:t>每</w:t>
      </w:r>
      <w:r>
        <w:rPr>
          <w:rFonts w:hint="default"/>
        </w:rPr>
        <w:t>辆，碳氢化合物排放量为1.67g/km</w:t>
      </w:r>
      <w:r>
        <w:rPr>
          <w:rFonts w:hint="default"/>
          <w:lang w:val="en-US" w:eastAsia="zh-CN"/>
        </w:rPr>
        <w:t>每</w:t>
      </w:r>
      <w:r>
        <w:rPr>
          <w:rFonts w:hint="default"/>
        </w:rPr>
        <w:t>辆，二氧化氮为1.33g/km</w:t>
      </w:r>
      <w:r>
        <w:rPr>
          <w:rFonts w:hint="default"/>
          <w:lang w:val="en-US" w:eastAsia="zh-CN"/>
        </w:rPr>
        <w:t>每</w:t>
      </w:r>
      <w:r>
        <w:rPr>
          <w:rFonts w:hint="default"/>
        </w:rPr>
        <w:t>辆。工程在加强施工机械、车辆运行管理与维护保养的情况下，可减少尾气排放，对周围环境的影响较小。</w:t>
      </w:r>
    </w:p>
    <w:p>
      <w:pPr>
        <w:pStyle w:val="6"/>
        <w:bidi w:val="0"/>
        <w:rPr>
          <w:rFonts w:hint="default"/>
        </w:rPr>
      </w:pPr>
      <w:bookmarkStart w:id="115" w:name="_Toc8127587"/>
      <w:bookmarkStart w:id="116" w:name="_Toc3972"/>
      <w:bookmarkStart w:id="117" w:name="_Toc423102275"/>
      <w:r>
        <w:rPr>
          <w:rFonts w:hint="default"/>
        </w:rPr>
        <w:t>3.8.2.2</w:t>
      </w:r>
      <w:r>
        <w:rPr>
          <w:rFonts w:hint="eastAsia"/>
          <w:lang w:eastAsia="zh-CN"/>
        </w:rPr>
        <w:t>、</w:t>
      </w:r>
      <w:r>
        <w:rPr>
          <w:rFonts w:hint="default"/>
        </w:rPr>
        <w:t>施工噪声</w:t>
      </w:r>
      <w:bookmarkEnd w:id="115"/>
      <w:bookmarkEnd w:id="116"/>
      <w:bookmarkEnd w:id="117"/>
    </w:p>
    <w:p>
      <w:pPr>
        <w:bidi w:val="0"/>
        <w:rPr>
          <w:rFonts w:hint="default"/>
        </w:rPr>
      </w:pPr>
      <w:bookmarkStart w:id="118" w:name="_Toc205981506"/>
      <w:bookmarkStart w:id="119" w:name="_Toc207786194"/>
      <w:bookmarkStart w:id="120" w:name="_Toc290277558"/>
      <w:bookmarkStart w:id="121" w:name="_Toc183513753"/>
      <w:bookmarkStart w:id="122" w:name="_Toc205993351"/>
      <w:bookmarkStart w:id="123" w:name="_Toc169482103"/>
      <w:bookmarkStart w:id="124" w:name="_Toc40050937"/>
      <w:bookmarkStart w:id="125" w:name="_Toc290276860"/>
      <w:bookmarkStart w:id="126" w:name="_Toc290277209"/>
      <w:r>
        <w:rPr>
          <w:rFonts w:hint="default"/>
        </w:rPr>
        <w:t>建设过程各施工阶段主要噪声源声级大小均不一样，其噪声值也不一样，类比调查，各施工阶段主要设备及噪声级见表3.8-3。</w:t>
      </w:r>
    </w:p>
    <w:p>
      <w:pPr>
        <w:pStyle w:val="17"/>
        <w:bidi w:val="0"/>
        <w:rPr>
          <w:rFonts w:hint="default"/>
          <w:b/>
          <w:bCs/>
        </w:rPr>
      </w:pPr>
      <w:r>
        <w:rPr>
          <w:rFonts w:hint="default"/>
          <w:b/>
          <w:bCs/>
        </w:rPr>
        <w:t xml:space="preserve">表3.8-3 </w:t>
      </w:r>
      <w:r>
        <w:rPr>
          <w:rFonts w:hint="eastAsia"/>
          <w:b/>
          <w:bCs/>
          <w:lang w:val="en-US" w:eastAsia="zh-CN"/>
        </w:rPr>
        <w:t xml:space="preserve"> </w:t>
      </w:r>
      <w:r>
        <w:rPr>
          <w:rFonts w:hint="default"/>
          <w:b/>
          <w:bCs/>
        </w:rPr>
        <w:t xml:space="preserve"> 不同施工机械环境噪声源及噪声影响预测结果表</w:t>
      </w:r>
    </w:p>
    <w:tbl>
      <w:tblPr>
        <w:tblStyle w:val="12"/>
        <w:tblW w:w="874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3"/>
        <w:gridCol w:w="1281"/>
        <w:gridCol w:w="1281"/>
        <w:gridCol w:w="898"/>
        <w:gridCol w:w="920"/>
        <w:gridCol w:w="189"/>
        <w:gridCol w:w="905"/>
        <w:gridCol w:w="10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2183" w:type="dxa"/>
            <w:vMerge w:val="restart"/>
            <w:tcBorders>
              <w:tl2br w:val="nil"/>
              <w:tr2bl w:val="nil"/>
            </w:tcBorders>
            <w:vAlign w:val="center"/>
          </w:tcPr>
          <w:p>
            <w:pPr>
              <w:pStyle w:val="17"/>
              <w:bidi w:val="0"/>
              <w:rPr>
                <w:rFonts w:hint="default"/>
                <w:b/>
                <w:bCs/>
              </w:rPr>
            </w:pPr>
            <w:r>
              <w:rPr>
                <w:rFonts w:hint="default"/>
                <w:b/>
                <w:bCs/>
              </w:rPr>
              <w:t>施工机械设备名称</w:t>
            </w:r>
          </w:p>
        </w:tc>
        <w:tc>
          <w:tcPr>
            <w:tcW w:w="1281" w:type="dxa"/>
            <w:vMerge w:val="restart"/>
            <w:tcBorders>
              <w:tl2br w:val="nil"/>
              <w:tr2bl w:val="nil"/>
            </w:tcBorders>
            <w:vAlign w:val="center"/>
          </w:tcPr>
          <w:p>
            <w:pPr>
              <w:pStyle w:val="17"/>
              <w:bidi w:val="0"/>
              <w:rPr>
                <w:rFonts w:hint="default"/>
                <w:b/>
                <w:bCs/>
              </w:rPr>
            </w:pPr>
            <w:r>
              <w:rPr>
                <w:rFonts w:hint="default"/>
                <w:b/>
                <w:bCs/>
              </w:rPr>
              <w:t>声级</w:t>
            </w:r>
          </w:p>
          <w:p>
            <w:pPr>
              <w:pStyle w:val="17"/>
              <w:bidi w:val="0"/>
              <w:rPr>
                <w:rFonts w:hint="default"/>
                <w:b/>
                <w:bCs/>
              </w:rPr>
            </w:pPr>
            <w:r>
              <w:rPr>
                <w:rFonts w:hint="default"/>
                <w:b/>
                <w:bCs/>
              </w:rPr>
              <w:t>dB(A)</w:t>
            </w:r>
          </w:p>
        </w:tc>
        <w:tc>
          <w:tcPr>
            <w:tcW w:w="1281" w:type="dxa"/>
            <w:vMerge w:val="restart"/>
            <w:tcBorders>
              <w:tl2br w:val="nil"/>
              <w:tr2bl w:val="nil"/>
            </w:tcBorders>
            <w:vAlign w:val="center"/>
          </w:tcPr>
          <w:p>
            <w:pPr>
              <w:pStyle w:val="17"/>
              <w:bidi w:val="0"/>
              <w:rPr>
                <w:rFonts w:hint="default"/>
                <w:b/>
                <w:bCs/>
              </w:rPr>
            </w:pPr>
            <w:r>
              <w:rPr>
                <w:rFonts w:hint="default"/>
                <w:b/>
                <w:bCs/>
              </w:rPr>
              <w:t>距声源</w:t>
            </w:r>
          </w:p>
          <w:p>
            <w:pPr>
              <w:pStyle w:val="17"/>
              <w:bidi w:val="0"/>
              <w:rPr>
                <w:rFonts w:hint="default"/>
                <w:b/>
                <w:bCs/>
              </w:rPr>
            </w:pPr>
            <w:r>
              <w:rPr>
                <w:rFonts w:hint="default"/>
                <w:b/>
                <w:bCs/>
              </w:rPr>
              <w:t>距离(m)</w:t>
            </w:r>
          </w:p>
        </w:tc>
        <w:tc>
          <w:tcPr>
            <w:tcW w:w="2007" w:type="dxa"/>
            <w:gridSpan w:val="3"/>
            <w:tcBorders>
              <w:tl2br w:val="nil"/>
              <w:tr2bl w:val="nil"/>
            </w:tcBorders>
            <w:vAlign w:val="center"/>
          </w:tcPr>
          <w:p>
            <w:pPr>
              <w:pStyle w:val="17"/>
              <w:bidi w:val="0"/>
              <w:rPr>
                <w:rFonts w:hint="default"/>
                <w:b/>
                <w:bCs/>
              </w:rPr>
            </w:pPr>
            <w:r>
              <w:rPr>
                <w:rFonts w:hint="default"/>
                <w:b/>
                <w:bCs/>
              </w:rPr>
              <w:t>评价标准dB (A)</w:t>
            </w:r>
          </w:p>
        </w:tc>
        <w:tc>
          <w:tcPr>
            <w:tcW w:w="1993" w:type="dxa"/>
            <w:gridSpan w:val="2"/>
            <w:tcBorders>
              <w:tl2br w:val="nil"/>
              <w:tr2bl w:val="nil"/>
            </w:tcBorders>
            <w:vAlign w:val="center"/>
          </w:tcPr>
          <w:p>
            <w:pPr>
              <w:pStyle w:val="17"/>
              <w:bidi w:val="0"/>
              <w:rPr>
                <w:rFonts w:hint="default"/>
                <w:b/>
                <w:bCs/>
              </w:rPr>
            </w:pPr>
            <w:r>
              <w:rPr>
                <w:rFonts w:hint="default"/>
                <w:b/>
                <w:bCs/>
              </w:rPr>
              <w:t>最大超标范围(m)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9" w:hRule="atLeast"/>
          <w:jc w:val="center"/>
        </w:trPr>
        <w:tc>
          <w:tcPr>
            <w:tcW w:w="2183" w:type="dxa"/>
            <w:vMerge w:val="continue"/>
            <w:tcBorders>
              <w:tl2br w:val="nil"/>
              <w:tr2bl w:val="nil"/>
            </w:tcBorders>
            <w:vAlign w:val="center"/>
          </w:tcPr>
          <w:p>
            <w:pPr>
              <w:pStyle w:val="17"/>
              <w:bidi w:val="0"/>
              <w:rPr>
                <w:rFonts w:hint="default"/>
                <w:b/>
                <w:bCs/>
              </w:rPr>
            </w:pPr>
          </w:p>
        </w:tc>
        <w:tc>
          <w:tcPr>
            <w:tcW w:w="1281" w:type="dxa"/>
            <w:vMerge w:val="continue"/>
            <w:tcBorders>
              <w:tl2br w:val="nil"/>
              <w:tr2bl w:val="nil"/>
            </w:tcBorders>
            <w:vAlign w:val="center"/>
          </w:tcPr>
          <w:p>
            <w:pPr>
              <w:pStyle w:val="17"/>
              <w:bidi w:val="0"/>
              <w:rPr>
                <w:rFonts w:hint="default"/>
                <w:b/>
                <w:bCs/>
              </w:rPr>
            </w:pPr>
          </w:p>
        </w:tc>
        <w:tc>
          <w:tcPr>
            <w:tcW w:w="1281" w:type="dxa"/>
            <w:vMerge w:val="continue"/>
            <w:tcBorders>
              <w:tl2br w:val="nil"/>
              <w:tr2bl w:val="nil"/>
            </w:tcBorders>
            <w:vAlign w:val="center"/>
          </w:tcPr>
          <w:p>
            <w:pPr>
              <w:pStyle w:val="17"/>
              <w:bidi w:val="0"/>
              <w:rPr>
                <w:rFonts w:hint="default"/>
                <w:b/>
                <w:bCs/>
              </w:rPr>
            </w:pPr>
          </w:p>
        </w:tc>
        <w:tc>
          <w:tcPr>
            <w:tcW w:w="898" w:type="dxa"/>
            <w:tcBorders>
              <w:tl2br w:val="nil"/>
              <w:tr2bl w:val="nil"/>
            </w:tcBorders>
            <w:vAlign w:val="center"/>
          </w:tcPr>
          <w:p>
            <w:pPr>
              <w:pStyle w:val="17"/>
              <w:bidi w:val="0"/>
              <w:rPr>
                <w:rFonts w:hint="default"/>
                <w:b/>
                <w:bCs/>
              </w:rPr>
            </w:pPr>
            <w:r>
              <w:rPr>
                <w:rFonts w:hint="default"/>
                <w:b/>
                <w:bCs/>
              </w:rPr>
              <w:t>昼 间</w:t>
            </w:r>
          </w:p>
        </w:tc>
        <w:tc>
          <w:tcPr>
            <w:tcW w:w="920" w:type="dxa"/>
            <w:tcBorders>
              <w:tl2br w:val="nil"/>
              <w:tr2bl w:val="nil"/>
            </w:tcBorders>
            <w:vAlign w:val="center"/>
          </w:tcPr>
          <w:p>
            <w:pPr>
              <w:pStyle w:val="17"/>
              <w:bidi w:val="0"/>
              <w:rPr>
                <w:rFonts w:hint="default"/>
                <w:b/>
                <w:bCs/>
              </w:rPr>
            </w:pPr>
            <w:r>
              <w:rPr>
                <w:rFonts w:hint="default"/>
                <w:b/>
                <w:bCs/>
              </w:rPr>
              <w:t>夜 间</w:t>
            </w:r>
          </w:p>
        </w:tc>
        <w:tc>
          <w:tcPr>
            <w:tcW w:w="1094" w:type="dxa"/>
            <w:gridSpan w:val="2"/>
            <w:tcBorders>
              <w:tl2br w:val="nil"/>
              <w:tr2bl w:val="nil"/>
            </w:tcBorders>
            <w:vAlign w:val="center"/>
          </w:tcPr>
          <w:p>
            <w:pPr>
              <w:pStyle w:val="17"/>
              <w:bidi w:val="0"/>
              <w:rPr>
                <w:rFonts w:hint="default"/>
                <w:b/>
                <w:bCs/>
              </w:rPr>
            </w:pPr>
            <w:r>
              <w:rPr>
                <w:rFonts w:hint="default"/>
                <w:b/>
                <w:bCs/>
              </w:rPr>
              <w:t>昼 间</w:t>
            </w:r>
          </w:p>
        </w:tc>
        <w:tc>
          <w:tcPr>
            <w:tcW w:w="1088" w:type="dxa"/>
            <w:tcBorders>
              <w:tl2br w:val="nil"/>
              <w:tr2bl w:val="nil"/>
            </w:tcBorders>
            <w:vAlign w:val="center"/>
          </w:tcPr>
          <w:p>
            <w:pPr>
              <w:pStyle w:val="17"/>
              <w:bidi w:val="0"/>
              <w:rPr>
                <w:rFonts w:hint="default"/>
                <w:b/>
                <w:bCs/>
              </w:rPr>
            </w:pPr>
            <w:r>
              <w:rPr>
                <w:rFonts w:hint="default"/>
                <w:b/>
                <w:bCs/>
              </w:rPr>
              <w:t>夜 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9" w:hRule="atLeast"/>
          <w:jc w:val="center"/>
        </w:trPr>
        <w:tc>
          <w:tcPr>
            <w:tcW w:w="2183" w:type="dxa"/>
            <w:tcBorders>
              <w:tl2br w:val="nil"/>
              <w:tr2bl w:val="nil"/>
            </w:tcBorders>
            <w:vAlign w:val="center"/>
          </w:tcPr>
          <w:p>
            <w:pPr>
              <w:pStyle w:val="17"/>
              <w:bidi w:val="0"/>
              <w:rPr>
                <w:rFonts w:hint="default"/>
              </w:rPr>
            </w:pPr>
            <w:r>
              <w:rPr>
                <w:rFonts w:hint="default"/>
              </w:rPr>
              <w:t>混凝土搅拌机</w:t>
            </w:r>
          </w:p>
        </w:tc>
        <w:tc>
          <w:tcPr>
            <w:tcW w:w="1281" w:type="dxa"/>
            <w:tcBorders>
              <w:tl2br w:val="nil"/>
              <w:tr2bl w:val="nil"/>
            </w:tcBorders>
            <w:vAlign w:val="center"/>
          </w:tcPr>
          <w:p>
            <w:pPr>
              <w:pStyle w:val="17"/>
              <w:bidi w:val="0"/>
              <w:rPr>
                <w:rFonts w:hint="default"/>
              </w:rPr>
            </w:pPr>
            <w:r>
              <w:rPr>
                <w:rFonts w:hint="default"/>
              </w:rPr>
              <w:t>78～89</w:t>
            </w:r>
          </w:p>
        </w:tc>
        <w:tc>
          <w:tcPr>
            <w:tcW w:w="1281" w:type="dxa"/>
            <w:tcBorders>
              <w:tl2br w:val="nil"/>
              <w:tr2bl w:val="nil"/>
            </w:tcBorders>
            <w:vAlign w:val="center"/>
          </w:tcPr>
          <w:p>
            <w:pPr>
              <w:pStyle w:val="17"/>
              <w:bidi w:val="0"/>
              <w:rPr>
                <w:rFonts w:hint="default"/>
              </w:rPr>
            </w:pPr>
            <w:r>
              <w:rPr>
                <w:rFonts w:hint="default"/>
              </w:rPr>
              <w:t>1m</w:t>
            </w:r>
          </w:p>
        </w:tc>
        <w:tc>
          <w:tcPr>
            <w:tcW w:w="898" w:type="dxa"/>
            <w:vMerge w:val="restart"/>
            <w:tcBorders>
              <w:tl2br w:val="nil"/>
              <w:tr2bl w:val="nil"/>
            </w:tcBorders>
            <w:vAlign w:val="center"/>
          </w:tcPr>
          <w:p>
            <w:pPr>
              <w:pStyle w:val="17"/>
              <w:bidi w:val="0"/>
              <w:rPr>
                <w:rFonts w:hint="default"/>
              </w:rPr>
            </w:pPr>
            <w:r>
              <w:rPr>
                <w:rFonts w:hint="default"/>
              </w:rPr>
              <w:t>70</w:t>
            </w:r>
          </w:p>
        </w:tc>
        <w:tc>
          <w:tcPr>
            <w:tcW w:w="920" w:type="dxa"/>
            <w:vMerge w:val="restart"/>
            <w:tcBorders>
              <w:tl2br w:val="nil"/>
              <w:tr2bl w:val="nil"/>
            </w:tcBorders>
            <w:vAlign w:val="center"/>
          </w:tcPr>
          <w:p>
            <w:pPr>
              <w:pStyle w:val="17"/>
              <w:bidi w:val="0"/>
              <w:rPr>
                <w:rFonts w:hint="default"/>
              </w:rPr>
            </w:pPr>
            <w:r>
              <w:rPr>
                <w:rFonts w:hint="default"/>
              </w:rPr>
              <w:t>55</w:t>
            </w:r>
          </w:p>
        </w:tc>
        <w:tc>
          <w:tcPr>
            <w:tcW w:w="1094" w:type="dxa"/>
            <w:gridSpan w:val="2"/>
            <w:tcBorders>
              <w:tl2br w:val="nil"/>
              <w:tr2bl w:val="nil"/>
            </w:tcBorders>
            <w:vAlign w:val="center"/>
          </w:tcPr>
          <w:p>
            <w:pPr>
              <w:pStyle w:val="17"/>
              <w:bidi w:val="0"/>
              <w:rPr>
                <w:rFonts w:hint="default"/>
              </w:rPr>
            </w:pPr>
            <w:r>
              <w:rPr>
                <w:rFonts w:hint="default"/>
              </w:rPr>
              <w:t>9</w:t>
            </w:r>
          </w:p>
        </w:tc>
        <w:tc>
          <w:tcPr>
            <w:tcW w:w="1088" w:type="dxa"/>
            <w:tcBorders>
              <w:tl2br w:val="nil"/>
              <w:tr2bl w:val="nil"/>
            </w:tcBorders>
            <w:vAlign w:val="center"/>
          </w:tcPr>
          <w:p>
            <w:pPr>
              <w:pStyle w:val="17"/>
              <w:bidi w:val="0"/>
              <w:rPr>
                <w:rFonts w:hint="default"/>
              </w:rPr>
            </w:pPr>
            <w:r>
              <w:rPr>
                <w:rFonts w:hint="default"/>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9" w:hRule="atLeast"/>
          <w:jc w:val="center"/>
        </w:trPr>
        <w:tc>
          <w:tcPr>
            <w:tcW w:w="2183" w:type="dxa"/>
            <w:tcBorders>
              <w:tl2br w:val="nil"/>
              <w:tr2bl w:val="nil"/>
            </w:tcBorders>
            <w:vAlign w:val="center"/>
          </w:tcPr>
          <w:p>
            <w:pPr>
              <w:pStyle w:val="17"/>
              <w:bidi w:val="0"/>
              <w:rPr>
                <w:rFonts w:hint="default"/>
              </w:rPr>
            </w:pPr>
            <w:r>
              <w:rPr>
                <w:rFonts w:hint="default"/>
              </w:rPr>
              <w:t>振捣棒50mm</w:t>
            </w:r>
          </w:p>
        </w:tc>
        <w:tc>
          <w:tcPr>
            <w:tcW w:w="1281" w:type="dxa"/>
            <w:tcBorders>
              <w:tl2br w:val="nil"/>
              <w:tr2bl w:val="nil"/>
            </w:tcBorders>
            <w:vAlign w:val="center"/>
          </w:tcPr>
          <w:p>
            <w:pPr>
              <w:pStyle w:val="17"/>
              <w:bidi w:val="0"/>
              <w:rPr>
                <w:rFonts w:hint="default"/>
              </w:rPr>
            </w:pPr>
            <w:r>
              <w:rPr>
                <w:rFonts w:hint="default"/>
              </w:rPr>
              <w:t>93</w:t>
            </w:r>
          </w:p>
        </w:tc>
        <w:tc>
          <w:tcPr>
            <w:tcW w:w="1281" w:type="dxa"/>
            <w:tcBorders>
              <w:tl2br w:val="nil"/>
              <w:tr2bl w:val="nil"/>
            </w:tcBorders>
            <w:vAlign w:val="center"/>
          </w:tcPr>
          <w:p>
            <w:pPr>
              <w:pStyle w:val="17"/>
              <w:bidi w:val="0"/>
              <w:rPr>
                <w:rFonts w:hint="default"/>
              </w:rPr>
            </w:pPr>
            <w:r>
              <w:rPr>
                <w:rFonts w:hint="default"/>
              </w:rPr>
              <w:t>1m</w:t>
            </w:r>
          </w:p>
        </w:tc>
        <w:tc>
          <w:tcPr>
            <w:tcW w:w="898" w:type="dxa"/>
            <w:vMerge w:val="continue"/>
            <w:tcBorders>
              <w:tl2br w:val="nil"/>
              <w:tr2bl w:val="nil"/>
            </w:tcBorders>
            <w:vAlign w:val="center"/>
          </w:tcPr>
          <w:p>
            <w:pPr>
              <w:pStyle w:val="17"/>
              <w:bidi w:val="0"/>
              <w:rPr>
                <w:rFonts w:hint="default"/>
              </w:rPr>
            </w:pPr>
          </w:p>
        </w:tc>
        <w:tc>
          <w:tcPr>
            <w:tcW w:w="920" w:type="dxa"/>
            <w:vMerge w:val="continue"/>
            <w:tcBorders>
              <w:tl2br w:val="nil"/>
              <w:tr2bl w:val="nil"/>
            </w:tcBorders>
            <w:vAlign w:val="center"/>
          </w:tcPr>
          <w:p>
            <w:pPr>
              <w:pStyle w:val="17"/>
              <w:bidi w:val="0"/>
              <w:rPr>
                <w:rFonts w:hint="default"/>
              </w:rPr>
            </w:pPr>
          </w:p>
        </w:tc>
        <w:tc>
          <w:tcPr>
            <w:tcW w:w="1094" w:type="dxa"/>
            <w:gridSpan w:val="2"/>
            <w:tcBorders>
              <w:tl2br w:val="nil"/>
              <w:tr2bl w:val="nil"/>
            </w:tcBorders>
            <w:vAlign w:val="center"/>
          </w:tcPr>
          <w:p>
            <w:pPr>
              <w:pStyle w:val="17"/>
              <w:bidi w:val="0"/>
              <w:rPr>
                <w:rFonts w:hint="default"/>
              </w:rPr>
            </w:pPr>
            <w:r>
              <w:rPr>
                <w:rFonts w:hint="default"/>
              </w:rPr>
              <w:t>14</w:t>
            </w:r>
          </w:p>
        </w:tc>
        <w:tc>
          <w:tcPr>
            <w:tcW w:w="1088" w:type="dxa"/>
            <w:tcBorders>
              <w:tl2br w:val="nil"/>
              <w:tr2bl w:val="nil"/>
            </w:tcBorders>
            <w:vAlign w:val="center"/>
          </w:tcPr>
          <w:p>
            <w:pPr>
              <w:pStyle w:val="17"/>
              <w:bidi w:val="0"/>
              <w:rPr>
                <w:rFonts w:hint="default"/>
              </w:rPr>
            </w:pPr>
            <w:r>
              <w:rPr>
                <w:rFonts w:hint="default"/>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9" w:hRule="atLeast"/>
          <w:jc w:val="center"/>
        </w:trPr>
        <w:tc>
          <w:tcPr>
            <w:tcW w:w="2183" w:type="dxa"/>
            <w:tcBorders>
              <w:tl2br w:val="nil"/>
              <w:tr2bl w:val="nil"/>
            </w:tcBorders>
            <w:vAlign w:val="center"/>
          </w:tcPr>
          <w:p>
            <w:pPr>
              <w:pStyle w:val="17"/>
              <w:bidi w:val="0"/>
              <w:rPr>
                <w:rFonts w:hint="default"/>
              </w:rPr>
            </w:pPr>
            <w:r>
              <w:rPr>
                <w:rFonts w:hint="default"/>
              </w:rPr>
              <w:t>推土机</w:t>
            </w:r>
          </w:p>
        </w:tc>
        <w:tc>
          <w:tcPr>
            <w:tcW w:w="1281" w:type="dxa"/>
            <w:tcBorders>
              <w:tl2br w:val="nil"/>
              <w:tr2bl w:val="nil"/>
            </w:tcBorders>
            <w:vAlign w:val="center"/>
          </w:tcPr>
          <w:p>
            <w:pPr>
              <w:pStyle w:val="17"/>
              <w:bidi w:val="0"/>
              <w:rPr>
                <w:rFonts w:hint="default"/>
              </w:rPr>
            </w:pPr>
            <w:r>
              <w:rPr>
                <w:rFonts w:hint="default"/>
              </w:rPr>
              <w:t>73～85</w:t>
            </w:r>
          </w:p>
        </w:tc>
        <w:tc>
          <w:tcPr>
            <w:tcW w:w="1281" w:type="dxa"/>
            <w:tcBorders>
              <w:tl2br w:val="nil"/>
              <w:tr2bl w:val="nil"/>
            </w:tcBorders>
            <w:vAlign w:val="center"/>
          </w:tcPr>
          <w:p>
            <w:pPr>
              <w:pStyle w:val="17"/>
              <w:bidi w:val="0"/>
              <w:rPr>
                <w:rFonts w:hint="default"/>
              </w:rPr>
            </w:pPr>
            <w:r>
              <w:rPr>
                <w:rFonts w:hint="default"/>
              </w:rPr>
              <w:t>15m</w:t>
            </w:r>
          </w:p>
        </w:tc>
        <w:tc>
          <w:tcPr>
            <w:tcW w:w="898" w:type="dxa"/>
            <w:vMerge w:val="continue"/>
            <w:tcBorders>
              <w:tl2br w:val="nil"/>
              <w:tr2bl w:val="nil"/>
            </w:tcBorders>
            <w:vAlign w:val="center"/>
          </w:tcPr>
          <w:p>
            <w:pPr>
              <w:pStyle w:val="17"/>
              <w:bidi w:val="0"/>
              <w:rPr>
                <w:rFonts w:hint="default"/>
              </w:rPr>
            </w:pPr>
          </w:p>
        </w:tc>
        <w:tc>
          <w:tcPr>
            <w:tcW w:w="920" w:type="dxa"/>
            <w:vMerge w:val="continue"/>
            <w:tcBorders>
              <w:tl2br w:val="nil"/>
              <w:tr2bl w:val="nil"/>
            </w:tcBorders>
            <w:vAlign w:val="center"/>
          </w:tcPr>
          <w:p>
            <w:pPr>
              <w:pStyle w:val="17"/>
              <w:bidi w:val="0"/>
              <w:rPr>
                <w:rFonts w:hint="default"/>
              </w:rPr>
            </w:pPr>
          </w:p>
        </w:tc>
        <w:tc>
          <w:tcPr>
            <w:tcW w:w="1094" w:type="dxa"/>
            <w:gridSpan w:val="2"/>
            <w:tcBorders>
              <w:tl2br w:val="nil"/>
              <w:tr2bl w:val="nil"/>
            </w:tcBorders>
            <w:vAlign w:val="center"/>
          </w:tcPr>
          <w:p>
            <w:pPr>
              <w:pStyle w:val="17"/>
              <w:bidi w:val="0"/>
              <w:rPr>
                <w:rFonts w:hint="default"/>
              </w:rPr>
            </w:pPr>
            <w:r>
              <w:rPr>
                <w:rFonts w:hint="default"/>
              </w:rPr>
              <w:t>84</w:t>
            </w:r>
          </w:p>
        </w:tc>
        <w:tc>
          <w:tcPr>
            <w:tcW w:w="1088" w:type="dxa"/>
            <w:tcBorders>
              <w:tl2br w:val="nil"/>
              <w:tr2bl w:val="nil"/>
            </w:tcBorders>
            <w:vAlign w:val="center"/>
          </w:tcPr>
          <w:p>
            <w:pPr>
              <w:pStyle w:val="17"/>
              <w:bidi w:val="0"/>
              <w:rPr>
                <w:rFonts w:hint="default"/>
              </w:rPr>
            </w:pPr>
            <w:r>
              <w:rPr>
                <w:rFonts w:hint="default"/>
              </w:rPr>
              <w:t>474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9" w:hRule="atLeast"/>
          <w:jc w:val="center"/>
        </w:trPr>
        <w:tc>
          <w:tcPr>
            <w:tcW w:w="2183" w:type="dxa"/>
            <w:tcBorders>
              <w:tl2br w:val="nil"/>
              <w:tr2bl w:val="nil"/>
            </w:tcBorders>
            <w:vAlign w:val="center"/>
          </w:tcPr>
          <w:p>
            <w:pPr>
              <w:pStyle w:val="17"/>
              <w:bidi w:val="0"/>
              <w:rPr>
                <w:rFonts w:hint="default"/>
              </w:rPr>
            </w:pPr>
            <w:r>
              <w:rPr>
                <w:rFonts w:hint="default"/>
              </w:rPr>
              <w:t>挖掘机</w:t>
            </w:r>
          </w:p>
        </w:tc>
        <w:tc>
          <w:tcPr>
            <w:tcW w:w="1281" w:type="dxa"/>
            <w:tcBorders>
              <w:tl2br w:val="nil"/>
              <w:tr2bl w:val="nil"/>
            </w:tcBorders>
            <w:vAlign w:val="center"/>
          </w:tcPr>
          <w:p>
            <w:pPr>
              <w:pStyle w:val="17"/>
              <w:bidi w:val="0"/>
              <w:rPr>
                <w:rFonts w:hint="default"/>
              </w:rPr>
            </w:pPr>
            <w:r>
              <w:rPr>
                <w:rFonts w:hint="default"/>
              </w:rPr>
              <w:t>67～77</w:t>
            </w:r>
          </w:p>
        </w:tc>
        <w:tc>
          <w:tcPr>
            <w:tcW w:w="1281" w:type="dxa"/>
            <w:tcBorders>
              <w:tl2br w:val="nil"/>
              <w:tr2bl w:val="nil"/>
            </w:tcBorders>
            <w:vAlign w:val="center"/>
          </w:tcPr>
          <w:p>
            <w:pPr>
              <w:pStyle w:val="17"/>
              <w:bidi w:val="0"/>
              <w:rPr>
                <w:rFonts w:hint="default"/>
              </w:rPr>
            </w:pPr>
            <w:r>
              <w:rPr>
                <w:rFonts w:hint="default"/>
              </w:rPr>
              <w:t>15m</w:t>
            </w:r>
          </w:p>
        </w:tc>
        <w:tc>
          <w:tcPr>
            <w:tcW w:w="898" w:type="dxa"/>
            <w:vMerge w:val="continue"/>
            <w:tcBorders>
              <w:tl2br w:val="nil"/>
              <w:tr2bl w:val="nil"/>
            </w:tcBorders>
            <w:vAlign w:val="center"/>
          </w:tcPr>
          <w:p>
            <w:pPr>
              <w:pStyle w:val="17"/>
              <w:bidi w:val="0"/>
              <w:rPr>
                <w:rFonts w:hint="default"/>
              </w:rPr>
            </w:pPr>
          </w:p>
        </w:tc>
        <w:tc>
          <w:tcPr>
            <w:tcW w:w="920" w:type="dxa"/>
            <w:vMerge w:val="continue"/>
            <w:tcBorders>
              <w:tl2br w:val="nil"/>
              <w:tr2bl w:val="nil"/>
            </w:tcBorders>
            <w:vAlign w:val="center"/>
          </w:tcPr>
          <w:p>
            <w:pPr>
              <w:pStyle w:val="17"/>
              <w:bidi w:val="0"/>
              <w:rPr>
                <w:rFonts w:hint="default"/>
              </w:rPr>
            </w:pPr>
          </w:p>
        </w:tc>
        <w:tc>
          <w:tcPr>
            <w:tcW w:w="1094" w:type="dxa"/>
            <w:gridSpan w:val="2"/>
            <w:tcBorders>
              <w:tl2br w:val="nil"/>
              <w:tr2bl w:val="nil"/>
            </w:tcBorders>
            <w:vAlign w:val="center"/>
          </w:tcPr>
          <w:p>
            <w:pPr>
              <w:pStyle w:val="17"/>
              <w:bidi w:val="0"/>
              <w:rPr>
                <w:rFonts w:hint="default"/>
              </w:rPr>
            </w:pPr>
            <w:r>
              <w:rPr>
                <w:rFonts w:hint="default"/>
              </w:rPr>
              <w:t>36</w:t>
            </w:r>
          </w:p>
        </w:tc>
        <w:tc>
          <w:tcPr>
            <w:tcW w:w="1088" w:type="dxa"/>
            <w:tcBorders>
              <w:tl2br w:val="nil"/>
              <w:tr2bl w:val="nil"/>
            </w:tcBorders>
            <w:vAlign w:val="center"/>
          </w:tcPr>
          <w:p>
            <w:pPr>
              <w:pStyle w:val="17"/>
              <w:bidi w:val="0"/>
              <w:rPr>
                <w:rFonts w:hint="default"/>
              </w:rPr>
            </w:pPr>
            <w:r>
              <w:rPr>
                <w:rFonts w:hint="default"/>
              </w:rPr>
              <w:t>189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9" w:hRule="atLeast"/>
          <w:jc w:val="center"/>
        </w:trPr>
        <w:tc>
          <w:tcPr>
            <w:tcW w:w="2183" w:type="dxa"/>
            <w:tcBorders>
              <w:tl2br w:val="nil"/>
              <w:tr2bl w:val="nil"/>
            </w:tcBorders>
            <w:vAlign w:val="center"/>
          </w:tcPr>
          <w:p>
            <w:pPr>
              <w:pStyle w:val="17"/>
              <w:bidi w:val="0"/>
              <w:rPr>
                <w:rFonts w:hint="default"/>
              </w:rPr>
            </w:pPr>
            <w:r>
              <w:rPr>
                <w:rFonts w:hint="default"/>
              </w:rPr>
              <w:t>翻斗车</w:t>
            </w:r>
          </w:p>
        </w:tc>
        <w:tc>
          <w:tcPr>
            <w:tcW w:w="1281" w:type="dxa"/>
            <w:tcBorders>
              <w:tl2br w:val="nil"/>
              <w:tr2bl w:val="nil"/>
            </w:tcBorders>
            <w:vAlign w:val="center"/>
          </w:tcPr>
          <w:p>
            <w:pPr>
              <w:pStyle w:val="17"/>
              <w:bidi w:val="0"/>
              <w:rPr>
                <w:rFonts w:hint="default"/>
              </w:rPr>
            </w:pPr>
            <w:r>
              <w:rPr>
                <w:rFonts w:hint="default"/>
              </w:rPr>
              <w:t>83～89</w:t>
            </w:r>
          </w:p>
        </w:tc>
        <w:tc>
          <w:tcPr>
            <w:tcW w:w="1281" w:type="dxa"/>
            <w:tcBorders>
              <w:tl2br w:val="nil"/>
              <w:tr2bl w:val="nil"/>
            </w:tcBorders>
            <w:vAlign w:val="center"/>
          </w:tcPr>
          <w:p>
            <w:pPr>
              <w:pStyle w:val="17"/>
              <w:bidi w:val="0"/>
              <w:rPr>
                <w:rFonts w:hint="default"/>
              </w:rPr>
            </w:pPr>
            <w:r>
              <w:rPr>
                <w:rFonts w:hint="default"/>
              </w:rPr>
              <w:t>3m</w:t>
            </w:r>
          </w:p>
        </w:tc>
        <w:tc>
          <w:tcPr>
            <w:tcW w:w="898" w:type="dxa"/>
            <w:vMerge w:val="continue"/>
            <w:tcBorders>
              <w:tl2br w:val="nil"/>
              <w:tr2bl w:val="nil"/>
            </w:tcBorders>
            <w:vAlign w:val="center"/>
          </w:tcPr>
          <w:p>
            <w:pPr>
              <w:pStyle w:val="17"/>
              <w:bidi w:val="0"/>
              <w:rPr>
                <w:rFonts w:hint="default"/>
              </w:rPr>
            </w:pPr>
          </w:p>
        </w:tc>
        <w:tc>
          <w:tcPr>
            <w:tcW w:w="920" w:type="dxa"/>
            <w:vMerge w:val="continue"/>
            <w:tcBorders>
              <w:tl2br w:val="nil"/>
              <w:tr2bl w:val="nil"/>
            </w:tcBorders>
            <w:vAlign w:val="center"/>
          </w:tcPr>
          <w:p>
            <w:pPr>
              <w:pStyle w:val="17"/>
              <w:bidi w:val="0"/>
              <w:rPr>
                <w:rFonts w:hint="default"/>
              </w:rPr>
            </w:pPr>
          </w:p>
        </w:tc>
        <w:tc>
          <w:tcPr>
            <w:tcW w:w="1094" w:type="dxa"/>
            <w:gridSpan w:val="2"/>
            <w:tcBorders>
              <w:tl2br w:val="nil"/>
              <w:tr2bl w:val="nil"/>
            </w:tcBorders>
            <w:vAlign w:val="center"/>
          </w:tcPr>
          <w:p>
            <w:pPr>
              <w:pStyle w:val="17"/>
              <w:bidi w:val="0"/>
              <w:rPr>
                <w:rFonts w:hint="default"/>
              </w:rPr>
            </w:pPr>
            <w:r>
              <w:rPr>
                <w:rFonts w:hint="default"/>
              </w:rPr>
              <w:t>27</w:t>
            </w:r>
          </w:p>
        </w:tc>
        <w:tc>
          <w:tcPr>
            <w:tcW w:w="1088" w:type="dxa"/>
            <w:tcBorders>
              <w:tl2br w:val="nil"/>
              <w:tr2bl w:val="nil"/>
            </w:tcBorders>
            <w:vAlign w:val="center"/>
          </w:tcPr>
          <w:p>
            <w:pPr>
              <w:pStyle w:val="17"/>
              <w:bidi w:val="0"/>
              <w:rPr>
                <w:rFonts w:hint="default"/>
              </w:rPr>
            </w:pPr>
            <w:r>
              <w:rPr>
                <w:rFonts w:hint="default"/>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9" w:hRule="atLeast"/>
          <w:jc w:val="center"/>
        </w:trPr>
        <w:tc>
          <w:tcPr>
            <w:tcW w:w="2183" w:type="dxa"/>
            <w:tcBorders>
              <w:tl2br w:val="nil"/>
              <w:tr2bl w:val="nil"/>
            </w:tcBorders>
            <w:vAlign w:val="center"/>
          </w:tcPr>
          <w:p>
            <w:pPr>
              <w:pStyle w:val="17"/>
              <w:bidi w:val="0"/>
              <w:rPr>
                <w:rFonts w:hint="default"/>
              </w:rPr>
            </w:pPr>
            <w:r>
              <w:rPr>
                <w:rFonts w:hint="default"/>
              </w:rPr>
              <w:t>电  锯</w:t>
            </w:r>
          </w:p>
        </w:tc>
        <w:tc>
          <w:tcPr>
            <w:tcW w:w="1281" w:type="dxa"/>
            <w:tcBorders>
              <w:tl2br w:val="nil"/>
              <w:tr2bl w:val="nil"/>
            </w:tcBorders>
            <w:vAlign w:val="center"/>
          </w:tcPr>
          <w:p>
            <w:pPr>
              <w:pStyle w:val="17"/>
              <w:bidi w:val="0"/>
              <w:rPr>
                <w:rFonts w:hint="default"/>
              </w:rPr>
            </w:pPr>
            <w:r>
              <w:rPr>
                <w:rFonts w:hint="default"/>
              </w:rPr>
              <w:t>103</w:t>
            </w:r>
          </w:p>
        </w:tc>
        <w:tc>
          <w:tcPr>
            <w:tcW w:w="1281" w:type="dxa"/>
            <w:tcBorders>
              <w:tl2br w:val="nil"/>
              <w:tr2bl w:val="nil"/>
            </w:tcBorders>
            <w:vAlign w:val="center"/>
          </w:tcPr>
          <w:p>
            <w:pPr>
              <w:pStyle w:val="17"/>
              <w:bidi w:val="0"/>
              <w:rPr>
                <w:rFonts w:hint="default"/>
              </w:rPr>
            </w:pPr>
            <w:r>
              <w:rPr>
                <w:rFonts w:hint="default"/>
              </w:rPr>
              <w:t>1m</w:t>
            </w:r>
          </w:p>
        </w:tc>
        <w:tc>
          <w:tcPr>
            <w:tcW w:w="898" w:type="dxa"/>
            <w:vMerge w:val="continue"/>
            <w:tcBorders>
              <w:tl2br w:val="nil"/>
              <w:tr2bl w:val="nil"/>
            </w:tcBorders>
            <w:vAlign w:val="center"/>
          </w:tcPr>
          <w:p>
            <w:pPr>
              <w:pStyle w:val="17"/>
              <w:bidi w:val="0"/>
              <w:rPr>
                <w:rFonts w:hint="default"/>
              </w:rPr>
            </w:pPr>
          </w:p>
        </w:tc>
        <w:tc>
          <w:tcPr>
            <w:tcW w:w="920" w:type="dxa"/>
            <w:vMerge w:val="continue"/>
            <w:tcBorders>
              <w:tl2br w:val="nil"/>
              <w:tr2bl w:val="nil"/>
            </w:tcBorders>
            <w:vAlign w:val="center"/>
          </w:tcPr>
          <w:p>
            <w:pPr>
              <w:pStyle w:val="17"/>
              <w:bidi w:val="0"/>
              <w:rPr>
                <w:rFonts w:hint="default"/>
              </w:rPr>
            </w:pPr>
          </w:p>
        </w:tc>
        <w:tc>
          <w:tcPr>
            <w:tcW w:w="1094" w:type="dxa"/>
            <w:gridSpan w:val="2"/>
            <w:tcBorders>
              <w:tl2br w:val="nil"/>
              <w:tr2bl w:val="nil"/>
            </w:tcBorders>
            <w:vAlign w:val="center"/>
          </w:tcPr>
          <w:p>
            <w:pPr>
              <w:pStyle w:val="17"/>
              <w:bidi w:val="0"/>
              <w:rPr>
                <w:rFonts w:hint="default"/>
              </w:rPr>
            </w:pPr>
            <w:r>
              <w:rPr>
                <w:rFonts w:hint="default"/>
              </w:rPr>
              <w:t>45</w:t>
            </w:r>
          </w:p>
        </w:tc>
        <w:tc>
          <w:tcPr>
            <w:tcW w:w="1088" w:type="dxa"/>
            <w:tcBorders>
              <w:tl2br w:val="nil"/>
              <w:tr2bl w:val="nil"/>
            </w:tcBorders>
            <w:vAlign w:val="center"/>
          </w:tcPr>
          <w:p>
            <w:pPr>
              <w:pStyle w:val="17"/>
              <w:bidi w:val="0"/>
              <w:rPr>
                <w:rFonts w:hint="default"/>
              </w:rPr>
            </w:pPr>
            <w:r>
              <w:rPr>
                <w:rFonts w:hint="default"/>
              </w:rPr>
              <w:t>251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9" w:hRule="atLeast"/>
          <w:jc w:val="center"/>
        </w:trPr>
        <w:tc>
          <w:tcPr>
            <w:tcW w:w="2183" w:type="dxa"/>
            <w:tcBorders>
              <w:tl2br w:val="nil"/>
              <w:tr2bl w:val="nil"/>
            </w:tcBorders>
            <w:vAlign w:val="center"/>
          </w:tcPr>
          <w:p>
            <w:pPr>
              <w:pStyle w:val="17"/>
              <w:bidi w:val="0"/>
              <w:rPr>
                <w:rFonts w:hint="default"/>
              </w:rPr>
            </w:pPr>
            <w:r>
              <w:rPr>
                <w:rFonts w:hint="default"/>
              </w:rPr>
              <w:t>砂轮机</w:t>
            </w:r>
          </w:p>
        </w:tc>
        <w:tc>
          <w:tcPr>
            <w:tcW w:w="1281" w:type="dxa"/>
            <w:tcBorders>
              <w:tl2br w:val="nil"/>
              <w:tr2bl w:val="nil"/>
            </w:tcBorders>
            <w:vAlign w:val="center"/>
          </w:tcPr>
          <w:p>
            <w:pPr>
              <w:pStyle w:val="17"/>
              <w:bidi w:val="0"/>
              <w:rPr>
                <w:rFonts w:hint="default"/>
              </w:rPr>
            </w:pPr>
            <w:r>
              <w:rPr>
                <w:rFonts w:hint="default"/>
              </w:rPr>
              <w:t>87</w:t>
            </w:r>
          </w:p>
        </w:tc>
        <w:tc>
          <w:tcPr>
            <w:tcW w:w="1281" w:type="dxa"/>
            <w:tcBorders>
              <w:tl2br w:val="nil"/>
              <w:tr2bl w:val="nil"/>
            </w:tcBorders>
            <w:vAlign w:val="center"/>
          </w:tcPr>
          <w:p>
            <w:pPr>
              <w:pStyle w:val="17"/>
              <w:bidi w:val="0"/>
              <w:rPr>
                <w:rFonts w:hint="default"/>
              </w:rPr>
            </w:pPr>
            <w:r>
              <w:rPr>
                <w:rFonts w:hint="default"/>
              </w:rPr>
              <w:t>3m</w:t>
            </w:r>
          </w:p>
        </w:tc>
        <w:tc>
          <w:tcPr>
            <w:tcW w:w="898" w:type="dxa"/>
            <w:vMerge w:val="continue"/>
            <w:tcBorders>
              <w:tl2br w:val="nil"/>
              <w:tr2bl w:val="nil"/>
            </w:tcBorders>
            <w:vAlign w:val="center"/>
          </w:tcPr>
          <w:p>
            <w:pPr>
              <w:pStyle w:val="17"/>
              <w:bidi w:val="0"/>
              <w:rPr>
                <w:rFonts w:hint="default"/>
              </w:rPr>
            </w:pPr>
          </w:p>
        </w:tc>
        <w:tc>
          <w:tcPr>
            <w:tcW w:w="920" w:type="dxa"/>
            <w:vMerge w:val="continue"/>
            <w:tcBorders>
              <w:tl2br w:val="nil"/>
              <w:tr2bl w:val="nil"/>
            </w:tcBorders>
            <w:vAlign w:val="center"/>
          </w:tcPr>
          <w:p>
            <w:pPr>
              <w:pStyle w:val="17"/>
              <w:bidi w:val="0"/>
              <w:rPr>
                <w:rFonts w:hint="default"/>
              </w:rPr>
            </w:pPr>
          </w:p>
        </w:tc>
        <w:tc>
          <w:tcPr>
            <w:tcW w:w="1094" w:type="dxa"/>
            <w:gridSpan w:val="2"/>
            <w:tcBorders>
              <w:tl2br w:val="nil"/>
              <w:tr2bl w:val="nil"/>
            </w:tcBorders>
            <w:vAlign w:val="center"/>
          </w:tcPr>
          <w:p>
            <w:pPr>
              <w:pStyle w:val="17"/>
              <w:bidi w:val="0"/>
              <w:rPr>
                <w:rFonts w:hint="default"/>
              </w:rPr>
            </w:pPr>
            <w:r>
              <w:rPr>
                <w:rFonts w:hint="default"/>
              </w:rPr>
              <w:t>22</w:t>
            </w:r>
          </w:p>
        </w:tc>
        <w:tc>
          <w:tcPr>
            <w:tcW w:w="1088" w:type="dxa"/>
            <w:tcBorders>
              <w:tl2br w:val="nil"/>
              <w:tr2bl w:val="nil"/>
            </w:tcBorders>
            <w:vAlign w:val="center"/>
          </w:tcPr>
          <w:p>
            <w:pPr>
              <w:pStyle w:val="17"/>
              <w:bidi w:val="0"/>
              <w:rPr>
                <w:rFonts w:hint="default"/>
              </w:rPr>
            </w:pPr>
            <w:r>
              <w:rPr>
                <w:rFonts w:hint="default"/>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9" w:hRule="atLeast"/>
          <w:jc w:val="center"/>
        </w:trPr>
        <w:tc>
          <w:tcPr>
            <w:tcW w:w="2183" w:type="dxa"/>
            <w:tcBorders>
              <w:tl2br w:val="nil"/>
              <w:tr2bl w:val="nil"/>
            </w:tcBorders>
            <w:vAlign w:val="center"/>
          </w:tcPr>
          <w:p>
            <w:pPr>
              <w:pStyle w:val="17"/>
              <w:bidi w:val="0"/>
              <w:rPr>
                <w:rFonts w:hint="default"/>
              </w:rPr>
            </w:pPr>
            <w:r>
              <w:rPr>
                <w:rFonts w:hint="default"/>
              </w:rPr>
              <w:t>切割机</w:t>
            </w:r>
          </w:p>
        </w:tc>
        <w:tc>
          <w:tcPr>
            <w:tcW w:w="1281" w:type="dxa"/>
            <w:tcBorders>
              <w:tl2br w:val="nil"/>
              <w:tr2bl w:val="nil"/>
            </w:tcBorders>
            <w:vAlign w:val="center"/>
          </w:tcPr>
          <w:p>
            <w:pPr>
              <w:pStyle w:val="17"/>
              <w:bidi w:val="0"/>
              <w:rPr>
                <w:rFonts w:hint="default"/>
              </w:rPr>
            </w:pPr>
            <w:r>
              <w:rPr>
                <w:rFonts w:hint="default"/>
              </w:rPr>
              <w:t>88</w:t>
            </w:r>
          </w:p>
        </w:tc>
        <w:tc>
          <w:tcPr>
            <w:tcW w:w="1281" w:type="dxa"/>
            <w:tcBorders>
              <w:tl2br w:val="nil"/>
              <w:tr2bl w:val="nil"/>
            </w:tcBorders>
            <w:vAlign w:val="center"/>
          </w:tcPr>
          <w:p>
            <w:pPr>
              <w:pStyle w:val="17"/>
              <w:bidi w:val="0"/>
              <w:rPr>
                <w:rFonts w:hint="default"/>
              </w:rPr>
            </w:pPr>
            <w:r>
              <w:rPr>
                <w:rFonts w:hint="default"/>
              </w:rPr>
              <w:t>1m</w:t>
            </w:r>
          </w:p>
        </w:tc>
        <w:tc>
          <w:tcPr>
            <w:tcW w:w="898" w:type="dxa"/>
            <w:vMerge w:val="continue"/>
            <w:tcBorders>
              <w:tl2br w:val="nil"/>
              <w:tr2bl w:val="nil"/>
            </w:tcBorders>
            <w:vAlign w:val="center"/>
          </w:tcPr>
          <w:p>
            <w:pPr>
              <w:pStyle w:val="17"/>
              <w:bidi w:val="0"/>
              <w:rPr>
                <w:rFonts w:hint="default"/>
              </w:rPr>
            </w:pPr>
          </w:p>
        </w:tc>
        <w:tc>
          <w:tcPr>
            <w:tcW w:w="920" w:type="dxa"/>
            <w:vMerge w:val="continue"/>
            <w:tcBorders>
              <w:tl2br w:val="nil"/>
              <w:tr2bl w:val="nil"/>
            </w:tcBorders>
            <w:vAlign w:val="center"/>
          </w:tcPr>
          <w:p>
            <w:pPr>
              <w:pStyle w:val="17"/>
              <w:bidi w:val="0"/>
              <w:rPr>
                <w:rFonts w:hint="default"/>
              </w:rPr>
            </w:pPr>
          </w:p>
        </w:tc>
        <w:tc>
          <w:tcPr>
            <w:tcW w:w="1094" w:type="dxa"/>
            <w:gridSpan w:val="2"/>
            <w:tcBorders>
              <w:tl2br w:val="nil"/>
              <w:tr2bl w:val="nil"/>
            </w:tcBorders>
            <w:vAlign w:val="center"/>
          </w:tcPr>
          <w:p>
            <w:pPr>
              <w:pStyle w:val="17"/>
              <w:bidi w:val="0"/>
              <w:rPr>
                <w:rFonts w:hint="default"/>
              </w:rPr>
            </w:pPr>
            <w:r>
              <w:rPr>
                <w:rFonts w:hint="default"/>
              </w:rPr>
              <w:t>8</w:t>
            </w:r>
          </w:p>
        </w:tc>
        <w:tc>
          <w:tcPr>
            <w:tcW w:w="1088" w:type="dxa"/>
            <w:tcBorders>
              <w:tl2br w:val="nil"/>
              <w:tr2bl w:val="nil"/>
            </w:tcBorders>
            <w:vAlign w:val="center"/>
          </w:tcPr>
          <w:p>
            <w:pPr>
              <w:pStyle w:val="17"/>
              <w:bidi w:val="0"/>
              <w:rPr>
                <w:rFonts w:hint="default"/>
              </w:rPr>
            </w:pPr>
            <w:r>
              <w:rPr>
                <w:rFonts w:hint="default"/>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9" w:hRule="atLeast"/>
          <w:jc w:val="center"/>
        </w:trPr>
        <w:tc>
          <w:tcPr>
            <w:tcW w:w="2183" w:type="dxa"/>
            <w:tcBorders>
              <w:tl2br w:val="nil"/>
              <w:tr2bl w:val="nil"/>
            </w:tcBorders>
            <w:vAlign w:val="center"/>
          </w:tcPr>
          <w:p>
            <w:pPr>
              <w:pStyle w:val="17"/>
              <w:bidi w:val="0"/>
              <w:rPr>
                <w:rFonts w:hint="default"/>
              </w:rPr>
            </w:pPr>
            <w:r>
              <w:rPr>
                <w:rFonts w:hint="default"/>
              </w:rPr>
              <w:t>重型卡车、拖拉机</w:t>
            </w:r>
          </w:p>
        </w:tc>
        <w:tc>
          <w:tcPr>
            <w:tcW w:w="1281" w:type="dxa"/>
            <w:tcBorders>
              <w:tl2br w:val="nil"/>
              <w:tr2bl w:val="nil"/>
            </w:tcBorders>
            <w:vAlign w:val="center"/>
          </w:tcPr>
          <w:p>
            <w:pPr>
              <w:pStyle w:val="17"/>
              <w:bidi w:val="0"/>
              <w:rPr>
                <w:rFonts w:hint="default"/>
              </w:rPr>
            </w:pPr>
            <w:r>
              <w:rPr>
                <w:rFonts w:hint="default"/>
              </w:rPr>
              <w:t>80～85</w:t>
            </w:r>
          </w:p>
        </w:tc>
        <w:tc>
          <w:tcPr>
            <w:tcW w:w="1281" w:type="dxa"/>
            <w:tcBorders>
              <w:tl2br w:val="nil"/>
              <w:tr2bl w:val="nil"/>
            </w:tcBorders>
            <w:vAlign w:val="center"/>
          </w:tcPr>
          <w:p>
            <w:pPr>
              <w:pStyle w:val="17"/>
              <w:bidi w:val="0"/>
              <w:rPr>
                <w:rFonts w:hint="default"/>
              </w:rPr>
            </w:pPr>
            <w:r>
              <w:rPr>
                <w:rFonts w:hint="default"/>
              </w:rPr>
              <w:t>7.5m</w:t>
            </w:r>
          </w:p>
        </w:tc>
        <w:tc>
          <w:tcPr>
            <w:tcW w:w="898" w:type="dxa"/>
            <w:vMerge w:val="continue"/>
            <w:tcBorders>
              <w:tl2br w:val="nil"/>
              <w:tr2bl w:val="nil"/>
            </w:tcBorders>
            <w:vAlign w:val="center"/>
          </w:tcPr>
          <w:p>
            <w:pPr>
              <w:pStyle w:val="17"/>
              <w:bidi w:val="0"/>
              <w:rPr>
                <w:rFonts w:hint="default"/>
              </w:rPr>
            </w:pPr>
          </w:p>
        </w:tc>
        <w:tc>
          <w:tcPr>
            <w:tcW w:w="920" w:type="dxa"/>
            <w:vMerge w:val="continue"/>
            <w:tcBorders>
              <w:tl2br w:val="nil"/>
              <w:tr2bl w:val="nil"/>
            </w:tcBorders>
            <w:vAlign w:val="center"/>
          </w:tcPr>
          <w:p>
            <w:pPr>
              <w:pStyle w:val="17"/>
              <w:bidi w:val="0"/>
              <w:rPr>
                <w:rFonts w:hint="default"/>
              </w:rPr>
            </w:pPr>
          </w:p>
        </w:tc>
        <w:tc>
          <w:tcPr>
            <w:tcW w:w="1094" w:type="dxa"/>
            <w:gridSpan w:val="2"/>
            <w:tcBorders>
              <w:tl2br w:val="nil"/>
              <w:tr2bl w:val="nil"/>
            </w:tcBorders>
            <w:vAlign w:val="center"/>
          </w:tcPr>
          <w:p>
            <w:pPr>
              <w:pStyle w:val="17"/>
              <w:bidi w:val="0"/>
              <w:rPr>
                <w:rFonts w:hint="default"/>
              </w:rPr>
            </w:pPr>
            <w:r>
              <w:rPr>
                <w:rFonts w:hint="default"/>
              </w:rPr>
              <w:t>42</w:t>
            </w:r>
          </w:p>
        </w:tc>
        <w:tc>
          <w:tcPr>
            <w:tcW w:w="1088" w:type="dxa"/>
            <w:tcBorders>
              <w:tl2br w:val="nil"/>
              <w:tr2bl w:val="nil"/>
            </w:tcBorders>
            <w:vAlign w:val="center"/>
          </w:tcPr>
          <w:p>
            <w:pPr>
              <w:pStyle w:val="17"/>
              <w:bidi w:val="0"/>
              <w:rPr>
                <w:rFonts w:hint="default"/>
              </w:rPr>
            </w:pPr>
            <w:r>
              <w:rPr>
                <w:rFonts w:hint="default"/>
              </w:rPr>
              <w:t>237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9" w:hRule="atLeast"/>
          <w:jc w:val="center"/>
        </w:trPr>
        <w:tc>
          <w:tcPr>
            <w:tcW w:w="2183" w:type="dxa"/>
            <w:tcBorders>
              <w:tl2br w:val="nil"/>
              <w:tr2bl w:val="nil"/>
            </w:tcBorders>
            <w:vAlign w:val="center"/>
          </w:tcPr>
          <w:p>
            <w:pPr>
              <w:pStyle w:val="17"/>
              <w:bidi w:val="0"/>
              <w:rPr>
                <w:rFonts w:hint="default"/>
              </w:rPr>
            </w:pPr>
            <w:r>
              <w:rPr>
                <w:rFonts w:hint="default"/>
              </w:rPr>
              <w:t>装载机</w:t>
            </w:r>
          </w:p>
        </w:tc>
        <w:tc>
          <w:tcPr>
            <w:tcW w:w="1281" w:type="dxa"/>
            <w:tcBorders>
              <w:tl2br w:val="nil"/>
              <w:tr2bl w:val="nil"/>
            </w:tcBorders>
            <w:vAlign w:val="center"/>
          </w:tcPr>
          <w:p>
            <w:pPr>
              <w:pStyle w:val="17"/>
              <w:bidi w:val="0"/>
              <w:rPr>
                <w:rFonts w:hint="default"/>
              </w:rPr>
            </w:pPr>
            <w:r>
              <w:rPr>
                <w:rFonts w:hint="default"/>
              </w:rPr>
              <w:t>89</w:t>
            </w:r>
          </w:p>
        </w:tc>
        <w:tc>
          <w:tcPr>
            <w:tcW w:w="1281" w:type="dxa"/>
            <w:tcBorders>
              <w:tl2br w:val="nil"/>
              <w:tr2bl w:val="nil"/>
            </w:tcBorders>
            <w:vAlign w:val="center"/>
          </w:tcPr>
          <w:p>
            <w:pPr>
              <w:pStyle w:val="17"/>
              <w:bidi w:val="0"/>
              <w:rPr>
                <w:rFonts w:hint="default"/>
              </w:rPr>
            </w:pPr>
            <w:r>
              <w:rPr>
                <w:rFonts w:hint="default"/>
              </w:rPr>
              <w:t>5m</w:t>
            </w:r>
          </w:p>
        </w:tc>
        <w:tc>
          <w:tcPr>
            <w:tcW w:w="898" w:type="dxa"/>
            <w:vMerge w:val="continue"/>
            <w:tcBorders>
              <w:tl2br w:val="nil"/>
              <w:tr2bl w:val="nil"/>
            </w:tcBorders>
            <w:vAlign w:val="center"/>
          </w:tcPr>
          <w:p>
            <w:pPr>
              <w:pStyle w:val="17"/>
              <w:bidi w:val="0"/>
              <w:rPr>
                <w:rFonts w:hint="default"/>
              </w:rPr>
            </w:pPr>
          </w:p>
        </w:tc>
        <w:tc>
          <w:tcPr>
            <w:tcW w:w="920" w:type="dxa"/>
            <w:vMerge w:val="continue"/>
            <w:tcBorders>
              <w:tl2br w:val="nil"/>
              <w:tr2bl w:val="nil"/>
            </w:tcBorders>
            <w:vAlign w:val="center"/>
          </w:tcPr>
          <w:p>
            <w:pPr>
              <w:pStyle w:val="17"/>
              <w:bidi w:val="0"/>
              <w:rPr>
                <w:rFonts w:hint="default"/>
              </w:rPr>
            </w:pPr>
          </w:p>
        </w:tc>
        <w:tc>
          <w:tcPr>
            <w:tcW w:w="1094" w:type="dxa"/>
            <w:gridSpan w:val="2"/>
            <w:tcBorders>
              <w:tl2br w:val="nil"/>
              <w:tr2bl w:val="nil"/>
            </w:tcBorders>
            <w:vAlign w:val="center"/>
          </w:tcPr>
          <w:p>
            <w:pPr>
              <w:pStyle w:val="17"/>
              <w:bidi w:val="0"/>
              <w:rPr>
                <w:rFonts w:hint="default"/>
              </w:rPr>
            </w:pPr>
            <w:r>
              <w:rPr>
                <w:rFonts w:hint="default"/>
              </w:rPr>
              <w:t>45</w:t>
            </w:r>
          </w:p>
        </w:tc>
        <w:tc>
          <w:tcPr>
            <w:tcW w:w="1088" w:type="dxa"/>
            <w:tcBorders>
              <w:tl2br w:val="nil"/>
              <w:tr2bl w:val="nil"/>
            </w:tcBorders>
            <w:vAlign w:val="center"/>
          </w:tcPr>
          <w:p>
            <w:pPr>
              <w:pStyle w:val="17"/>
              <w:bidi w:val="0"/>
              <w:rPr>
                <w:rFonts w:hint="default"/>
              </w:rPr>
            </w:pPr>
            <w:r>
              <w:rPr>
                <w:rFonts w:hint="default"/>
              </w:rPr>
              <w:t>250</w:t>
            </w:r>
          </w:p>
        </w:tc>
      </w:tr>
    </w:tbl>
    <w:p>
      <w:pPr>
        <w:bidi w:val="0"/>
        <w:rPr>
          <w:rFonts w:hint="default"/>
        </w:rPr>
      </w:pPr>
      <w:r>
        <w:rPr>
          <w:rFonts w:hint="default"/>
        </w:rPr>
        <w:t>建设施工期一般为露天作业，无隔声与消声措施。施工场地内机械设备大多属于移动声源，要准确预测施工场地各场界噪声值较为困难，因此本次影响评价仅针对各噪声源单独作用时的超标范围进行评价。</w:t>
      </w:r>
    </w:p>
    <w:p>
      <w:pPr>
        <w:bidi w:val="0"/>
        <w:rPr>
          <w:rFonts w:hint="default"/>
        </w:rPr>
      </w:pPr>
      <w:r>
        <w:rPr>
          <w:rFonts w:hint="default"/>
        </w:rPr>
        <w:t>（1）施工机械噪声级通常较高，对空旷地带声传播距离较远，昼间施工机械影响范围主要集中在厂区中心100m范围内，夜间若施工影响范围则较远，最远可达47</w:t>
      </w:r>
      <w:r>
        <w:rPr>
          <w:rFonts w:hint="default"/>
          <w:lang w:val="en-US" w:eastAsia="zh-CN"/>
        </w:rPr>
        <w:t>4</w:t>
      </w:r>
      <w:r>
        <w:rPr>
          <w:rFonts w:hint="default"/>
        </w:rPr>
        <w:t>m，其中以250m范围内噪声影响较集中。</w:t>
      </w:r>
    </w:p>
    <w:p>
      <w:pPr>
        <w:bidi w:val="0"/>
        <w:rPr>
          <w:rFonts w:hint="default"/>
        </w:rPr>
      </w:pPr>
      <w:r>
        <w:rPr>
          <w:rFonts w:hint="default"/>
        </w:rPr>
        <w:t>（2）施工期间运输建筑物料车辆增多，将会增加进站道路车流量及沿线交通噪声污染。类比同类噪声监测，该类运输车辆噪声级一般在75～85dB (A)，属间断运行。施工期间运输车辆产生噪声污染是暂时的，一般不会对周边声环境质量造成较大影响。</w:t>
      </w:r>
    </w:p>
    <w:p>
      <w:pPr>
        <w:bidi w:val="0"/>
        <w:rPr>
          <w:rFonts w:hint="default"/>
        </w:rPr>
      </w:pPr>
      <w:r>
        <w:rPr>
          <w:rFonts w:hint="default"/>
        </w:rPr>
        <w:t>根据调查，本项目周边1km范围内无集中居民居住区、学校、医院声环境敏感点，项目施工噪声对外环境影响小。随着施工结束，此类影响将消失。</w:t>
      </w:r>
    </w:p>
    <w:bookmarkEnd w:id="118"/>
    <w:bookmarkEnd w:id="119"/>
    <w:bookmarkEnd w:id="120"/>
    <w:bookmarkEnd w:id="121"/>
    <w:bookmarkEnd w:id="122"/>
    <w:bookmarkEnd w:id="123"/>
    <w:bookmarkEnd w:id="124"/>
    <w:bookmarkEnd w:id="125"/>
    <w:bookmarkEnd w:id="126"/>
    <w:p>
      <w:pPr>
        <w:pStyle w:val="6"/>
        <w:bidi w:val="0"/>
        <w:rPr>
          <w:rFonts w:hint="default"/>
        </w:rPr>
      </w:pPr>
      <w:bookmarkStart w:id="127" w:name="_Toc3123"/>
      <w:bookmarkStart w:id="128" w:name="_Toc423102276"/>
      <w:bookmarkStart w:id="129" w:name="_Toc8127588"/>
      <w:r>
        <w:rPr>
          <w:rFonts w:hint="default"/>
        </w:rPr>
        <w:t>3.8.2.3</w:t>
      </w:r>
      <w:r>
        <w:rPr>
          <w:rFonts w:hint="eastAsia"/>
          <w:lang w:eastAsia="zh-CN"/>
        </w:rPr>
        <w:t>、</w:t>
      </w:r>
      <w:r>
        <w:rPr>
          <w:rFonts w:hint="default"/>
        </w:rPr>
        <w:t>施工期废水</w:t>
      </w:r>
      <w:bookmarkEnd w:id="127"/>
      <w:bookmarkEnd w:id="128"/>
      <w:bookmarkEnd w:id="129"/>
    </w:p>
    <w:p>
      <w:pPr>
        <w:bidi w:val="0"/>
        <w:rPr>
          <w:rFonts w:hint="default"/>
        </w:rPr>
      </w:pPr>
      <w:r>
        <w:rPr>
          <w:rFonts w:hint="default"/>
        </w:rPr>
        <w:t>项目施工过程混凝土的保养浇水、砌砖的加湿淋水，废水量不大，多为无机废水，除悬浮物含量较高外，一般不含有毒有害物质，产生不了径流，也形成不了有组织排水。这部分废水在施工现场因自然蒸发、渗漏等原因而消耗，基本没有废污水排放。设备的冲洗废水应设置简易沉淀池，底部敷设防渗布，冲洗废水沉淀后用于施工道路的降尘使用。</w:t>
      </w:r>
    </w:p>
    <w:p>
      <w:pPr>
        <w:bidi w:val="0"/>
        <w:rPr>
          <w:rFonts w:hint="default"/>
        </w:rPr>
      </w:pPr>
      <w:r>
        <w:rPr>
          <w:rFonts w:hint="default"/>
        </w:rPr>
        <w:t>项目施工期按施工人数50 人、生活用水定额100L/人.d计取，生活污水按用水量的80%计，则施工期间产生的生活污水为4</w:t>
      </w:r>
      <w:r>
        <w:rPr>
          <w:rFonts w:hint="eastAsia"/>
          <w:lang w:eastAsia="zh-CN"/>
        </w:rPr>
        <w:t>m³</w:t>
      </w:r>
      <w:r>
        <w:rPr>
          <w:rFonts w:hint="default"/>
        </w:rPr>
        <w:t>则施工，项目施工期设置简易厕所收集生活污水，也可优先建设办公生活设施，保证生活污水可得到有效收集，收集的废水</w:t>
      </w:r>
      <w:r>
        <w:rPr>
          <w:rFonts w:hint="eastAsia"/>
          <w:lang w:val="en-US" w:eastAsia="zh-CN"/>
        </w:rPr>
        <w:t>经化粪池预处理后抽运至吉木萨尔县二工镇生活污水处理厂</w:t>
      </w:r>
      <w:r>
        <w:rPr>
          <w:rFonts w:hint="default"/>
        </w:rPr>
        <w:t>，避免对项目区周边水环境造成的影响。</w:t>
      </w:r>
    </w:p>
    <w:p>
      <w:pPr>
        <w:pStyle w:val="6"/>
        <w:bidi w:val="0"/>
        <w:rPr>
          <w:rFonts w:hint="default"/>
        </w:rPr>
      </w:pPr>
      <w:bookmarkStart w:id="130" w:name="_Toc24884"/>
      <w:bookmarkStart w:id="131" w:name="_Toc423102277"/>
      <w:bookmarkStart w:id="132" w:name="_Toc8127589"/>
      <w:r>
        <w:rPr>
          <w:rFonts w:hint="default"/>
        </w:rPr>
        <w:t>3.8.2.4</w:t>
      </w:r>
      <w:r>
        <w:rPr>
          <w:rFonts w:hint="eastAsia"/>
          <w:lang w:eastAsia="zh-CN"/>
        </w:rPr>
        <w:t>、</w:t>
      </w:r>
      <w:r>
        <w:rPr>
          <w:rFonts w:hint="default"/>
        </w:rPr>
        <w:t>施工期固废</w:t>
      </w:r>
      <w:bookmarkEnd w:id="130"/>
      <w:bookmarkEnd w:id="131"/>
      <w:bookmarkEnd w:id="132"/>
    </w:p>
    <w:p>
      <w:pPr>
        <w:bidi w:val="0"/>
        <w:rPr>
          <w:rFonts w:hint="default"/>
        </w:rPr>
      </w:pPr>
      <w:r>
        <w:rPr>
          <w:rFonts w:hint="default"/>
        </w:rPr>
        <w:t>施工过程中固体废物主要是建筑垃圾、弃土弃渣及人员生活垃圾。建筑垃圾及弃土弃渣若处置不当，遇大风天会产生扬尘，遇暴雨等恶劣天气可能造成新的水土流失。</w:t>
      </w:r>
    </w:p>
    <w:p>
      <w:pPr>
        <w:bidi w:val="0"/>
        <w:rPr>
          <w:rFonts w:hint="default"/>
        </w:rPr>
      </w:pPr>
      <w:r>
        <w:rPr>
          <w:rFonts w:hint="default"/>
        </w:rPr>
        <w:t>评价要求对施工建筑垃圾进行分类收集，对于废钢筋等可回收部分尽量回收外售，剩余的废砖、石块等建筑垃圾</w:t>
      </w:r>
      <w:r>
        <w:rPr>
          <w:rFonts w:hint="default"/>
          <w:lang w:val="en-US" w:eastAsia="zh-CN"/>
        </w:rPr>
        <w:t>运至垃圾填埋场</w:t>
      </w:r>
      <w:r>
        <w:rPr>
          <w:rFonts w:hint="default"/>
        </w:rPr>
        <w:t>；对于场地内的表层土壤，要求在场地内临时贮存，大部分用于回填地基，剩余部分作为场地绿化用途加以利用，厂内实现挖填平衡，表土临时贮存点应覆盖土工布防尘、防流失；施工营地设置垃圾箱用于收集施工期生活垃圾，并按当地环卫部门要求统一清运。</w:t>
      </w:r>
    </w:p>
    <w:p>
      <w:pPr>
        <w:bidi w:val="0"/>
        <w:rPr>
          <w:rFonts w:hint="default"/>
        </w:rPr>
      </w:pPr>
      <w:r>
        <w:rPr>
          <w:rFonts w:hint="default"/>
        </w:rPr>
        <w:t>拟建项目施工期产生的弃土厂内实现挖填平衡，施工废物、生活垃圾及时收集、清运。施工期产生的固废均可得到合理处置，对外环境影响小。</w:t>
      </w:r>
    </w:p>
    <w:p>
      <w:pPr>
        <w:pStyle w:val="4"/>
        <w:bidi w:val="0"/>
        <w:rPr>
          <w:rFonts w:hint="default"/>
        </w:rPr>
      </w:pPr>
      <w:bookmarkStart w:id="133" w:name="_Toc3504"/>
      <w:r>
        <w:rPr>
          <w:rFonts w:hint="default"/>
        </w:rPr>
        <w:t>3.9</w:t>
      </w:r>
      <w:r>
        <w:rPr>
          <w:rFonts w:hint="eastAsia"/>
          <w:lang w:eastAsia="zh-CN"/>
        </w:rPr>
        <w:t>、</w:t>
      </w:r>
      <w:r>
        <w:rPr>
          <w:rFonts w:hint="default"/>
        </w:rPr>
        <w:t>运营期污染源分析</w:t>
      </w:r>
      <w:bookmarkEnd w:id="133"/>
    </w:p>
    <w:p>
      <w:pPr>
        <w:pStyle w:val="5"/>
        <w:bidi w:val="0"/>
        <w:rPr>
          <w:rFonts w:hint="default"/>
        </w:rPr>
      </w:pPr>
      <w:r>
        <w:rPr>
          <w:rFonts w:hint="default"/>
        </w:rPr>
        <w:t>3.9.1</w:t>
      </w:r>
      <w:r>
        <w:rPr>
          <w:rFonts w:hint="eastAsia"/>
          <w:lang w:eastAsia="zh-CN"/>
        </w:rPr>
        <w:t>、</w:t>
      </w:r>
      <w:r>
        <w:rPr>
          <w:rFonts w:hint="default"/>
        </w:rPr>
        <w:t>废气</w:t>
      </w:r>
    </w:p>
    <w:p>
      <w:pPr>
        <w:bidi w:val="0"/>
        <w:rPr>
          <w:rFonts w:hint="default"/>
        </w:rPr>
      </w:pPr>
      <w:r>
        <w:rPr>
          <w:rFonts w:hint="default"/>
        </w:rPr>
        <w:t>本项目产生的废气主要有生产过程中产生的破碎粉尘、热熔挤出废气和食堂油烟。</w:t>
      </w:r>
    </w:p>
    <w:p>
      <w:pPr>
        <w:pStyle w:val="6"/>
        <w:bidi w:val="0"/>
        <w:rPr>
          <w:rFonts w:hint="default"/>
        </w:rPr>
      </w:pPr>
      <w:r>
        <w:rPr>
          <w:rFonts w:hint="default"/>
        </w:rPr>
        <w:t>3.9.1.1</w:t>
      </w:r>
      <w:r>
        <w:rPr>
          <w:rFonts w:hint="eastAsia"/>
          <w:lang w:eastAsia="zh-CN"/>
        </w:rPr>
        <w:t>、</w:t>
      </w:r>
      <w:r>
        <w:rPr>
          <w:rFonts w:hint="default"/>
        </w:rPr>
        <w:t>破碎粉尘</w:t>
      </w:r>
    </w:p>
    <w:p>
      <w:pPr>
        <w:bidi w:val="0"/>
        <w:rPr>
          <w:rFonts w:hint="default"/>
        </w:rPr>
      </w:pPr>
      <w:r>
        <w:rPr>
          <w:rFonts w:hint="default"/>
        </w:rPr>
        <w:t>本项目对回收的废旧滴灌带进行破碎，破碎后废塑料成为1~2cm的碎片，由于废旧滴灌带携带一定量的泥沙、尘土等，因此破碎过程中会产生一定量的粉尘。</w:t>
      </w:r>
    </w:p>
    <w:p>
      <w:pPr>
        <w:bidi w:val="0"/>
        <w:rPr>
          <w:rFonts w:hint="default"/>
          <w:lang w:val="en-US" w:eastAsia="zh-CN"/>
        </w:rPr>
      </w:pPr>
      <w:r>
        <w:rPr>
          <w:rFonts w:hint="default"/>
        </w:rPr>
        <w:t>本项目破碎机顶部设置雾化喷嘴，破碎的同时进行喷淋降尘，可有效减少破碎粉尘的产生。类比同类型项目，粉尘产生量按投料用量的0.062%，本项目需破碎的废旧滴灌带共计</w:t>
      </w:r>
      <w:r>
        <w:rPr>
          <w:rFonts w:hint="eastAsia"/>
          <w:lang w:val="en-US" w:eastAsia="zh-CN"/>
        </w:rPr>
        <w:t>5034</w:t>
      </w:r>
      <w:r>
        <w:rPr>
          <w:rFonts w:hint="default"/>
        </w:rPr>
        <w:t>t/a（废旧滴灌带</w:t>
      </w:r>
      <w:r>
        <w:rPr>
          <w:rFonts w:hint="eastAsia"/>
          <w:lang w:val="en-US" w:eastAsia="zh-CN"/>
        </w:rPr>
        <w:t>5010</w:t>
      </w:r>
      <w:r>
        <w:rPr>
          <w:rFonts w:hint="default"/>
        </w:rPr>
        <w:t>t/a，约</w:t>
      </w:r>
      <w:r>
        <w:rPr>
          <w:rFonts w:hint="eastAsia"/>
          <w:lang w:val="en-US" w:eastAsia="zh-CN"/>
        </w:rPr>
        <w:t>20</w:t>
      </w:r>
      <w:r>
        <w:rPr>
          <w:rFonts w:hint="default"/>
        </w:rPr>
        <w:t>t/a杂质已在分拣</w:t>
      </w:r>
      <w:r>
        <w:rPr>
          <w:rFonts w:hint="eastAsia"/>
          <w:lang w:eastAsia="zh-CN"/>
        </w:rPr>
        <w:t>、</w:t>
      </w:r>
      <w:r>
        <w:rPr>
          <w:rFonts w:hint="eastAsia"/>
          <w:lang w:val="en-US" w:eastAsia="zh-CN"/>
        </w:rPr>
        <w:t>清洗</w:t>
      </w:r>
      <w:r>
        <w:rPr>
          <w:rFonts w:hint="default"/>
        </w:rPr>
        <w:t>工序清除），则本项目粉尘产生量为</w:t>
      </w:r>
      <w:r>
        <w:rPr>
          <w:rFonts w:hint="eastAsia"/>
          <w:lang w:val="en-US" w:eastAsia="zh-CN"/>
        </w:rPr>
        <w:t>3.30</w:t>
      </w:r>
      <w:r>
        <w:rPr>
          <w:rFonts w:hint="default"/>
        </w:rPr>
        <w:t>t/a。喷淋设施对粉尘的处理效率可以达到90%，则本项目粉尘排放量为</w:t>
      </w:r>
      <w:r>
        <w:rPr>
          <w:rFonts w:hint="eastAsia"/>
          <w:lang w:val="en-US" w:eastAsia="zh-CN"/>
        </w:rPr>
        <w:t>0.33</w:t>
      </w:r>
      <w:r>
        <w:rPr>
          <w:rFonts w:hint="default"/>
        </w:rPr>
        <w:t>t/a。此部分粉尘均以无组织形式排放。</w:t>
      </w:r>
      <w:r>
        <w:rPr>
          <w:rFonts w:hint="eastAsia"/>
          <w:lang w:val="en-US" w:eastAsia="zh-CN"/>
        </w:rPr>
        <w:t>根据《逸散工业粉尘控制技术》可知，封闭式厂房粉尘绝大部分沉降在生产车间内部，仅有约10%通过自然通风和机械通风的方式排除厂房外部，则可知，本项目最终仅0.033t/a颗粒物逸散至项目区大气环境中。</w:t>
      </w:r>
    </w:p>
    <w:p>
      <w:pPr>
        <w:bidi w:val="0"/>
        <w:rPr>
          <w:rFonts w:hint="default"/>
        </w:rPr>
      </w:pPr>
      <w:r>
        <w:rPr>
          <w:rFonts w:hint="default"/>
        </w:rPr>
        <w:t>喷淋降尘的原理：具有一定压力的水，通过喷头自动旋转的雾化喷嘴在一定角度范围内均匀喷向破碎机的上空，水滴落下后湿润破碎机滴灌带的表面，使破碎粉尘之间通过水分子的张力粘合在一起，也增加了粉尘自身的重量，避免风吹起尘。</w:t>
      </w:r>
    </w:p>
    <w:p>
      <w:pPr>
        <w:pStyle w:val="6"/>
        <w:bidi w:val="0"/>
        <w:rPr>
          <w:rFonts w:hint="default"/>
        </w:rPr>
      </w:pPr>
      <w:r>
        <w:rPr>
          <w:rFonts w:hint="default"/>
        </w:rPr>
        <w:t>3.9.1.2</w:t>
      </w:r>
      <w:r>
        <w:rPr>
          <w:rFonts w:hint="eastAsia"/>
          <w:lang w:eastAsia="zh-CN"/>
        </w:rPr>
        <w:t>、</w:t>
      </w:r>
      <w:r>
        <w:rPr>
          <w:rFonts w:hint="default"/>
        </w:rPr>
        <w:t>热熔挤出废气</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本项目回收的废旧滴灌带主要成分为聚乙烯，聚乙烯是乙烯经聚合制得的一种</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HYPERLINK "http://baike.baidu.com/view/861510.htm"</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热塑性树脂</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rPr>
        <w:t>因此，本项目大气污染源主要为生产过程中产生的废气（热气及乙烯单体）。由于产生的热气温度较高，工作人员长时间处在厂房内，长期接触乙烯可引起头晕</w:t>
      </w:r>
      <w:r>
        <w:rPr>
          <w:rFonts w:hint="default" w:ascii="Times New Roman" w:hAnsi="Times New Roman" w:eastAsia="宋体" w:cs="Times New Roman"/>
          <w:color w:val="auto"/>
          <w:sz w:val="24"/>
          <w:szCs w:val="24"/>
        </w:rPr>
        <w:t>、身体不适、乏力、注意力不集中等会影响工作人员的身体状态，厂房内可进行适当的通风换气措施，保持工作区内空气的流通。</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1）有组织非甲烷总烃</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① 造粒车间</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排放源统计调查产排污核算方法和系数手册（公告2021年第24号）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中42 废弃资源综合利用行业系数手册</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废</w:t>
      </w:r>
      <w:r>
        <w:rPr>
          <w:rFonts w:hint="default" w:ascii="Times New Roman" w:hAnsi="Times New Roman" w:eastAsia="宋体" w:cs="Times New Roman"/>
          <w:color w:val="auto"/>
          <w:sz w:val="24"/>
          <w:szCs w:val="24"/>
          <w:lang w:val="en-US" w:eastAsia="zh-CN"/>
        </w:rPr>
        <w:t>PE再生塑料粒子-造粒工序挥发性有机物（本项目以非甲烷总烃计）</w:t>
      </w:r>
      <w:r>
        <w:rPr>
          <w:rFonts w:hint="default" w:ascii="Times New Roman" w:hAnsi="Times New Roman" w:eastAsia="宋体" w:cs="Times New Roman"/>
          <w:color w:val="auto"/>
          <w:sz w:val="24"/>
          <w:szCs w:val="24"/>
          <w:lang w:eastAsia="zh-CN"/>
        </w:rPr>
        <w:t>排放</w:t>
      </w:r>
      <w:r>
        <w:rPr>
          <w:rFonts w:hint="default" w:ascii="Times New Roman" w:hAnsi="Times New Roman" w:eastAsia="宋体" w:cs="Times New Roman"/>
          <w:color w:val="auto"/>
          <w:sz w:val="24"/>
          <w:szCs w:val="24"/>
        </w:rPr>
        <w:t>系数为0.35kg/t原料</w:t>
      </w:r>
      <w:r>
        <w:rPr>
          <w:rFonts w:hint="default" w:ascii="Times New Roman" w:hAnsi="Times New Roman" w:eastAsia="宋体" w:cs="Times New Roman"/>
          <w:color w:val="auto"/>
          <w:sz w:val="24"/>
          <w:szCs w:val="24"/>
          <w:lang w:eastAsia="zh-CN"/>
        </w:rPr>
        <w:t>，则造</w:t>
      </w:r>
      <w:r>
        <w:rPr>
          <w:rFonts w:hint="default" w:ascii="Times New Roman" w:hAnsi="Times New Roman" w:eastAsia="宋体" w:cs="Times New Roman"/>
          <w:color w:val="auto"/>
          <w:sz w:val="24"/>
          <w:szCs w:val="24"/>
        </w:rPr>
        <w:t>粒车间熔融挤出工序非甲烷总烃产生量</w:t>
      </w:r>
      <w:r>
        <w:rPr>
          <w:rFonts w:hint="default" w:ascii="Times New Roman" w:hAnsi="Times New Roman" w:eastAsia="宋体" w:cs="Times New Roman"/>
          <w:color w:val="auto"/>
          <w:sz w:val="24"/>
          <w:szCs w:val="24"/>
          <w:lang w:val="en-US" w:eastAsia="zh-CN"/>
        </w:rPr>
        <w:t>1.58</w:t>
      </w:r>
      <w:r>
        <w:rPr>
          <w:rFonts w:hint="default" w:ascii="Times New Roman" w:hAnsi="Times New Roman" w:eastAsia="宋体" w:cs="Times New Roman"/>
          <w:color w:val="auto"/>
          <w:sz w:val="24"/>
          <w:szCs w:val="24"/>
        </w:rPr>
        <w:t>t/a</w:t>
      </w:r>
      <w:r>
        <w:rPr>
          <w:rFonts w:hint="default" w:ascii="Times New Roman" w:hAnsi="Times New Roman" w:cs="Times New Roman"/>
          <w:color w:val="auto"/>
          <w:szCs w:val="21"/>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在</w:t>
      </w:r>
      <w:r>
        <w:rPr>
          <w:rFonts w:hint="default" w:ascii="Times New Roman" w:hAnsi="Times New Roman" w:cs="Times New Roman"/>
          <w:color w:val="auto"/>
          <w:sz w:val="24"/>
        </w:rPr>
        <w:t>造粒车间设</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条造粒生产线，在每条生产线上方各设置一集气罩，造粒生产线运行过程中熔融挤出工序产生的废气经集气罩收集后引入</w:t>
      </w:r>
      <w:r>
        <w:rPr>
          <w:rFonts w:hint="eastAsia" w:ascii="Times New Roman" w:hAnsi="Times New Roman" w:cs="Times New Roman"/>
          <w:color w:val="auto"/>
          <w:sz w:val="24"/>
          <w:lang w:eastAsia="zh-CN"/>
        </w:rPr>
        <w:t>等离子光氧一体机净化装置</w:t>
      </w:r>
      <w:r>
        <w:rPr>
          <w:rFonts w:hint="default" w:ascii="Times New Roman" w:hAnsi="Times New Roman" w:cs="Times New Roman"/>
          <w:color w:val="auto"/>
          <w:sz w:val="24"/>
        </w:rPr>
        <w:t>+活性炭吸附，最终通过15m高的排气筒排放（</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集气罩集气效率按90%计，</w:t>
      </w:r>
      <w:r>
        <w:rPr>
          <w:rFonts w:hint="eastAsia" w:ascii="Times New Roman" w:hAnsi="Times New Roman" w:cs="Times New Roman"/>
          <w:color w:val="auto"/>
          <w:sz w:val="24"/>
          <w:lang w:eastAsia="zh-CN"/>
        </w:rPr>
        <w:t>等离子光氧一体机净化装置</w:t>
      </w:r>
      <w:r>
        <w:rPr>
          <w:rFonts w:hint="default" w:ascii="Times New Roman" w:hAnsi="Times New Roman" w:cs="Times New Roman"/>
          <w:color w:val="auto"/>
          <w:sz w:val="24"/>
        </w:rPr>
        <w:t>+活性炭吸附处理效率按8</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%计，则造粒车间非甲烷总烃有组织排放量为0.</w:t>
      </w:r>
      <w:r>
        <w:rPr>
          <w:rFonts w:hint="default" w:ascii="Times New Roman" w:hAnsi="Times New Roman" w:cs="Times New Roman"/>
          <w:color w:val="auto"/>
          <w:sz w:val="24"/>
          <w:lang w:val="en-US" w:eastAsia="zh-CN"/>
        </w:rPr>
        <w:t>315</w:t>
      </w:r>
      <w:r>
        <w:rPr>
          <w:rFonts w:hint="default" w:ascii="Times New Roman" w:hAnsi="Times New Roman" w:cs="Times New Roman"/>
          <w:color w:val="auto"/>
          <w:sz w:val="24"/>
        </w:rPr>
        <w:t>t/a。项目</w:t>
      </w:r>
      <w:r>
        <w:rPr>
          <w:rFonts w:hint="default" w:ascii="Times New Roman" w:hAnsi="Times New Roman" w:cs="Times New Roman"/>
          <w:color w:val="auto"/>
          <w:sz w:val="24"/>
          <w:lang w:eastAsia="zh-CN"/>
        </w:rPr>
        <w:t>造粒工序</w:t>
      </w:r>
      <w:r>
        <w:rPr>
          <w:rFonts w:hint="default" w:ascii="Times New Roman" w:hAnsi="Times New Roman" w:cs="Times New Roman"/>
          <w:color w:val="auto"/>
          <w:sz w:val="24"/>
        </w:rPr>
        <w:t>年生产</w:t>
      </w:r>
      <w:r>
        <w:rPr>
          <w:rFonts w:hint="default" w:ascii="Times New Roman" w:hAnsi="Times New Roman" w:cs="Times New Roman"/>
          <w:color w:val="auto"/>
          <w:sz w:val="24"/>
          <w:lang w:val="en-US" w:eastAsia="zh-CN"/>
        </w:rPr>
        <w:t>210</w:t>
      </w:r>
      <w:r>
        <w:rPr>
          <w:rFonts w:hint="default" w:ascii="Times New Roman" w:hAnsi="Times New Roman" w:cs="Times New Roman"/>
          <w:color w:val="auto"/>
          <w:sz w:val="24"/>
        </w:rPr>
        <w:t>天，每天工作</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h，年工作</w:t>
      </w:r>
      <w:r>
        <w:rPr>
          <w:rFonts w:hint="default" w:ascii="Times New Roman" w:hAnsi="Times New Roman" w:cs="Times New Roman"/>
          <w:color w:val="auto"/>
          <w:sz w:val="24"/>
          <w:lang w:val="en-US" w:eastAsia="zh-CN"/>
        </w:rPr>
        <w:t>2520</w:t>
      </w:r>
      <w:r>
        <w:rPr>
          <w:rFonts w:hint="default" w:ascii="Times New Roman" w:hAnsi="Times New Roman" w:cs="Times New Roman"/>
          <w:color w:val="auto"/>
          <w:sz w:val="24"/>
        </w:rPr>
        <w:t>h</w:t>
      </w:r>
      <w:r>
        <w:rPr>
          <w:rFonts w:hint="default" w:ascii="Times New Roman" w:hAnsi="Times New Roman" w:eastAsia="宋体" w:cs="Times New Roman"/>
          <w:color w:val="auto"/>
          <w:sz w:val="24"/>
          <w:lang w:eastAsia="zh-CN"/>
        </w:rPr>
        <w:t>，配套风机风量为</w:t>
      </w:r>
      <w:r>
        <w:rPr>
          <w:rFonts w:hint="eastAsia"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lang w:eastAsia="zh-CN"/>
        </w:rPr>
        <w:t>000m³/h。</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本项目运营期造粒车间有组织非甲烷总烃产生及排放情况详见表3.</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w:t>
      </w:r>
    </w:p>
    <w:p>
      <w:pPr>
        <w:pStyle w:val="17"/>
        <w:bidi w:val="0"/>
        <w:rPr>
          <w:rFonts w:hint="default"/>
          <w:b/>
          <w:bCs/>
        </w:rPr>
      </w:pPr>
      <w:r>
        <w:rPr>
          <w:rFonts w:hint="default"/>
          <w:b/>
          <w:bCs/>
        </w:rPr>
        <w:t>表3.</w:t>
      </w:r>
      <w:r>
        <w:rPr>
          <w:rFonts w:hint="eastAsia"/>
          <w:b/>
          <w:bCs/>
          <w:lang w:val="en-US" w:eastAsia="zh-CN"/>
        </w:rPr>
        <w:t>9</w:t>
      </w:r>
      <w:r>
        <w:rPr>
          <w:rFonts w:hint="default"/>
          <w:b/>
          <w:bCs/>
        </w:rPr>
        <w:t>-</w:t>
      </w:r>
      <w:r>
        <w:rPr>
          <w:rFonts w:hint="default"/>
          <w:b/>
          <w:bCs/>
          <w:lang w:val="en-US" w:eastAsia="zh-CN"/>
        </w:rPr>
        <w:t>1</w:t>
      </w:r>
      <w:r>
        <w:rPr>
          <w:rFonts w:hint="default"/>
          <w:b/>
          <w:bCs/>
        </w:rPr>
        <w:t xml:space="preserve">   有组织非甲烷总烃产生及排放情况</w:t>
      </w:r>
    </w:p>
    <w:tbl>
      <w:tblPr>
        <w:tblStyle w:val="12"/>
        <w:tblW w:w="8525" w:type="dxa"/>
        <w:jc w:val="center"/>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425"/>
        <w:gridCol w:w="906"/>
        <w:gridCol w:w="777"/>
        <w:gridCol w:w="818"/>
        <w:gridCol w:w="737"/>
        <w:gridCol w:w="995"/>
        <w:gridCol w:w="995"/>
        <w:gridCol w:w="816"/>
        <w:gridCol w:w="689"/>
        <w:gridCol w:w="704"/>
        <w:gridCol w:w="66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25" w:type="dxa"/>
            <w:vMerge w:val="restart"/>
            <w:tcBorders>
              <w:top w:val="single" w:color="auto" w:sz="2" w:space="0"/>
            </w:tcBorders>
            <w:noWrap w:val="0"/>
            <w:vAlign w:val="center"/>
          </w:tcPr>
          <w:p>
            <w:pPr>
              <w:pStyle w:val="17"/>
              <w:bidi w:val="0"/>
              <w:rPr>
                <w:rFonts w:hint="default"/>
                <w:b/>
                <w:bCs/>
              </w:rPr>
            </w:pPr>
            <w:r>
              <w:rPr>
                <w:rFonts w:hint="default"/>
                <w:b/>
                <w:bCs/>
              </w:rPr>
              <w:t>排气筒编号</w:t>
            </w:r>
          </w:p>
        </w:tc>
        <w:tc>
          <w:tcPr>
            <w:tcW w:w="906" w:type="dxa"/>
            <w:vMerge w:val="restart"/>
            <w:tcBorders>
              <w:top w:val="single" w:color="auto" w:sz="2" w:space="0"/>
            </w:tcBorders>
            <w:noWrap w:val="0"/>
            <w:vAlign w:val="center"/>
          </w:tcPr>
          <w:p>
            <w:pPr>
              <w:pStyle w:val="17"/>
              <w:bidi w:val="0"/>
              <w:rPr>
                <w:rFonts w:hint="default"/>
                <w:b/>
                <w:bCs/>
                <w:lang w:eastAsia="zh-CN"/>
              </w:rPr>
            </w:pPr>
            <w:r>
              <w:rPr>
                <w:rFonts w:hint="eastAsia"/>
                <w:b/>
                <w:bCs/>
                <w:lang w:eastAsia="zh-CN"/>
              </w:rPr>
              <w:t>核算方法</w:t>
            </w:r>
          </w:p>
        </w:tc>
        <w:tc>
          <w:tcPr>
            <w:tcW w:w="777" w:type="dxa"/>
            <w:vMerge w:val="restart"/>
            <w:tcBorders>
              <w:top w:val="single" w:color="auto" w:sz="2" w:space="0"/>
            </w:tcBorders>
            <w:noWrap w:val="0"/>
            <w:vAlign w:val="center"/>
          </w:tcPr>
          <w:p>
            <w:pPr>
              <w:pStyle w:val="17"/>
              <w:bidi w:val="0"/>
              <w:rPr>
                <w:rFonts w:hint="default"/>
                <w:b/>
                <w:bCs/>
              </w:rPr>
            </w:pPr>
            <w:r>
              <w:rPr>
                <w:rFonts w:hint="default"/>
                <w:b/>
                <w:bCs/>
                <w:lang w:eastAsia="zh-CN"/>
              </w:rPr>
              <w:t>废气量</w:t>
            </w:r>
            <w:r>
              <w:rPr>
                <w:rFonts w:hint="default"/>
                <w:b/>
                <w:bCs/>
              </w:rPr>
              <w:t>(</w:t>
            </w:r>
            <w:r>
              <w:rPr>
                <w:rFonts w:hint="eastAsia"/>
                <w:b/>
                <w:bCs/>
                <w:lang w:eastAsia="zh-CN"/>
              </w:rPr>
              <w:t>m³</w:t>
            </w:r>
            <w:r>
              <w:rPr>
                <w:rFonts w:hint="default"/>
                <w:b/>
                <w:bCs/>
              </w:rPr>
              <w:t>/</w:t>
            </w:r>
            <w:r>
              <w:rPr>
                <w:rFonts w:hint="default"/>
                <w:b/>
                <w:bCs/>
                <w:lang w:val="en-US" w:eastAsia="zh-CN"/>
              </w:rPr>
              <w:t>a</w:t>
            </w:r>
            <w:r>
              <w:rPr>
                <w:rFonts w:hint="default"/>
                <w:b/>
                <w:bCs/>
              </w:rPr>
              <w:t>)</w:t>
            </w:r>
          </w:p>
        </w:tc>
        <w:tc>
          <w:tcPr>
            <w:tcW w:w="1555" w:type="dxa"/>
            <w:gridSpan w:val="2"/>
            <w:tcBorders>
              <w:top w:val="single" w:color="auto" w:sz="2" w:space="0"/>
            </w:tcBorders>
            <w:noWrap w:val="0"/>
            <w:vAlign w:val="center"/>
          </w:tcPr>
          <w:p>
            <w:pPr>
              <w:pStyle w:val="17"/>
              <w:bidi w:val="0"/>
              <w:rPr>
                <w:rFonts w:hint="default"/>
                <w:b/>
                <w:bCs/>
              </w:rPr>
            </w:pPr>
            <w:r>
              <w:rPr>
                <w:rFonts w:hint="default"/>
                <w:b/>
                <w:bCs/>
              </w:rPr>
              <w:t>处理前</w:t>
            </w:r>
          </w:p>
        </w:tc>
        <w:tc>
          <w:tcPr>
            <w:tcW w:w="1990" w:type="dxa"/>
            <w:gridSpan w:val="2"/>
            <w:tcBorders>
              <w:top w:val="single" w:color="auto" w:sz="2" w:space="0"/>
            </w:tcBorders>
            <w:noWrap w:val="0"/>
            <w:vAlign w:val="center"/>
          </w:tcPr>
          <w:p>
            <w:pPr>
              <w:pStyle w:val="17"/>
              <w:bidi w:val="0"/>
              <w:rPr>
                <w:rFonts w:hint="eastAsia"/>
                <w:b/>
                <w:bCs/>
                <w:lang w:eastAsia="zh-CN"/>
              </w:rPr>
            </w:pPr>
            <w:r>
              <w:rPr>
                <w:rFonts w:hint="eastAsia"/>
                <w:b/>
                <w:bCs/>
                <w:lang w:eastAsia="zh-CN"/>
              </w:rPr>
              <w:t>治理措施</w:t>
            </w:r>
          </w:p>
        </w:tc>
        <w:tc>
          <w:tcPr>
            <w:tcW w:w="2209" w:type="dxa"/>
            <w:gridSpan w:val="3"/>
            <w:tcBorders>
              <w:top w:val="single" w:color="auto" w:sz="2" w:space="0"/>
            </w:tcBorders>
            <w:noWrap w:val="0"/>
            <w:vAlign w:val="center"/>
          </w:tcPr>
          <w:p>
            <w:pPr>
              <w:pStyle w:val="17"/>
              <w:bidi w:val="0"/>
              <w:rPr>
                <w:rFonts w:hint="default"/>
                <w:b/>
                <w:bCs/>
              </w:rPr>
            </w:pPr>
            <w:r>
              <w:rPr>
                <w:rFonts w:hint="default"/>
                <w:b/>
                <w:bCs/>
              </w:rPr>
              <w:t>处理后</w:t>
            </w:r>
          </w:p>
        </w:tc>
        <w:tc>
          <w:tcPr>
            <w:tcW w:w="663" w:type="dxa"/>
            <w:vMerge w:val="restart"/>
            <w:tcBorders>
              <w:top w:val="single" w:color="auto" w:sz="2" w:space="0"/>
            </w:tcBorders>
            <w:noWrap w:val="0"/>
            <w:vAlign w:val="center"/>
          </w:tcPr>
          <w:p>
            <w:pPr>
              <w:pStyle w:val="17"/>
              <w:bidi w:val="0"/>
              <w:rPr>
                <w:rFonts w:hint="default"/>
                <w:b/>
                <w:bCs/>
                <w:lang w:val="en-US" w:eastAsia="zh-CN"/>
              </w:rPr>
            </w:pPr>
            <w:r>
              <w:rPr>
                <w:rFonts w:hint="eastAsia"/>
                <w:b/>
                <w:bCs/>
                <w:lang w:eastAsia="zh-CN"/>
              </w:rPr>
              <w:t>排放时间</w:t>
            </w:r>
            <w:r>
              <w:rPr>
                <w:rFonts w:hint="eastAsia"/>
                <w:b/>
                <w:bCs/>
                <w:lang w:val="en-US" w:eastAsia="zh-CN"/>
              </w:rPr>
              <w:t>/h</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25" w:type="dxa"/>
            <w:vMerge w:val="continue"/>
            <w:noWrap w:val="0"/>
            <w:vAlign w:val="center"/>
          </w:tcPr>
          <w:p>
            <w:pPr>
              <w:pStyle w:val="17"/>
              <w:bidi w:val="0"/>
              <w:rPr>
                <w:rFonts w:hint="default"/>
                <w:b/>
                <w:bCs/>
              </w:rPr>
            </w:pPr>
          </w:p>
        </w:tc>
        <w:tc>
          <w:tcPr>
            <w:tcW w:w="906" w:type="dxa"/>
            <w:vMerge w:val="continue"/>
            <w:noWrap w:val="0"/>
            <w:vAlign w:val="center"/>
          </w:tcPr>
          <w:p>
            <w:pPr>
              <w:pStyle w:val="17"/>
              <w:bidi w:val="0"/>
              <w:rPr>
                <w:rFonts w:hint="default"/>
                <w:b/>
                <w:bCs/>
              </w:rPr>
            </w:pPr>
          </w:p>
        </w:tc>
        <w:tc>
          <w:tcPr>
            <w:tcW w:w="777" w:type="dxa"/>
            <w:vMerge w:val="continue"/>
            <w:noWrap w:val="0"/>
            <w:vAlign w:val="center"/>
          </w:tcPr>
          <w:p>
            <w:pPr>
              <w:pStyle w:val="17"/>
              <w:bidi w:val="0"/>
              <w:rPr>
                <w:rFonts w:hint="default"/>
                <w:b/>
                <w:bCs/>
              </w:rPr>
            </w:pPr>
          </w:p>
        </w:tc>
        <w:tc>
          <w:tcPr>
            <w:tcW w:w="818" w:type="dxa"/>
            <w:noWrap w:val="0"/>
            <w:vAlign w:val="center"/>
          </w:tcPr>
          <w:p>
            <w:pPr>
              <w:pStyle w:val="17"/>
              <w:bidi w:val="0"/>
              <w:rPr>
                <w:rFonts w:hint="default"/>
                <w:b/>
                <w:bCs/>
              </w:rPr>
            </w:pPr>
            <w:r>
              <w:rPr>
                <w:rFonts w:hint="default"/>
                <w:b/>
                <w:bCs/>
              </w:rPr>
              <w:t>产生浓度</w:t>
            </w:r>
          </w:p>
          <w:p>
            <w:pPr>
              <w:pStyle w:val="17"/>
              <w:bidi w:val="0"/>
              <w:rPr>
                <w:rFonts w:hint="default"/>
                <w:b/>
                <w:bCs/>
              </w:rPr>
            </w:pPr>
            <w:r>
              <w:rPr>
                <w:rFonts w:hint="default"/>
                <w:b/>
                <w:bCs/>
              </w:rPr>
              <w:t>(mg/</w:t>
            </w:r>
            <w:r>
              <w:rPr>
                <w:rFonts w:hint="eastAsia"/>
                <w:b/>
                <w:bCs/>
                <w:lang w:eastAsia="zh-CN"/>
              </w:rPr>
              <w:t>m³</w:t>
            </w:r>
            <w:r>
              <w:rPr>
                <w:rFonts w:hint="default"/>
                <w:b/>
                <w:bCs/>
              </w:rPr>
              <w:t>)</w:t>
            </w:r>
          </w:p>
        </w:tc>
        <w:tc>
          <w:tcPr>
            <w:tcW w:w="737" w:type="dxa"/>
            <w:noWrap w:val="0"/>
            <w:vAlign w:val="center"/>
          </w:tcPr>
          <w:p>
            <w:pPr>
              <w:pStyle w:val="17"/>
              <w:bidi w:val="0"/>
              <w:rPr>
                <w:rFonts w:hint="default"/>
                <w:b/>
                <w:bCs/>
              </w:rPr>
            </w:pPr>
            <w:r>
              <w:rPr>
                <w:rFonts w:hint="default"/>
                <w:b/>
                <w:bCs/>
              </w:rPr>
              <w:t>收集量</w:t>
            </w:r>
          </w:p>
          <w:p>
            <w:pPr>
              <w:pStyle w:val="17"/>
              <w:bidi w:val="0"/>
              <w:rPr>
                <w:rFonts w:hint="default"/>
                <w:b/>
                <w:bCs/>
              </w:rPr>
            </w:pPr>
            <w:r>
              <w:rPr>
                <w:rFonts w:hint="default"/>
                <w:b/>
                <w:bCs/>
              </w:rPr>
              <w:t>(t/a)</w:t>
            </w:r>
          </w:p>
        </w:tc>
        <w:tc>
          <w:tcPr>
            <w:tcW w:w="995" w:type="dxa"/>
            <w:noWrap w:val="0"/>
            <w:vAlign w:val="center"/>
          </w:tcPr>
          <w:p>
            <w:pPr>
              <w:pStyle w:val="17"/>
              <w:bidi w:val="0"/>
              <w:rPr>
                <w:rFonts w:hint="eastAsia"/>
                <w:b/>
                <w:bCs/>
                <w:lang w:eastAsia="zh-CN"/>
              </w:rPr>
            </w:pPr>
            <w:r>
              <w:rPr>
                <w:rFonts w:hint="eastAsia"/>
                <w:b/>
                <w:bCs/>
                <w:lang w:eastAsia="zh-CN"/>
              </w:rPr>
              <w:t>工艺</w:t>
            </w:r>
          </w:p>
        </w:tc>
        <w:tc>
          <w:tcPr>
            <w:tcW w:w="995" w:type="dxa"/>
            <w:noWrap w:val="0"/>
            <w:vAlign w:val="center"/>
          </w:tcPr>
          <w:p>
            <w:pPr>
              <w:pStyle w:val="17"/>
              <w:bidi w:val="0"/>
              <w:rPr>
                <w:rFonts w:hint="eastAsia"/>
                <w:b/>
                <w:bCs/>
                <w:lang w:eastAsia="zh-CN"/>
              </w:rPr>
            </w:pPr>
            <w:r>
              <w:rPr>
                <w:rFonts w:hint="eastAsia"/>
                <w:b/>
                <w:bCs/>
                <w:lang w:eastAsia="zh-CN"/>
              </w:rPr>
              <w:t>效率</w:t>
            </w:r>
          </w:p>
        </w:tc>
        <w:tc>
          <w:tcPr>
            <w:tcW w:w="816" w:type="dxa"/>
            <w:noWrap w:val="0"/>
            <w:vAlign w:val="center"/>
          </w:tcPr>
          <w:p>
            <w:pPr>
              <w:pStyle w:val="17"/>
              <w:bidi w:val="0"/>
              <w:rPr>
                <w:rFonts w:hint="default"/>
                <w:b/>
                <w:bCs/>
              </w:rPr>
            </w:pPr>
            <w:r>
              <w:rPr>
                <w:rFonts w:hint="default"/>
                <w:b/>
                <w:bCs/>
              </w:rPr>
              <w:t>排放浓度</w:t>
            </w:r>
          </w:p>
          <w:p>
            <w:pPr>
              <w:pStyle w:val="17"/>
              <w:bidi w:val="0"/>
              <w:rPr>
                <w:rFonts w:hint="default"/>
                <w:b/>
                <w:bCs/>
              </w:rPr>
            </w:pPr>
            <w:r>
              <w:rPr>
                <w:rFonts w:hint="default"/>
                <w:b/>
                <w:bCs/>
              </w:rPr>
              <w:t>(mg/</w:t>
            </w:r>
            <w:r>
              <w:rPr>
                <w:rFonts w:hint="eastAsia"/>
                <w:b/>
                <w:bCs/>
                <w:lang w:eastAsia="zh-CN"/>
              </w:rPr>
              <w:t>m³</w:t>
            </w:r>
            <w:r>
              <w:rPr>
                <w:rFonts w:hint="default"/>
                <w:b/>
                <w:bCs/>
              </w:rPr>
              <w:t>)</w:t>
            </w:r>
          </w:p>
        </w:tc>
        <w:tc>
          <w:tcPr>
            <w:tcW w:w="689" w:type="dxa"/>
            <w:noWrap w:val="0"/>
            <w:vAlign w:val="center"/>
          </w:tcPr>
          <w:p>
            <w:pPr>
              <w:pStyle w:val="17"/>
              <w:bidi w:val="0"/>
              <w:rPr>
                <w:rFonts w:hint="default"/>
                <w:b/>
                <w:bCs/>
              </w:rPr>
            </w:pPr>
            <w:r>
              <w:rPr>
                <w:rFonts w:hint="default"/>
                <w:b/>
                <w:bCs/>
              </w:rPr>
              <w:t>排放量</w:t>
            </w:r>
          </w:p>
          <w:p>
            <w:pPr>
              <w:pStyle w:val="17"/>
              <w:bidi w:val="0"/>
              <w:rPr>
                <w:rFonts w:hint="default"/>
                <w:b/>
                <w:bCs/>
              </w:rPr>
            </w:pPr>
            <w:r>
              <w:rPr>
                <w:rFonts w:hint="default"/>
                <w:b/>
                <w:bCs/>
              </w:rPr>
              <w:t>(t/a)</w:t>
            </w:r>
          </w:p>
        </w:tc>
        <w:tc>
          <w:tcPr>
            <w:tcW w:w="704" w:type="dxa"/>
            <w:noWrap w:val="0"/>
            <w:vAlign w:val="center"/>
          </w:tcPr>
          <w:p>
            <w:pPr>
              <w:pStyle w:val="17"/>
              <w:bidi w:val="0"/>
              <w:rPr>
                <w:rFonts w:hint="default"/>
                <w:b/>
                <w:bCs/>
              </w:rPr>
            </w:pPr>
            <w:r>
              <w:rPr>
                <w:rFonts w:hint="default"/>
                <w:b/>
                <w:bCs/>
              </w:rPr>
              <w:t>排放速率(kg/h)</w:t>
            </w:r>
          </w:p>
        </w:tc>
        <w:tc>
          <w:tcPr>
            <w:tcW w:w="663" w:type="dxa"/>
            <w:vMerge w:val="continue"/>
            <w:noWrap w:val="0"/>
            <w:vAlign w:val="center"/>
          </w:tcPr>
          <w:p>
            <w:pPr>
              <w:pStyle w:val="17"/>
              <w:bidi w:val="0"/>
              <w:rPr>
                <w:rFonts w:hint="default"/>
                <w:b/>
                <w:bCs/>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25" w:type="dxa"/>
            <w:noWrap w:val="0"/>
            <w:vAlign w:val="center"/>
          </w:tcPr>
          <w:p>
            <w:pPr>
              <w:pStyle w:val="17"/>
              <w:bidi w:val="0"/>
              <w:rPr>
                <w:rFonts w:hint="default"/>
              </w:rPr>
            </w:pPr>
            <w:r>
              <w:rPr>
                <w:rFonts w:hint="default"/>
              </w:rPr>
              <w:t>1#</w:t>
            </w:r>
          </w:p>
        </w:tc>
        <w:tc>
          <w:tcPr>
            <w:tcW w:w="906" w:type="dxa"/>
            <w:noWrap w:val="0"/>
            <w:vAlign w:val="center"/>
          </w:tcPr>
          <w:p>
            <w:pPr>
              <w:pStyle w:val="17"/>
              <w:bidi w:val="0"/>
              <w:rPr>
                <w:rFonts w:hint="eastAsia"/>
                <w:lang w:val="en-US" w:eastAsia="zh-CN"/>
              </w:rPr>
            </w:pPr>
            <w:r>
              <w:rPr>
                <w:rFonts w:hint="default"/>
                <w:lang w:eastAsia="zh-CN"/>
              </w:rPr>
              <w:t>《排放源统计调查产排污核算方法和系数手册（公告2021年第24号）》</w:t>
            </w:r>
          </w:p>
        </w:tc>
        <w:tc>
          <w:tcPr>
            <w:tcW w:w="777" w:type="dxa"/>
            <w:noWrap w:val="0"/>
            <w:vAlign w:val="center"/>
          </w:tcPr>
          <w:p>
            <w:pPr>
              <w:pStyle w:val="17"/>
              <w:bidi w:val="0"/>
              <w:rPr>
                <w:rFonts w:hint="default"/>
              </w:rPr>
            </w:pPr>
            <w:r>
              <w:rPr>
                <w:rFonts w:hint="eastAsia"/>
                <w:lang w:val="en-US" w:eastAsia="zh-CN"/>
              </w:rPr>
              <w:t>2.52</w:t>
            </w:r>
            <w:r>
              <w:rPr>
                <w:rFonts w:hint="default"/>
                <w:lang w:val="en-US" w:eastAsia="zh-CN"/>
              </w:rPr>
              <w:t>×10</w:t>
            </w:r>
            <w:r>
              <w:rPr>
                <w:rFonts w:hint="default"/>
                <w:vertAlign w:val="superscript"/>
                <w:lang w:val="en-US" w:eastAsia="zh-CN"/>
              </w:rPr>
              <w:t>7</w:t>
            </w:r>
          </w:p>
        </w:tc>
        <w:tc>
          <w:tcPr>
            <w:tcW w:w="818" w:type="dxa"/>
            <w:noWrap w:val="0"/>
            <w:vAlign w:val="center"/>
          </w:tcPr>
          <w:p>
            <w:pPr>
              <w:pStyle w:val="17"/>
              <w:bidi w:val="0"/>
              <w:rPr>
                <w:rFonts w:hint="default"/>
                <w:lang w:val="en-US" w:eastAsia="zh-CN"/>
              </w:rPr>
            </w:pPr>
            <w:r>
              <w:rPr>
                <w:rFonts w:hint="eastAsia"/>
                <w:lang w:val="en-US" w:eastAsia="zh-CN"/>
              </w:rPr>
              <w:t>56.4</w:t>
            </w:r>
          </w:p>
        </w:tc>
        <w:tc>
          <w:tcPr>
            <w:tcW w:w="737" w:type="dxa"/>
            <w:noWrap w:val="0"/>
            <w:vAlign w:val="center"/>
          </w:tcPr>
          <w:p>
            <w:pPr>
              <w:pStyle w:val="17"/>
              <w:bidi w:val="0"/>
              <w:rPr>
                <w:rFonts w:hint="default"/>
                <w:lang w:val="en-US" w:eastAsia="zh-CN"/>
              </w:rPr>
            </w:pPr>
            <w:r>
              <w:rPr>
                <w:rFonts w:hint="default"/>
                <w:lang w:val="en-US" w:eastAsia="zh-CN"/>
              </w:rPr>
              <w:t>1.422</w:t>
            </w:r>
          </w:p>
        </w:tc>
        <w:tc>
          <w:tcPr>
            <w:tcW w:w="995" w:type="dxa"/>
            <w:noWrap w:val="0"/>
            <w:vAlign w:val="center"/>
          </w:tcPr>
          <w:p>
            <w:pPr>
              <w:pStyle w:val="17"/>
              <w:bidi w:val="0"/>
              <w:rPr>
                <w:rFonts w:hint="eastAsia"/>
                <w:lang w:val="en-US" w:eastAsia="zh-CN"/>
              </w:rPr>
            </w:pPr>
            <w:r>
              <w:rPr>
                <w:rFonts w:hint="eastAsia"/>
                <w:lang w:val="en-US" w:eastAsia="zh-CN"/>
              </w:rPr>
              <w:t>集气罩+</w:t>
            </w:r>
            <w:r>
              <w:rPr>
                <w:rFonts w:hint="eastAsia"/>
                <w:lang w:eastAsia="zh-CN"/>
              </w:rPr>
              <w:t>等离子光氧一体机净化装置</w:t>
            </w:r>
            <w:r>
              <w:rPr>
                <w:rFonts w:hint="default"/>
              </w:rPr>
              <w:t>+活性炭吸附</w:t>
            </w:r>
            <w:r>
              <w:rPr>
                <w:rFonts w:hint="eastAsia"/>
                <w:lang w:val="en-US" w:eastAsia="zh-CN"/>
              </w:rPr>
              <w:t>+</w:t>
            </w:r>
            <w:r>
              <w:rPr>
                <w:rFonts w:hint="default"/>
              </w:rPr>
              <w:t>15m高的排气筒排放</w:t>
            </w:r>
          </w:p>
        </w:tc>
        <w:tc>
          <w:tcPr>
            <w:tcW w:w="995" w:type="dxa"/>
            <w:noWrap w:val="0"/>
            <w:vAlign w:val="center"/>
          </w:tcPr>
          <w:p>
            <w:pPr>
              <w:pStyle w:val="17"/>
              <w:bidi w:val="0"/>
              <w:rPr>
                <w:rFonts w:hint="eastAsia"/>
                <w:lang w:val="en-US" w:eastAsia="zh-CN"/>
              </w:rPr>
            </w:pPr>
            <w:r>
              <w:rPr>
                <w:rFonts w:hint="default"/>
              </w:rPr>
              <w:t>集气罩集气效率90%</w:t>
            </w:r>
            <w:r>
              <w:rPr>
                <w:rFonts w:hint="eastAsia"/>
                <w:lang w:eastAsia="zh-CN"/>
              </w:rPr>
              <w:t>，等离子光氧一体机净化装置</w:t>
            </w:r>
            <w:r>
              <w:rPr>
                <w:rFonts w:hint="default"/>
              </w:rPr>
              <w:t>+活性炭吸附处理效率按8</w:t>
            </w:r>
            <w:r>
              <w:rPr>
                <w:rFonts w:hint="default"/>
                <w:lang w:val="en-US" w:eastAsia="zh-CN"/>
              </w:rPr>
              <w:t>0</w:t>
            </w:r>
            <w:r>
              <w:rPr>
                <w:rFonts w:hint="default"/>
              </w:rPr>
              <w:t>%</w:t>
            </w:r>
          </w:p>
        </w:tc>
        <w:tc>
          <w:tcPr>
            <w:tcW w:w="816" w:type="dxa"/>
            <w:noWrap w:val="0"/>
            <w:vAlign w:val="center"/>
          </w:tcPr>
          <w:p>
            <w:pPr>
              <w:pStyle w:val="17"/>
              <w:bidi w:val="0"/>
              <w:rPr>
                <w:rFonts w:hint="default"/>
                <w:lang w:val="en-US" w:eastAsia="zh-CN"/>
              </w:rPr>
            </w:pPr>
            <w:r>
              <w:rPr>
                <w:rFonts w:hint="eastAsia"/>
                <w:lang w:val="en-US" w:eastAsia="zh-CN"/>
              </w:rPr>
              <w:t>11.3</w:t>
            </w:r>
          </w:p>
        </w:tc>
        <w:tc>
          <w:tcPr>
            <w:tcW w:w="689" w:type="dxa"/>
            <w:noWrap w:val="0"/>
            <w:vAlign w:val="center"/>
          </w:tcPr>
          <w:p>
            <w:pPr>
              <w:pStyle w:val="17"/>
              <w:bidi w:val="0"/>
              <w:rPr>
                <w:rFonts w:hint="default"/>
                <w:lang w:val="en-US" w:eastAsia="zh-CN"/>
              </w:rPr>
            </w:pPr>
            <w:r>
              <w:rPr>
                <w:rFonts w:hint="default"/>
                <w:lang w:val="en-US" w:eastAsia="zh-CN"/>
              </w:rPr>
              <w:t>0.284</w:t>
            </w:r>
          </w:p>
        </w:tc>
        <w:tc>
          <w:tcPr>
            <w:tcW w:w="704" w:type="dxa"/>
            <w:noWrap w:val="0"/>
            <w:vAlign w:val="center"/>
          </w:tcPr>
          <w:p>
            <w:pPr>
              <w:pStyle w:val="17"/>
              <w:bidi w:val="0"/>
              <w:rPr>
                <w:rFonts w:hint="default"/>
                <w:lang w:val="en-US" w:eastAsia="zh-CN"/>
              </w:rPr>
            </w:pPr>
            <w:r>
              <w:rPr>
                <w:rFonts w:hint="default"/>
                <w:lang w:eastAsia="zh-CN"/>
              </w:rPr>
              <w:t>0.</w:t>
            </w:r>
            <w:r>
              <w:rPr>
                <w:rFonts w:hint="default"/>
                <w:lang w:val="en-US" w:eastAsia="zh-CN"/>
              </w:rPr>
              <w:t>113</w:t>
            </w:r>
          </w:p>
        </w:tc>
        <w:tc>
          <w:tcPr>
            <w:tcW w:w="663" w:type="dxa"/>
            <w:noWrap w:val="0"/>
            <w:vAlign w:val="center"/>
          </w:tcPr>
          <w:p>
            <w:pPr>
              <w:pStyle w:val="17"/>
              <w:bidi w:val="0"/>
              <w:rPr>
                <w:rFonts w:hint="default"/>
                <w:lang w:val="en-US" w:eastAsia="zh-CN"/>
              </w:rPr>
            </w:pPr>
            <w:r>
              <w:rPr>
                <w:rFonts w:hint="eastAsia"/>
                <w:lang w:val="en-US" w:eastAsia="zh-CN"/>
              </w:rPr>
              <w:t>2520</w:t>
            </w:r>
          </w:p>
        </w:tc>
      </w:tr>
    </w:tbl>
    <w:p>
      <w:pPr>
        <w:pageBreakBefore w:val="0"/>
        <w:kinsoku/>
        <w:wordWrap/>
        <w:bidi w:val="0"/>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②</w:t>
      </w:r>
      <w:r>
        <w:rPr>
          <w:rFonts w:hint="default" w:ascii="Times New Roman" w:hAnsi="Times New Roman" w:cs="Times New Roman"/>
          <w:color w:val="auto"/>
          <w:sz w:val="24"/>
          <w:lang w:eastAsia="zh-CN"/>
        </w:rPr>
        <w:t>滴灌带生产车间</w:t>
      </w:r>
    </w:p>
    <w:p>
      <w:pPr>
        <w:pageBreakBefore w:val="0"/>
        <w:kinsoku/>
        <w:wordWrap/>
        <w:bidi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排放源统计调查产排污核算方法和系数手册（公告2021年第24号）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中292 塑料制品行业系数手册，塑</w:t>
      </w:r>
      <w:r>
        <w:rPr>
          <w:rFonts w:hint="default" w:ascii="Times New Roman" w:hAnsi="Times New Roman" w:eastAsia="宋体" w:cs="Times New Roman"/>
          <w:color w:val="auto"/>
          <w:sz w:val="24"/>
          <w:szCs w:val="24"/>
        </w:rPr>
        <w:t>料板、管、型材</w:t>
      </w:r>
      <w:r>
        <w:rPr>
          <w:rFonts w:hint="default" w:ascii="Times New Roman" w:hAnsi="Times New Roman" w:eastAsia="宋体" w:cs="Times New Roman"/>
          <w:color w:val="auto"/>
          <w:sz w:val="24"/>
          <w:szCs w:val="24"/>
          <w:lang w:eastAsia="zh-CN"/>
        </w:rPr>
        <w:t>类</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配料混合挤出</w:t>
      </w:r>
      <w:r>
        <w:rPr>
          <w:rFonts w:hint="default" w:ascii="Times New Roman" w:hAnsi="Times New Roman" w:eastAsia="宋体" w:cs="Times New Roman"/>
          <w:color w:val="auto"/>
          <w:sz w:val="24"/>
          <w:szCs w:val="24"/>
          <w:lang w:val="en-US" w:eastAsia="zh-CN"/>
        </w:rPr>
        <w:t>工序挥发性有机物（本项目以非甲烷总烃计）</w:t>
      </w:r>
      <w:r>
        <w:rPr>
          <w:rFonts w:hint="default" w:ascii="Times New Roman" w:hAnsi="Times New Roman" w:eastAsia="宋体" w:cs="Times New Roman"/>
          <w:color w:val="auto"/>
          <w:sz w:val="24"/>
          <w:szCs w:val="24"/>
          <w:lang w:eastAsia="zh-CN"/>
        </w:rPr>
        <w:t>排放</w:t>
      </w:r>
      <w:r>
        <w:rPr>
          <w:rFonts w:hint="default" w:ascii="Times New Roman" w:hAnsi="Times New Roman" w:eastAsia="宋体" w:cs="Times New Roman"/>
          <w:color w:val="auto"/>
          <w:sz w:val="24"/>
          <w:szCs w:val="24"/>
        </w:rPr>
        <w:t>系数</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kg/t原料</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rPr>
        <w:t>在每条生产线上方各设置一集气罩，运行过程中熔融挤出工序产生的废气集气罩收集后引入</w:t>
      </w:r>
      <w:r>
        <w:rPr>
          <w:rFonts w:hint="eastAsia" w:ascii="Times New Roman" w:hAnsi="Times New Roman" w:cs="Times New Roman"/>
          <w:color w:val="auto"/>
          <w:sz w:val="24"/>
          <w:lang w:eastAsia="zh-CN"/>
        </w:rPr>
        <w:t>等离子光氧一体机净化装置</w:t>
      </w:r>
      <w:r>
        <w:rPr>
          <w:rFonts w:hint="default" w:ascii="Times New Roman" w:hAnsi="Times New Roman" w:cs="Times New Roman"/>
          <w:color w:val="auto"/>
          <w:sz w:val="24"/>
        </w:rPr>
        <w:t>+活性炭吸附，最终通过15m高的排气筒（</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#）排放</w:t>
      </w:r>
      <w:r>
        <w:rPr>
          <w:rFonts w:hint="default" w:ascii="Times New Roman" w:hAnsi="Times New Roman" w:cs="Times New Roman"/>
          <w:color w:val="auto"/>
          <w:szCs w:val="21"/>
          <w:lang w:eastAsia="zh-CN"/>
        </w:rPr>
        <w:t>，</w:t>
      </w:r>
      <w:r>
        <w:rPr>
          <w:rFonts w:hint="default" w:ascii="Times New Roman" w:hAnsi="Times New Roman" w:cs="Times New Roman"/>
          <w:color w:val="auto"/>
          <w:sz w:val="24"/>
        </w:rPr>
        <w:t>集气罩集气效率按90%计，</w:t>
      </w:r>
      <w:r>
        <w:rPr>
          <w:rFonts w:hint="eastAsia" w:ascii="Times New Roman" w:hAnsi="Times New Roman" w:cs="Times New Roman"/>
          <w:color w:val="auto"/>
          <w:sz w:val="24"/>
          <w:lang w:eastAsia="zh-CN"/>
        </w:rPr>
        <w:t>等离子光氧一体机净化装置</w:t>
      </w:r>
      <w:r>
        <w:rPr>
          <w:rFonts w:hint="default" w:ascii="Times New Roman" w:hAnsi="Times New Roman" w:cs="Times New Roman"/>
          <w:color w:val="auto"/>
          <w:sz w:val="24"/>
        </w:rPr>
        <w:t>+活性炭吸附处理效率按8</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%计，则</w:t>
      </w:r>
      <w:r>
        <w:rPr>
          <w:rFonts w:hint="default" w:ascii="Times New Roman" w:hAnsi="Times New Roman" w:cs="Times New Roman"/>
          <w:color w:val="auto"/>
          <w:sz w:val="24"/>
          <w:lang w:eastAsia="zh-CN"/>
        </w:rPr>
        <w:t>滴灌带生产车间</w:t>
      </w:r>
      <w:r>
        <w:rPr>
          <w:rFonts w:hint="default" w:ascii="Times New Roman" w:hAnsi="Times New Roman" w:cs="Times New Roman"/>
          <w:color w:val="auto"/>
          <w:sz w:val="24"/>
        </w:rPr>
        <w:t>非甲烷总烃有组织排放量为</w:t>
      </w:r>
      <w:r>
        <w:rPr>
          <w:rFonts w:hint="eastAsia" w:ascii="Times New Roman" w:hAnsi="Times New Roman" w:cs="Times New Roman"/>
          <w:color w:val="auto"/>
          <w:sz w:val="24"/>
          <w:lang w:val="en-US" w:eastAsia="zh-CN"/>
        </w:rPr>
        <w:t>1.35</w:t>
      </w:r>
      <w:r>
        <w:rPr>
          <w:rFonts w:hint="default" w:ascii="Times New Roman" w:hAnsi="Times New Roman" w:cs="Times New Roman"/>
          <w:color w:val="auto"/>
          <w:sz w:val="24"/>
        </w:rPr>
        <w:t>t/a。项目滴灌带、</w:t>
      </w:r>
      <w:r>
        <w:rPr>
          <w:rFonts w:hint="default" w:ascii="Times New Roman" w:hAnsi="Times New Roman" w:cs="Times New Roman"/>
          <w:color w:val="auto"/>
          <w:sz w:val="24"/>
          <w:lang w:val="en-US" w:eastAsia="zh-CN"/>
        </w:rPr>
        <w:t>PE</w:t>
      </w:r>
      <w:r>
        <w:rPr>
          <w:rFonts w:hint="default" w:ascii="Times New Roman" w:hAnsi="Times New Roman" w:cs="Times New Roman"/>
          <w:color w:val="auto"/>
          <w:sz w:val="24"/>
        </w:rPr>
        <w:t>软带</w:t>
      </w:r>
      <w:r>
        <w:rPr>
          <w:rFonts w:hint="default" w:ascii="Times New Roman" w:hAnsi="Times New Roman" w:cs="Times New Roman"/>
          <w:color w:val="auto"/>
          <w:sz w:val="24"/>
          <w:lang w:eastAsia="zh-CN"/>
        </w:rPr>
        <w:t>生产工序</w:t>
      </w:r>
      <w:r>
        <w:rPr>
          <w:rFonts w:hint="default" w:ascii="Times New Roman" w:hAnsi="Times New Roman" w:cs="Times New Roman"/>
          <w:color w:val="auto"/>
          <w:sz w:val="24"/>
        </w:rPr>
        <w:t>年生产</w:t>
      </w:r>
      <w:r>
        <w:rPr>
          <w:rFonts w:hint="default" w:ascii="Times New Roman" w:hAnsi="Times New Roman" w:cs="Times New Roman"/>
          <w:color w:val="auto"/>
          <w:sz w:val="24"/>
          <w:lang w:val="en-US" w:eastAsia="zh-CN"/>
        </w:rPr>
        <w:t>210</w:t>
      </w:r>
      <w:r>
        <w:rPr>
          <w:rFonts w:hint="default" w:ascii="Times New Roman" w:hAnsi="Times New Roman" w:cs="Times New Roman"/>
          <w:color w:val="auto"/>
          <w:sz w:val="24"/>
        </w:rPr>
        <w:t>天，每天工作</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h，年工作</w:t>
      </w:r>
      <w:r>
        <w:rPr>
          <w:rFonts w:hint="default" w:ascii="Times New Roman" w:hAnsi="Times New Roman" w:cs="Times New Roman"/>
          <w:color w:val="auto"/>
          <w:sz w:val="24"/>
          <w:lang w:val="en-US" w:eastAsia="zh-CN"/>
        </w:rPr>
        <w:t>2520</w:t>
      </w:r>
      <w:r>
        <w:rPr>
          <w:rFonts w:hint="default" w:ascii="Times New Roman" w:hAnsi="Times New Roman" w:cs="Times New Roman"/>
          <w:color w:val="auto"/>
          <w:sz w:val="24"/>
        </w:rPr>
        <w:t>h</w:t>
      </w:r>
      <w:r>
        <w:rPr>
          <w:rFonts w:hint="default" w:ascii="Times New Roman" w:hAnsi="Times New Roman" w:eastAsia="宋体" w:cs="Times New Roman"/>
          <w:color w:val="auto"/>
          <w:sz w:val="24"/>
          <w:lang w:eastAsia="zh-CN"/>
        </w:rPr>
        <w:t>，配套风机风量为</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0000m³/h。</w:t>
      </w:r>
    </w:p>
    <w:p>
      <w:pPr>
        <w:pStyle w:val="17"/>
        <w:bidi w:val="0"/>
        <w:rPr>
          <w:rFonts w:hint="default"/>
          <w:b/>
          <w:bCs/>
        </w:rPr>
      </w:pPr>
      <w:r>
        <w:rPr>
          <w:rFonts w:hint="default"/>
          <w:b/>
          <w:bCs/>
        </w:rPr>
        <w:t>表3.</w:t>
      </w:r>
      <w:r>
        <w:rPr>
          <w:rFonts w:hint="eastAsia"/>
          <w:b/>
          <w:bCs/>
          <w:lang w:val="en-US" w:eastAsia="zh-CN"/>
        </w:rPr>
        <w:t>9</w:t>
      </w:r>
      <w:r>
        <w:rPr>
          <w:rFonts w:hint="default"/>
          <w:b/>
          <w:bCs/>
        </w:rPr>
        <w:t>-2   有组织非甲烷总烃产生及排放情况</w:t>
      </w:r>
    </w:p>
    <w:tbl>
      <w:tblPr>
        <w:tblStyle w:val="12"/>
        <w:tblW w:w="8528" w:type="dxa"/>
        <w:jc w:val="center"/>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419"/>
        <w:gridCol w:w="994"/>
        <w:gridCol w:w="801"/>
        <w:gridCol w:w="768"/>
        <w:gridCol w:w="600"/>
        <w:gridCol w:w="859"/>
        <w:gridCol w:w="886"/>
        <w:gridCol w:w="682"/>
        <w:gridCol w:w="777"/>
        <w:gridCol w:w="694"/>
        <w:gridCol w:w="656"/>
        <w:gridCol w:w="39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19" w:type="dxa"/>
            <w:vMerge w:val="restart"/>
            <w:tcBorders>
              <w:top w:val="single" w:color="auto" w:sz="2" w:space="0"/>
            </w:tcBorders>
            <w:noWrap w:val="0"/>
            <w:vAlign w:val="center"/>
          </w:tcPr>
          <w:p>
            <w:pPr>
              <w:pStyle w:val="17"/>
              <w:bidi w:val="0"/>
              <w:rPr>
                <w:rFonts w:hint="default"/>
                <w:b/>
                <w:bCs/>
              </w:rPr>
            </w:pPr>
            <w:r>
              <w:rPr>
                <w:rFonts w:hint="default"/>
                <w:b/>
                <w:bCs/>
              </w:rPr>
              <w:t>排气筒编号</w:t>
            </w:r>
          </w:p>
        </w:tc>
        <w:tc>
          <w:tcPr>
            <w:tcW w:w="994" w:type="dxa"/>
            <w:vMerge w:val="restart"/>
            <w:tcBorders>
              <w:top w:val="single" w:color="auto" w:sz="2" w:space="0"/>
            </w:tcBorders>
            <w:noWrap w:val="0"/>
            <w:vAlign w:val="center"/>
          </w:tcPr>
          <w:p>
            <w:pPr>
              <w:pStyle w:val="17"/>
              <w:bidi w:val="0"/>
              <w:rPr>
                <w:rFonts w:hint="default"/>
                <w:b/>
                <w:bCs/>
                <w:lang w:eastAsia="zh-CN"/>
              </w:rPr>
            </w:pPr>
            <w:r>
              <w:rPr>
                <w:rFonts w:hint="eastAsia"/>
                <w:b/>
                <w:bCs/>
                <w:lang w:eastAsia="zh-CN"/>
              </w:rPr>
              <w:t>核算方法</w:t>
            </w:r>
          </w:p>
        </w:tc>
        <w:tc>
          <w:tcPr>
            <w:tcW w:w="801" w:type="dxa"/>
            <w:vMerge w:val="restart"/>
            <w:tcBorders>
              <w:top w:val="single" w:color="auto" w:sz="2" w:space="0"/>
            </w:tcBorders>
            <w:noWrap w:val="0"/>
            <w:vAlign w:val="center"/>
          </w:tcPr>
          <w:p>
            <w:pPr>
              <w:pStyle w:val="17"/>
              <w:bidi w:val="0"/>
              <w:rPr>
                <w:rFonts w:hint="default"/>
                <w:b/>
                <w:bCs/>
              </w:rPr>
            </w:pPr>
            <w:r>
              <w:rPr>
                <w:rFonts w:hint="default"/>
                <w:b/>
                <w:bCs/>
                <w:lang w:eastAsia="zh-CN"/>
              </w:rPr>
              <w:t>废气量</w:t>
            </w:r>
            <w:r>
              <w:rPr>
                <w:rFonts w:hint="default"/>
                <w:b/>
                <w:bCs/>
              </w:rPr>
              <w:t>(</w:t>
            </w:r>
            <w:r>
              <w:rPr>
                <w:rFonts w:hint="eastAsia"/>
                <w:b/>
                <w:bCs/>
                <w:lang w:eastAsia="zh-CN"/>
              </w:rPr>
              <w:t>m³</w:t>
            </w:r>
            <w:r>
              <w:rPr>
                <w:rFonts w:hint="default"/>
                <w:b/>
                <w:bCs/>
              </w:rPr>
              <w:t>/</w:t>
            </w:r>
            <w:r>
              <w:rPr>
                <w:rFonts w:hint="default"/>
                <w:b/>
                <w:bCs/>
                <w:lang w:val="en-US" w:eastAsia="zh-CN"/>
              </w:rPr>
              <w:t>a</w:t>
            </w:r>
            <w:r>
              <w:rPr>
                <w:rFonts w:hint="default"/>
                <w:b/>
                <w:bCs/>
              </w:rPr>
              <w:t>)</w:t>
            </w:r>
          </w:p>
        </w:tc>
        <w:tc>
          <w:tcPr>
            <w:tcW w:w="1368" w:type="dxa"/>
            <w:gridSpan w:val="2"/>
            <w:tcBorders>
              <w:top w:val="single" w:color="auto" w:sz="2" w:space="0"/>
            </w:tcBorders>
            <w:noWrap w:val="0"/>
            <w:vAlign w:val="center"/>
          </w:tcPr>
          <w:p>
            <w:pPr>
              <w:pStyle w:val="17"/>
              <w:bidi w:val="0"/>
              <w:rPr>
                <w:rFonts w:hint="default"/>
                <w:b/>
                <w:bCs/>
              </w:rPr>
            </w:pPr>
            <w:r>
              <w:rPr>
                <w:rFonts w:hint="default"/>
                <w:b/>
                <w:bCs/>
              </w:rPr>
              <w:t>处理前</w:t>
            </w:r>
          </w:p>
        </w:tc>
        <w:tc>
          <w:tcPr>
            <w:tcW w:w="1745" w:type="dxa"/>
            <w:gridSpan w:val="2"/>
            <w:tcBorders>
              <w:top w:val="single" w:color="auto" w:sz="2" w:space="0"/>
            </w:tcBorders>
            <w:noWrap w:val="0"/>
            <w:vAlign w:val="center"/>
          </w:tcPr>
          <w:p>
            <w:pPr>
              <w:pStyle w:val="17"/>
              <w:bidi w:val="0"/>
              <w:rPr>
                <w:rFonts w:hint="eastAsia"/>
                <w:b/>
                <w:bCs/>
                <w:lang w:eastAsia="zh-CN"/>
              </w:rPr>
            </w:pPr>
            <w:r>
              <w:rPr>
                <w:rFonts w:hint="eastAsia"/>
                <w:b/>
                <w:bCs/>
                <w:lang w:eastAsia="zh-CN"/>
              </w:rPr>
              <w:t>治理措施</w:t>
            </w:r>
          </w:p>
        </w:tc>
        <w:tc>
          <w:tcPr>
            <w:tcW w:w="2153" w:type="dxa"/>
            <w:gridSpan w:val="3"/>
            <w:tcBorders>
              <w:top w:val="single" w:color="auto" w:sz="2" w:space="0"/>
            </w:tcBorders>
            <w:noWrap w:val="0"/>
            <w:vAlign w:val="center"/>
          </w:tcPr>
          <w:p>
            <w:pPr>
              <w:pStyle w:val="17"/>
              <w:bidi w:val="0"/>
              <w:rPr>
                <w:rFonts w:hint="default"/>
                <w:b/>
                <w:bCs/>
              </w:rPr>
            </w:pPr>
            <w:r>
              <w:rPr>
                <w:rFonts w:hint="default"/>
                <w:b/>
                <w:bCs/>
              </w:rPr>
              <w:t>处理后</w:t>
            </w:r>
          </w:p>
        </w:tc>
        <w:tc>
          <w:tcPr>
            <w:tcW w:w="656" w:type="dxa"/>
            <w:vMerge w:val="restart"/>
            <w:tcBorders>
              <w:top w:val="single" w:color="auto" w:sz="2" w:space="0"/>
            </w:tcBorders>
            <w:noWrap w:val="0"/>
            <w:vAlign w:val="center"/>
          </w:tcPr>
          <w:p>
            <w:pPr>
              <w:pStyle w:val="17"/>
              <w:bidi w:val="0"/>
              <w:rPr>
                <w:rFonts w:hint="default"/>
                <w:b/>
                <w:bCs/>
                <w:lang w:val="en-US" w:eastAsia="zh-CN"/>
              </w:rPr>
            </w:pPr>
            <w:r>
              <w:rPr>
                <w:rFonts w:hint="eastAsia"/>
                <w:b/>
                <w:bCs/>
                <w:lang w:eastAsia="zh-CN"/>
              </w:rPr>
              <w:t>排放时间</w:t>
            </w:r>
            <w:r>
              <w:rPr>
                <w:rFonts w:hint="eastAsia"/>
                <w:b/>
                <w:bCs/>
                <w:lang w:val="en-US" w:eastAsia="zh-CN"/>
              </w:rPr>
              <w:t>/h</w:t>
            </w:r>
          </w:p>
        </w:tc>
        <w:tc>
          <w:tcPr>
            <w:tcW w:w="392" w:type="dxa"/>
            <w:vMerge w:val="restart"/>
            <w:tcBorders>
              <w:top w:val="single" w:color="auto" w:sz="2" w:space="0"/>
            </w:tcBorders>
            <w:noWrap w:val="0"/>
            <w:vAlign w:val="center"/>
          </w:tcPr>
          <w:p>
            <w:pPr>
              <w:pStyle w:val="17"/>
              <w:bidi w:val="0"/>
              <w:rPr>
                <w:rFonts w:hint="default"/>
                <w:b/>
                <w:bCs/>
                <w:lang w:val="en-US" w:eastAsia="zh-CN"/>
              </w:rPr>
            </w:pPr>
            <w:r>
              <w:rPr>
                <w:rFonts w:hint="eastAsia"/>
                <w:b/>
                <w:bCs/>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419" w:type="dxa"/>
            <w:vMerge w:val="continue"/>
            <w:noWrap w:val="0"/>
            <w:vAlign w:val="center"/>
          </w:tcPr>
          <w:p>
            <w:pPr>
              <w:pStyle w:val="17"/>
              <w:bidi w:val="0"/>
              <w:rPr>
                <w:rFonts w:hint="default"/>
                <w:b/>
                <w:bCs/>
              </w:rPr>
            </w:pPr>
          </w:p>
        </w:tc>
        <w:tc>
          <w:tcPr>
            <w:tcW w:w="994" w:type="dxa"/>
            <w:vMerge w:val="continue"/>
            <w:noWrap w:val="0"/>
            <w:vAlign w:val="center"/>
          </w:tcPr>
          <w:p>
            <w:pPr>
              <w:pStyle w:val="17"/>
              <w:bidi w:val="0"/>
              <w:rPr>
                <w:rFonts w:hint="default"/>
                <w:b/>
                <w:bCs/>
              </w:rPr>
            </w:pPr>
          </w:p>
        </w:tc>
        <w:tc>
          <w:tcPr>
            <w:tcW w:w="801" w:type="dxa"/>
            <w:vMerge w:val="continue"/>
            <w:noWrap w:val="0"/>
            <w:vAlign w:val="center"/>
          </w:tcPr>
          <w:p>
            <w:pPr>
              <w:pStyle w:val="17"/>
              <w:bidi w:val="0"/>
              <w:rPr>
                <w:rFonts w:hint="default"/>
                <w:b/>
                <w:bCs/>
              </w:rPr>
            </w:pPr>
          </w:p>
        </w:tc>
        <w:tc>
          <w:tcPr>
            <w:tcW w:w="768" w:type="dxa"/>
            <w:noWrap w:val="0"/>
            <w:vAlign w:val="center"/>
          </w:tcPr>
          <w:p>
            <w:pPr>
              <w:pStyle w:val="17"/>
              <w:bidi w:val="0"/>
              <w:rPr>
                <w:rFonts w:hint="default"/>
                <w:b/>
                <w:bCs/>
              </w:rPr>
            </w:pPr>
            <w:r>
              <w:rPr>
                <w:rFonts w:hint="default"/>
                <w:b/>
                <w:bCs/>
              </w:rPr>
              <w:t>产生浓度</w:t>
            </w:r>
          </w:p>
          <w:p>
            <w:pPr>
              <w:pStyle w:val="17"/>
              <w:bidi w:val="0"/>
              <w:rPr>
                <w:rFonts w:hint="default"/>
                <w:b/>
                <w:bCs/>
              </w:rPr>
            </w:pPr>
            <w:r>
              <w:rPr>
                <w:rFonts w:hint="default"/>
                <w:b/>
                <w:bCs/>
              </w:rPr>
              <w:t>(mg/</w:t>
            </w:r>
            <w:r>
              <w:rPr>
                <w:rFonts w:hint="eastAsia"/>
                <w:b/>
                <w:bCs/>
                <w:lang w:eastAsia="zh-CN"/>
              </w:rPr>
              <w:t>m³</w:t>
            </w:r>
            <w:r>
              <w:rPr>
                <w:rFonts w:hint="default"/>
                <w:b/>
                <w:bCs/>
              </w:rPr>
              <w:t>)</w:t>
            </w:r>
          </w:p>
        </w:tc>
        <w:tc>
          <w:tcPr>
            <w:tcW w:w="600" w:type="dxa"/>
            <w:noWrap w:val="0"/>
            <w:vAlign w:val="center"/>
          </w:tcPr>
          <w:p>
            <w:pPr>
              <w:pStyle w:val="17"/>
              <w:bidi w:val="0"/>
              <w:rPr>
                <w:rFonts w:hint="default"/>
                <w:b/>
                <w:bCs/>
              </w:rPr>
            </w:pPr>
            <w:r>
              <w:rPr>
                <w:rFonts w:hint="default"/>
                <w:b/>
                <w:bCs/>
              </w:rPr>
              <w:t>收集量</w:t>
            </w:r>
          </w:p>
          <w:p>
            <w:pPr>
              <w:pStyle w:val="17"/>
              <w:bidi w:val="0"/>
              <w:rPr>
                <w:rFonts w:hint="default"/>
                <w:b/>
                <w:bCs/>
              </w:rPr>
            </w:pPr>
            <w:r>
              <w:rPr>
                <w:rFonts w:hint="default"/>
                <w:b/>
                <w:bCs/>
              </w:rPr>
              <w:t>(t/a)</w:t>
            </w:r>
          </w:p>
        </w:tc>
        <w:tc>
          <w:tcPr>
            <w:tcW w:w="859" w:type="dxa"/>
            <w:noWrap w:val="0"/>
            <w:vAlign w:val="center"/>
          </w:tcPr>
          <w:p>
            <w:pPr>
              <w:pStyle w:val="17"/>
              <w:bidi w:val="0"/>
              <w:rPr>
                <w:rFonts w:hint="eastAsia"/>
                <w:b/>
                <w:bCs/>
                <w:lang w:eastAsia="zh-CN"/>
              </w:rPr>
            </w:pPr>
            <w:r>
              <w:rPr>
                <w:rFonts w:hint="eastAsia"/>
                <w:b/>
                <w:bCs/>
                <w:lang w:eastAsia="zh-CN"/>
              </w:rPr>
              <w:t>工艺</w:t>
            </w:r>
          </w:p>
        </w:tc>
        <w:tc>
          <w:tcPr>
            <w:tcW w:w="886" w:type="dxa"/>
            <w:noWrap w:val="0"/>
            <w:vAlign w:val="center"/>
          </w:tcPr>
          <w:p>
            <w:pPr>
              <w:pStyle w:val="17"/>
              <w:bidi w:val="0"/>
              <w:rPr>
                <w:rFonts w:hint="eastAsia"/>
                <w:b/>
                <w:bCs/>
                <w:lang w:eastAsia="zh-CN"/>
              </w:rPr>
            </w:pPr>
            <w:r>
              <w:rPr>
                <w:rFonts w:hint="eastAsia"/>
                <w:b/>
                <w:bCs/>
                <w:lang w:eastAsia="zh-CN"/>
              </w:rPr>
              <w:t>效率</w:t>
            </w:r>
          </w:p>
        </w:tc>
        <w:tc>
          <w:tcPr>
            <w:tcW w:w="682" w:type="dxa"/>
            <w:noWrap w:val="0"/>
            <w:vAlign w:val="center"/>
          </w:tcPr>
          <w:p>
            <w:pPr>
              <w:pStyle w:val="17"/>
              <w:bidi w:val="0"/>
              <w:rPr>
                <w:rFonts w:hint="default"/>
                <w:b/>
                <w:bCs/>
              </w:rPr>
            </w:pPr>
            <w:r>
              <w:rPr>
                <w:rFonts w:hint="default"/>
                <w:b/>
                <w:bCs/>
              </w:rPr>
              <w:t>排放浓度</w:t>
            </w:r>
          </w:p>
          <w:p>
            <w:pPr>
              <w:pStyle w:val="17"/>
              <w:bidi w:val="0"/>
              <w:rPr>
                <w:rFonts w:hint="default"/>
                <w:b/>
                <w:bCs/>
              </w:rPr>
            </w:pPr>
            <w:r>
              <w:rPr>
                <w:rFonts w:hint="default"/>
                <w:b/>
                <w:bCs/>
              </w:rPr>
              <w:t>(mg/</w:t>
            </w:r>
            <w:r>
              <w:rPr>
                <w:rFonts w:hint="eastAsia"/>
                <w:b/>
                <w:bCs/>
                <w:lang w:eastAsia="zh-CN"/>
              </w:rPr>
              <w:t>m³</w:t>
            </w:r>
            <w:r>
              <w:rPr>
                <w:rFonts w:hint="default"/>
                <w:b/>
                <w:bCs/>
              </w:rPr>
              <w:t>)</w:t>
            </w:r>
          </w:p>
        </w:tc>
        <w:tc>
          <w:tcPr>
            <w:tcW w:w="777" w:type="dxa"/>
            <w:noWrap w:val="0"/>
            <w:vAlign w:val="center"/>
          </w:tcPr>
          <w:p>
            <w:pPr>
              <w:pStyle w:val="17"/>
              <w:bidi w:val="0"/>
              <w:rPr>
                <w:rFonts w:hint="default"/>
                <w:b/>
                <w:bCs/>
              </w:rPr>
            </w:pPr>
            <w:r>
              <w:rPr>
                <w:rFonts w:hint="default"/>
                <w:b/>
                <w:bCs/>
              </w:rPr>
              <w:t>排放量</w:t>
            </w:r>
          </w:p>
          <w:p>
            <w:pPr>
              <w:pStyle w:val="17"/>
              <w:bidi w:val="0"/>
              <w:rPr>
                <w:rFonts w:hint="default"/>
                <w:b/>
                <w:bCs/>
              </w:rPr>
            </w:pPr>
            <w:r>
              <w:rPr>
                <w:rFonts w:hint="default"/>
                <w:b/>
                <w:bCs/>
              </w:rPr>
              <w:t>(t/a)</w:t>
            </w:r>
          </w:p>
        </w:tc>
        <w:tc>
          <w:tcPr>
            <w:tcW w:w="694" w:type="dxa"/>
            <w:noWrap w:val="0"/>
            <w:vAlign w:val="center"/>
          </w:tcPr>
          <w:p>
            <w:pPr>
              <w:pStyle w:val="17"/>
              <w:bidi w:val="0"/>
              <w:rPr>
                <w:rFonts w:hint="default"/>
                <w:b/>
                <w:bCs/>
              </w:rPr>
            </w:pPr>
            <w:r>
              <w:rPr>
                <w:rFonts w:hint="default"/>
                <w:b/>
                <w:bCs/>
              </w:rPr>
              <w:t>排放速率(kg/h)</w:t>
            </w:r>
          </w:p>
        </w:tc>
        <w:tc>
          <w:tcPr>
            <w:tcW w:w="656" w:type="dxa"/>
            <w:vMerge w:val="continue"/>
            <w:noWrap w:val="0"/>
            <w:vAlign w:val="center"/>
          </w:tcPr>
          <w:p>
            <w:pPr>
              <w:pStyle w:val="17"/>
              <w:bidi w:val="0"/>
              <w:rPr>
                <w:rFonts w:hint="default"/>
                <w:b/>
                <w:bCs/>
              </w:rPr>
            </w:pPr>
          </w:p>
        </w:tc>
        <w:tc>
          <w:tcPr>
            <w:tcW w:w="392" w:type="dxa"/>
            <w:vMerge w:val="continue"/>
            <w:noWrap w:val="0"/>
            <w:vAlign w:val="center"/>
          </w:tcPr>
          <w:p>
            <w:pPr>
              <w:pStyle w:val="17"/>
              <w:bidi w:val="0"/>
              <w:rPr>
                <w:rFonts w:hint="default"/>
                <w:b/>
                <w:bCs/>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2005" w:hRule="atLeast"/>
          <w:jc w:val="center"/>
        </w:trPr>
        <w:tc>
          <w:tcPr>
            <w:tcW w:w="419" w:type="dxa"/>
            <w:noWrap w:val="0"/>
            <w:vAlign w:val="center"/>
          </w:tcPr>
          <w:p>
            <w:pPr>
              <w:pStyle w:val="17"/>
              <w:bidi w:val="0"/>
              <w:rPr>
                <w:rFonts w:hint="default"/>
              </w:rPr>
            </w:pPr>
            <w:r>
              <w:rPr>
                <w:rFonts w:hint="eastAsia"/>
                <w:lang w:val="en-US" w:eastAsia="zh-CN"/>
              </w:rPr>
              <w:t>2</w:t>
            </w:r>
            <w:r>
              <w:rPr>
                <w:rFonts w:hint="default"/>
              </w:rPr>
              <w:t>#</w:t>
            </w:r>
          </w:p>
        </w:tc>
        <w:tc>
          <w:tcPr>
            <w:tcW w:w="994" w:type="dxa"/>
            <w:noWrap w:val="0"/>
            <w:vAlign w:val="center"/>
          </w:tcPr>
          <w:p>
            <w:pPr>
              <w:pStyle w:val="17"/>
              <w:bidi w:val="0"/>
              <w:rPr>
                <w:rFonts w:hint="eastAsia"/>
                <w:lang w:val="en-US" w:eastAsia="zh-CN"/>
              </w:rPr>
            </w:pPr>
            <w:r>
              <w:rPr>
                <w:rFonts w:hint="default"/>
                <w:lang w:eastAsia="zh-CN"/>
              </w:rPr>
              <w:t>《排放源统计调查产排污核算方法和系数手册（公告2021年第24号）》</w:t>
            </w:r>
          </w:p>
        </w:tc>
        <w:tc>
          <w:tcPr>
            <w:tcW w:w="801" w:type="dxa"/>
            <w:noWrap w:val="0"/>
            <w:vAlign w:val="center"/>
          </w:tcPr>
          <w:p>
            <w:pPr>
              <w:pStyle w:val="17"/>
              <w:bidi w:val="0"/>
              <w:rPr>
                <w:rFonts w:hint="default"/>
              </w:rPr>
            </w:pPr>
            <w:r>
              <w:rPr>
                <w:rFonts w:hint="eastAsia"/>
                <w:lang w:val="en-US" w:eastAsia="zh-CN"/>
              </w:rPr>
              <w:t>5.04</w:t>
            </w:r>
            <w:r>
              <w:rPr>
                <w:rFonts w:hint="default"/>
                <w:lang w:val="en-US" w:eastAsia="zh-CN"/>
              </w:rPr>
              <w:t>×10</w:t>
            </w:r>
            <w:r>
              <w:rPr>
                <w:rFonts w:hint="default"/>
                <w:vertAlign w:val="superscript"/>
                <w:lang w:val="en-US" w:eastAsia="zh-CN"/>
              </w:rPr>
              <w:t>7</w:t>
            </w:r>
          </w:p>
        </w:tc>
        <w:tc>
          <w:tcPr>
            <w:tcW w:w="768" w:type="dxa"/>
            <w:noWrap w:val="0"/>
            <w:vAlign w:val="center"/>
          </w:tcPr>
          <w:p>
            <w:pPr>
              <w:pStyle w:val="17"/>
              <w:bidi w:val="0"/>
              <w:rPr>
                <w:rFonts w:hint="default"/>
                <w:lang w:val="en-US" w:eastAsia="zh-CN"/>
              </w:rPr>
            </w:pPr>
            <w:r>
              <w:rPr>
                <w:rFonts w:hint="eastAsia"/>
                <w:lang w:val="en-US" w:eastAsia="zh-CN"/>
              </w:rPr>
              <w:t>133.9</w:t>
            </w:r>
          </w:p>
        </w:tc>
        <w:tc>
          <w:tcPr>
            <w:tcW w:w="600" w:type="dxa"/>
            <w:noWrap w:val="0"/>
            <w:vAlign w:val="center"/>
          </w:tcPr>
          <w:p>
            <w:pPr>
              <w:pStyle w:val="17"/>
              <w:bidi w:val="0"/>
              <w:rPr>
                <w:rFonts w:hint="default"/>
                <w:lang w:val="en-US" w:eastAsia="zh-CN"/>
              </w:rPr>
            </w:pPr>
            <w:r>
              <w:rPr>
                <w:rFonts w:hint="eastAsia"/>
                <w:lang w:val="en-US" w:eastAsia="zh-CN"/>
              </w:rPr>
              <w:t>6.75</w:t>
            </w:r>
          </w:p>
        </w:tc>
        <w:tc>
          <w:tcPr>
            <w:tcW w:w="859" w:type="dxa"/>
            <w:noWrap w:val="0"/>
            <w:vAlign w:val="center"/>
          </w:tcPr>
          <w:p>
            <w:pPr>
              <w:pStyle w:val="17"/>
              <w:bidi w:val="0"/>
              <w:rPr>
                <w:rFonts w:hint="eastAsia"/>
                <w:lang w:val="en-US" w:eastAsia="zh-CN"/>
              </w:rPr>
            </w:pPr>
            <w:r>
              <w:rPr>
                <w:rFonts w:hint="eastAsia"/>
                <w:lang w:val="en-US" w:eastAsia="zh-CN"/>
              </w:rPr>
              <w:t>集气罩+</w:t>
            </w:r>
            <w:r>
              <w:rPr>
                <w:rFonts w:hint="eastAsia"/>
                <w:lang w:eastAsia="zh-CN"/>
              </w:rPr>
              <w:t>等离子光氧一体机净化装置</w:t>
            </w:r>
            <w:r>
              <w:rPr>
                <w:rFonts w:hint="default"/>
              </w:rPr>
              <w:t>+活性炭吸附</w:t>
            </w:r>
            <w:r>
              <w:rPr>
                <w:rFonts w:hint="eastAsia"/>
                <w:lang w:val="en-US" w:eastAsia="zh-CN"/>
              </w:rPr>
              <w:t>+</w:t>
            </w:r>
            <w:r>
              <w:rPr>
                <w:rFonts w:hint="default"/>
              </w:rPr>
              <w:t>15m高的排气筒排放</w:t>
            </w:r>
          </w:p>
        </w:tc>
        <w:tc>
          <w:tcPr>
            <w:tcW w:w="886" w:type="dxa"/>
            <w:noWrap w:val="0"/>
            <w:vAlign w:val="center"/>
          </w:tcPr>
          <w:p>
            <w:pPr>
              <w:pStyle w:val="17"/>
              <w:bidi w:val="0"/>
              <w:rPr>
                <w:rFonts w:hint="eastAsia"/>
                <w:lang w:val="en-US" w:eastAsia="zh-CN"/>
              </w:rPr>
            </w:pPr>
            <w:r>
              <w:rPr>
                <w:rFonts w:hint="default"/>
              </w:rPr>
              <w:t>集气罩集气效率90%</w:t>
            </w:r>
            <w:r>
              <w:rPr>
                <w:rFonts w:hint="eastAsia"/>
                <w:lang w:eastAsia="zh-CN"/>
              </w:rPr>
              <w:t>，等离子光氧一体机净化装置</w:t>
            </w:r>
            <w:r>
              <w:rPr>
                <w:rFonts w:hint="default"/>
              </w:rPr>
              <w:t>+活性炭吸附处理效率按8</w:t>
            </w:r>
            <w:r>
              <w:rPr>
                <w:rFonts w:hint="default"/>
                <w:lang w:val="en-US" w:eastAsia="zh-CN"/>
              </w:rPr>
              <w:t>0</w:t>
            </w:r>
            <w:r>
              <w:rPr>
                <w:rFonts w:hint="default"/>
              </w:rPr>
              <w:t>%</w:t>
            </w:r>
          </w:p>
        </w:tc>
        <w:tc>
          <w:tcPr>
            <w:tcW w:w="682" w:type="dxa"/>
            <w:noWrap w:val="0"/>
            <w:vAlign w:val="center"/>
          </w:tcPr>
          <w:p>
            <w:pPr>
              <w:pStyle w:val="17"/>
              <w:bidi w:val="0"/>
              <w:rPr>
                <w:rFonts w:hint="default"/>
                <w:lang w:val="en-US" w:eastAsia="zh-CN"/>
              </w:rPr>
            </w:pPr>
            <w:r>
              <w:rPr>
                <w:rFonts w:hint="eastAsia"/>
                <w:lang w:val="en-US" w:eastAsia="zh-CN"/>
              </w:rPr>
              <w:t>11.3</w:t>
            </w:r>
          </w:p>
        </w:tc>
        <w:tc>
          <w:tcPr>
            <w:tcW w:w="777" w:type="dxa"/>
            <w:noWrap w:val="0"/>
            <w:vAlign w:val="center"/>
          </w:tcPr>
          <w:p>
            <w:pPr>
              <w:pStyle w:val="17"/>
              <w:bidi w:val="0"/>
              <w:rPr>
                <w:rFonts w:hint="default"/>
                <w:lang w:val="en-US" w:eastAsia="zh-CN"/>
              </w:rPr>
            </w:pPr>
            <w:r>
              <w:rPr>
                <w:rFonts w:hint="eastAsia"/>
                <w:lang w:val="en-US" w:eastAsia="zh-CN"/>
              </w:rPr>
              <w:t>1.35</w:t>
            </w:r>
          </w:p>
        </w:tc>
        <w:tc>
          <w:tcPr>
            <w:tcW w:w="694" w:type="dxa"/>
            <w:noWrap w:val="0"/>
            <w:vAlign w:val="center"/>
          </w:tcPr>
          <w:p>
            <w:pPr>
              <w:pStyle w:val="17"/>
              <w:bidi w:val="0"/>
              <w:rPr>
                <w:rFonts w:hint="default"/>
                <w:lang w:val="en-US" w:eastAsia="zh-CN"/>
              </w:rPr>
            </w:pPr>
            <w:r>
              <w:rPr>
                <w:rFonts w:hint="eastAsia"/>
                <w:lang w:val="en-US" w:eastAsia="zh-CN"/>
              </w:rPr>
              <w:t>0.535</w:t>
            </w:r>
          </w:p>
        </w:tc>
        <w:tc>
          <w:tcPr>
            <w:tcW w:w="656" w:type="dxa"/>
            <w:noWrap w:val="0"/>
            <w:vAlign w:val="center"/>
          </w:tcPr>
          <w:p>
            <w:pPr>
              <w:pStyle w:val="17"/>
              <w:bidi w:val="0"/>
              <w:rPr>
                <w:rFonts w:hint="default"/>
                <w:lang w:val="en-US" w:eastAsia="zh-CN"/>
              </w:rPr>
            </w:pPr>
            <w:r>
              <w:rPr>
                <w:rFonts w:hint="eastAsia"/>
                <w:lang w:val="en-US" w:eastAsia="zh-CN"/>
              </w:rPr>
              <w:t>2520</w:t>
            </w:r>
          </w:p>
        </w:tc>
        <w:tc>
          <w:tcPr>
            <w:tcW w:w="392" w:type="dxa"/>
            <w:noWrap w:val="0"/>
            <w:vAlign w:val="center"/>
          </w:tcPr>
          <w:p>
            <w:pPr>
              <w:pStyle w:val="17"/>
              <w:bidi w:val="0"/>
              <w:rPr>
                <w:rFonts w:hint="default"/>
                <w:lang w:val="en-US" w:eastAsia="zh-CN"/>
              </w:rPr>
            </w:pPr>
            <w:r>
              <w:rPr>
                <w:rFonts w:hint="eastAsia"/>
                <w:lang w:val="en-US" w:eastAsia="zh-CN"/>
              </w:rPr>
              <w:t>建成后</w:t>
            </w:r>
          </w:p>
        </w:tc>
      </w:tr>
    </w:tbl>
    <w:p>
      <w:pPr>
        <w:pStyle w:val="10"/>
        <w:rPr>
          <w:rFonts w:hint="default"/>
          <w:color w:val="auto"/>
        </w:rPr>
      </w:pPr>
    </w:p>
    <w:p>
      <w:pPr>
        <w:pageBreakBefore w:val="0"/>
        <w:kinsoku/>
        <w:wordWrap/>
        <w:bidi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2）无组织非甲烷总烃</w:t>
      </w:r>
    </w:p>
    <w:p>
      <w:pPr>
        <w:keepNext w:val="0"/>
        <w:keepLines w:val="0"/>
        <w:pageBreakBefore w:val="0"/>
        <w:widowControl w:val="0"/>
        <w:tabs>
          <w:tab w:val="left" w:pos="794"/>
        </w:tabs>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auto"/>
          <w:kern w:val="2"/>
          <w:sz w:val="24"/>
          <w:szCs w:val="22"/>
          <w:lang w:val="en-US" w:eastAsia="zh-CN" w:bidi="ar-SA"/>
        </w:rPr>
      </w:pPr>
      <w:r>
        <w:rPr>
          <w:rFonts w:hint="default" w:ascii="Times New Roman" w:hAnsi="Times New Roman" w:cs="Times New Roman"/>
          <w:color w:val="auto"/>
          <w:kern w:val="2"/>
          <w:sz w:val="24"/>
          <w:szCs w:val="22"/>
          <w:lang w:val="en-US" w:eastAsia="zh-CN" w:bidi="ar-SA"/>
        </w:rPr>
        <w:t>本项目废塑料加工生产过程造粒工序、滴灌带及PE软带生产过程挤出成型工序中产生的有机废气，未经集气系统收集的废气为10%，由车间通风系统及门窗等进入外环境，根据计算，扩建前滴灌带生产无组织非甲烷总烃排放量为0.18t/a。</w:t>
      </w:r>
      <w:r>
        <w:rPr>
          <w:rFonts w:hint="eastAsia" w:cs="Times New Roman"/>
          <w:color w:val="auto"/>
          <w:kern w:val="2"/>
          <w:sz w:val="24"/>
          <w:szCs w:val="22"/>
          <w:lang w:val="en-US" w:eastAsia="zh-CN" w:bidi="ar-SA"/>
        </w:rPr>
        <w:t>建成后</w:t>
      </w:r>
      <w:r>
        <w:rPr>
          <w:rFonts w:hint="default" w:ascii="Times New Roman" w:hAnsi="Times New Roman" w:cs="Times New Roman"/>
          <w:color w:val="auto"/>
          <w:kern w:val="2"/>
          <w:sz w:val="24"/>
          <w:szCs w:val="22"/>
          <w:lang w:val="en-US" w:eastAsia="zh-CN" w:bidi="ar-SA"/>
        </w:rPr>
        <w:t>造粒生产无组织非甲烷总烃排放量为0.158t/a，滴灌带生产无组织非甲烷总烃排放量为0.57t/a。</w:t>
      </w:r>
    </w:p>
    <w:p>
      <w:pPr>
        <w:pStyle w:val="6"/>
        <w:bidi w:val="0"/>
        <w:rPr>
          <w:rFonts w:hint="default"/>
        </w:rPr>
      </w:pPr>
      <w:r>
        <w:rPr>
          <w:rFonts w:hint="default"/>
        </w:rPr>
        <w:t>3.9.1.3</w:t>
      </w:r>
      <w:r>
        <w:rPr>
          <w:rFonts w:hint="eastAsia"/>
          <w:lang w:eastAsia="zh-CN"/>
        </w:rPr>
        <w:t>、</w:t>
      </w:r>
      <w:r>
        <w:rPr>
          <w:rFonts w:hint="default"/>
        </w:rPr>
        <w:t>食堂油烟</w:t>
      </w:r>
    </w:p>
    <w:p>
      <w:pPr>
        <w:bidi w:val="0"/>
        <w:rPr>
          <w:rFonts w:hint="default"/>
        </w:rPr>
      </w:pPr>
      <w:r>
        <w:rPr>
          <w:rFonts w:hint="default"/>
        </w:rPr>
        <w:t>本项目食堂食物在烹饪、加工过程中将挥发出油脂、有机质及热分解或裂解产物，从而产生油烟废气。本项目劳动定员</w:t>
      </w:r>
      <w:r>
        <w:rPr>
          <w:rFonts w:hint="eastAsia"/>
          <w:lang w:val="en-US" w:eastAsia="zh-CN"/>
        </w:rPr>
        <w:t>42</w:t>
      </w:r>
      <w:r>
        <w:rPr>
          <w:rFonts w:hint="default"/>
        </w:rPr>
        <w:t>人，年工作日300天，人均食用油日用量约30g/（人·人），一般油烟挥发量占总耗油量的2～4%，取3%，则油烟产生量约为8.1kg/a。食堂采用小型普通吸排油烟机，风机量为1600</w:t>
      </w:r>
      <w:r>
        <w:rPr>
          <w:rFonts w:hint="eastAsia"/>
          <w:lang w:eastAsia="zh-CN"/>
        </w:rPr>
        <w:t>m³</w:t>
      </w:r>
      <w:r>
        <w:rPr>
          <w:rFonts w:hint="default"/>
        </w:rPr>
        <w:t>/h，去除油烟率为60%，则油烟排放量3.24kg/a（0.0018kg/h），排放浓度为1.1 mg/</w:t>
      </w:r>
      <w:r>
        <w:rPr>
          <w:rFonts w:hint="eastAsia"/>
          <w:lang w:eastAsia="zh-CN"/>
        </w:rPr>
        <w:t>m³</w:t>
      </w:r>
      <w:r>
        <w:rPr>
          <w:rFonts w:hint="default"/>
        </w:rPr>
        <w:t>，能够满足《饮食业油烟排放标准（试行）</w:t>
      </w:r>
      <w:r>
        <w:rPr>
          <w:rFonts w:hint="default"/>
          <w:lang w:eastAsia="zh-CN"/>
        </w:rPr>
        <w:t>》</w:t>
      </w:r>
      <w:r>
        <w:rPr>
          <w:rFonts w:hint="default"/>
        </w:rPr>
        <w:t>（GB18483-2001）</w:t>
      </w:r>
      <w:r>
        <w:rPr>
          <w:rFonts w:hint="default"/>
          <w:lang w:val="en-US" w:eastAsia="zh-CN"/>
        </w:rPr>
        <w:t>中</w:t>
      </w:r>
      <w:r>
        <w:rPr>
          <w:rFonts w:hint="default"/>
        </w:rPr>
        <w:t>油烟最高允许排放浓度≤2.0mg/</w:t>
      </w:r>
      <w:r>
        <w:rPr>
          <w:rFonts w:hint="eastAsia"/>
          <w:lang w:eastAsia="zh-CN"/>
        </w:rPr>
        <w:t>m³</w:t>
      </w:r>
      <w:r>
        <w:rPr>
          <w:rFonts w:hint="default"/>
          <w:lang w:val="en-US" w:eastAsia="zh-CN"/>
        </w:rPr>
        <w:t>的要求</w:t>
      </w:r>
      <w:r>
        <w:rPr>
          <w:rFonts w:hint="default"/>
        </w:rPr>
        <w:t>。</w:t>
      </w:r>
    </w:p>
    <w:p>
      <w:pPr>
        <w:bidi w:val="0"/>
        <w:rPr>
          <w:rFonts w:hint="default"/>
        </w:rPr>
      </w:pPr>
      <w:r>
        <w:rPr>
          <w:rFonts w:hint="default"/>
        </w:rPr>
        <w:t>本项目废气产生情况见下表：</w:t>
      </w:r>
    </w:p>
    <w:p>
      <w:pPr>
        <w:pStyle w:val="17"/>
        <w:bidi w:val="0"/>
        <w:rPr>
          <w:rFonts w:hint="default"/>
          <w:b/>
          <w:bCs/>
        </w:rPr>
      </w:pPr>
      <w:r>
        <w:rPr>
          <w:rFonts w:hint="default"/>
          <w:b/>
          <w:bCs/>
        </w:rPr>
        <w:t xml:space="preserve">表3.9-1  </w:t>
      </w:r>
      <w:r>
        <w:rPr>
          <w:rFonts w:hint="eastAsia"/>
          <w:b/>
          <w:bCs/>
          <w:lang w:val="en-US" w:eastAsia="zh-CN"/>
        </w:rPr>
        <w:t xml:space="preserve"> </w:t>
      </w:r>
      <w:r>
        <w:rPr>
          <w:rFonts w:hint="default"/>
          <w:b/>
          <w:bCs/>
        </w:rPr>
        <w:t>大气污染物排放情况一览表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77"/>
        <w:gridCol w:w="851"/>
        <w:gridCol w:w="1091"/>
        <w:gridCol w:w="950"/>
        <w:gridCol w:w="986"/>
        <w:gridCol w:w="1055"/>
        <w:gridCol w:w="986"/>
        <w:gridCol w:w="848"/>
        <w:gridCol w:w="13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977" w:type="dxa"/>
            <w:tcBorders>
              <w:tl2br w:val="nil"/>
              <w:tr2bl w:val="nil"/>
            </w:tcBorders>
            <w:vAlign w:val="center"/>
          </w:tcPr>
          <w:p>
            <w:pPr>
              <w:pStyle w:val="17"/>
              <w:bidi w:val="0"/>
              <w:rPr>
                <w:rFonts w:hint="default"/>
                <w:b/>
                <w:bCs/>
              </w:rPr>
            </w:pPr>
            <w:r>
              <w:rPr>
                <w:rFonts w:hint="default"/>
                <w:b/>
                <w:bCs/>
              </w:rPr>
              <w:t>污染源</w:t>
            </w:r>
          </w:p>
        </w:tc>
        <w:tc>
          <w:tcPr>
            <w:tcW w:w="851" w:type="dxa"/>
            <w:tcBorders>
              <w:tl2br w:val="nil"/>
              <w:tr2bl w:val="nil"/>
            </w:tcBorders>
            <w:vAlign w:val="center"/>
          </w:tcPr>
          <w:p>
            <w:pPr>
              <w:pStyle w:val="17"/>
              <w:bidi w:val="0"/>
              <w:rPr>
                <w:rFonts w:hint="default"/>
                <w:b/>
                <w:bCs/>
              </w:rPr>
            </w:pPr>
            <w:r>
              <w:rPr>
                <w:rFonts w:hint="default"/>
                <w:b/>
                <w:bCs/>
              </w:rPr>
              <w:t>污染物</w:t>
            </w:r>
          </w:p>
        </w:tc>
        <w:tc>
          <w:tcPr>
            <w:tcW w:w="1091" w:type="dxa"/>
            <w:tcBorders>
              <w:tl2br w:val="nil"/>
              <w:tr2bl w:val="nil"/>
            </w:tcBorders>
            <w:vAlign w:val="center"/>
          </w:tcPr>
          <w:p>
            <w:pPr>
              <w:pStyle w:val="17"/>
              <w:bidi w:val="0"/>
              <w:rPr>
                <w:rFonts w:hint="default"/>
                <w:b/>
                <w:bCs/>
              </w:rPr>
            </w:pPr>
            <w:r>
              <w:rPr>
                <w:rFonts w:hint="default"/>
                <w:b/>
                <w:bCs/>
              </w:rPr>
              <w:t>废气量</w:t>
            </w:r>
            <w:r>
              <w:rPr>
                <w:rFonts w:hint="eastAsia"/>
                <w:b/>
                <w:bCs/>
                <w:lang w:eastAsia="zh-CN"/>
              </w:rPr>
              <w:t>m³</w:t>
            </w:r>
            <w:r>
              <w:rPr>
                <w:rFonts w:hint="default"/>
                <w:b/>
                <w:bCs/>
              </w:rPr>
              <w:t>/h</w:t>
            </w:r>
          </w:p>
        </w:tc>
        <w:tc>
          <w:tcPr>
            <w:tcW w:w="950" w:type="dxa"/>
            <w:tcBorders>
              <w:tl2br w:val="nil"/>
              <w:tr2bl w:val="nil"/>
            </w:tcBorders>
            <w:vAlign w:val="center"/>
          </w:tcPr>
          <w:p>
            <w:pPr>
              <w:pStyle w:val="17"/>
              <w:bidi w:val="0"/>
              <w:rPr>
                <w:rFonts w:hint="eastAsia"/>
                <w:b/>
                <w:bCs/>
                <w:lang w:eastAsia="zh-CN"/>
              </w:rPr>
            </w:pPr>
            <w:r>
              <w:rPr>
                <w:rFonts w:hint="default"/>
                <w:b/>
                <w:bCs/>
              </w:rPr>
              <w:t>产生浓度mg/</w:t>
            </w:r>
            <w:r>
              <w:rPr>
                <w:rFonts w:hint="eastAsia"/>
                <w:b/>
                <w:bCs/>
                <w:lang w:eastAsia="zh-CN"/>
              </w:rPr>
              <w:t>m³</w:t>
            </w:r>
          </w:p>
        </w:tc>
        <w:tc>
          <w:tcPr>
            <w:tcW w:w="986" w:type="dxa"/>
            <w:tcBorders>
              <w:tl2br w:val="nil"/>
              <w:tr2bl w:val="nil"/>
            </w:tcBorders>
            <w:vAlign w:val="center"/>
          </w:tcPr>
          <w:p>
            <w:pPr>
              <w:pStyle w:val="17"/>
              <w:bidi w:val="0"/>
              <w:rPr>
                <w:rFonts w:hint="default"/>
                <w:b/>
                <w:bCs/>
              </w:rPr>
            </w:pPr>
            <w:r>
              <w:rPr>
                <w:rFonts w:hint="default"/>
                <w:b/>
                <w:bCs/>
              </w:rPr>
              <w:t>产生速率kg/h</w:t>
            </w:r>
          </w:p>
        </w:tc>
        <w:tc>
          <w:tcPr>
            <w:tcW w:w="1055" w:type="dxa"/>
            <w:tcBorders>
              <w:tl2br w:val="nil"/>
              <w:tr2bl w:val="nil"/>
            </w:tcBorders>
            <w:vAlign w:val="center"/>
          </w:tcPr>
          <w:p>
            <w:pPr>
              <w:pStyle w:val="17"/>
              <w:bidi w:val="0"/>
              <w:rPr>
                <w:rFonts w:hint="default"/>
                <w:b/>
                <w:bCs/>
              </w:rPr>
            </w:pPr>
            <w:r>
              <w:rPr>
                <w:rFonts w:hint="default"/>
                <w:b/>
                <w:bCs/>
              </w:rPr>
              <w:t>处理措施</w:t>
            </w:r>
          </w:p>
        </w:tc>
        <w:tc>
          <w:tcPr>
            <w:tcW w:w="986" w:type="dxa"/>
            <w:tcBorders>
              <w:tl2br w:val="nil"/>
              <w:tr2bl w:val="nil"/>
            </w:tcBorders>
            <w:vAlign w:val="center"/>
          </w:tcPr>
          <w:p>
            <w:pPr>
              <w:pStyle w:val="17"/>
              <w:bidi w:val="0"/>
              <w:rPr>
                <w:rFonts w:hint="eastAsia"/>
                <w:b/>
                <w:bCs/>
                <w:lang w:eastAsia="zh-CN"/>
              </w:rPr>
            </w:pPr>
            <w:r>
              <w:rPr>
                <w:rFonts w:hint="default"/>
                <w:b/>
                <w:bCs/>
              </w:rPr>
              <w:t>排放浓度mg/</w:t>
            </w:r>
            <w:r>
              <w:rPr>
                <w:rFonts w:hint="eastAsia"/>
                <w:b/>
                <w:bCs/>
                <w:lang w:eastAsia="zh-CN"/>
              </w:rPr>
              <w:t>m³</w:t>
            </w:r>
          </w:p>
        </w:tc>
        <w:tc>
          <w:tcPr>
            <w:tcW w:w="848" w:type="dxa"/>
            <w:tcBorders>
              <w:tl2br w:val="nil"/>
              <w:tr2bl w:val="nil"/>
            </w:tcBorders>
            <w:vAlign w:val="center"/>
          </w:tcPr>
          <w:p>
            <w:pPr>
              <w:pStyle w:val="17"/>
              <w:bidi w:val="0"/>
              <w:rPr>
                <w:rFonts w:hint="default"/>
                <w:b/>
                <w:bCs/>
              </w:rPr>
            </w:pPr>
            <w:r>
              <w:rPr>
                <w:rFonts w:hint="default"/>
                <w:b/>
                <w:bCs/>
              </w:rPr>
              <w:t>排放速率kg/h</w:t>
            </w:r>
          </w:p>
        </w:tc>
        <w:tc>
          <w:tcPr>
            <w:tcW w:w="1327" w:type="dxa"/>
            <w:tcBorders>
              <w:tl2br w:val="nil"/>
              <w:tr2bl w:val="nil"/>
            </w:tcBorders>
            <w:vAlign w:val="center"/>
          </w:tcPr>
          <w:p>
            <w:pPr>
              <w:pStyle w:val="17"/>
              <w:bidi w:val="0"/>
              <w:rPr>
                <w:rFonts w:hint="default"/>
                <w:b/>
                <w:bCs/>
              </w:rPr>
            </w:pPr>
            <w:r>
              <w:rPr>
                <w:rFonts w:hint="default"/>
                <w:b/>
                <w:bCs/>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977" w:type="dxa"/>
            <w:tcBorders>
              <w:tl2br w:val="nil"/>
              <w:tr2bl w:val="nil"/>
            </w:tcBorders>
            <w:vAlign w:val="center"/>
          </w:tcPr>
          <w:p>
            <w:pPr>
              <w:pStyle w:val="17"/>
              <w:bidi w:val="0"/>
              <w:rPr>
                <w:rFonts w:hint="default" w:eastAsia="宋体"/>
                <w:lang w:val="en-US" w:eastAsia="zh-CN"/>
              </w:rPr>
            </w:pPr>
            <w:r>
              <w:rPr>
                <w:rFonts w:hint="eastAsia"/>
                <w:lang w:val="en-US" w:eastAsia="zh-CN"/>
              </w:rPr>
              <w:t>造粒车间</w:t>
            </w:r>
          </w:p>
        </w:tc>
        <w:tc>
          <w:tcPr>
            <w:tcW w:w="851" w:type="dxa"/>
            <w:tcBorders>
              <w:tl2br w:val="nil"/>
              <w:tr2bl w:val="nil"/>
            </w:tcBorders>
            <w:vAlign w:val="center"/>
          </w:tcPr>
          <w:p>
            <w:pPr>
              <w:pStyle w:val="17"/>
              <w:bidi w:val="0"/>
              <w:rPr>
                <w:rFonts w:hint="default"/>
              </w:rPr>
            </w:pPr>
            <w:r>
              <w:rPr>
                <w:rFonts w:hint="default"/>
              </w:rPr>
              <w:t>非甲烷总烃</w:t>
            </w:r>
          </w:p>
        </w:tc>
        <w:tc>
          <w:tcPr>
            <w:tcW w:w="1091" w:type="dxa"/>
            <w:tcBorders>
              <w:tl2br w:val="nil"/>
              <w:tr2bl w:val="nil"/>
            </w:tcBorders>
            <w:vAlign w:val="center"/>
          </w:tcPr>
          <w:p>
            <w:pPr>
              <w:pStyle w:val="17"/>
              <w:bidi w:val="0"/>
              <w:rPr>
                <w:rFonts w:hint="default" w:eastAsia="宋体"/>
                <w:lang w:val="en-US" w:eastAsia="zh-CN"/>
              </w:rPr>
            </w:pPr>
            <w:r>
              <w:rPr>
                <w:rFonts w:hint="eastAsia"/>
                <w:lang w:val="en-US" w:eastAsia="zh-CN"/>
              </w:rPr>
              <w:t>10000</w:t>
            </w:r>
          </w:p>
        </w:tc>
        <w:tc>
          <w:tcPr>
            <w:tcW w:w="950" w:type="dxa"/>
            <w:tcBorders>
              <w:tl2br w:val="nil"/>
              <w:tr2bl w:val="nil"/>
            </w:tcBorders>
            <w:vAlign w:val="center"/>
          </w:tcPr>
          <w:p>
            <w:pPr>
              <w:pStyle w:val="17"/>
              <w:bidi w:val="0"/>
              <w:rPr>
                <w:rFonts w:hint="eastAsia"/>
                <w:lang w:val="en-US" w:eastAsia="zh-CN"/>
              </w:rPr>
            </w:pPr>
            <w:r>
              <w:rPr>
                <w:rFonts w:hint="eastAsia"/>
                <w:lang w:val="en-US" w:eastAsia="zh-CN"/>
              </w:rPr>
              <w:t>/</w:t>
            </w:r>
          </w:p>
        </w:tc>
        <w:tc>
          <w:tcPr>
            <w:tcW w:w="986" w:type="dxa"/>
            <w:tcBorders>
              <w:tl2br w:val="nil"/>
              <w:tr2bl w:val="nil"/>
            </w:tcBorders>
            <w:vAlign w:val="center"/>
          </w:tcPr>
          <w:p>
            <w:pPr>
              <w:pStyle w:val="17"/>
              <w:bidi w:val="0"/>
              <w:rPr>
                <w:rFonts w:hint="default"/>
              </w:rPr>
            </w:pPr>
            <w:r>
              <w:rPr>
                <w:rFonts w:hint="eastAsia"/>
                <w:lang w:val="en-US" w:eastAsia="zh-CN"/>
              </w:rPr>
              <w:t>/</w:t>
            </w:r>
          </w:p>
        </w:tc>
        <w:tc>
          <w:tcPr>
            <w:tcW w:w="1055" w:type="dxa"/>
            <w:tcBorders>
              <w:tl2br w:val="nil"/>
              <w:tr2bl w:val="nil"/>
            </w:tcBorders>
            <w:vAlign w:val="center"/>
          </w:tcPr>
          <w:p>
            <w:pPr>
              <w:pStyle w:val="17"/>
              <w:bidi w:val="0"/>
              <w:rPr>
                <w:rFonts w:hint="default" w:eastAsia="宋体"/>
                <w:lang w:val="en-US" w:eastAsia="zh-CN"/>
              </w:rPr>
            </w:pPr>
            <w:r>
              <w:rPr>
                <w:rFonts w:hint="default"/>
              </w:rPr>
              <w:t>等离子光氧一体机</w:t>
            </w:r>
            <w:r>
              <w:rPr>
                <w:rFonts w:hint="eastAsia"/>
                <w:lang w:val="en-US" w:eastAsia="zh-CN"/>
              </w:rPr>
              <w:t>+活性炭吸附</w:t>
            </w:r>
          </w:p>
        </w:tc>
        <w:tc>
          <w:tcPr>
            <w:tcW w:w="986" w:type="dxa"/>
            <w:tcBorders>
              <w:tl2br w:val="nil"/>
              <w:tr2bl w:val="nil"/>
            </w:tcBorders>
            <w:vAlign w:val="center"/>
          </w:tcPr>
          <w:p>
            <w:pPr>
              <w:pStyle w:val="17"/>
              <w:bidi w:val="0"/>
              <w:rPr>
                <w:rFonts w:hint="default"/>
                <w:lang w:val="en-US" w:eastAsia="zh-CN"/>
              </w:rPr>
            </w:pPr>
            <w:r>
              <w:rPr>
                <w:rFonts w:hint="eastAsia"/>
                <w:lang w:val="en-US" w:eastAsia="zh-CN"/>
              </w:rPr>
              <w:t>11.3</w:t>
            </w:r>
          </w:p>
        </w:tc>
        <w:tc>
          <w:tcPr>
            <w:tcW w:w="848" w:type="dxa"/>
            <w:tcBorders>
              <w:tl2br w:val="nil"/>
              <w:tr2bl w:val="nil"/>
            </w:tcBorders>
            <w:vAlign w:val="center"/>
          </w:tcPr>
          <w:p>
            <w:pPr>
              <w:pStyle w:val="17"/>
              <w:bidi w:val="0"/>
              <w:rPr>
                <w:rFonts w:hint="default"/>
                <w:lang w:val="en-US" w:eastAsia="zh-CN"/>
              </w:rPr>
            </w:pPr>
            <w:r>
              <w:rPr>
                <w:rFonts w:hint="eastAsia"/>
                <w:lang w:val="en-US" w:eastAsia="zh-CN"/>
              </w:rPr>
              <w:t>0.113</w:t>
            </w:r>
          </w:p>
        </w:tc>
        <w:tc>
          <w:tcPr>
            <w:tcW w:w="1327" w:type="dxa"/>
            <w:tcBorders>
              <w:tl2br w:val="nil"/>
              <w:tr2bl w:val="nil"/>
            </w:tcBorders>
            <w:vAlign w:val="center"/>
          </w:tcPr>
          <w:p>
            <w:pPr>
              <w:pStyle w:val="17"/>
              <w:bidi w:val="0"/>
              <w:rPr>
                <w:rFonts w:hint="default"/>
              </w:rPr>
            </w:pPr>
            <w:r>
              <w:rPr>
                <w:rFonts w:hint="default"/>
              </w:rPr>
              <w:t>15m排气筒排放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977" w:type="dxa"/>
            <w:tcBorders>
              <w:tl2br w:val="nil"/>
              <w:tr2bl w:val="nil"/>
            </w:tcBorders>
            <w:vAlign w:val="center"/>
          </w:tcPr>
          <w:p>
            <w:pPr>
              <w:pStyle w:val="17"/>
              <w:bidi w:val="0"/>
              <w:rPr>
                <w:rFonts w:hint="default" w:eastAsia="宋体"/>
                <w:lang w:val="en-US" w:eastAsia="zh-CN"/>
              </w:rPr>
            </w:pPr>
            <w:r>
              <w:rPr>
                <w:rFonts w:hint="eastAsia"/>
                <w:lang w:val="en-US" w:eastAsia="zh-CN"/>
              </w:rPr>
              <w:t>生产车间</w:t>
            </w:r>
          </w:p>
        </w:tc>
        <w:tc>
          <w:tcPr>
            <w:tcW w:w="851" w:type="dxa"/>
            <w:tcBorders>
              <w:tl2br w:val="nil"/>
              <w:tr2bl w:val="nil"/>
            </w:tcBorders>
            <w:vAlign w:val="center"/>
          </w:tcPr>
          <w:p>
            <w:pPr>
              <w:pStyle w:val="17"/>
              <w:bidi w:val="0"/>
              <w:rPr>
                <w:rFonts w:hint="default"/>
                <w:lang w:val="en-US" w:eastAsia="zh-CN"/>
              </w:rPr>
            </w:pPr>
            <w:r>
              <w:rPr>
                <w:rFonts w:hint="default"/>
              </w:rPr>
              <w:t>非甲烷总烃</w:t>
            </w:r>
          </w:p>
        </w:tc>
        <w:tc>
          <w:tcPr>
            <w:tcW w:w="1091" w:type="dxa"/>
            <w:tcBorders>
              <w:tl2br w:val="nil"/>
              <w:tr2bl w:val="nil"/>
            </w:tcBorders>
            <w:vAlign w:val="center"/>
          </w:tcPr>
          <w:p>
            <w:pPr>
              <w:pStyle w:val="17"/>
              <w:bidi w:val="0"/>
              <w:rPr>
                <w:rFonts w:hint="default" w:eastAsia="宋体"/>
                <w:lang w:val="en-US" w:eastAsia="zh-CN"/>
              </w:rPr>
            </w:pPr>
            <w:r>
              <w:rPr>
                <w:rFonts w:hint="eastAsia"/>
                <w:lang w:val="en-US" w:eastAsia="zh-CN"/>
              </w:rPr>
              <w:t>20000</w:t>
            </w:r>
          </w:p>
        </w:tc>
        <w:tc>
          <w:tcPr>
            <w:tcW w:w="950" w:type="dxa"/>
            <w:tcBorders>
              <w:tl2br w:val="nil"/>
              <w:tr2bl w:val="nil"/>
            </w:tcBorders>
            <w:vAlign w:val="center"/>
          </w:tcPr>
          <w:p>
            <w:pPr>
              <w:pStyle w:val="17"/>
              <w:bidi w:val="0"/>
              <w:rPr>
                <w:rFonts w:hint="default"/>
              </w:rPr>
            </w:pPr>
            <w:r>
              <w:rPr>
                <w:rFonts w:hint="eastAsia"/>
                <w:lang w:val="en-US" w:eastAsia="zh-CN"/>
              </w:rPr>
              <w:t>/</w:t>
            </w:r>
          </w:p>
        </w:tc>
        <w:tc>
          <w:tcPr>
            <w:tcW w:w="986" w:type="dxa"/>
            <w:tcBorders>
              <w:tl2br w:val="nil"/>
              <w:tr2bl w:val="nil"/>
            </w:tcBorders>
            <w:vAlign w:val="center"/>
          </w:tcPr>
          <w:p>
            <w:pPr>
              <w:pStyle w:val="17"/>
              <w:bidi w:val="0"/>
              <w:rPr>
                <w:rFonts w:hint="default"/>
              </w:rPr>
            </w:pPr>
            <w:r>
              <w:rPr>
                <w:rFonts w:hint="eastAsia"/>
                <w:lang w:val="en-US" w:eastAsia="zh-CN"/>
              </w:rPr>
              <w:t>/</w:t>
            </w:r>
          </w:p>
        </w:tc>
        <w:tc>
          <w:tcPr>
            <w:tcW w:w="1055" w:type="dxa"/>
            <w:tcBorders>
              <w:tl2br w:val="nil"/>
              <w:tr2bl w:val="nil"/>
            </w:tcBorders>
            <w:vAlign w:val="center"/>
          </w:tcPr>
          <w:p>
            <w:pPr>
              <w:pStyle w:val="17"/>
              <w:bidi w:val="0"/>
              <w:rPr>
                <w:rFonts w:hint="default"/>
              </w:rPr>
            </w:pPr>
            <w:r>
              <w:rPr>
                <w:rFonts w:hint="default"/>
              </w:rPr>
              <w:t>等离子光氧一体机</w:t>
            </w:r>
            <w:r>
              <w:rPr>
                <w:rFonts w:hint="eastAsia"/>
                <w:lang w:val="en-US" w:eastAsia="zh-CN"/>
              </w:rPr>
              <w:t>+活性炭吸附</w:t>
            </w:r>
          </w:p>
        </w:tc>
        <w:tc>
          <w:tcPr>
            <w:tcW w:w="986" w:type="dxa"/>
            <w:tcBorders>
              <w:tl2br w:val="nil"/>
              <w:tr2bl w:val="nil"/>
            </w:tcBorders>
            <w:vAlign w:val="center"/>
          </w:tcPr>
          <w:p>
            <w:pPr>
              <w:pStyle w:val="17"/>
              <w:bidi w:val="0"/>
              <w:rPr>
                <w:rFonts w:hint="default"/>
                <w:lang w:val="en-US"/>
              </w:rPr>
            </w:pPr>
            <w:r>
              <w:rPr>
                <w:rFonts w:hint="eastAsia"/>
                <w:lang w:val="en-US" w:eastAsia="zh-CN"/>
              </w:rPr>
              <w:t>11.3</w:t>
            </w:r>
          </w:p>
        </w:tc>
        <w:tc>
          <w:tcPr>
            <w:tcW w:w="848" w:type="dxa"/>
            <w:tcBorders>
              <w:tl2br w:val="nil"/>
              <w:tr2bl w:val="nil"/>
            </w:tcBorders>
            <w:vAlign w:val="center"/>
          </w:tcPr>
          <w:p>
            <w:pPr>
              <w:pStyle w:val="17"/>
              <w:bidi w:val="0"/>
              <w:rPr>
                <w:rFonts w:hint="default"/>
                <w:lang w:val="en-US"/>
              </w:rPr>
            </w:pPr>
            <w:r>
              <w:rPr>
                <w:rFonts w:hint="eastAsia"/>
                <w:lang w:val="en-US" w:eastAsia="zh-CN"/>
              </w:rPr>
              <w:t>0.535</w:t>
            </w:r>
          </w:p>
        </w:tc>
        <w:tc>
          <w:tcPr>
            <w:tcW w:w="1327" w:type="dxa"/>
            <w:tcBorders>
              <w:tl2br w:val="nil"/>
              <w:tr2bl w:val="nil"/>
            </w:tcBorders>
            <w:vAlign w:val="center"/>
          </w:tcPr>
          <w:p>
            <w:pPr>
              <w:pStyle w:val="17"/>
              <w:bidi w:val="0"/>
              <w:rPr>
                <w:rFonts w:hint="default"/>
              </w:rPr>
            </w:pPr>
            <w:r>
              <w:rPr>
                <w:rFonts w:hint="default"/>
              </w:rPr>
              <w:t>15m排气筒排放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977" w:type="dxa"/>
            <w:tcBorders>
              <w:tl2br w:val="nil"/>
              <w:tr2bl w:val="nil"/>
            </w:tcBorders>
            <w:vAlign w:val="center"/>
          </w:tcPr>
          <w:p>
            <w:pPr>
              <w:pStyle w:val="17"/>
              <w:bidi w:val="0"/>
              <w:rPr>
                <w:rFonts w:hint="default"/>
              </w:rPr>
            </w:pPr>
            <w:r>
              <w:rPr>
                <w:rFonts w:hint="default"/>
              </w:rPr>
              <w:t>食堂油烟</w:t>
            </w:r>
          </w:p>
        </w:tc>
        <w:tc>
          <w:tcPr>
            <w:tcW w:w="851" w:type="dxa"/>
            <w:tcBorders>
              <w:tl2br w:val="nil"/>
              <w:tr2bl w:val="nil"/>
            </w:tcBorders>
            <w:vAlign w:val="center"/>
          </w:tcPr>
          <w:p>
            <w:pPr>
              <w:pStyle w:val="17"/>
              <w:bidi w:val="0"/>
              <w:rPr>
                <w:rFonts w:hint="default"/>
              </w:rPr>
            </w:pPr>
            <w:r>
              <w:rPr>
                <w:rFonts w:hint="default"/>
              </w:rPr>
              <w:t>油烟</w:t>
            </w:r>
          </w:p>
        </w:tc>
        <w:tc>
          <w:tcPr>
            <w:tcW w:w="1091" w:type="dxa"/>
            <w:tcBorders>
              <w:tl2br w:val="nil"/>
              <w:tr2bl w:val="nil"/>
            </w:tcBorders>
            <w:vAlign w:val="center"/>
          </w:tcPr>
          <w:p>
            <w:pPr>
              <w:pStyle w:val="17"/>
              <w:bidi w:val="0"/>
              <w:rPr>
                <w:rFonts w:hint="default"/>
              </w:rPr>
            </w:pPr>
            <w:r>
              <w:rPr>
                <w:rFonts w:hint="default"/>
              </w:rPr>
              <w:t>1600</w:t>
            </w:r>
          </w:p>
        </w:tc>
        <w:tc>
          <w:tcPr>
            <w:tcW w:w="950" w:type="dxa"/>
            <w:tcBorders>
              <w:tl2br w:val="nil"/>
              <w:tr2bl w:val="nil"/>
            </w:tcBorders>
            <w:vAlign w:val="center"/>
          </w:tcPr>
          <w:p>
            <w:pPr>
              <w:pStyle w:val="17"/>
              <w:bidi w:val="0"/>
              <w:rPr>
                <w:rFonts w:hint="default"/>
              </w:rPr>
            </w:pPr>
            <w:r>
              <w:rPr>
                <w:rFonts w:hint="default"/>
              </w:rPr>
              <w:t>2.81</w:t>
            </w:r>
          </w:p>
        </w:tc>
        <w:tc>
          <w:tcPr>
            <w:tcW w:w="986" w:type="dxa"/>
            <w:tcBorders>
              <w:tl2br w:val="nil"/>
              <w:tr2bl w:val="nil"/>
            </w:tcBorders>
            <w:vAlign w:val="center"/>
          </w:tcPr>
          <w:p>
            <w:pPr>
              <w:pStyle w:val="17"/>
              <w:bidi w:val="0"/>
              <w:rPr>
                <w:rFonts w:hint="default"/>
              </w:rPr>
            </w:pPr>
            <w:r>
              <w:rPr>
                <w:rFonts w:hint="default"/>
              </w:rPr>
              <w:t>0.0045</w:t>
            </w:r>
          </w:p>
        </w:tc>
        <w:tc>
          <w:tcPr>
            <w:tcW w:w="1055" w:type="dxa"/>
            <w:tcBorders>
              <w:tl2br w:val="nil"/>
              <w:tr2bl w:val="nil"/>
            </w:tcBorders>
            <w:vAlign w:val="center"/>
          </w:tcPr>
          <w:p>
            <w:pPr>
              <w:pStyle w:val="17"/>
              <w:bidi w:val="0"/>
              <w:rPr>
                <w:rFonts w:hint="default"/>
              </w:rPr>
            </w:pPr>
            <w:r>
              <w:rPr>
                <w:rFonts w:hint="default"/>
              </w:rPr>
              <w:t>油烟净化器（处理效率</w:t>
            </w:r>
          </w:p>
          <w:p>
            <w:pPr>
              <w:pStyle w:val="17"/>
              <w:bidi w:val="0"/>
              <w:rPr>
                <w:rFonts w:hint="default"/>
              </w:rPr>
            </w:pPr>
            <w:r>
              <w:rPr>
                <w:rFonts w:hint="default"/>
              </w:rPr>
              <w:t>≧60%）</w:t>
            </w:r>
          </w:p>
        </w:tc>
        <w:tc>
          <w:tcPr>
            <w:tcW w:w="986" w:type="dxa"/>
            <w:tcBorders>
              <w:tl2br w:val="nil"/>
              <w:tr2bl w:val="nil"/>
            </w:tcBorders>
            <w:vAlign w:val="center"/>
          </w:tcPr>
          <w:p>
            <w:pPr>
              <w:pStyle w:val="17"/>
              <w:bidi w:val="0"/>
              <w:rPr>
                <w:rFonts w:hint="default"/>
              </w:rPr>
            </w:pPr>
            <w:r>
              <w:rPr>
                <w:rFonts w:hint="default"/>
              </w:rPr>
              <w:t>1.13</w:t>
            </w:r>
          </w:p>
        </w:tc>
        <w:tc>
          <w:tcPr>
            <w:tcW w:w="848" w:type="dxa"/>
            <w:tcBorders>
              <w:tl2br w:val="nil"/>
              <w:tr2bl w:val="nil"/>
            </w:tcBorders>
            <w:vAlign w:val="center"/>
          </w:tcPr>
          <w:p>
            <w:pPr>
              <w:pStyle w:val="17"/>
              <w:bidi w:val="0"/>
              <w:rPr>
                <w:rFonts w:hint="default"/>
              </w:rPr>
            </w:pPr>
            <w:r>
              <w:rPr>
                <w:rFonts w:hint="default"/>
              </w:rPr>
              <w:t>0.0018</w:t>
            </w:r>
          </w:p>
        </w:tc>
        <w:tc>
          <w:tcPr>
            <w:tcW w:w="1327" w:type="dxa"/>
            <w:tcBorders>
              <w:tl2br w:val="nil"/>
              <w:tr2bl w:val="nil"/>
            </w:tcBorders>
            <w:vAlign w:val="center"/>
          </w:tcPr>
          <w:p>
            <w:pPr>
              <w:pStyle w:val="17"/>
              <w:bidi w:val="0"/>
              <w:rPr>
                <w:rFonts w:hint="default"/>
              </w:rPr>
            </w:pPr>
            <w:r>
              <w:rPr>
                <w:rFonts w:hint="default"/>
              </w:rPr>
              <w:t>专用烟道至屋顶排放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977" w:type="dxa"/>
            <w:tcBorders>
              <w:tl2br w:val="nil"/>
              <w:tr2bl w:val="nil"/>
            </w:tcBorders>
            <w:vAlign w:val="center"/>
          </w:tcPr>
          <w:p>
            <w:pPr>
              <w:pStyle w:val="17"/>
              <w:bidi w:val="0"/>
              <w:rPr>
                <w:rFonts w:hint="default"/>
                <w:b/>
                <w:bCs/>
              </w:rPr>
            </w:pPr>
            <w:r>
              <w:rPr>
                <w:rFonts w:hint="default"/>
                <w:b/>
                <w:bCs/>
              </w:rPr>
              <w:t>污染源</w:t>
            </w:r>
          </w:p>
        </w:tc>
        <w:tc>
          <w:tcPr>
            <w:tcW w:w="851" w:type="dxa"/>
            <w:tcBorders>
              <w:tl2br w:val="nil"/>
              <w:tr2bl w:val="nil"/>
            </w:tcBorders>
            <w:vAlign w:val="center"/>
          </w:tcPr>
          <w:p>
            <w:pPr>
              <w:pStyle w:val="17"/>
              <w:bidi w:val="0"/>
              <w:rPr>
                <w:rFonts w:hint="default"/>
                <w:b/>
                <w:bCs/>
              </w:rPr>
            </w:pPr>
            <w:r>
              <w:rPr>
                <w:rFonts w:hint="default"/>
                <w:b/>
                <w:bCs/>
              </w:rPr>
              <w:t>污染物</w:t>
            </w:r>
          </w:p>
        </w:tc>
        <w:tc>
          <w:tcPr>
            <w:tcW w:w="1091" w:type="dxa"/>
            <w:tcBorders>
              <w:tl2br w:val="nil"/>
              <w:tr2bl w:val="nil"/>
            </w:tcBorders>
            <w:vAlign w:val="center"/>
          </w:tcPr>
          <w:p>
            <w:pPr>
              <w:pStyle w:val="17"/>
              <w:bidi w:val="0"/>
              <w:rPr>
                <w:rFonts w:hint="default"/>
                <w:b/>
                <w:bCs/>
              </w:rPr>
            </w:pPr>
            <w:r>
              <w:rPr>
                <w:rFonts w:hint="default"/>
                <w:b/>
                <w:bCs/>
              </w:rPr>
              <w:t>污染</w:t>
            </w:r>
          </w:p>
          <w:p>
            <w:pPr>
              <w:pStyle w:val="17"/>
              <w:bidi w:val="0"/>
              <w:rPr>
                <w:rFonts w:hint="default"/>
                <w:b/>
                <w:bCs/>
              </w:rPr>
            </w:pPr>
            <w:r>
              <w:rPr>
                <w:rFonts w:hint="default"/>
                <w:b/>
                <w:bCs/>
              </w:rPr>
              <w:t>源强（t/a）</w:t>
            </w:r>
          </w:p>
        </w:tc>
        <w:tc>
          <w:tcPr>
            <w:tcW w:w="950" w:type="dxa"/>
            <w:tcBorders>
              <w:tl2br w:val="nil"/>
              <w:tr2bl w:val="nil"/>
            </w:tcBorders>
            <w:vAlign w:val="center"/>
          </w:tcPr>
          <w:p>
            <w:pPr>
              <w:pStyle w:val="17"/>
              <w:bidi w:val="0"/>
              <w:rPr>
                <w:rFonts w:hint="default"/>
                <w:b/>
                <w:bCs/>
              </w:rPr>
            </w:pPr>
            <w:r>
              <w:rPr>
                <w:rFonts w:hint="default"/>
                <w:b/>
                <w:bCs/>
              </w:rPr>
              <w:t>产生速率kg/h</w:t>
            </w:r>
          </w:p>
        </w:tc>
        <w:tc>
          <w:tcPr>
            <w:tcW w:w="986" w:type="dxa"/>
            <w:tcBorders>
              <w:tl2br w:val="nil"/>
              <w:tr2bl w:val="nil"/>
            </w:tcBorders>
            <w:vAlign w:val="center"/>
          </w:tcPr>
          <w:p>
            <w:pPr>
              <w:pStyle w:val="17"/>
              <w:bidi w:val="0"/>
              <w:rPr>
                <w:rFonts w:hint="default"/>
                <w:b/>
                <w:bCs/>
              </w:rPr>
            </w:pPr>
            <w:r>
              <w:rPr>
                <w:rFonts w:hint="default"/>
                <w:b/>
                <w:bCs/>
              </w:rPr>
              <w:t>排放速率kg/h</w:t>
            </w:r>
          </w:p>
        </w:tc>
        <w:tc>
          <w:tcPr>
            <w:tcW w:w="1055" w:type="dxa"/>
            <w:tcBorders>
              <w:tl2br w:val="nil"/>
              <w:tr2bl w:val="nil"/>
            </w:tcBorders>
            <w:vAlign w:val="center"/>
          </w:tcPr>
          <w:p>
            <w:pPr>
              <w:pStyle w:val="17"/>
              <w:bidi w:val="0"/>
              <w:rPr>
                <w:rFonts w:hint="default"/>
                <w:b/>
                <w:bCs/>
              </w:rPr>
            </w:pPr>
            <w:r>
              <w:rPr>
                <w:rFonts w:hint="default"/>
                <w:b/>
                <w:bCs/>
              </w:rPr>
              <w:t>处理</w:t>
            </w:r>
          </w:p>
          <w:p>
            <w:pPr>
              <w:pStyle w:val="17"/>
              <w:bidi w:val="0"/>
              <w:rPr>
                <w:rFonts w:hint="default"/>
                <w:b/>
                <w:bCs/>
              </w:rPr>
            </w:pPr>
            <w:r>
              <w:rPr>
                <w:rFonts w:hint="default"/>
                <w:b/>
                <w:bCs/>
              </w:rPr>
              <w:t>措施</w:t>
            </w:r>
          </w:p>
        </w:tc>
        <w:tc>
          <w:tcPr>
            <w:tcW w:w="986" w:type="dxa"/>
            <w:tcBorders>
              <w:tl2br w:val="nil"/>
              <w:tr2bl w:val="nil"/>
            </w:tcBorders>
            <w:vAlign w:val="center"/>
          </w:tcPr>
          <w:p>
            <w:pPr>
              <w:pStyle w:val="17"/>
              <w:bidi w:val="0"/>
              <w:rPr>
                <w:rFonts w:hint="default"/>
                <w:b/>
                <w:bCs/>
              </w:rPr>
            </w:pPr>
            <w:r>
              <w:rPr>
                <w:rFonts w:hint="default"/>
                <w:b/>
                <w:bCs/>
              </w:rPr>
              <w:t>面源宽度</w:t>
            </w:r>
          </w:p>
          <w:p>
            <w:pPr>
              <w:pStyle w:val="17"/>
              <w:bidi w:val="0"/>
              <w:rPr>
                <w:rFonts w:hint="default"/>
                <w:b/>
                <w:bCs/>
              </w:rPr>
            </w:pPr>
            <w:r>
              <w:rPr>
                <w:rFonts w:hint="default"/>
                <w:b/>
                <w:bCs/>
              </w:rPr>
              <w:t>m</w:t>
            </w:r>
          </w:p>
        </w:tc>
        <w:tc>
          <w:tcPr>
            <w:tcW w:w="848" w:type="dxa"/>
            <w:tcBorders>
              <w:tl2br w:val="nil"/>
              <w:tr2bl w:val="nil"/>
            </w:tcBorders>
            <w:vAlign w:val="center"/>
          </w:tcPr>
          <w:p>
            <w:pPr>
              <w:pStyle w:val="17"/>
              <w:bidi w:val="0"/>
              <w:rPr>
                <w:rFonts w:hint="default"/>
                <w:b/>
                <w:bCs/>
              </w:rPr>
            </w:pPr>
            <w:r>
              <w:rPr>
                <w:rFonts w:hint="default"/>
                <w:b/>
                <w:bCs/>
              </w:rPr>
              <w:t>面源长度</w:t>
            </w:r>
          </w:p>
          <w:p>
            <w:pPr>
              <w:pStyle w:val="17"/>
              <w:bidi w:val="0"/>
              <w:rPr>
                <w:rFonts w:hint="default"/>
                <w:b/>
                <w:bCs/>
              </w:rPr>
            </w:pPr>
            <w:r>
              <w:rPr>
                <w:rFonts w:hint="default"/>
                <w:b/>
                <w:bCs/>
              </w:rPr>
              <w:t>m</w:t>
            </w:r>
          </w:p>
        </w:tc>
        <w:tc>
          <w:tcPr>
            <w:tcW w:w="1327" w:type="dxa"/>
            <w:tcBorders>
              <w:tl2br w:val="nil"/>
              <w:tr2bl w:val="nil"/>
            </w:tcBorders>
            <w:vAlign w:val="center"/>
          </w:tcPr>
          <w:p>
            <w:pPr>
              <w:pStyle w:val="17"/>
              <w:bidi w:val="0"/>
              <w:rPr>
                <w:rFonts w:hint="default"/>
                <w:b/>
                <w:bCs/>
              </w:rPr>
            </w:pPr>
            <w:r>
              <w:rPr>
                <w:rFonts w:hint="default"/>
                <w:b/>
                <w:bCs/>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977"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造粒车间</w:t>
            </w:r>
          </w:p>
        </w:tc>
        <w:tc>
          <w:tcPr>
            <w:tcW w:w="851" w:type="dxa"/>
            <w:tcBorders>
              <w:tl2br w:val="nil"/>
              <w:tr2bl w:val="nil"/>
            </w:tcBorders>
            <w:vAlign w:val="center"/>
          </w:tcPr>
          <w:p>
            <w:pPr>
              <w:pStyle w:val="17"/>
              <w:bidi w:val="0"/>
              <w:rPr>
                <w:rFonts w:hint="default"/>
              </w:rPr>
            </w:pPr>
            <w:r>
              <w:rPr>
                <w:rFonts w:hint="default"/>
              </w:rPr>
              <w:t>非甲烷总烃</w:t>
            </w:r>
          </w:p>
        </w:tc>
        <w:tc>
          <w:tcPr>
            <w:tcW w:w="1091" w:type="dxa"/>
            <w:tcBorders>
              <w:tl2br w:val="nil"/>
              <w:tr2bl w:val="nil"/>
            </w:tcBorders>
            <w:vAlign w:val="center"/>
          </w:tcPr>
          <w:p>
            <w:pPr>
              <w:pStyle w:val="17"/>
              <w:bidi w:val="0"/>
              <w:ind w:firstLine="0" w:firstLineChars="0"/>
              <w:rPr>
                <w:rFonts w:hint="default"/>
                <w:lang w:val="en-US"/>
              </w:rPr>
            </w:pPr>
            <w:r>
              <w:rPr>
                <w:rFonts w:hint="eastAsia"/>
                <w:lang w:val="en-US" w:eastAsia="zh-CN"/>
              </w:rPr>
              <w:t>0.158</w:t>
            </w:r>
          </w:p>
        </w:tc>
        <w:tc>
          <w:tcPr>
            <w:tcW w:w="950"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986"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1055" w:type="dxa"/>
            <w:tcBorders>
              <w:tl2br w:val="nil"/>
              <w:tr2bl w:val="nil"/>
            </w:tcBorders>
            <w:vAlign w:val="center"/>
          </w:tcPr>
          <w:p>
            <w:pPr>
              <w:pStyle w:val="17"/>
              <w:bidi w:val="0"/>
              <w:rPr>
                <w:rFonts w:hint="default"/>
              </w:rPr>
            </w:pPr>
            <w:r>
              <w:rPr>
                <w:rFonts w:hint="default"/>
              </w:rPr>
              <w:t>通风换气</w:t>
            </w:r>
          </w:p>
        </w:tc>
        <w:tc>
          <w:tcPr>
            <w:tcW w:w="986" w:type="dxa"/>
            <w:tcBorders>
              <w:tl2br w:val="nil"/>
              <w:tr2bl w:val="nil"/>
            </w:tcBorders>
            <w:vAlign w:val="center"/>
          </w:tcPr>
          <w:p>
            <w:pPr>
              <w:pStyle w:val="17"/>
              <w:bidi w:val="0"/>
              <w:ind w:firstLine="0" w:firstLineChars="0"/>
              <w:rPr>
                <w:rFonts w:hint="default"/>
                <w:lang w:val="en-US"/>
              </w:rPr>
            </w:pPr>
            <w:r>
              <w:rPr>
                <w:rFonts w:hint="eastAsia"/>
                <w:lang w:val="en-US" w:eastAsia="zh-CN"/>
              </w:rPr>
              <w:t>12</w:t>
            </w:r>
          </w:p>
        </w:tc>
        <w:tc>
          <w:tcPr>
            <w:tcW w:w="848" w:type="dxa"/>
            <w:tcBorders>
              <w:tl2br w:val="nil"/>
              <w:tr2bl w:val="nil"/>
            </w:tcBorders>
            <w:vAlign w:val="center"/>
          </w:tcPr>
          <w:p>
            <w:pPr>
              <w:pStyle w:val="17"/>
              <w:bidi w:val="0"/>
              <w:ind w:firstLine="0" w:firstLineChars="0"/>
              <w:rPr>
                <w:rFonts w:hint="default"/>
                <w:lang w:val="en-US"/>
              </w:rPr>
            </w:pPr>
            <w:r>
              <w:rPr>
                <w:rFonts w:hint="eastAsia"/>
                <w:lang w:val="en-US" w:eastAsia="zh-CN"/>
              </w:rPr>
              <w:t>25</w:t>
            </w:r>
          </w:p>
        </w:tc>
        <w:tc>
          <w:tcPr>
            <w:tcW w:w="1327" w:type="dxa"/>
            <w:tcBorders>
              <w:tl2br w:val="nil"/>
              <w:tr2bl w:val="nil"/>
            </w:tcBorders>
            <w:vAlign w:val="center"/>
          </w:tcPr>
          <w:p>
            <w:pPr>
              <w:pStyle w:val="17"/>
              <w:bidi w:val="0"/>
              <w:rPr>
                <w:rFonts w:hint="default"/>
              </w:rPr>
            </w:pPr>
            <w:r>
              <w:rPr>
                <w:rFonts w:hint="default"/>
              </w:rPr>
              <w:t>无组织面源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977" w:type="dxa"/>
            <w:vMerge w:val="continue"/>
            <w:tcBorders>
              <w:tl2br w:val="nil"/>
              <w:tr2bl w:val="nil"/>
            </w:tcBorders>
            <w:vAlign w:val="center"/>
          </w:tcPr>
          <w:p>
            <w:pPr>
              <w:pStyle w:val="17"/>
              <w:bidi w:val="0"/>
              <w:rPr>
                <w:rFonts w:hint="default"/>
              </w:rPr>
            </w:pPr>
          </w:p>
        </w:tc>
        <w:tc>
          <w:tcPr>
            <w:tcW w:w="851" w:type="dxa"/>
            <w:tcBorders>
              <w:tl2br w:val="nil"/>
              <w:tr2bl w:val="nil"/>
            </w:tcBorders>
            <w:vAlign w:val="center"/>
          </w:tcPr>
          <w:p>
            <w:pPr>
              <w:pStyle w:val="17"/>
              <w:bidi w:val="0"/>
              <w:rPr>
                <w:rFonts w:hint="default"/>
              </w:rPr>
            </w:pPr>
            <w:r>
              <w:rPr>
                <w:rFonts w:hint="default"/>
              </w:rPr>
              <w:t>颗粒物</w:t>
            </w:r>
          </w:p>
        </w:tc>
        <w:tc>
          <w:tcPr>
            <w:tcW w:w="1091" w:type="dxa"/>
            <w:tcBorders>
              <w:tl2br w:val="nil"/>
              <w:tr2bl w:val="nil"/>
            </w:tcBorders>
            <w:vAlign w:val="center"/>
          </w:tcPr>
          <w:p>
            <w:pPr>
              <w:pStyle w:val="17"/>
              <w:bidi w:val="0"/>
              <w:ind w:firstLine="0" w:firstLineChars="0"/>
              <w:rPr>
                <w:rFonts w:hint="default"/>
                <w:lang w:val="en-US"/>
              </w:rPr>
            </w:pPr>
            <w:r>
              <w:rPr>
                <w:rFonts w:hint="eastAsia"/>
                <w:lang w:val="en-US" w:eastAsia="zh-CN"/>
              </w:rPr>
              <w:t>0.033</w:t>
            </w:r>
          </w:p>
        </w:tc>
        <w:tc>
          <w:tcPr>
            <w:tcW w:w="950"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986"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1055" w:type="dxa"/>
            <w:tcBorders>
              <w:tl2br w:val="nil"/>
              <w:tr2bl w:val="nil"/>
            </w:tcBorders>
            <w:vAlign w:val="center"/>
          </w:tcPr>
          <w:p>
            <w:pPr>
              <w:pStyle w:val="17"/>
              <w:bidi w:val="0"/>
              <w:rPr>
                <w:rFonts w:hint="default"/>
              </w:rPr>
            </w:pPr>
            <w:r>
              <w:rPr>
                <w:rFonts w:hint="default"/>
              </w:rPr>
              <w:t>通风换气</w:t>
            </w:r>
          </w:p>
        </w:tc>
        <w:tc>
          <w:tcPr>
            <w:tcW w:w="986" w:type="dxa"/>
            <w:tcBorders>
              <w:tl2br w:val="nil"/>
              <w:tr2bl w:val="nil"/>
            </w:tcBorders>
            <w:vAlign w:val="center"/>
          </w:tcPr>
          <w:p>
            <w:pPr>
              <w:pStyle w:val="17"/>
              <w:bidi w:val="0"/>
              <w:ind w:firstLine="0" w:firstLineChars="0"/>
              <w:rPr>
                <w:rFonts w:hint="default"/>
              </w:rPr>
            </w:pPr>
            <w:r>
              <w:rPr>
                <w:rFonts w:hint="eastAsia"/>
                <w:lang w:val="en-US" w:eastAsia="zh-CN"/>
              </w:rPr>
              <w:t>12</w:t>
            </w:r>
          </w:p>
        </w:tc>
        <w:tc>
          <w:tcPr>
            <w:tcW w:w="848" w:type="dxa"/>
            <w:tcBorders>
              <w:tl2br w:val="nil"/>
              <w:tr2bl w:val="nil"/>
            </w:tcBorders>
            <w:vAlign w:val="center"/>
          </w:tcPr>
          <w:p>
            <w:pPr>
              <w:pStyle w:val="17"/>
              <w:bidi w:val="0"/>
              <w:ind w:firstLine="0" w:firstLineChars="0"/>
              <w:rPr>
                <w:rFonts w:hint="default"/>
              </w:rPr>
            </w:pPr>
            <w:r>
              <w:rPr>
                <w:rFonts w:hint="eastAsia"/>
                <w:lang w:val="en-US" w:eastAsia="zh-CN"/>
              </w:rPr>
              <w:t>25</w:t>
            </w:r>
          </w:p>
        </w:tc>
        <w:tc>
          <w:tcPr>
            <w:tcW w:w="1327" w:type="dxa"/>
            <w:tcBorders>
              <w:tl2br w:val="nil"/>
              <w:tr2bl w:val="nil"/>
            </w:tcBorders>
            <w:vAlign w:val="center"/>
          </w:tcPr>
          <w:p>
            <w:pPr>
              <w:pStyle w:val="17"/>
              <w:bidi w:val="0"/>
              <w:rPr>
                <w:rFonts w:hint="default"/>
              </w:rPr>
            </w:pPr>
            <w:r>
              <w:rPr>
                <w:rFonts w:hint="default"/>
              </w:rPr>
              <w:t>无组织面源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977" w:type="dxa"/>
            <w:tcBorders>
              <w:tl2br w:val="nil"/>
              <w:tr2bl w:val="nil"/>
            </w:tcBorders>
            <w:vAlign w:val="center"/>
          </w:tcPr>
          <w:p>
            <w:pPr>
              <w:pStyle w:val="17"/>
              <w:bidi w:val="0"/>
              <w:rPr>
                <w:rFonts w:hint="default" w:eastAsia="宋体"/>
                <w:lang w:val="en-US" w:eastAsia="zh-CN"/>
              </w:rPr>
            </w:pPr>
            <w:r>
              <w:rPr>
                <w:rFonts w:hint="eastAsia"/>
                <w:lang w:val="en-US" w:eastAsia="zh-CN"/>
              </w:rPr>
              <w:t>生产车间</w:t>
            </w:r>
          </w:p>
        </w:tc>
        <w:tc>
          <w:tcPr>
            <w:tcW w:w="851" w:type="dxa"/>
            <w:tcBorders>
              <w:tl2br w:val="nil"/>
              <w:tr2bl w:val="nil"/>
            </w:tcBorders>
            <w:vAlign w:val="center"/>
          </w:tcPr>
          <w:p>
            <w:pPr>
              <w:pStyle w:val="17"/>
              <w:bidi w:val="0"/>
              <w:rPr>
                <w:rFonts w:hint="default"/>
              </w:rPr>
            </w:pPr>
            <w:r>
              <w:rPr>
                <w:rFonts w:hint="default"/>
              </w:rPr>
              <w:t>非甲烷总烃</w:t>
            </w:r>
          </w:p>
        </w:tc>
        <w:tc>
          <w:tcPr>
            <w:tcW w:w="1091" w:type="dxa"/>
            <w:tcBorders>
              <w:tl2br w:val="nil"/>
              <w:tr2bl w:val="nil"/>
            </w:tcBorders>
            <w:vAlign w:val="center"/>
          </w:tcPr>
          <w:p>
            <w:pPr>
              <w:pStyle w:val="17"/>
              <w:bidi w:val="0"/>
              <w:ind w:firstLine="0" w:firstLineChars="0"/>
              <w:rPr>
                <w:rFonts w:hint="default"/>
                <w:lang w:val="en-US"/>
              </w:rPr>
            </w:pPr>
            <w:r>
              <w:rPr>
                <w:rFonts w:hint="eastAsia"/>
                <w:lang w:val="en-US" w:eastAsia="zh-CN"/>
              </w:rPr>
              <w:t>0.57</w:t>
            </w:r>
          </w:p>
        </w:tc>
        <w:tc>
          <w:tcPr>
            <w:tcW w:w="950" w:type="dxa"/>
            <w:tcBorders>
              <w:tl2br w:val="nil"/>
              <w:tr2bl w:val="nil"/>
            </w:tcBorders>
            <w:vAlign w:val="center"/>
          </w:tcPr>
          <w:p>
            <w:pPr>
              <w:pStyle w:val="17"/>
              <w:bidi w:val="0"/>
              <w:rPr>
                <w:rFonts w:hint="default"/>
              </w:rPr>
            </w:pPr>
            <w:r>
              <w:rPr>
                <w:rFonts w:hint="eastAsia"/>
                <w:lang w:val="en-US" w:eastAsia="zh-CN"/>
              </w:rPr>
              <w:t>/</w:t>
            </w:r>
          </w:p>
        </w:tc>
        <w:tc>
          <w:tcPr>
            <w:tcW w:w="986" w:type="dxa"/>
            <w:tcBorders>
              <w:tl2br w:val="nil"/>
              <w:tr2bl w:val="nil"/>
            </w:tcBorders>
            <w:vAlign w:val="center"/>
          </w:tcPr>
          <w:p>
            <w:pPr>
              <w:pStyle w:val="17"/>
              <w:bidi w:val="0"/>
              <w:rPr>
                <w:rFonts w:hint="default"/>
              </w:rPr>
            </w:pPr>
            <w:r>
              <w:rPr>
                <w:rFonts w:hint="eastAsia"/>
                <w:lang w:val="en-US" w:eastAsia="zh-CN"/>
              </w:rPr>
              <w:t>/</w:t>
            </w:r>
          </w:p>
        </w:tc>
        <w:tc>
          <w:tcPr>
            <w:tcW w:w="1055" w:type="dxa"/>
            <w:tcBorders>
              <w:tl2br w:val="nil"/>
              <w:tr2bl w:val="nil"/>
            </w:tcBorders>
            <w:vAlign w:val="center"/>
          </w:tcPr>
          <w:p>
            <w:pPr>
              <w:pStyle w:val="17"/>
              <w:bidi w:val="0"/>
              <w:rPr>
                <w:rFonts w:hint="default"/>
              </w:rPr>
            </w:pPr>
            <w:r>
              <w:rPr>
                <w:rFonts w:hint="default"/>
              </w:rPr>
              <w:t>通风换气</w:t>
            </w:r>
          </w:p>
        </w:tc>
        <w:tc>
          <w:tcPr>
            <w:tcW w:w="986" w:type="dxa"/>
            <w:tcBorders>
              <w:tl2br w:val="nil"/>
              <w:tr2bl w:val="nil"/>
            </w:tcBorders>
            <w:vAlign w:val="center"/>
          </w:tcPr>
          <w:p>
            <w:pPr>
              <w:pStyle w:val="17"/>
              <w:bidi w:val="0"/>
              <w:ind w:firstLine="0" w:firstLineChars="0"/>
              <w:rPr>
                <w:rFonts w:hint="default"/>
                <w:lang w:val="en-US"/>
              </w:rPr>
            </w:pPr>
            <w:r>
              <w:rPr>
                <w:rFonts w:hint="eastAsia"/>
                <w:lang w:val="en-US" w:eastAsia="zh-CN"/>
              </w:rPr>
              <w:t>20</w:t>
            </w:r>
          </w:p>
        </w:tc>
        <w:tc>
          <w:tcPr>
            <w:tcW w:w="848" w:type="dxa"/>
            <w:tcBorders>
              <w:tl2br w:val="nil"/>
              <w:tr2bl w:val="nil"/>
            </w:tcBorders>
            <w:vAlign w:val="center"/>
          </w:tcPr>
          <w:p>
            <w:pPr>
              <w:pStyle w:val="17"/>
              <w:bidi w:val="0"/>
              <w:ind w:firstLine="0" w:firstLineChars="0"/>
              <w:rPr>
                <w:rFonts w:hint="default"/>
              </w:rPr>
            </w:pPr>
            <w:r>
              <w:rPr>
                <w:rFonts w:hint="eastAsia"/>
                <w:lang w:val="en-US" w:eastAsia="zh-CN"/>
              </w:rPr>
              <w:t>16</w:t>
            </w:r>
          </w:p>
        </w:tc>
        <w:tc>
          <w:tcPr>
            <w:tcW w:w="1327" w:type="dxa"/>
            <w:tcBorders>
              <w:tl2br w:val="nil"/>
              <w:tr2bl w:val="nil"/>
            </w:tcBorders>
            <w:vAlign w:val="center"/>
          </w:tcPr>
          <w:p>
            <w:pPr>
              <w:pStyle w:val="17"/>
              <w:bidi w:val="0"/>
              <w:rPr>
                <w:rFonts w:hint="default"/>
              </w:rPr>
            </w:pPr>
            <w:r>
              <w:rPr>
                <w:rFonts w:hint="default"/>
              </w:rPr>
              <w:t>无组织面源</w:t>
            </w:r>
          </w:p>
        </w:tc>
      </w:tr>
    </w:tbl>
    <w:p>
      <w:pPr>
        <w:pStyle w:val="5"/>
        <w:bidi w:val="0"/>
        <w:rPr>
          <w:rFonts w:hint="default"/>
        </w:rPr>
      </w:pPr>
      <w:r>
        <w:rPr>
          <w:rFonts w:hint="default"/>
        </w:rPr>
        <w:t>3.9.2</w:t>
      </w:r>
      <w:r>
        <w:rPr>
          <w:rFonts w:hint="eastAsia"/>
          <w:lang w:eastAsia="zh-CN"/>
        </w:rPr>
        <w:t>、</w:t>
      </w:r>
      <w:r>
        <w:rPr>
          <w:rFonts w:hint="default"/>
        </w:rPr>
        <w:t>废水</w:t>
      </w:r>
    </w:p>
    <w:p>
      <w:pPr>
        <w:bidi w:val="0"/>
        <w:rPr>
          <w:rFonts w:hint="default"/>
        </w:rPr>
      </w:pPr>
      <w:r>
        <w:rPr>
          <w:rFonts w:hint="default"/>
        </w:rPr>
        <w:t>本项目废水包括生产废水和生活污水，其中生产废水主要为原料清洗废水、车间冲洗废水、冷却用水、破碎工序喷淋用水。生活污水主要为员工生活废水。</w:t>
      </w:r>
    </w:p>
    <w:p>
      <w:pPr>
        <w:pStyle w:val="6"/>
        <w:bidi w:val="0"/>
        <w:rPr>
          <w:rFonts w:hint="default"/>
        </w:rPr>
      </w:pPr>
      <w:r>
        <w:rPr>
          <w:rFonts w:hint="default"/>
        </w:rPr>
        <w:t>3.9.2.1</w:t>
      </w:r>
      <w:r>
        <w:rPr>
          <w:rFonts w:hint="eastAsia"/>
          <w:lang w:eastAsia="zh-CN"/>
        </w:rPr>
        <w:t>、</w:t>
      </w:r>
      <w:r>
        <w:rPr>
          <w:rFonts w:hint="default"/>
        </w:rPr>
        <w:t>生产废水</w:t>
      </w:r>
    </w:p>
    <w:p>
      <w:pPr>
        <w:bidi w:val="0"/>
        <w:rPr>
          <w:rFonts w:hint="default"/>
        </w:rPr>
      </w:pPr>
      <w:r>
        <w:rPr>
          <w:rFonts w:hint="default"/>
        </w:rPr>
        <w:t>（1）冲洗用水及排水</w:t>
      </w:r>
    </w:p>
    <w:p>
      <w:pPr>
        <w:bidi w:val="0"/>
        <w:rPr>
          <w:rFonts w:hint="default"/>
        </w:rPr>
      </w:pPr>
      <w:r>
        <w:rPr>
          <w:rFonts w:hint="default"/>
        </w:rPr>
        <w:t>企业定期对生产车间地面进行冲洗，1.25</w:t>
      </w:r>
      <w:r>
        <w:rPr>
          <w:rFonts w:hint="eastAsia"/>
          <w:lang w:eastAsia="zh-CN"/>
        </w:rPr>
        <w:t>m³</w:t>
      </w:r>
      <w:r>
        <w:rPr>
          <w:rFonts w:hint="default"/>
        </w:rPr>
        <w:t>/次，每年冲洗</w:t>
      </w:r>
      <w:r>
        <w:rPr>
          <w:rFonts w:hint="eastAsia"/>
          <w:lang w:val="en-US" w:eastAsia="zh-CN"/>
        </w:rPr>
        <w:t>45</w:t>
      </w:r>
      <w:r>
        <w:rPr>
          <w:rFonts w:hint="default"/>
        </w:rPr>
        <w:t>次，年用水量为</w:t>
      </w:r>
      <w:r>
        <w:rPr>
          <w:rFonts w:hint="eastAsia"/>
          <w:lang w:val="en-US" w:eastAsia="zh-CN"/>
        </w:rPr>
        <w:t>56.3</w:t>
      </w:r>
      <w:r>
        <w:rPr>
          <w:rFonts w:hint="eastAsia"/>
          <w:lang w:eastAsia="zh-CN"/>
        </w:rPr>
        <w:t>m³</w:t>
      </w:r>
      <w:r>
        <w:rPr>
          <w:rFonts w:hint="default"/>
        </w:rPr>
        <w:t>，清洗过程不使用清洗剂，水量平均为0.17</w:t>
      </w:r>
      <w:r>
        <w:rPr>
          <w:rFonts w:hint="eastAsia"/>
          <w:lang w:eastAsia="zh-CN"/>
        </w:rPr>
        <w:t>m³</w:t>
      </w:r>
      <w:r>
        <w:rPr>
          <w:rFonts w:hint="default"/>
        </w:rPr>
        <w:t>/d，排水量为0.15</w:t>
      </w:r>
      <w:r>
        <w:rPr>
          <w:rFonts w:hint="eastAsia"/>
          <w:lang w:eastAsia="zh-CN"/>
        </w:rPr>
        <w:t>m³</w:t>
      </w:r>
      <w:r>
        <w:rPr>
          <w:rFonts w:hint="default"/>
        </w:rPr>
        <w:t>/d（</w:t>
      </w:r>
      <w:r>
        <w:rPr>
          <w:rFonts w:hint="eastAsia"/>
          <w:lang w:val="en-US" w:eastAsia="zh-CN"/>
        </w:rPr>
        <w:t>49.5</w:t>
      </w:r>
      <w:r>
        <w:rPr>
          <w:rFonts w:hint="eastAsia"/>
          <w:lang w:eastAsia="zh-CN"/>
        </w:rPr>
        <w:t>m³</w:t>
      </w:r>
      <w:r>
        <w:rPr>
          <w:rFonts w:hint="default"/>
        </w:rPr>
        <w:t>/a），冲洗水经沉淀池</w:t>
      </w:r>
      <w:r>
        <w:rPr>
          <w:rFonts w:hint="eastAsia"/>
          <w:lang w:val="en-US" w:eastAsia="zh-CN"/>
        </w:rPr>
        <w:t>及污水处理设施</w:t>
      </w:r>
      <w:r>
        <w:rPr>
          <w:rFonts w:hint="default"/>
        </w:rPr>
        <w:t>处理后作为原料清洗水使用。</w:t>
      </w:r>
    </w:p>
    <w:p>
      <w:pPr>
        <w:bidi w:val="0"/>
        <w:rPr>
          <w:rFonts w:hint="default"/>
        </w:rPr>
      </w:pPr>
      <w:r>
        <w:rPr>
          <w:rFonts w:hint="default"/>
        </w:rPr>
        <w:t>（2）破碎机喷淋废水</w:t>
      </w:r>
    </w:p>
    <w:p>
      <w:pPr>
        <w:bidi w:val="0"/>
        <w:rPr>
          <w:rFonts w:hint="default"/>
        </w:rPr>
      </w:pPr>
      <w:r>
        <w:rPr>
          <w:rFonts w:hint="default"/>
        </w:rPr>
        <w:t>破碎机采用喷淋降尘，日用补充水量为0.45</w:t>
      </w:r>
      <w:r>
        <w:rPr>
          <w:rFonts w:hint="eastAsia"/>
          <w:lang w:eastAsia="zh-CN"/>
        </w:rPr>
        <w:t>m³</w:t>
      </w:r>
      <w:r>
        <w:rPr>
          <w:rFonts w:hint="default"/>
        </w:rPr>
        <w:t>/d，循环水量为1.50</w:t>
      </w:r>
      <w:r>
        <w:rPr>
          <w:rFonts w:hint="eastAsia"/>
          <w:lang w:eastAsia="zh-CN"/>
        </w:rPr>
        <w:t>m³</w:t>
      </w:r>
      <w:r>
        <w:rPr>
          <w:rFonts w:hint="default"/>
        </w:rPr>
        <w:t>/d，经沉淀池</w:t>
      </w:r>
      <w:r>
        <w:rPr>
          <w:rFonts w:hint="eastAsia"/>
          <w:lang w:val="en-US" w:eastAsia="zh-CN"/>
        </w:rPr>
        <w:t>及污水处理设施</w:t>
      </w:r>
      <w:r>
        <w:rPr>
          <w:rFonts w:hint="default"/>
        </w:rPr>
        <w:t>处理后循环使用。</w:t>
      </w:r>
    </w:p>
    <w:p>
      <w:pPr>
        <w:bidi w:val="0"/>
        <w:rPr>
          <w:rFonts w:hint="default"/>
        </w:rPr>
      </w:pPr>
      <w:r>
        <w:rPr>
          <w:rFonts w:hint="default"/>
        </w:rPr>
        <w:t>（3）原料清洗废水及螺旋挤压机废水</w:t>
      </w:r>
    </w:p>
    <w:p>
      <w:pPr>
        <w:bidi w:val="0"/>
        <w:rPr>
          <w:rFonts w:hint="default"/>
        </w:rPr>
      </w:pPr>
      <w:r>
        <w:rPr>
          <w:rFonts w:hint="default"/>
        </w:rPr>
        <w:t>本项目利用废塑料作为主要原料，生产废水主要成分为原料带入的细沙、泥土等无机物，有机物含量较少，主要污染物为SS，废水量为</w:t>
      </w:r>
      <w:r>
        <w:rPr>
          <w:rFonts w:hint="eastAsia"/>
          <w:lang w:val="en-US" w:eastAsia="zh-CN"/>
        </w:rPr>
        <w:t>46.25</w:t>
      </w:r>
      <w:r>
        <w:rPr>
          <w:rFonts w:hint="eastAsia"/>
          <w:lang w:eastAsia="zh-CN"/>
        </w:rPr>
        <w:t>m³</w:t>
      </w:r>
      <w:r>
        <w:rPr>
          <w:rFonts w:hint="default"/>
        </w:rPr>
        <w:t>/d，排至循环沉淀池，经沉淀</w:t>
      </w:r>
      <w:r>
        <w:rPr>
          <w:rFonts w:hint="eastAsia"/>
          <w:lang w:val="en-US" w:eastAsia="zh-CN"/>
        </w:rPr>
        <w:t>池及污水处理设施</w:t>
      </w:r>
      <w:r>
        <w:rPr>
          <w:rFonts w:hint="default"/>
        </w:rPr>
        <w:t>处理后作为原料清洗水循环使用，不外排。</w:t>
      </w:r>
    </w:p>
    <w:p>
      <w:pPr>
        <w:pStyle w:val="6"/>
        <w:bidi w:val="0"/>
        <w:rPr>
          <w:rFonts w:hint="default"/>
        </w:rPr>
      </w:pPr>
      <w:r>
        <w:rPr>
          <w:rFonts w:hint="default"/>
        </w:rPr>
        <w:t>3.9.2.2</w:t>
      </w:r>
      <w:r>
        <w:rPr>
          <w:rFonts w:hint="eastAsia"/>
          <w:lang w:eastAsia="zh-CN"/>
        </w:rPr>
        <w:t>、</w:t>
      </w:r>
      <w:r>
        <w:rPr>
          <w:rFonts w:hint="default"/>
        </w:rPr>
        <w:t>生活污水</w:t>
      </w:r>
    </w:p>
    <w:p>
      <w:pPr>
        <w:bidi w:val="0"/>
        <w:rPr>
          <w:rFonts w:hint="default"/>
        </w:rPr>
      </w:pPr>
      <w:r>
        <w:rPr>
          <w:rFonts w:hint="default"/>
        </w:rPr>
        <w:t>本项目劳动用工</w:t>
      </w:r>
      <w:r>
        <w:rPr>
          <w:rFonts w:hint="eastAsia"/>
          <w:lang w:val="en-US" w:eastAsia="zh-CN"/>
        </w:rPr>
        <w:t>42</w:t>
      </w:r>
      <w:r>
        <w:rPr>
          <w:rFonts w:hint="default"/>
        </w:rPr>
        <w:t>人，废水产生量约为</w:t>
      </w:r>
      <w:r>
        <w:rPr>
          <w:rFonts w:hint="eastAsia"/>
          <w:lang w:val="en-US" w:eastAsia="zh-CN"/>
        </w:rPr>
        <w:t>3.36</w:t>
      </w:r>
      <w:r>
        <w:rPr>
          <w:rFonts w:hint="eastAsia"/>
          <w:lang w:eastAsia="zh-CN"/>
        </w:rPr>
        <w:t>m³</w:t>
      </w:r>
      <w:r>
        <w:rPr>
          <w:rFonts w:hint="default"/>
        </w:rPr>
        <w:t>/d（</w:t>
      </w:r>
      <w:r>
        <w:rPr>
          <w:rFonts w:hint="eastAsia"/>
          <w:lang w:val="en-US" w:eastAsia="zh-CN"/>
        </w:rPr>
        <w:t>1108.8</w:t>
      </w:r>
      <w:r>
        <w:rPr>
          <w:rFonts w:hint="eastAsia"/>
          <w:lang w:eastAsia="zh-CN"/>
        </w:rPr>
        <w:t>m³</w:t>
      </w:r>
      <w:r>
        <w:rPr>
          <w:rFonts w:hint="default"/>
        </w:rPr>
        <w:t>/a），废水中含COD、BOD</w:t>
      </w:r>
      <w:r>
        <w:rPr>
          <w:rFonts w:hint="default"/>
          <w:vertAlign w:val="subscript"/>
        </w:rPr>
        <w:t>5</w:t>
      </w:r>
      <w:r>
        <w:rPr>
          <w:rFonts w:hint="default"/>
        </w:rPr>
        <w:t>、SS、氨氮和动植物油等污染物，废水中各污染物浓度为COD：350mg/L</w:t>
      </w:r>
      <w:r>
        <w:rPr>
          <w:rFonts w:hint="default"/>
          <w:lang w:eastAsia="zh-CN"/>
        </w:rPr>
        <w:t>；</w:t>
      </w:r>
      <w:r>
        <w:rPr>
          <w:rFonts w:hint="default"/>
        </w:rPr>
        <w:t>BOD</w:t>
      </w:r>
      <w:r>
        <w:rPr>
          <w:rFonts w:hint="default"/>
          <w:vertAlign w:val="subscript"/>
        </w:rPr>
        <w:t>5</w:t>
      </w:r>
      <w:r>
        <w:rPr>
          <w:rFonts w:hint="default"/>
        </w:rPr>
        <w:t>：250mg/L</w:t>
      </w:r>
      <w:r>
        <w:rPr>
          <w:rFonts w:hint="default"/>
          <w:lang w:eastAsia="zh-CN"/>
        </w:rPr>
        <w:t>；</w:t>
      </w:r>
      <w:r>
        <w:rPr>
          <w:rFonts w:hint="default"/>
        </w:rPr>
        <w:t>SS：200mg/L</w:t>
      </w:r>
      <w:r>
        <w:rPr>
          <w:rFonts w:hint="default"/>
          <w:lang w:eastAsia="zh-CN"/>
        </w:rPr>
        <w:t>；</w:t>
      </w:r>
      <w:r>
        <w:rPr>
          <w:rFonts w:hint="default"/>
        </w:rPr>
        <w:t>氨氮：30mg/L</w:t>
      </w:r>
      <w:r>
        <w:rPr>
          <w:rFonts w:hint="default"/>
          <w:lang w:eastAsia="zh-CN"/>
        </w:rPr>
        <w:t>；</w:t>
      </w:r>
      <w:r>
        <w:rPr>
          <w:rFonts w:hint="default"/>
        </w:rPr>
        <w:t>动植物油：100mg/L</w:t>
      </w:r>
      <w:r>
        <w:rPr>
          <w:rFonts w:hint="default"/>
          <w:lang w:eastAsia="zh-CN"/>
        </w:rPr>
        <w:t>；</w:t>
      </w:r>
      <w:r>
        <w:rPr>
          <w:rFonts w:hint="default"/>
          <w:lang w:val="en-US" w:eastAsia="zh-CN"/>
        </w:rPr>
        <w:t>TN:40</w:t>
      </w:r>
      <w:r>
        <w:rPr>
          <w:rFonts w:hint="default"/>
        </w:rPr>
        <w:t>mg/L</w:t>
      </w:r>
      <w:r>
        <w:rPr>
          <w:rFonts w:hint="default"/>
          <w:lang w:val="en-US" w:eastAsia="zh-CN"/>
        </w:rPr>
        <w:t>和TP</w:t>
      </w:r>
      <w:r>
        <w:rPr>
          <w:rFonts w:hint="default"/>
          <w:vertAlign w:val="subscript"/>
          <w:lang w:val="en-US" w:eastAsia="zh-CN"/>
        </w:rPr>
        <w:t>5</w:t>
      </w:r>
      <w:r>
        <w:rPr>
          <w:rFonts w:hint="default"/>
        </w:rPr>
        <w:t>mg/L。餐饮废水经隔油池</w:t>
      </w:r>
      <w:r>
        <w:rPr>
          <w:rFonts w:hint="eastAsia"/>
          <w:lang w:val="en-US" w:eastAsia="zh-CN"/>
        </w:rPr>
        <w:t>隔油、化粪池预</w:t>
      </w:r>
      <w:r>
        <w:rPr>
          <w:rFonts w:hint="default"/>
        </w:rPr>
        <w:t>处理后</w:t>
      </w:r>
      <w:r>
        <w:rPr>
          <w:rFonts w:hint="eastAsia"/>
          <w:lang w:val="en-US" w:eastAsia="zh-CN"/>
        </w:rPr>
        <w:t>抽运至吉木萨尔县二工镇生活污水处理厂</w:t>
      </w:r>
      <w:r>
        <w:rPr>
          <w:rFonts w:hint="default"/>
        </w:rPr>
        <w:t>。</w:t>
      </w:r>
    </w:p>
    <w:p>
      <w:pPr>
        <w:pStyle w:val="6"/>
        <w:bidi w:val="0"/>
        <w:rPr>
          <w:rFonts w:hint="eastAsia"/>
          <w:lang w:val="en-US" w:eastAsia="zh-CN"/>
        </w:rPr>
      </w:pPr>
      <w:r>
        <w:rPr>
          <w:rFonts w:hint="eastAsia"/>
          <w:lang w:val="en-US" w:eastAsia="zh-CN"/>
        </w:rPr>
        <w:t>3.9.2.3、沉淀池及污水处理设备</w:t>
      </w:r>
    </w:p>
    <w:p>
      <w:pPr>
        <w:bidi w:val="0"/>
        <w:rPr>
          <w:rFonts w:hint="default"/>
          <w:lang w:val="en-US" w:eastAsia="zh-CN"/>
        </w:rPr>
      </w:pPr>
      <w:r>
        <w:rPr>
          <w:rFonts w:hint="eastAsia"/>
          <w:lang w:val="en-US" w:eastAsia="zh-CN"/>
        </w:rPr>
        <w:t>为保证生产废水全部回用不外排，建设拟在厂区原料库房和生产车间之间建设一座容积不少于200m³水池，同时在水池旁设置一套处理规模不小于50m³/d的污水处理设备。</w:t>
      </w:r>
    </w:p>
    <w:p>
      <w:pPr>
        <w:bidi w:val="0"/>
        <w:rPr>
          <w:rFonts w:hint="eastAsia"/>
          <w:lang w:val="en-US" w:eastAsia="zh-CN"/>
        </w:rPr>
      </w:pPr>
      <w:r>
        <w:rPr>
          <w:rFonts w:hint="eastAsia"/>
          <w:lang w:val="en-US" w:eastAsia="zh-CN"/>
        </w:rPr>
        <w:t>（1）沉淀池</w:t>
      </w:r>
    </w:p>
    <w:p>
      <w:pPr>
        <w:bidi w:val="0"/>
        <w:rPr>
          <w:rFonts w:hint="default"/>
          <w:lang w:val="en-US" w:eastAsia="zh-CN"/>
        </w:rPr>
      </w:pPr>
      <w:r>
        <w:rPr>
          <w:rFonts w:hint="eastAsia"/>
          <w:lang w:val="en-US" w:eastAsia="zh-CN"/>
        </w:rPr>
        <w:t>沉淀池底部及四壁防渗，内部设置3级沉淀，将沉淀后的上清液，通入地埋式污水处理设备。</w:t>
      </w:r>
    </w:p>
    <w:p>
      <w:pPr>
        <w:bidi w:val="0"/>
        <w:rPr>
          <w:rFonts w:hint="default"/>
          <w:lang w:val="en-US" w:eastAsia="zh-CN"/>
        </w:rPr>
      </w:pPr>
      <w:r>
        <w:rPr>
          <w:rFonts w:hint="eastAsia"/>
          <w:lang w:val="en-US" w:eastAsia="zh-CN"/>
        </w:rPr>
        <w:t>（2）污水处理设备</w:t>
      </w:r>
    </w:p>
    <w:p>
      <w:pPr>
        <w:bidi w:val="0"/>
        <w:rPr>
          <w:rFonts w:hint="eastAsia"/>
          <w:lang w:val="en-US" w:eastAsia="zh-CN"/>
        </w:rPr>
      </w:pPr>
      <w:r>
        <w:rPr>
          <w:rFonts w:hint="eastAsia"/>
          <w:lang w:val="en-US" w:eastAsia="zh-CN"/>
        </w:rPr>
        <w:t>为保证清洗废水可全部循环利用，减少水资源的损耗，保证企业的清洁生产水平，沉淀池北侧设置一套地埋式污水处理设备，地埋式污水处理设备选用“气浮法+生化处理+污泥脱水法”对项目沉淀后生产废水进行进一步处理，以满足其循环使用的标准。</w:t>
      </w:r>
    </w:p>
    <w:p>
      <w:pPr>
        <w:bidi w:val="0"/>
        <w:rPr>
          <w:rFonts w:hint="eastAsia"/>
          <w:lang w:val="en-US" w:eastAsia="zh-CN"/>
        </w:rPr>
      </w:pPr>
      <w:r>
        <w:rPr>
          <w:rFonts w:hint="eastAsia"/>
          <w:lang w:val="en-US" w:eastAsia="zh-CN"/>
        </w:rPr>
        <w:t>①预处理：地埋式污水处理设备预处理选用高效气浮沉淀机进行预处理，主要是进一步去除沉淀池沉淀后的上清液中的悬浮物，并增加污水中的溶解氧，为后续生化处理提供便利。</w:t>
      </w:r>
    </w:p>
    <w:p>
      <w:pPr>
        <w:bidi w:val="0"/>
        <w:rPr>
          <w:rFonts w:hint="eastAsia"/>
          <w:lang w:val="en-US" w:eastAsia="zh-CN"/>
        </w:rPr>
      </w:pPr>
      <w:r>
        <w:rPr>
          <w:rFonts w:hint="eastAsia"/>
          <w:lang w:val="en-US" w:eastAsia="zh-CN"/>
        </w:rPr>
        <w:t>②生化处理：生化处理选用厌氧+缺氧+好氧工艺，进一步将污水中的各类有机物进行分解。</w:t>
      </w:r>
    </w:p>
    <w:p>
      <w:pPr>
        <w:bidi w:val="0"/>
        <w:rPr>
          <w:rFonts w:hint="default"/>
          <w:lang w:val="en-US" w:eastAsia="zh-CN"/>
        </w:rPr>
      </w:pPr>
      <w:r>
        <w:rPr>
          <w:rFonts w:hint="eastAsia"/>
          <w:lang w:val="en-US" w:eastAsia="zh-CN"/>
        </w:rPr>
        <w:t>③污泥脱水：净化生化处理的污水进入沉泥池将污泥沉降下来，污泥进入污泥池，沉淀去除污泥后的污水进入清水池，通过管线接入沉淀池继续循环使用。进入污泥池的污泥通过压滤式污泥脱水机，脱水干化后，送至指定的垃圾填埋场卫生填埋。</w:t>
      </w:r>
    </w:p>
    <w:p>
      <w:pPr>
        <w:bidi w:val="0"/>
        <w:rPr>
          <w:rFonts w:hint="default"/>
          <w:lang w:val="en-US" w:eastAsia="zh-CN"/>
        </w:rPr>
      </w:pPr>
      <w:r>
        <w:rPr>
          <w:rFonts w:hint="eastAsia"/>
          <w:lang w:val="en-US" w:eastAsia="zh-CN"/>
        </w:rPr>
        <w:t>本项目污水处理工艺流程具体如下图。</w:t>
      </w:r>
    </w:p>
    <w:p>
      <w:pPr>
        <w:bidi w:val="0"/>
        <w:ind w:left="0" w:leftChars="0" w:firstLine="0" w:firstLineChars="0"/>
        <w:rPr>
          <w:rFonts w:hint="eastAsia"/>
          <w:lang w:val="en-US" w:eastAsia="zh-CN"/>
        </w:rPr>
      </w:pPr>
      <w:r>
        <w:drawing>
          <wp:inline distT="0" distB="0" distL="114300" distR="114300">
            <wp:extent cx="5274945" cy="4251325"/>
            <wp:effectExtent l="0" t="0" r="1905" b="15875"/>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37"/>
                    <a:stretch>
                      <a:fillRect/>
                    </a:stretch>
                  </pic:blipFill>
                  <pic:spPr>
                    <a:xfrm>
                      <a:off x="0" y="0"/>
                      <a:ext cx="5274945" cy="4251325"/>
                    </a:xfrm>
                    <a:prstGeom prst="rect">
                      <a:avLst/>
                    </a:prstGeom>
                    <a:noFill/>
                    <a:ln>
                      <a:noFill/>
                    </a:ln>
                  </pic:spPr>
                </pic:pic>
              </a:graphicData>
            </a:graphic>
          </wp:inline>
        </w:drawing>
      </w:r>
    </w:p>
    <w:p>
      <w:pPr>
        <w:bidi w:val="0"/>
        <w:jc w:val="center"/>
        <w:rPr>
          <w:rFonts w:hint="default"/>
          <w:b/>
          <w:bCs/>
          <w:lang w:val="en-US" w:eastAsia="zh-CN"/>
        </w:rPr>
      </w:pPr>
      <w:r>
        <w:rPr>
          <w:rFonts w:hint="eastAsia"/>
          <w:b/>
          <w:bCs/>
          <w:lang w:val="en-US" w:eastAsia="zh-CN"/>
        </w:rPr>
        <w:t>图3.9-1   项目地埋式污水处理设备工艺流程图</w:t>
      </w:r>
    </w:p>
    <w:p>
      <w:pPr>
        <w:bidi w:val="0"/>
        <w:rPr>
          <w:rFonts w:hint="default"/>
        </w:rPr>
      </w:pPr>
      <w:r>
        <w:rPr>
          <w:rFonts w:hint="default"/>
        </w:rPr>
        <w:t>本项目全厂废水排放情况见下表。</w:t>
      </w:r>
    </w:p>
    <w:p>
      <w:pPr>
        <w:pStyle w:val="17"/>
        <w:bidi w:val="0"/>
        <w:rPr>
          <w:rFonts w:hint="default"/>
          <w:b/>
          <w:bCs/>
        </w:rPr>
      </w:pPr>
      <w:r>
        <w:rPr>
          <w:rFonts w:hint="default"/>
          <w:b/>
          <w:bCs/>
        </w:rPr>
        <w:t xml:space="preserve">表3.9-2  </w:t>
      </w:r>
      <w:r>
        <w:rPr>
          <w:rFonts w:hint="eastAsia"/>
          <w:b/>
          <w:bCs/>
          <w:lang w:val="en-US" w:eastAsia="zh-CN"/>
        </w:rPr>
        <w:t xml:space="preserve"> </w:t>
      </w:r>
      <w:r>
        <w:rPr>
          <w:rFonts w:hint="default"/>
          <w:b/>
          <w:bCs/>
        </w:rPr>
        <w:t xml:space="preserve">本项目废水产生及排放统计表 </w:t>
      </w:r>
      <w:r>
        <w:rPr>
          <w:rFonts w:hint="eastAsia"/>
          <w:b/>
          <w:bCs/>
          <w:lang w:val="en-US" w:eastAsia="zh-CN"/>
        </w:rPr>
        <w:t xml:space="preserve"> </w:t>
      </w:r>
      <w:r>
        <w:rPr>
          <w:rFonts w:hint="default"/>
          <w:b/>
          <w:bCs/>
        </w:rPr>
        <w:t xml:space="preserve"> 单位：t/a</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62"/>
        <w:gridCol w:w="1279"/>
        <w:gridCol w:w="1561"/>
        <w:gridCol w:w="1158"/>
        <w:gridCol w:w="1312"/>
        <w:gridCol w:w="1282"/>
        <w:gridCol w:w="15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962" w:type="dxa"/>
            <w:tcBorders>
              <w:tl2br w:val="nil"/>
              <w:tr2bl w:val="nil"/>
            </w:tcBorders>
            <w:vAlign w:val="center"/>
          </w:tcPr>
          <w:p>
            <w:pPr>
              <w:pStyle w:val="17"/>
              <w:bidi w:val="0"/>
              <w:rPr>
                <w:rFonts w:hint="default"/>
                <w:b/>
                <w:bCs/>
              </w:rPr>
            </w:pPr>
            <w:r>
              <w:rPr>
                <w:rFonts w:hint="default"/>
                <w:b/>
                <w:bCs/>
              </w:rPr>
              <w:t>类别</w:t>
            </w:r>
          </w:p>
        </w:tc>
        <w:tc>
          <w:tcPr>
            <w:tcW w:w="1279" w:type="dxa"/>
            <w:tcBorders>
              <w:tl2br w:val="nil"/>
              <w:tr2bl w:val="nil"/>
            </w:tcBorders>
            <w:vAlign w:val="center"/>
          </w:tcPr>
          <w:p>
            <w:pPr>
              <w:pStyle w:val="17"/>
              <w:bidi w:val="0"/>
              <w:rPr>
                <w:rFonts w:hint="default"/>
                <w:b/>
                <w:bCs/>
              </w:rPr>
            </w:pPr>
            <w:r>
              <w:rPr>
                <w:rFonts w:hint="default"/>
                <w:b/>
                <w:bCs/>
              </w:rPr>
              <w:t>控制项目</w:t>
            </w:r>
          </w:p>
        </w:tc>
        <w:tc>
          <w:tcPr>
            <w:tcW w:w="1561" w:type="dxa"/>
            <w:tcBorders>
              <w:tl2br w:val="nil"/>
              <w:tr2bl w:val="nil"/>
            </w:tcBorders>
            <w:vAlign w:val="center"/>
          </w:tcPr>
          <w:p>
            <w:pPr>
              <w:pStyle w:val="17"/>
              <w:bidi w:val="0"/>
              <w:rPr>
                <w:rFonts w:hint="default"/>
                <w:b/>
                <w:bCs/>
              </w:rPr>
            </w:pPr>
            <w:r>
              <w:rPr>
                <w:rFonts w:hint="default"/>
                <w:b/>
                <w:bCs/>
              </w:rPr>
              <w:t>产生浓度</w:t>
            </w:r>
          </w:p>
          <w:p>
            <w:pPr>
              <w:pStyle w:val="17"/>
              <w:bidi w:val="0"/>
              <w:rPr>
                <w:rFonts w:hint="default"/>
                <w:b/>
                <w:bCs/>
              </w:rPr>
            </w:pPr>
            <w:r>
              <w:rPr>
                <w:rFonts w:hint="default"/>
                <w:b/>
                <w:bCs/>
              </w:rPr>
              <w:t>mg/L</w:t>
            </w:r>
          </w:p>
        </w:tc>
        <w:tc>
          <w:tcPr>
            <w:tcW w:w="1158" w:type="dxa"/>
            <w:tcBorders>
              <w:tl2br w:val="nil"/>
              <w:tr2bl w:val="nil"/>
            </w:tcBorders>
            <w:vAlign w:val="center"/>
          </w:tcPr>
          <w:p>
            <w:pPr>
              <w:pStyle w:val="17"/>
              <w:bidi w:val="0"/>
              <w:rPr>
                <w:rFonts w:hint="default"/>
                <w:b/>
                <w:bCs/>
              </w:rPr>
            </w:pPr>
            <w:r>
              <w:rPr>
                <w:rFonts w:hint="default"/>
                <w:b/>
                <w:bCs/>
              </w:rPr>
              <w:t>产生量</w:t>
            </w:r>
          </w:p>
          <w:p>
            <w:pPr>
              <w:pStyle w:val="17"/>
              <w:bidi w:val="0"/>
              <w:rPr>
                <w:rFonts w:hint="default"/>
                <w:b/>
                <w:bCs/>
              </w:rPr>
            </w:pPr>
            <w:r>
              <w:rPr>
                <w:rFonts w:hint="default"/>
                <w:b/>
                <w:bCs/>
              </w:rPr>
              <w:t>t/a</w:t>
            </w:r>
          </w:p>
        </w:tc>
        <w:tc>
          <w:tcPr>
            <w:tcW w:w="1312" w:type="dxa"/>
            <w:tcBorders>
              <w:tl2br w:val="nil"/>
              <w:tr2bl w:val="nil"/>
            </w:tcBorders>
            <w:vAlign w:val="center"/>
          </w:tcPr>
          <w:p>
            <w:pPr>
              <w:pStyle w:val="17"/>
              <w:bidi w:val="0"/>
              <w:rPr>
                <w:rFonts w:hint="default"/>
                <w:b/>
                <w:bCs/>
              </w:rPr>
            </w:pPr>
            <w:r>
              <w:rPr>
                <w:rFonts w:hint="default"/>
                <w:b/>
                <w:bCs/>
              </w:rPr>
              <w:t>排放浓度</w:t>
            </w:r>
          </w:p>
          <w:p>
            <w:pPr>
              <w:pStyle w:val="17"/>
              <w:bidi w:val="0"/>
              <w:rPr>
                <w:rFonts w:hint="default"/>
                <w:b/>
                <w:bCs/>
              </w:rPr>
            </w:pPr>
            <w:r>
              <w:rPr>
                <w:rFonts w:hint="default"/>
                <w:b/>
                <w:bCs/>
              </w:rPr>
              <w:t>mg/L</w:t>
            </w:r>
          </w:p>
        </w:tc>
        <w:tc>
          <w:tcPr>
            <w:tcW w:w="1282" w:type="dxa"/>
            <w:tcBorders>
              <w:tl2br w:val="nil"/>
              <w:tr2bl w:val="nil"/>
            </w:tcBorders>
            <w:vAlign w:val="center"/>
          </w:tcPr>
          <w:p>
            <w:pPr>
              <w:pStyle w:val="17"/>
              <w:bidi w:val="0"/>
              <w:rPr>
                <w:rFonts w:hint="default"/>
                <w:b/>
                <w:bCs/>
              </w:rPr>
            </w:pPr>
            <w:r>
              <w:rPr>
                <w:rFonts w:hint="default"/>
                <w:b/>
                <w:bCs/>
              </w:rPr>
              <w:t>排放量</w:t>
            </w:r>
          </w:p>
          <w:p>
            <w:pPr>
              <w:pStyle w:val="17"/>
              <w:bidi w:val="0"/>
              <w:rPr>
                <w:rFonts w:hint="default"/>
                <w:b/>
                <w:bCs/>
              </w:rPr>
            </w:pPr>
            <w:r>
              <w:rPr>
                <w:rFonts w:hint="default"/>
                <w:b/>
                <w:bCs/>
              </w:rPr>
              <w:t>t/a</w:t>
            </w:r>
          </w:p>
        </w:tc>
        <w:tc>
          <w:tcPr>
            <w:tcW w:w="1517" w:type="dxa"/>
            <w:tcBorders>
              <w:tl2br w:val="nil"/>
              <w:tr2bl w:val="nil"/>
            </w:tcBorders>
            <w:vAlign w:val="center"/>
          </w:tcPr>
          <w:p>
            <w:pPr>
              <w:pStyle w:val="17"/>
              <w:bidi w:val="0"/>
              <w:rPr>
                <w:rFonts w:hint="default"/>
                <w:b/>
                <w:bCs/>
              </w:rPr>
            </w:pPr>
            <w:r>
              <w:rPr>
                <w:rFonts w:hint="default"/>
                <w:b/>
                <w:bCs/>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962" w:type="dxa"/>
            <w:tcBorders>
              <w:tl2br w:val="nil"/>
              <w:tr2bl w:val="nil"/>
            </w:tcBorders>
            <w:vAlign w:val="center"/>
          </w:tcPr>
          <w:p>
            <w:pPr>
              <w:pStyle w:val="17"/>
              <w:bidi w:val="0"/>
              <w:rPr>
                <w:rFonts w:hint="default"/>
              </w:rPr>
            </w:pPr>
            <w:r>
              <w:rPr>
                <w:rFonts w:hint="default"/>
              </w:rPr>
              <w:t>生产</w:t>
            </w:r>
          </w:p>
          <w:p>
            <w:pPr>
              <w:pStyle w:val="17"/>
              <w:bidi w:val="0"/>
              <w:rPr>
                <w:rFonts w:hint="default"/>
              </w:rPr>
            </w:pPr>
            <w:r>
              <w:rPr>
                <w:rFonts w:hint="default"/>
              </w:rPr>
              <w:t>废水</w:t>
            </w:r>
          </w:p>
        </w:tc>
        <w:tc>
          <w:tcPr>
            <w:tcW w:w="1279" w:type="dxa"/>
            <w:tcBorders>
              <w:tl2br w:val="nil"/>
              <w:tr2bl w:val="nil"/>
            </w:tcBorders>
            <w:vAlign w:val="center"/>
          </w:tcPr>
          <w:p>
            <w:pPr>
              <w:pStyle w:val="17"/>
              <w:bidi w:val="0"/>
              <w:rPr>
                <w:rFonts w:hint="default"/>
              </w:rPr>
            </w:pPr>
            <w:r>
              <w:rPr>
                <w:rFonts w:hint="default"/>
              </w:rPr>
              <w:t>废水量</w:t>
            </w:r>
          </w:p>
        </w:tc>
        <w:tc>
          <w:tcPr>
            <w:tcW w:w="1561" w:type="dxa"/>
            <w:tcBorders>
              <w:tl2br w:val="nil"/>
              <w:tr2bl w:val="nil"/>
            </w:tcBorders>
            <w:vAlign w:val="center"/>
          </w:tcPr>
          <w:p>
            <w:pPr>
              <w:pStyle w:val="17"/>
              <w:bidi w:val="0"/>
              <w:rPr>
                <w:rFonts w:hint="default"/>
              </w:rPr>
            </w:pPr>
            <w:r>
              <w:rPr>
                <w:rFonts w:hint="default"/>
              </w:rPr>
              <w:t>--</w:t>
            </w:r>
          </w:p>
        </w:tc>
        <w:tc>
          <w:tcPr>
            <w:tcW w:w="1158" w:type="dxa"/>
            <w:tcBorders>
              <w:tl2br w:val="nil"/>
              <w:tr2bl w:val="nil"/>
            </w:tcBorders>
            <w:vAlign w:val="center"/>
          </w:tcPr>
          <w:p>
            <w:pPr>
              <w:pStyle w:val="17"/>
              <w:bidi w:val="0"/>
              <w:rPr>
                <w:rFonts w:hint="default"/>
                <w:lang w:val="en-US" w:eastAsia="zh-CN"/>
              </w:rPr>
            </w:pPr>
            <w:r>
              <w:rPr>
                <w:rFonts w:hint="eastAsia"/>
                <w:lang w:val="en-US" w:eastAsia="zh-CN"/>
              </w:rPr>
              <w:t>16250</w:t>
            </w:r>
          </w:p>
        </w:tc>
        <w:tc>
          <w:tcPr>
            <w:tcW w:w="1312" w:type="dxa"/>
            <w:tcBorders>
              <w:tl2br w:val="nil"/>
              <w:tr2bl w:val="nil"/>
            </w:tcBorders>
            <w:tcMar>
              <w:left w:w="0" w:type="dxa"/>
              <w:right w:w="0" w:type="dxa"/>
            </w:tcMar>
            <w:vAlign w:val="center"/>
          </w:tcPr>
          <w:p>
            <w:pPr>
              <w:pStyle w:val="17"/>
              <w:bidi w:val="0"/>
              <w:rPr>
                <w:rFonts w:hint="default"/>
              </w:rPr>
            </w:pPr>
            <w:r>
              <w:rPr>
                <w:rFonts w:hint="default"/>
              </w:rPr>
              <w:t>--</w:t>
            </w:r>
          </w:p>
        </w:tc>
        <w:tc>
          <w:tcPr>
            <w:tcW w:w="1282" w:type="dxa"/>
            <w:tcBorders>
              <w:tl2br w:val="nil"/>
              <w:tr2bl w:val="nil"/>
            </w:tcBorders>
            <w:tcMar>
              <w:left w:w="0" w:type="dxa"/>
              <w:right w:w="0" w:type="dxa"/>
            </w:tcMar>
            <w:vAlign w:val="center"/>
          </w:tcPr>
          <w:p>
            <w:pPr>
              <w:pStyle w:val="17"/>
              <w:bidi w:val="0"/>
              <w:rPr>
                <w:rFonts w:hint="default"/>
              </w:rPr>
            </w:pPr>
            <w:r>
              <w:rPr>
                <w:rFonts w:hint="default"/>
              </w:rPr>
              <w:t>0</w:t>
            </w:r>
          </w:p>
        </w:tc>
        <w:tc>
          <w:tcPr>
            <w:tcW w:w="1517" w:type="dxa"/>
            <w:tcBorders>
              <w:tl2br w:val="nil"/>
              <w:tr2bl w:val="nil"/>
            </w:tcBorders>
            <w:tcMar>
              <w:left w:w="0" w:type="dxa"/>
              <w:right w:w="0" w:type="dxa"/>
            </w:tcMar>
            <w:vAlign w:val="center"/>
          </w:tcPr>
          <w:p>
            <w:pPr>
              <w:pStyle w:val="17"/>
              <w:bidi w:val="0"/>
              <w:rPr>
                <w:rFonts w:hint="default"/>
              </w:rPr>
            </w:pPr>
            <w:r>
              <w:rPr>
                <w:rFonts w:hint="default"/>
              </w:rPr>
              <w:t>经沉淀</w:t>
            </w:r>
            <w:r>
              <w:rPr>
                <w:rFonts w:hint="eastAsia"/>
                <w:lang w:val="en-US" w:eastAsia="zh-CN"/>
              </w:rPr>
              <w:t>及污水处理设备处置后</w:t>
            </w:r>
            <w:r>
              <w:rPr>
                <w:rFonts w:hint="default"/>
              </w:rPr>
              <w:t>回用，不外排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962" w:type="dxa"/>
            <w:vMerge w:val="restart"/>
            <w:tcBorders>
              <w:tl2br w:val="nil"/>
              <w:tr2bl w:val="nil"/>
            </w:tcBorders>
            <w:vAlign w:val="center"/>
          </w:tcPr>
          <w:p>
            <w:pPr>
              <w:pStyle w:val="17"/>
              <w:bidi w:val="0"/>
              <w:rPr>
                <w:rFonts w:hint="default"/>
              </w:rPr>
            </w:pPr>
            <w:r>
              <w:rPr>
                <w:rFonts w:hint="default"/>
              </w:rPr>
              <w:t>生活</w:t>
            </w:r>
          </w:p>
          <w:p>
            <w:pPr>
              <w:pStyle w:val="17"/>
              <w:bidi w:val="0"/>
              <w:rPr>
                <w:rFonts w:hint="default"/>
              </w:rPr>
            </w:pPr>
            <w:r>
              <w:rPr>
                <w:rFonts w:hint="default"/>
              </w:rPr>
              <w:t>废水</w:t>
            </w:r>
          </w:p>
        </w:tc>
        <w:tc>
          <w:tcPr>
            <w:tcW w:w="1279" w:type="dxa"/>
            <w:tcBorders>
              <w:tl2br w:val="nil"/>
              <w:tr2bl w:val="nil"/>
            </w:tcBorders>
            <w:vAlign w:val="center"/>
          </w:tcPr>
          <w:p>
            <w:pPr>
              <w:pStyle w:val="17"/>
              <w:bidi w:val="0"/>
              <w:rPr>
                <w:rFonts w:hint="default"/>
              </w:rPr>
            </w:pPr>
            <w:r>
              <w:rPr>
                <w:rFonts w:hint="default"/>
              </w:rPr>
              <w:t>废水量</w:t>
            </w:r>
          </w:p>
        </w:tc>
        <w:tc>
          <w:tcPr>
            <w:tcW w:w="1561" w:type="dxa"/>
            <w:tcBorders>
              <w:tl2br w:val="nil"/>
              <w:tr2bl w:val="nil"/>
            </w:tcBorders>
            <w:vAlign w:val="center"/>
          </w:tcPr>
          <w:p>
            <w:pPr>
              <w:pStyle w:val="17"/>
              <w:bidi w:val="0"/>
              <w:rPr>
                <w:rFonts w:hint="default"/>
              </w:rPr>
            </w:pPr>
            <w:r>
              <w:rPr>
                <w:rFonts w:hint="default"/>
              </w:rPr>
              <w:t>--</w:t>
            </w:r>
          </w:p>
        </w:tc>
        <w:tc>
          <w:tcPr>
            <w:tcW w:w="1158" w:type="dxa"/>
            <w:tcBorders>
              <w:tl2br w:val="nil"/>
              <w:tr2bl w:val="nil"/>
            </w:tcBorders>
            <w:vAlign w:val="center"/>
          </w:tcPr>
          <w:p>
            <w:pPr>
              <w:pStyle w:val="17"/>
              <w:bidi w:val="0"/>
              <w:rPr>
                <w:rFonts w:hint="default"/>
                <w:lang w:val="en-US" w:eastAsia="zh-CN"/>
              </w:rPr>
            </w:pPr>
            <w:r>
              <w:rPr>
                <w:rFonts w:hint="eastAsia"/>
                <w:lang w:val="en-US" w:eastAsia="zh-CN"/>
              </w:rPr>
              <w:t>1108.8</w:t>
            </w:r>
          </w:p>
        </w:tc>
        <w:tc>
          <w:tcPr>
            <w:tcW w:w="1312" w:type="dxa"/>
            <w:tcBorders>
              <w:tl2br w:val="nil"/>
              <w:tr2bl w:val="nil"/>
            </w:tcBorders>
            <w:tcMar>
              <w:left w:w="0" w:type="dxa"/>
              <w:right w:w="0" w:type="dxa"/>
            </w:tcMar>
            <w:vAlign w:val="center"/>
          </w:tcPr>
          <w:p>
            <w:pPr>
              <w:pStyle w:val="17"/>
              <w:bidi w:val="0"/>
              <w:rPr>
                <w:rFonts w:hint="default"/>
              </w:rPr>
            </w:pPr>
            <w:r>
              <w:rPr>
                <w:rFonts w:hint="default"/>
              </w:rPr>
              <w:t>--</w:t>
            </w:r>
          </w:p>
        </w:tc>
        <w:tc>
          <w:tcPr>
            <w:tcW w:w="1282" w:type="dxa"/>
            <w:tcBorders>
              <w:tl2br w:val="nil"/>
              <w:tr2bl w:val="nil"/>
            </w:tcBorders>
            <w:tcMar>
              <w:left w:w="0" w:type="dxa"/>
              <w:right w:w="0" w:type="dxa"/>
            </w:tcMar>
            <w:vAlign w:val="center"/>
          </w:tcPr>
          <w:p>
            <w:pPr>
              <w:pStyle w:val="17"/>
              <w:bidi w:val="0"/>
              <w:rPr>
                <w:rFonts w:hint="default"/>
                <w:lang w:val="en-US" w:eastAsia="zh-CN"/>
              </w:rPr>
            </w:pPr>
            <w:r>
              <w:rPr>
                <w:rFonts w:hint="eastAsia"/>
                <w:lang w:val="en-US" w:eastAsia="zh-CN"/>
              </w:rPr>
              <w:t>1108.8</w:t>
            </w:r>
          </w:p>
        </w:tc>
        <w:tc>
          <w:tcPr>
            <w:tcW w:w="1517" w:type="dxa"/>
            <w:vMerge w:val="restart"/>
            <w:tcBorders>
              <w:tl2br w:val="nil"/>
              <w:tr2bl w:val="nil"/>
            </w:tcBorders>
            <w:tcMar>
              <w:left w:w="0" w:type="dxa"/>
              <w:right w:w="0" w:type="dxa"/>
            </w:tcMar>
            <w:vAlign w:val="center"/>
          </w:tcPr>
          <w:p>
            <w:pPr>
              <w:pStyle w:val="17"/>
              <w:bidi w:val="0"/>
              <w:rPr>
                <w:rFonts w:hint="default" w:eastAsia="宋体"/>
                <w:lang w:val="en-US" w:eastAsia="zh-CN"/>
              </w:rPr>
            </w:pPr>
            <w:r>
              <w:rPr>
                <w:rFonts w:hint="default"/>
              </w:rPr>
              <w:t>生活废水经隔油池处理后，</w:t>
            </w:r>
            <w:r>
              <w:rPr>
                <w:rFonts w:hint="eastAsia"/>
                <w:lang w:val="en-US" w:eastAsia="zh-CN"/>
              </w:rPr>
              <w:t>抽运至吉木萨尔县二工镇生活污水处理厂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18" w:hRule="atLeast"/>
          <w:jc w:val="center"/>
        </w:trPr>
        <w:tc>
          <w:tcPr>
            <w:tcW w:w="962" w:type="dxa"/>
            <w:vMerge w:val="continue"/>
            <w:tcBorders>
              <w:tl2br w:val="nil"/>
              <w:tr2bl w:val="nil"/>
            </w:tcBorders>
            <w:vAlign w:val="center"/>
          </w:tcPr>
          <w:p>
            <w:pPr>
              <w:pStyle w:val="17"/>
              <w:bidi w:val="0"/>
              <w:rPr>
                <w:rFonts w:hint="default"/>
              </w:rPr>
            </w:pPr>
          </w:p>
        </w:tc>
        <w:tc>
          <w:tcPr>
            <w:tcW w:w="1279" w:type="dxa"/>
            <w:tcBorders>
              <w:tl2br w:val="nil"/>
              <w:tr2bl w:val="nil"/>
            </w:tcBorders>
            <w:vAlign w:val="center"/>
          </w:tcPr>
          <w:p>
            <w:pPr>
              <w:pStyle w:val="17"/>
              <w:bidi w:val="0"/>
              <w:rPr>
                <w:rFonts w:hint="default"/>
              </w:rPr>
            </w:pPr>
            <w:r>
              <w:rPr>
                <w:rFonts w:hint="default"/>
              </w:rPr>
              <w:t>CODcr</w:t>
            </w:r>
          </w:p>
        </w:tc>
        <w:tc>
          <w:tcPr>
            <w:tcW w:w="1561" w:type="dxa"/>
            <w:tcBorders>
              <w:tl2br w:val="nil"/>
              <w:tr2bl w:val="nil"/>
            </w:tcBorders>
            <w:vAlign w:val="center"/>
          </w:tcPr>
          <w:p>
            <w:pPr>
              <w:pStyle w:val="17"/>
              <w:bidi w:val="0"/>
              <w:rPr>
                <w:rFonts w:hint="default"/>
              </w:rPr>
            </w:pPr>
            <w:r>
              <w:rPr>
                <w:rFonts w:hint="default"/>
              </w:rPr>
              <w:t>350</w:t>
            </w:r>
          </w:p>
        </w:tc>
        <w:tc>
          <w:tcPr>
            <w:tcW w:w="1158" w:type="dxa"/>
            <w:tcBorders>
              <w:tl2br w:val="nil"/>
              <w:tr2bl w:val="nil"/>
            </w:tcBorders>
            <w:vAlign w:val="center"/>
          </w:tcPr>
          <w:p>
            <w:pPr>
              <w:pStyle w:val="17"/>
              <w:bidi w:val="0"/>
              <w:rPr>
                <w:rFonts w:hint="default"/>
                <w:lang w:val="en-US" w:eastAsia="zh-CN"/>
              </w:rPr>
            </w:pPr>
            <w:r>
              <w:rPr>
                <w:rFonts w:hint="eastAsia"/>
                <w:lang w:val="en-US" w:eastAsia="zh-CN"/>
              </w:rPr>
              <w:t>0.39</w:t>
            </w:r>
          </w:p>
        </w:tc>
        <w:tc>
          <w:tcPr>
            <w:tcW w:w="1312" w:type="dxa"/>
            <w:tcBorders>
              <w:tl2br w:val="nil"/>
              <w:tr2bl w:val="nil"/>
            </w:tcBorders>
            <w:vAlign w:val="center"/>
          </w:tcPr>
          <w:p>
            <w:pPr>
              <w:pStyle w:val="17"/>
              <w:bidi w:val="0"/>
              <w:rPr>
                <w:rFonts w:hint="default"/>
              </w:rPr>
            </w:pPr>
            <w:r>
              <w:rPr>
                <w:rFonts w:hint="default"/>
              </w:rPr>
              <w:t>350</w:t>
            </w:r>
          </w:p>
        </w:tc>
        <w:tc>
          <w:tcPr>
            <w:tcW w:w="1282" w:type="dxa"/>
            <w:tcBorders>
              <w:tl2br w:val="nil"/>
              <w:tr2bl w:val="nil"/>
            </w:tcBorders>
            <w:vAlign w:val="center"/>
          </w:tcPr>
          <w:p>
            <w:pPr>
              <w:pStyle w:val="17"/>
              <w:bidi w:val="0"/>
              <w:rPr>
                <w:rFonts w:hint="default"/>
              </w:rPr>
            </w:pPr>
            <w:r>
              <w:rPr>
                <w:rFonts w:hint="eastAsia"/>
                <w:lang w:val="en-US" w:eastAsia="zh-CN"/>
              </w:rPr>
              <w:t>0.39</w:t>
            </w:r>
          </w:p>
        </w:tc>
        <w:tc>
          <w:tcPr>
            <w:tcW w:w="15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51" w:hRule="atLeast"/>
          <w:jc w:val="center"/>
        </w:trPr>
        <w:tc>
          <w:tcPr>
            <w:tcW w:w="962" w:type="dxa"/>
            <w:vMerge w:val="continue"/>
            <w:tcBorders>
              <w:tl2br w:val="nil"/>
              <w:tr2bl w:val="nil"/>
            </w:tcBorders>
            <w:vAlign w:val="center"/>
          </w:tcPr>
          <w:p>
            <w:pPr>
              <w:pStyle w:val="17"/>
              <w:bidi w:val="0"/>
              <w:rPr>
                <w:rFonts w:hint="default"/>
              </w:rPr>
            </w:pPr>
          </w:p>
        </w:tc>
        <w:tc>
          <w:tcPr>
            <w:tcW w:w="1279" w:type="dxa"/>
            <w:tcBorders>
              <w:tl2br w:val="nil"/>
              <w:tr2bl w:val="nil"/>
            </w:tcBorders>
            <w:vAlign w:val="center"/>
          </w:tcPr>
          <w:p>
            <w:pPr>
              <w:pStyle w:val="17"/>
              <w:bidi w:val="0"/>
              <w:rPr>
                <w:rFonts w:hint="default"/>
              </w:rPr>
            </w:pPr>
            <w:r>
              <w:rPr>
                <w:rFonts w:hint="default"/>
              </w:rPr>
              <w:t>BOD</w:t>
            </w:r>
            <w:r>
              <w:rPr>
                <w:rFonts w:hint="default"/>
                <w:vertAlign w:val="subscript"/>
              </w:rPr>
              <w:t>5</w:t>
            </w:r>
          </w:p>
        </w:tc>
        <w:tc>
          <w:tcPr>
            <w:tcW w:w="1561" w:type="dxa"/>
            <w:tcBorders>
              <w:tl2br w:val="nil"/>
              <w:tr2bl w:val="nil"/>
            </w:tcBorders>
            <w:vAlign w:val="center"/>
          </w:tcPr>
          <w:p>
            <w:pPr>
              <w:pStyle w:val="17"/>
              <w:bidi w:val="0"/>
              <w:rPr>
                <w:rFonts w:hint="default"/>
              </w:rPr>
            </w:pPr>
            <w:r>
              <w:rPr>
                <w:rFonts w:hint="default"/>
              </w:rPr>
              <w:t>250</w:t>
            </w:r>
          </w:p>
        </w:tc>
        <w:tc>
          <w:tcPr>
            <w:tcW w:w="1158" w:type="dxa"/>
            <w:tcBorders>
              <w:tl2br w:val="nil"/>
              <w:tr2bl w:val="nil"/>
            </w:tcBorders>
            <w:vAlign w:val="center"/>
          </w:tcPr>
          <w:p>
            <w:pPr>
              <w:pStyle w:val="17"/>
              <w:bidi w:val="0"/>
              <w:rPr>
                <w:rFonts w:hint="default"/>
                <w:lang w:val="en-US" w:eastAsia="zh-CN"/>
              </w:rPr>
            </w:pPr>
            <w:r>
              <w:rPr>
                <w:rFonts w:hint="eastAsia"/>
                <w:lang w:val="en-US" w:eastAsia="zh-CN"/>
              </w:rPr>
              <w:t>0.28</w:t>
            </w:r>
          </w:p>
        </w:tc>
        <w:tc>
          <w:tcPr>
            <w:tcW w:w="1312" w:type="dxa"/>
            <w:tcBorders>
              <w:tl2br w:val="nil"/>
              <w:tr2bl w:val="nil"/>
            </w:tcBorders>
            <w:vAlign w:val="center"/>
          </w:tcPr>
          <w:p>
            <w:pPr>
              <w:pStyle w:val="17"/>
              <w:bidi w:val="0"/>
              <w:rPr>
                <w:rFonts w:hint="default"/>
              </w:rPr>
            </w:pPr>
            <w:r>
              <w:rPr>
                <w:rFonts w:hint="default"/>
              </w:rPr>
              <w:t>250</w:t>
            </w:r>
          </w:p>
        </w:tc>
        <w:tc>
          <w:tcPr>
            <w:tcW w:w="1282" w:type="dxa"/>
            <w:tcBorders>
              <w:tl2br w:val="nil"/>
              <w:tr2bl w:val="nil"/>
            </w:tcBorders>
            <w:vAlign w:val="center"/>
          </w:tcPr>
          <w:p>
            <w:pPr>
              <w:pStyle w:val="17"/>
              <w:bidi w:val="0"/>
              <w:rPr>
                <w:rFonts w:hint="default"/>
              </w:rPr>
            </w:pPr>
            <w:r>
              <w:rPr>
                <w:rFonts w:hint="eastAsia"/>
                <w:lang w:val="en-US" w:eastAsia="zh-CN"/>
              </w:rPr>
              <w:t>0.28</w:t>
            </w:r>
          </w:p>
        </w:tc>
        <w:tc>
          <w:tcPr>
            <w:tcW w:w="15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67" w:hRule="atLeast"/>
          <w:jc w:val="center"/>
        </w:trPr>
        <w:tc>
          <w:tcPr>
            <w:tcW w:w="962" w:type="dxa"/>
            <w:vMerge w:val="continue"/>
            <w:tcBorders>
              <w:tl2br w:val="nil"/>
              <w:tr2bl w:val="nil"/>
            </w:tcBorders>
            <w:vAlign w:val="center"/>
          </w:tcPr>
          <w:p>
            <w:pPr>
              <w:pStyle w:val="17"/>
              <w:bidi w:val="0"/>
              <w:rPr>
                <w:rFonts w:hint="default"/>
              </w:rPr>
            </w:pPr>
          </w:p>
        </w:tc>
        <w:tc>
          <w:tcPr>
            <w:tcW w:w="1279" w:type="dxa"/>
            <w:tcBorders>
              <w:tl2br w:val="nil"/>
              <w:tr2bl w:val="nil"/>
            </w:tcBorders>
            <w:vAlign w:val="center"/>
          </w:tcPr>
          <w:p>
            <w:pPr>
              <w:pStyle w:val="17"/>
              <w:bidi w:val="0"/>
              <w:rPr>
                <w:rFonts w:hint="default"/>
              </w:rPr>
            </w:pPr>
            <w:r>
              <w:rPr>
                <w:rFonts w:hint="default"/>
              </w:rPr>
              <w:t>氨氮</w:t>
            </w:r>
          </w:p>
        </w:tc>
        <w:tc>
          <w:tcPr>
            <w:tcW w:w="1561" w:type="dxa"/>
            <w:tcBorders>
              <w:tl2br w:val="nil"/>
              <w:tr2bl w:val="nil"/>
            </w:tcBorders>
            <w:vAlign w:val="center"/>
          </w:tcPr>
          <w:p>
            <w:pPr>
              <w:pStyle w:val="17"/>
              <w:bidi w:val="0"/>
              <w:rPr>
                <w:rFonts w:hint="default"/>
              </w:rPr>
            </w:pPr>
            <w:r>
              <w:rPr>
                <w:rFonts w:hint="default"/>
              </w:rPr>
              <w:t>25</w:t>
            </w:r>
          </w:p>
        </w:tc>
        <w:tc>
          <w:tcPr>
            <w:tcW w:w="1158" w:type="dxa"/>
            <w:tcBorders>
              <w:tl2br w:val="nil"/>
              <w:tr2bl w:val="nil"/>
            </w:tcBorders>
            <w:vAlign w:val="center"/>
          </w:tcPr>
          <w:p>
            <w:pPr>
              <w:pStyle w:val="17"/>
              <w:bidi w:val="0"/>
              <w:rPr>
                <w:rFonts w:hint="default"/>
                <w:lang w:val="en-US" w:eastAsia="zh-CN"/>
              </w:rPr>
            </w:pPr>
            <w:r>
              <w:rPr>
                <w:rFonts w:hint="eastAsia"/>
                <w:lang w:val="en-US" w:eastAsia="zh-CN"/>
              </w:rPr>
              <w:t>0.028</w:t>
            </w:r>
          </w:p>
        </w:tc>
        <w:tc>
          <w:tcPr>
            <w:tcW w:w="1312" w:type="dxa"/>
            <w:tcBorders>
              <w:tl2br w:val="nil"/>
              <w:tr2bl w:val="nil"/>
            </w:tcBorders>
            <w:vAlign w:val="center"/>
          </w:tcPr>
          <w:p>
            <w:pPr>
              <w:pStyle w:val="17"/>
              <w:bidi w:val="0"/>
              <w:rPr>
                <w:rFonts w:hint="default"/>
              </w:rPr>
            </w:pPr>
            <w:r>
              <w:rPr>
                <w:rFonts w:hint="default"/>
              </w:rPr>
              <w:t>25</w:t>
            </w:r>
          </w:p>
        </w:tc>
        <w:tc>
          <w:tcPr>
            <w:tcW w:w="1282" w:type="dxa"/>
            <w:tcBorders>
              <w:tl2br w:val="nil"/>
              <w:tr2bl w:val="nil"/>
            </w:tcBorders>
            <w:vAlign w:val="center"/>
          </w:tcPr>
          <w:p>
            <w:pPr>
              <w:pStyle w:val="17"/>
              <w:bidi w:val="0"/>
              <w:rPr>
                <w:rFonts w:hint="default"/>
              </w:rPr>
            </w:pPr>
            <w:r>
              <w:rPr>
                <w:rFonts w:hint="eastAsia"/>
                <w:lang w:val="en-US" w:eastAsia="zh-CN"/>
              </w:rPr>
              <w:t>0.028</w:t>
            </w:r>
          </w:p>
        </w:tc>
        <w:tc>
          <w:tcPr>
            <w:tcW w:w="15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962" w:type="dxa"/>
            <w:vMerge w:val="continue"/>
            <w:tcBorders>
              <w:tl2br w:val="nil"/>
              <w:tr2bl w:val="nil"/>
            </w:tcBorders>
            <w:vAlign w:val="center"/>
          </w:tcPr>
          <w:p>
            <w:pPr>
              <w:pStyle w:val="17"/>
              <w:bidi w:val="0"/>
              <w:rPr>
                <w:rFonts w:hint="default"/>
              </w:rPr>
            </w:pPr>
          </w:p>
        </w:tc>
        <w:tc>
          <w:tcPr>
            <w:tcW w:w="1279" w:type="dxa"/>
            <w:tcBorders>
              <w:tl2br w:val="nil"/>
              <w:tr2bl w:val="nil"/>
            </w:tcBorders>
            <w:vAlign w:val="center"/>
          </w:tcPr>
          <w:p>
            <w:pPr>
              <w:pStyle w:val="17"/>
              <w:bidi w:val="0"/>
              <w:rPr>
                <w:rFonts w:hint="default"/>
              </w:rPr>
            </w:pPr>
            <w:r>
              <w:rPr>
                <w:rFonts w:hint="default"/>
              </w:rPr>
              <w:t>SS</w:t>
            </w:r>
          </w:p>
        </w:tc>
        <w:tc>
          <w:tcPr>
            <w:tcW w:w="1561" w:type="dxa"/>
            <w:tcBorders>
              <w:tl2br w:val="nil"/>
              <w:tr2bl w:val="nil"/>
            </w:tcBorders>
            <w:vAlign w:val="center"/>
          </w:tcPr>
          <w:p>
            <w:pPr>
              <w:pStyle w:val="17"/>
              <w:bidi w:val="0"/>
              <w:rPr>
                <w:rFonts w:hint="default"/>
              </w:rPr>
            </w:pPr>
            <w:r>
              <w:rPr>
                <w:rFonts w:hint="default"/>
              </w:rPr>
              <w:t>200</w:t>
            </w:r>
          </w:p>
        </w:tc>
        <w:tc>
          <w:tcPr>
            <w:tcW w:w="1158" w:type="dxa"/>
            <w:tcBorders>
              <w:tl2br w:val="nil"/>
              <w:tr2bl w:val="nil"/>
            </w:tcBorders>
            <w:vAlign w:val="center"/>
          </w:tcPr>
          <w:p>
            <w:pPr>
              <w:pStyle w:val="17"/>
              <w:bidi w:val="0"/>
              <w:rPr>
                <w:rFonts w:hint="default"/>
                <w:lang w:val="en-US" w:eastAsia="zh-CN"/>
              </w:rPr>
            </w:pPr>
            <w:r>
              <w:rPr>
                <w:rFonts w:hint="eastAsia"/>
                <w:lang w:val="en-US" w:eastAsia="zh-CN"/>
              </w:rPr>
              <w:t>0.22</w:t>
            </w:r>
          </w:p>
        </w:tc>
        <w:tc>
          <w:tcPr>
            <w:tcW w:w="1312" w:type="dxa"/>
            <w:tcBorders>
              <w:tl2br w:val="nil"/>
              <w:tr2bl w:val="nil"/>
            </w:tcBorders>
            <w:vAlign w:val="center"/>
          </w:tcPr>
          <w:p>
            <w:pPr>
              <w:pStyle w:val="17"/>
              <w:bidi w:val="0"/>
              <w:rPr>
                <w:rFonts w:hint="default"/>
              </w:rPr>
            </w:pPr>
            <w:r>
              <w:rPr>
                <w:rFonts w:hint="default"/>
              </w:rPr>
              <w:t>200</w:t>
            </w:r>
          </w:p>
        </w:tc>
        <w:tc>
          <w:tcPr>
            <w:tcW w:w="1282" w:type="dxa"/>
            <w:tcBorders>
              <w:tl2br w:val="nil"/>
              <w:tr2bl w:val="nil"/>
            </w:tcBorders>
            <w:vAlign w:val="center"/>
          </w:tcPr>
          <w:p>
            <w:pPr>
              <w:pStyle w:val="17"/>
              <w:bidi w:val="0"/>
              <w:rPr>
                <w:rFonts w:hint="default"/>
              </w:rPr>
            </w:pPr>
            <w:r>
              <w:rPr>
                <w:rFonts w:hint="eastAsia"/>
                <w:lang w:val="en-US" w:eastAsia="zh-CN"/>
              </w:rPr>
              <w:t>0.22</w:t>
            </w:r>
          </w:p>
        </w:tc>
        <w:tc>
          <w:tcPr>
            <w:tcW w:w="15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18" w:hRule="atLeast"/>
          <w:jc w:val="center"/>
        </w:trPr>
        <w:tc>
          <w:tcPr>
            <w:tcW w:w="962" w:type="dxa"/>
            <w:vMerge w:val="continue"/>
            <w:tcBorders>
              <w:tl2br w:val="nil"/>
              <w:tr2bl w:val="nil"/>
            </w:tcBorders>
            <w:vAlign w:val="center"/>
          </w:tcPr>
          <w:p>
            <w:pPr>
              <w:pStyle w:val="17"/>
              <w:bidi w:val="0"/>
              <w:rPr>
                <w:rFonts w:hint="default"/>
              </w:rPr>
            </w:pPr>
          </w:p>
        </w:tc>
        <w:tc>
          <w:tcPr>
            <w:tcW w:w="1279" w:type="dxa"/>
            <w:tcBorders>
              <w:tl2br w:val="nil"/>
              <w:tr2bl w:val="nil"/>
            </w:tcBorders>
            <w:vAlign w:val="center"/>
          </w:tcPr>
          <w:p>
            <w:pPr>
              <w:pStyle w:val="17"/>
              <w:bidi w:val="0"/>
              <w:rPr>
                <w:rFonts w:hint="default"/>
              </w:rPr>
            </w:pPr>
            <w:r>
              <w:rPr>
                <w:rFonts w:hint="default"/>
              </w:rPr>
              <w:t>动植物油</w:t>
            </w:r>
          </w:p>
        </w:tc>
        <w:tc>
          <w:tcPr>
            <w:tcW w:w="1561" w:type="dxa"/>
            <w:tcBorders>
              <w:tl2br w:val="nil"/>
              <w:tr2bl w:val="nil"/>
            </w:tcBorders>
            <w:vAlign w:val="center"/>
          </w:tcPr>
          <w:p>
            <w:pPr>
              <w:pStyle w:val="17"/>
              <w:bidi w:val="0"/>
              <w:rPr>
                <w:rFonts w:hint="default"/>
              </w:rPr>
            </w:pPr>
            <w:r>
              <w:rPr>
                <w:rFonts w:hint="default"/>
              </w:rPr>
              <w:t>100</w:t>
            </w:r>
          </w:p>
        </w:tc>
        <w:tc>
          <w:tcPr>
            <w:tcW w:w="1158" w:type="dxa"/>
            <w:tcBorders>
              <w:tl2br w:val="nil"/>
              <w:tr2bl w:val="nil"/>
            </w:tcBorders>
            <w:vAlign w:val="center"/>
          </w:tcPr>
          <w:p>
            <w:pPr>
              <w:pStyle w:val="17"/>
              <w:bidi w:val="0"/>
              <w:rPr>
                <w:rFonts w:hint="default"/>
                <w:lang w:val="en-US" w:eastAsia="zh-CN"/>
              </w:rPr>
            </w:pPr>
            <w:r>
              <w:rPr>
                <w:rFonts w:hint="eastAsia"/>
                <w:lang w:val="en-US" w:eastAsia="zh-CN"/>
              </w:rPr>
              <w:t>0.11</w:t>
            </w:r>
          </w:p>
        </w:tc>
        <w:tc>
          <w:tcPr>
            <w:tcW w:w="1312" w:type="dxa"/>
            <w:tcBorders>
              <w:tl2br w:val="nil"/>
              <w:tr2bl w:val="nil"/>
            </w:tcBorders>
            <w:vAlign w:val="center"/>
          </w:tcPr>
          <w:p>
            <w:pPr>
              <w:pStyle w:val="17"/>
              <w:bidi w:val="0"/>
              <w:rPr>
                <w:rFonts w:hint="default"/>
              </w:rPr>
            </w:pPr>
            <w:r>
              <w:rPr>
                <w:rFonts w:hint="default"/>
              </w:rPr>
              <w:t>100</w:t>
            </w:r>
          </w:p>
        </w:tc>
        <w:tc>
          <w:tcPr>
            <w:tcW w:w="1282" w:type="dxa"/>
            <w:tcBorders>
              <w:tl2br w:val="nil"/>
              <w:tr2bl w:val="nil"/>
            </w:tcBorders>
            <w:vAlign w:val="center"/>
          </w:tcPr>
          <w:p>
            <w:pPr>
              <w:pStyle w:val="17"/>
              <w:bidi w:val="0"/>
              <w:rPr>
                <w:rFonts w:hint="default"/>
              </w:rPr>
            </w:pPr>
            <w:r>
              <w:rPr>
                <w:rFonts w:hint="eastAsia"/>
                <w:lang w:val="en-US" w:eastAsia="zh-CN"/>
              </w:rPr>
              <w:t>0.11</w:t>
            </w:r>
          </w:p>
        </w:tc>
        <w:tc>
          <w:tcPr>
            <w:tcW w:w="15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18" w:hRule="atLeast"/>
          <w:jc w:val="center"/>
        </w:trPr>
        <w:tc>
          <w:tcPr>
            <w:tcW w:w="962" w:type="dxa"/>
            <w:vMerge w:val="continue"/>
            <w:tcBorders>
              <w:tl2br w:val="nil"/>
              <w:tr2bl w:val="nil"/>
            </w:tcBorders>
            <w:vAlign w:val="center"/>
          </w:tcPr>
          <w:p>
            <w:pPr>
              <w:pStyle w:val="17"/>
              <w:bidi w:val="0"/>
              <w:rPr>
                <w:rFonts w:hint="default"/>
              </w:rPr>
            </w:pPr>
          </w:p>
        </w:tc>
        <w:tc>
          <w:tcPr>
            <w:tcW w:w="1279" w:type="dxa"/>
            <w:tcBorders>
              <w:tl2br w:val="nil"/>
              <w:tr2bl w:val="nil"/>
            </w:tcBorders>
            <w:vAlign w:val="center"/>
          </w:tcPr>
          <w:p>
            <w:pPr>
              <w:pStyle w:val="17"/>
              <w:bidi w:val="0"/>
              <w:rPr>
                <w:rFonts w:hint="default"/>
                <w:lang w:val="en-US" w:eastAsia="zh-CN"/>
              </w:rPr>
            </w:pPr>
            <w:r>
              <w:rPr>
                <w:rFonts w:hint="default"/>
                <w:lang w:val="en-US" w:eastAsia="zh-CN"/>
              </w:rPr>
              <w:t>TN</w:t>
            </w:r>
          </w:p>
        </w:tc>
        <w:tc>
          <w:tcPr>
            <w:tcW w:w="1561" w:type="dxa"/>
            <w:tcBorders>
              <w:tl2br w:val="nil"/>
              <w:tr2bl w:val="nil"/>
            </w:tcBorders>
            <w:vAlign w:val="center"/>
          </w:tcPr>
          <w:p>
            <w:pPr>
              <w:pStyle w:val="17"/>
              <w:bidi w:val="0"/>
              <w:rPr>
                <w:rFonts w:hint="default"/>
                <w:lang w:val="en-US" w:eastAsia="zh-CN"/>
              </w:rPr>
            </w:pPr>
            <w:r>
              <w:rPr>
                <w:rFonts w:hint="default"/>
                <w:lang w:val="en-US" w:eastAsia="zh-CN"/>
              </w:rPr>
              <w:t>40</w:t>
            </w:r>
          </w:p>
        </w:tc>
        <w:tc>
          <w:tcPr>
            <w:tcW w:w="1158" w:type="dxa"/>
            <w:tcBorders>
              <w:tl2br w:val="nil"/>
              <w:tr2bl w:val="nil"/>
            </w:tcBorders>
            <w:vAlign w:val="center"/>
          </w:tcPr>
          <w:p>
            <w:pPr>
              <w:pStyle w:val="17"/>
              <w:bidi w:val="0"/>
              <w:rPr>
                <w:rFonts w:hint="default"/>
                <w:lang w:val="en-US" w:eastAsia="zh-CN"/>
              </w:rPr>
            </w:pPr>
            <w:r>
              <w:rPr>
                <w:rFonts w:hint="eastAsia"/>
                <w:lang w:val="en-US" w:eastAsia="zh-CN"/>
              </w:rPr>
              <w:t>0.044</w:t>
            </w:r>
          </w:p>
        </w:tc>
        <w:tc>
          <w:tcPr>
            <w:tcW w:w="1312" w:type="dxa"/>
            <w:tcBorders>
              <w:tl2br w:val="nil"/>
              <w:tr2bl w:val="nil"/>
            </w:tcBorders>
            <w:vAlign w:val="center"/>
          </w:tcPr>
          <w:p>
            <w:pPr>
              <w:pStyle w:val="17"/>
              <w:bidi w:val="0"/>
              <w:rPr>
                <w:rFonts w:hint="default"/>
                <w:lang w:val="en-US" w:eastAsia="zh-CN"/>
              </w:rPr>
            </w:pPr>
            <w:r>
              <w:rPr>
                <w:rFonts w:hint="default"/>
                <w:lang w:val="en-US" w:eastAsia="zh-CN"/>
              </w:rPr>
              <w:t>40</w:t>
            </w:r>
          </w:p>
        </w:tc>
        <w:tc>
          <w:tcPr>
            <w:tcW w:w="1282" w:type="dxa"/>
            <w:tcBorders>
              <w:tl2br w:val="nil"/>
              <w:tr2bl w:val="nil"/>
            </w:tcBorders>
            <w:vAlign w:val="center"/>
          </w:tcPr>
          <w:p>
            <w:pPr>
              <w:pStyle w:val="17"/>
              <w:bidi w:val="0"/>
              <w:rPr>
                <w:rFonts w:hint="default"/>
              </w:rPr>
            </w:pPr>
            <w:r>
              <w:rPr>
                <w:rFonts w:hint="eastAsia"/>
                <w:lang w:val="en-US" w:eastAsia="zh-CN"/>
              </w:rPr>
              <w:t>0.044</w:t>
            </w:r>
          </w:p>
        </w:tc>
        <w:tc>
          <w:tcPr>
            <w:tcW w:w="1517"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18" w:hRule="atLeast"/>
          <w:jc w:val="center"/>
        </w:trPr>
        <w:tc>
          <w:tcPr>
            <w:tcW w:w="962" w:type="dxa"/>
            <w:vMerge w:val="continue"/>
            <w:tcBorders>
              <w:tl2br w:val="nil"/>
              <w:tr2bl w:val="nil"/>
            </w:tcBorders>
            <w:vAlign w:val="center"/>
          </w:tcPr>
          <w:p>
            <w:pPr>
              <w:pStyle w:val="17"/>
              <w:bidi w:val="0"/>
              <w:rPr>
                <w:rFonts w:hint="default"/>
              </w:rPr>
            </w:pPr>
          </w:p>
        </w:tc>
        <w:tc>
          <w:tcPr>
            <w:tcW w:w="1279" w:type="dxa"/>
            <w:tcBorders>
              <w:tl2br w:val="nil"/>
              <w:tr2bl w:val="nil"/>
            </w:tcBorders>
            <w:vAlign w:val="center"/>
          </w:tcPr>
          <w:p>
            <w:pPr>
              <w:pStyle w:val="17"/>
              <w:bidi w:val="0"/>
              <w:rPr>
                <w:rFonts w:hint="default"/>
                <w:lang w:val="en-US" w:eastAsia="zh-CN"/>
              </w:rPr>
            </w:pPr>
            <w:r>
              <w:rPr>
                <w:rFonts w:hint="default"/>
                <w:lang w:val="en-US" w:eastAsia="zh-CN"/>
              </w:rPr>
              <w:t>TP</w:t>
            </w:r>
          </w:p>
        </w:tc>
        <w:tc>
          <w:tcPr>
            <w:tcW w:w="1561" w:type="dxa"/>
            <w:tcBorders>
              <w:tl2br w:val="nil"/>
              <w:tr2bl w:val="nil"/>
            </w:tcBorders>
            <w:vAlign w:val="center"/>
          </w:tcPr>
          <w:p>
            <w:pPr>
              <w:pStyle w:val="17"/>
              <w:bidi w:val="0"/>
              <w:rPr>
                <w:rFonts w:hint="default"/>
                <w:lang w:val="en-US" w:eastAsia="zh-CN"/>
              </w:rPr>
            </w:pPr>
            <w:r>
              <w:rPr>
                <w:rFonts w:hint="default"/>
                <w:lang w:val="en-US" w:eastAsia="zh-CN"/>
              </w:rPr>
              <w:t>5</w:t>
            </w:r>
          </w:p>
        </w:tc>
        <w:tc>
          <w:tcPr>
            <w:tcW w:w="1158" w:type="dxa"/>
            <w:tcBorders>
              <w:tl2br w:val="nil"/>
              <w:tr2bl w:val="nil"/>
            </w:tcBorders>
            <w:vAlign w:val="center"/>
          </w:tcPr>
          <w:p>
            <w:pPr>
              <w:pStyle w:val="17"/>
              <w:bidi w:val="0"/>
              <w:rPr>
                <w:rFonts w:hint="default"/>
                <w:lang w:val="en-US" w:eastAsia="zh-CN"/>
              </w:rPr>
            </w:pPr>
            <w:r>
              <w:rPr>
                <w:rFonts w:hint="eastAsia"/>
                <w:lang w:val="en-US" w:eastAsia="zh-CN"/>
              </w:rPr>
              <w:t>0.006</w:t>
            </w:r>
          </w:p>
        </w:tc>
        <w:tc>
          <w:tcPr>
            <w:tcW w:w="1312" w:type="dxa"/>
            <w:tcBorders>
              <w:tl2br w:val="nil"/>
              <w:tr2bl w:val="nil"/>
            </w:tcBorders>
            <w:vAlign w:val="center"/>
          </w:tcPr>
          <w:p>
            <w:pPr>
              <w:pStyle w:val="17"/>
              <w:bidi w:val="0"/>
              <w:rPr>
                <w:rFonts w:hint="default"/>
                <w:lang w:val="en-US" w:eastAsia="zh-CN"/>
              </w:rPr>
            </w:pPr>
            <w:r>
              <w:rPr>
                <w:rFonts w:hint="default"/>
                <w:lang w:val="en-US" w:eastAsia="zh-CN"/>
              </w:rPr>
              <w:t>5</w:t>
            </w:r>
          </w:p>
        </w:tc>
        <w:tc>
          <w:tcPr>
            <w:tcW w:w="1282" w:type="dxa"/>
            <w:tcBorders>
              <w:tl2br w:val="nil"/>
              <w:tr2bl w:val="nil"/>
            </w:tcBorders>
            <w:vAlign w:val="center"/>
          </w:tcPr>
          <w:p>
            <w:pPr>
              <w:pStyle w:val="17"/>
              <w:bidi w:val="0"/>
              <w:rPr>
                <w:rFonts w:hint="default"/>
              </w:rPr>
            </w:pPr>
            <w:r>
              <w:rPr>
                <w:rFonts w:hint="eastAsia"/>
                <w:lang w:val="en-US" w:eastAsia="zh-CN"/>
              </w:rPr>
              <w:t>0.006</w:t>
            </w:r>
          </w:p>
        </w:tc>
        <w:tc>
          <w:tcPr>
            <w:tcW w:w="1517" w:type="dxa"/>
            <w:vMerge w:val="continue"/>
            <w:tcBorders>
              <w:tl2br w:val="nil"/>
              <w:tr2bl w:val="nil"/>
            </w:tcBorders>
            <w:vAlign w:val="center"/>
          </w:tcPr>
          <w:p>
            <w:pPr>
              <w:pStyle w:val="17"/>
              <w:bidi w:val="0"/>
              <w:rPr>
                <w:rFonts w:hint="default"/>
              </w:rPr>
            </w:pPr>
          </w:p>
        </w:tc>
      </w:tr>
    </w:tbl>
    <w:p>
      <w:pPr>
        <w:pStyle w:val="5"/>
        <w:bidi w:val="0"/>
        <w:rPr>
          <w:rFonts w:hint="default"/>
        </w:rPr>
      </w:pPr>
      <w:r>
        <w:rPr>
          <w:rFonts w:hint="default"/>
        </w:rPr>
        <w:t>3.9.3</w:t>
      </w:r>
      <w:r>
        <w:rPr>
          <w:rFonts w:hint="eastAsia"/>
          <w:lang w:eastAsia="zh-CN"/>
        </w:rPr>
        <w:t>、</w:t>
      </w:r>
      <w:r>
        <w:rPr>
          <w:rFonts w:hint="default"/>
        </w:rPr>
        <w:t>固体废物</w:t>
      </w:r>
    </w:p>
    <w:p>
      <w:pPr>
        <w:bidi w:val="0"/>
        <w:rPr>
          <w:rFonts w:hint="default"/>
        </w:rPr>
      </w:pPr>
      <w:r>
        <w:rPr>
          <w:rFonts w:hint="default"/>
        </w:rPr>
        <w:t>本项目产生的</w:t>
      </w:r>
      <w:r>
        <w:rPr>
          <w:rFonts w:hint="eastAsia"/>
          <w:lang w:eastAsia="zh-CN"/>
        </w:rPr>
        <w:t>固体废物</w:t>
      </w:r>
      <w:r>
        <w:rPr>
          <w:rFonts w:hint="default"/>
        </w:rPr>
        <w:t>主要一般工业固废、生活垃圾</w:t>
      </w:r>
      <w:r>
        <w:rPr>
          <w:rFonts w:hint="eastAsia"/>
          <w:lang w:eastAsia="zh-CN"/>
        </w:rPr>
        <w:t>、</w:t>
      </w:r>
      <w:r>
        <w:rPr>
          <w:rFonts w:hint="eastAsia"/>
          <w:lang w:val="en-US" w:eastAsia="zh-CN"/>
        </w:rPr>
        <w:t>危险废物</w:t>
      </w:r>
      <w:r>
        <w:rPr>
          <w:rFonts w:hint="default"/>
        </w:rPr>
        <w:t>。</w:t>
      </w:r>
    </w:p>
    <w:p>
      <w:pPr>
        <w:pStyle w:val="6"/>
        <w:bidi w:val="0"/>
        <w:rPr>
          <w:rFonts w:hint="default"/>
        </w:rPr>
      </w:pPr>
      <w:r>
        <w:rPr>
          <w:rFonts w:hint="default"/>
        </w:rPr>
        <w:t>3.9.3.1</w:t>
      </w:r>
      <w:r>
        <w:rPr>
          <w:rFonts w:hint="eastAsia"/>
          <w:lang w:eastAsia="zh-CN"/>
        </w:rPr>
        <w:t>、</w:t>
      </w:r>
      <w:r>
        <w:rPr>
          <w:rFonts w:hint="default"/>
        </w:rPr>
        <w:t>一般工业固废</w:t>
      </w:r>
    </w:p>
    <w:p>
      <w:pPr>
        <w:bidi w:val="0"/>
        <w:rPr>
          <w:rFonts w:hint="default"/>
        </w:rPr>
      </w:pPr>
      <w:r>
        <w:rPr>
          <w:rFonts w:hint="default"/>
        </w:rPr>
        <w:t>（1）分拣废物</w:t>
      </w:r>
    </w:p>
    <w:p>
      <w:pPr>
        <w:bidi w:val="0"/>
        <w:rPr>
          <w:rFonts w:hint="default"/>
        </w:rPr>
      </w:pPr>
      <w:r>
        <w:rPr>
          <w:rFonts w:hint="default"/>
        </w:rPr>
        <w:t>分拣工序产生的废物主要为石块、土块、作物残渣等非塑料杂质，其产生量约为废旧滴灌带的</w:t>
      </w:r>
      <w:r>
        <w:rPr>
          <w:rFonts w:hint="eastAsia"/>
          <w:lang w:val="en-US" w:eastAsia="zh-CN"/>
        </w:rPr>
        <w:t>3</w:t>
      </w:r>
      <w:r>
        <w:rPr>
          <w:rFonts w:hint="default"/>
        </w:rPr>
        <w:t>%，即</w:t>
      </w:r>
      <w:r>
        <w:rPr>
          <w:rFonts w:hint="eastAsia"/>
          <w:lang w:val="en-US" w:eastAsia="zh-CN"/>
        </w:rPr>
        <w:t>150</w:t>
      </w:r>
      <w:r>
        <w:rPr>
          <w:rFonts w:hint="default"/>
        </w:rPr>
        <w:t>t/a。分拣废物一般不具有回收利用价值，项目区内设置垃圾箱（规格：</w:t>
      </w:r>
      <w:r>
        <w:rPr>
          <w:rFonts w:hint="eastAsia"/>
          <w:lang w:val="en-US" w:eastAsia="zh-CN"/>
        </w:rPr>
        <w:t>3</w:t>
      </w:r>
      <w:r>
        <w:rPr>
          <w:rFonts w:hint="eastAsia"/>
          <w:lang w:eastAsia="zh-CN"/>
        </w:rPr>
        <w:t>m³</w:t>
      </w:r>
      <w:r>
        <w:rPr>
          <w:rFonts w:hint="default"/>
        </w:rPr>
        <w:t>，共计2个），统一收集后由环卫部门统一处理。</w:t>
      </w:r>
    </w:p>
    <w:p>
      <w:pPr>
        <w:bidi w:val="0"/>
        <w:rPr>
          <w:rFonts w:hint="default"/>
        </w:rPr>
      </w:pPr>
      <w:r>
        <w:rPr>
          <w:rFonts w:hint="default"/>
        </w:rPr>
        <w:t>（2）</w:t>
      </w:r>
      <w:r>
        <w:rPr>
          <w:rFonts w:hint="eastAsia"/>
          <w:lang w:val="en-US" w:eastAsia="zh-CN"/>
        </w:rPr>
        <w:t>沉降池</w:t>
      </w:r>
      <w:r>
        <w:rPr>
          <w:rFonts w:hint="default"/>
        </w:rPr>
        <w:t>污泥</w:t>
      </w:r>
    </w:p>
    <w:p>
      <w:pPr>
        <w:bidi w:val="0"/>
        <w:rPr>
          <w:rFonts w:hint="default"/>
        </w:rPr>
      </w:pPr>
      <w:r>
        <w:rPr>
          <w:rFonts w:hint="default"/>
        </w:rPr>
        <w:t>沉降池污泥主要为回收的废塑料表面携带的泥沙，其产生量为</w:t>
      </w:r>
      <w:r>
        <w:rPr>
          <w:rFonts w:hint="eastAsia"/>
          <w:lang w:val="en-US" w:eastAsia="zh-CN"/>
        </w:rPr>
        <w:t>190</w:t>
      </w:r>
      <w:r>
        <w:rPr>
          <w:rFonts w:hint="default"/>
        </w:rPr>
        <w:t>t/a，统一收集后，</w:t>
      </w:r>
      <w:r>
        <w:rPr>
          <w:rFonts w:hint="default"/>
          <w:lang w:val="en-US" w:eastAsia="zh-CN"/>
        </w:rPr>
        <w:t>送</w:t>
      </w:r>
      <w:r>
        <w:rPr>
          <w:rFonts w:hint="eastAsia"/>
          <w:lang w:val="en-US" w:eastAsia="zh-CN"/>
        </w:rPr>
        <w:t>吉木萨尔县</w:t>
      </w:r>
      <w:r>
        <w:rPr>
          <w:rFonts w:hint="default"/>
          <w:lang w:val="en-US" w:eastAsia="zh-CN"/>
        </w:rPr>
        <w:t>垃圾填埋场</w:t>
      </w:r>
      <w:r>
        <w:rPr>
          <w:rFonts w:hint="default"/>
        </w:rPr>
        <w:t>干化填埋。</w:t>
      </w:r>
    </w:p>
    <w:p>
      <w:pPr>
        <w:bidi w:val="0"/>
        <w:rPr>
          <w:rFonts w:hint="default"/>
        </w:rPr>
      </w:pPr>
      <w:r>
        <w:rPr>
          <w:rFonts w:hint="default"/>
        </w:rPr>
        <w:t>（3）塑料挤出机过滤网片</w:t>
      </w:r>
    </w:p>
    <w:p>
      <w:pPr>
        <w:bidi w:val="0"/>
        <w:rPr>
          <w:rFonts w:hint="default"/>
        </w:rPr>
      </w:pPr>
      <w:r>
        <w:rPr>
          <w:rFonts w:hint="default"/>
        </w:rPr>
        <w:t>本项目塑料造粒生产线在熔融挤出工序中采用60目不锈钢过滤网对熔融状态的塑料进行过滤，使用一段时间后，过滤网将被塑料中的杂质堵塞，需定期更换过滤网，从而产生一定的废过滤网。本项目过滤网每季度更换一次，每次更换量约为60kg，则本项目塑料造粒废过滤网产生量约为0.</w:t>
      </w:r>
      <w:r>
        <w:rPr>
          <w:rFonts w:hint="eastAsia"/>
          <w:lang w:val="en-US" w:eastAsia="zh-CN"/>
        </w:rPr>
        <w:t>18</w:t>
      </w:r>
      <w:r>
        <w:rPr>
          <w:rFonts w:hint="default"/>
        </w:rPr>
        <w:t>t/a。废过滤网为不锈钢材质，杂质主要为沙粒、木屑等，属于I类一般工业固体废物，采用专用容器妥善贮存，由厂家回收。</w:t>
      </w:r>
    </w:p>
    <w:p>
      <w:pPr>
        <w:bidi w:val="0"/>
        <w:rPr>
          <w:rFonts w:hint="default"/>
        </w:rPr>
      </w:pPr>
      <w:r>
        <w:rPr>
          <w:rFonts w:hint="default"/>
        </w:rPr>
        <w:t>（4）滴灌带挤出残次品和边角料</w:t>
      </w:r>
    </w:p>
    <w:p>
      <w:pPr>
        <w:bidi w:val="0"/>
        <w:rPr>
          <w:rFonts w:hint="default"/>
        </w:rPr>
      </w:pPr>
      <w:r>
        <w:rPr>
          <w:rFonts w:hint="default"/>
        </w:rPr>
        <w:t>滴灌带在热熔挤出时产生少量残次品和边角料，年产生量约为</w:t>
      </w:r>
      <w:r>
        <w:rPr>
          <w:rFonts w:hint="eastAsia"/>
          <w:lang w:val="en-US" w:eastAsia="zh-CN"/>
        </w:rPr>
        <w:t>21.36</w:t>
      </w:r>
      <w:r>
        <w:rPr>
          <w:rFonts w:hint="default"/>
        </w:rPr>
        <w:t>t/a，为一般性工业固废，可作为造粒原料全部回用于生产。</w:t>
      </w:r>
    </w:p>
    <w:p>
      <w:pPr>
        <w:bidi w:val="0"/>
        <w:rPr>
          <w:rFonts w:hint="eastAsia"/>
          <w:lang w:val="en-US" w:eastAsia="zh-CN"/>
        </w:rPr>
      </w:pPr>
      <w:r>
        <w:rPr>
          <w:rFonts w:hint="eastAsia"/>
          <w:lang w:eastAsia="zh-CN"/>
        </w:rPr>
        <w:t>（</w:t>
      </w:r>
      <w:r>
        <w:rPr>
          <w:rFonts w:hint="eastAsia"/>
          <w:lang w:val="en-US" w:eastAsia="zh-CN"/>
        </w:rPr>
        <w:t>5</w:t>
      </w:r>
      <w:r>
        <w:rPr>
          <w:rFonts w:hint="eastAsia"/>
          <w:lang w:eastAsia="zh-CN"/>
        </w:rPr>
        <w:t>）</w:t>
      </w:r>
      <w:r>
        <w:rPr>
          <w:rFonts w:hint="eastAsia"/>
          <w:lang w:val="en-US" w:eastAsia="zh-CN"/>
        </w:rPr>
        <w:t>污水处理设备污泥</w:t>
      </w:r>
    </w:p>
    <w:p>
      <w:pPr>
        <w:bidi w:val="0"/>
        <w:rPr>
          <w:rFonts w:hint="default"/>
          <w:lang w:val="en-US" w:eastAsia="zh-CN"/>
        </w:rPr>
      </w:pPr>
      <w:r>
        <w:rPr>
          <w:rFonts w:hint="eastAsia"/>
          <w:lang w:val="en-US" w:eastAsia="zh-CN"/>
        </w:rPr>
        <w:t>本项目设置的污水处理设备污泥老化会产生一定量的污泥，参考类比同规模类似的污水处理设备，其污泥产生量约为5t/a。这部分污泥通过压滤式污泥脱水机干化后，送至吉木萨尔县垃圾填埋场卫生填埋。</w:t>
      </w:r>
    </w:p>
    <w:p>
      <w:pPr>
        <w:pStyle w:val="6"/>
        <w:bidi w:val="0"/>
        <w:rPr>
          <w:rFonts w:hint="default"/>
        </w:rPr>
      </w:pPr>
      <w:r>
        <w:rPr>
          <w:rFonts w:hint="default"/>
        </w:rPr>
        <w:t>3.9.3.2</w:t>
      </w:r>
      <w:r>
        <w:rPr>
          <w:rFonts w:hint="eastAsia"/>
          <w:lang w:eastAsia="zh-CN"/>
        </w:rPr>
        <w:t>、</w:t>
      </w:r>
      <w:r>
        <w:rPr>
          <w:rFonts w:hint="default"/>
        </w:rPr>
        <w:t>生活垃圾</w:t>
      </w:r>
    </w:p>
    <w:p>
      <w:pPr>
        <w:bidi w:val="0"/>
        <w:rPr>
          <w:rFonts w:hint="default"/>
        </w:rPr>
      </w:pPr>
      <w:r>
        <w:rPr>
          <w:rFonts w:hint="default"/>
        </w:rPr>
        <w:t>本项目生活垃圾产生量以每人1kg/d垃天计，年工作</w:t>
      </w:r>
      <w:r>
        <w:rPr>
          <w:rFonts w:hint="eastAsia"/>
          <w:lang w:val="en-US" w:eastAsia="zh-CN"/>
        </w:rPr>
        <w:t>330</w:t>
      </w:r>
      <w:r>
        <w:rPr>
          <w:rFonts w:hint="default"/>
        </w:rPr>
        <w:t>天，故本项目生活垃圾产生量为</w:t>
      </w:r>
      <w:r>
        <w:rPr>
          <w:rFonts w:hint="eastAsia"/>
          <w:lang w:val="en-US" w:eastAsia="zh-CN"/>
        </w:rPr>
        <w:t>13.86</w:t>
      </w:r>
      <w:r>
        <w:rPr>
          <w:rFonts w:hint="default"/>
        </w:rPr>
        <w:t>t/a。项目区内设置垃圾桶（规格：50L，共计2个），统一收集后由环卫部门统一处理。</w:t>
      </w:r>
    </w:p>
    <w:p>
      <w:pPr>
        <w:pStyle w:val="6"/>
        <w:bidi w:val="0"/>
        <w:rPr>
          <w:rFonts w:hint="default"/>
          <w:lang w:val="en-US" w:eastAsia="zh-CN"/>
        </w:rPr>
      </w:pPr>
      <w:r>
        <w:rPr>
          <w:rFonts w:hint="eastAsia"/>
          <w:lang w:val="en-US" w:eastAsia="zh-CN"/>
        </w:rPr>
        <w:t>3.9.3.3、危险废物</w:t>
      </w:r>
    </w:p>
    <w:p>
      <w:pPr>
        <w:bidi w:val="0"/>
        <w:rPr>
          <w:rFonts w:hint="default"/>
          <w:lang w:val="en-US" w:eastAsia="zh-CN"/>
        </w:rPr>
      </w:pPr>
      <w:r>
        <w:rPr>
          <w:rFonts w:hint="eastAsia"/>
          <w:lang w:val="en-US" w:eastAsia="zh-CN"/>
        </w:rPr>
        <w:t>（1）废灯管</w:t>
      </w:r>
    </w:p>
    <w:p>
      <w:pPr>
        <w:spacing w:line="360" w:lineRule="auto"/>
        <w:ind w:firstLine="480" w:firstLineChars="200"/>
        <w:rPr>
          <w:rFonts w:hint="eastAsia"/>
          <w:lang w:val="en-US" w:eastAsia="zh-CN"/>
        </w:rPr>
      </w:pPr>
      <w:r>
        <w:rPr>
          <w:rFonts w:hint="eastAsia"/>
          <w:lang w:val="en-US" w:eastAsia="zh-CN"/>
        </w:rPr>
        <w:t>本项目等离子光氧一体机灯管使用寿命约为5万h，而由于新疆昼夜温差大，夏季高温、冬季酷寒造成实际使用寿命大幅算短，类比同类型设备，使用寿命约为1万h，故建议等离子光氧一体机灯管每一年整体更换一次，以保证其处理效率和设备稳定性。每次更换由设备提供厂家直接更换，</w:t>
      </w:r>
      <w:r>
        <w:rPr>
          <w:rFonts w:cs="宋体"/>
          <w:color w:val="000000"/>
          <w:kern w:val="0"/>
          <w:sz w:val="24"/>
          <w:szCs w:val="26"/>
        </w:rPr>
        <w:t>根据《国家危险废物名录》（</w:t>
      </w:r>
      <w:r>
        <w:rPr>
          <w:rFonts w:hint="eastAsia" w:cs="宋体"/>
          <w:color w:val="000000"/>
          <w:kern w:val="0"/>
          <w:sz w:val="24"/>
          <w:szCs w:val="26"/>
          <w:lang w:val="en-US" w:eastAsia="zh-CN"/>
        </w:rPr>
        <w:t>2021年版</w:t>
      </w:r>
      <w:r>
        <w:rPr>
          <w:rFonts w:cs="宋体"/>
          <w:color w:val="000000"/>
          <w:kern w:val="0"/>
          <w:sz w:val="24"/>
          <w:szCs w:val="26"/>
        </w:rPr>
        <w:t>）中规定：</w:t>
      </w:r>
      <w:r>
        <w:rPr>
          <w:rFonts w:cs="宋体"/>
          <w:color w:val="FF0000"/>
          <w:kern w:val="0"/>
          <w:sz w:val="24"/>
          <w:szCs w:val="26"/>
        </w:rPr>
        <w:t>本项目产生的废灯管属于HW29 类含汞废物，危废代码为 900-023-29</w:t>
      </w:r>
      <w:r>
        <w:rPr>
          <w:rFonts w:cs="宋体"/>
          <w:color w:val="000000"/>
          <w:kern w:val="0"/>
          <w:sz w:val="24"/>
          <w:szCs w:val="26"/>
        </w:rPr>
        <w:t>，需委托有相应资质的单位回收处置</w:t>
      </w:r>
      <w:r>
        <w:rPr>
          <w:rFonts w:hint="eastAsia"/>
          <w:lang w:val="en-US" w:eastAsia="zh-CN"/>
        </w:rPr>
        <w:t>，每次更换的量约为0.015t/a，更换下来的废灯管在厂区危险废物暂存间内暂存，定期交由具有相应处理资质的单位进行后续处置。</w:t>
      </w:r>
    </w:p>
    <w:p>
      <w:pPr>
        <w:bidi w:val="0"/>
        <w:rPr>
          <w:rFonts w:hint="default"/>
          <w:lang w:val="en-US" w:eastAsia="zh-CN"/>
        </w:rPr>
      </w:pPr>
      <w:r>
        <w:rPr>
          <w:rFonts w:hint="eastAsia"/>
          <w:lang w:val="en-US" w:eastAsia="zh-CN"/>
        </w:rPr>
        <w:t>（2）废活性炭</w:t>
      </w:r>
    </w:p>
    <w:p>
      <w:pPr>
        <w:bidi w:val="0"/>
        <w:rPr>
          <w:rFonts w:hint="eastAsia"/>
          <w:lang w:val="en-US" w:eastAsia="zh-CN"/>
        </w:rPr>
      </w:pPr>
      <w:r>
        <w:rPr>
          <w:rFonts w:hint="eastAsia"/>
          <w:lang w:val="en-US" w:eastAsia="zh-CN"/>
        </w:rPr>
        <w:t>项目采用了活性炭吸附装置进一步去除废气中的非甲烷总烃，根据项目实际情况，项目每个车间配套设置一套600kg重的活性炭吸附罐，由于本项目每个车间非甲烷总烃产生量较大，类比同类型项目活性炭的老化速度，每1kg活性炭约可收集0.2kg活性炭，为保证处理效率，则建议每季度更换一次活性炭，则每年更换的废活性炭的量为7.2t/a。</w:t>
      </w:r>
      <w:r>
        <w:t>根据《国家危险废物名录》（20</w:t>
      </w:r>
      <w:r>
        <w:rPr>
          <w:rFonts w:hint="eastAsia"/>
          <w:lang w:val="en-US" w:eastAsia="zh-CN"/>
        </w:rPr>
        <w:t>21</w:t>
      </w:r>
      <w:r>
        <w:t>年</w:t>
      </w:r>
      <w:r>
        <w:rPr>
          <w:rFonts w:hint="eastAsia"/>
          <w:lang w:val="en-US" w:eastAsia="zh-CN"/>
        </w:rPr>
        <w:t>版</w:t>
      </w:r>
      <w:r>
        <w:t>），</w:t>
      </w:r>
      <w:r>
        <w:rPr>
          <w:color w:val="FF0000"/>
        </w:rPr>
        <w:t>本项目产生废活性炭属HW49</w:t>
      </w:r>
      <w:r>
        <w:rPr>
          <w:rFonts w:hint="eastAsia"/>
          <w:color w:val="FF0000"/>
        </w:rPr>
        <w:t>类</w:t>
      </w:r>
      <w:r>
        <w:rPr>
          <w:rFonts w:hint="eastAsia"/>
          <w:color w:val="FF0000"/>
          <w:lang w:val="en-US" w:eastAsia="zh-CN"/>
        </w:rPr>
        <w:t>其他废物</w:t>
      </w:r>
      <w:r>
        <w:rPr>
          <w:rFonts w:cs="宋体"/>
          <w:color w:val="FF0000"/>
          <w:kern w:val="0"/>
          <w:sz w:val="24"/>
          <w:szCs w:val="26"/>
        </w:rPr>
        <w:t>，危废代码为900-</w:t>
      </w:r>
      <w:r>
        <w:rPr>
          <w:rFonts w:hint="eastAsia" w:cs="宋体"/>
          <w:color w:val="FF0000"/>
          <w:kern w:val="0"/>
          <w:sz w:val="24"/>
          <w:szCs w:val="26"/>
        </w:rPr>
        <w:t>041</w:t>
      </w:r>
      <w:r>
        <w:rPr>
          <w:rFonts w:cs="宋体"/>
          <w:color w:val="FF0000"/>
          <w:kern w:val="0"/>
          <w:sz w:val="24"/>
          <w:szCs w:val="26"/>
        </w:rPr>
        <w:t>-49</w:t>
      </w:r>
      <w:r>
        <w:rPr>
          <w:rFonts w:hint="eastAsia"/>
          <w:lang w:val="en-US" w:eastAsia="zh-CN"/>
        </w:rPr>
        <w:t>，在厂区原料仓库内设置的危险废物暂存间进行暂存后，定期交由具有相应处理资质的单位进行后续处置。</w:t>
      </w:r>
    </w:p>
    <w:p>
      <w:pPr>
        <w:bidi w:val="0"/>
        <w:rPr>
          <w:rFonts w:hint="default"/>
          <w:lang w:val="en-US" w:eastAsia="zh-CN"/>
        </w:rPr>
      </w:pPr>
      <w:r>
        <w:rPr>
          <w:rFonts w:hint="eastAsia"/>
          <w:lang w:val="en-US" w:eastAsia="zh-CN"/>
        </w:rPr>
        <w:t>（3）废机油</w:t>
      </w:r>
    </w:p>
    <w:p>
      <w:pPr>
        <w:spacing w:line="360" w:lineRule="auto"/>
        <w:ind w:firstLine="480" w:firstLineChars="200"/>
        <w:rPr>
          <w:rFonts w:hint="default" w:ascii="Times New Roman" w:hAnsi="Times New Roman" w:eastAsia="宋体" w:cs="Times New Roman"/>
          <w:sz w:val="24"/>
          <w:szCs w:val="24"/>
        </w:rPr>
      </w:pPr>
      <w:r>
        <w:rPr>
          <w:rFonts w:hint="eastAsia"/>
          <w:lang w:val="en-US" w:eastAsia="zh-CN"/>
        </w:rPr>
        <w:t>项目在运营过程中，需要定期更换长期磨损部位的润滑油，以保证设备的长期稳定运行，定期更换下来的废机油属于危险废物，</w:t>
      </w:r>
      <w:r>
        <w:rPr>
          <w:rFonts w:hint="default" w:ascii="Times New Roman" w:hAnsi="Times New Roman" w:eastAsia="宋体" w:cs="Times New Roman"/>
          <w:sz w:val="24"/>
          <w:szCs w:val="24"/>
        </w:rPr>
        <w:t>根据所用原辅材料及同类型同规模的企业类比分析计算，其产生量约为0.</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t/a，</w:t>
      </w:r>
      <w:r>
        <w:rPr>
          <w:color w:val="FF0000"/>
        </w:rPr>
        <w:t>废弃润滑油为HW08类危险废物，废物代码为900-217-08</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暂存</w:t>
      </w:r>
      <w:r>
        <w:rPr>
          <w:rFonts w:hint="default" w:ascii="Times New Roman" w:hAnsi="Times New Roman" w:eastAsia="宋体" w:cs="Times New Roman"/>
          <w:sz w:val="24"/>
          <w:szCs w:val="24"/>
        </w:rPr>
        <w:t>企业按规范建立危险固废贮存间，交由有危废处理资质的单位进行处置。</w:t>
      </w:r>
    </w:p>
    <w:p>
      <w:pPr>
        <w:bidi w:val="0"/>
        <w:rPr>
          <w:rFonts w:hint="default"/>
        </w:rPr>
      </w:pPr>
      <w:r>
        <w:rPr>
          <w:rFonts w:hint="default"/>
        </w:rPr>
        <w:t>综上所述，本项目运营期固体废物产生情况及处理处置措施详见表3.9-3。</w:t>
      </w:r>
    </w:p>
    <w:p>
      <w:pPr>
        <w:pStyle w:val="17"/>
        <w:bidi w:val="0"/>
        <w:rPr>
          <w:rFonts w:hint="default"/>
          <w:b/>
          <w:bCs/>
        </w:rPr>
      </w:pPr>
      <w:r>
        <w:rPr>
          <w:rFonts w:hint="default"/>
          <w:b/>
          <w:bCs/>
        </w:rPr>
        <w:t xml:space="preserve">表3.9-3  </w:t>
      </w:r>
      <w:r>
        <w:rPr>
          <w:rFonts w:hint="eastAsia"/>
          <w:b/>
          <w:bCs/>
          <w:lang w:val="en-US" w:eastAsia="zh-CN"/>
        </w:rPr>
        <w:t xml:space="preserve"> </w:t>
      </w:r>
      <w:r>
        <w:rPr>
          <w:rFonts w:hint="default"/>
          <w:b/>
          <w:bCs/>
        </w:rPr>
        <w:t>固体废物产生情况及处理处置措施</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8"/>
        <w:gridCol w:w="628"/>
        <w:gridCol w:w="1274"/>
        <w:gridCol w:w="1691"/>
        <w:gridCol w:w="968"/>
        <w:gridCol w:w="39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28" w:type="dxa"/>
            <w:tcBorders>
              <w:tl2br w:val="nil"/>
              <w:tr2bl w:val="nil"/>
            </w:tcBorders>
            <w:vAlign w:val="center"/>
          </w:tcPr>
          <w:p>
            <w:pPr>
              <w:pStyle w:val="17"/>
              <w:bidi w:val="0"/>
              <w:rPr>
                <w:rFonts w:hint="default"/>
                <w:b/>
                <w:bCs/>
              </w:rPr>
            </w:pPr>
            <w:r>
              <w:rPr>
                <w:rFonts w:hint="default"/>
                <w:b/>
                <w:bCs/>
              </w:rPr>
              <w:t>序号</w:t>
            </w:r>
          </w:p>
        </w:tc>
        <w:tc>
          <w:tcPr>
            <w:tcW w:w="1902" w:type="dxa"/>
            <w:gridSpan w:val="2"/>
            <w:tcBorders>
              <w:tl2br w:val="nil"/>
              <w:tr2bl w:val="nil"/>
            </w:tcBorders>
            <w:vAlign w:val="center"/>
          </w:tcPr>
          <w:p>
            <w:pPr>
              <w:pStyle w:val="17"/>
              <w:bidi w:val="0"/>
              <w:rPr>
                <w:rFonts w:hint="default"/>
                <w:b/>
                <w:bCs/>
              </w:rPr>
            </w:pPr>
            <w:r>
              <w:rPr>
                <w:rFonts w:hint="default"/>
                <w:b/>
                <w:bCs/>
              </w:rPr>
              <w:t>固废类别</w:t>
            </w:r>
          </w:p>
        </w:tc>
        <w:tc>
          <w:tcPr>
            <w:tcW w:w="1691" w:type="dxa"/>
            <w:tcBorders>
              <w:tl2br w:val="nil"/>
              <w:tr2bl w:val="nil"/>
            </w:tcBorders>
            <w:vAlign w:val="center"/>
          </w:tcPr>
          <w:p>
            <w:pPr>
              <w:pStyle w:val="17"/>
              <w:bidi w:val="0"/>
              <w:rPr>
                <w:rFonts w:hint="default"/>
                <w:b/>
                <w:bCs/>
              </w:rPr>
            </w:pPr>
            <w:r>
              <w:rPr>
                <w:rFonts w:hint="default"/>
                <w:b/>
                <w:bCs/>
              </w:rPr>
              <w:t>产生工序</w:t>
            </w:r>
          </w:p>
        </w:tc>
        <w:tc>
          <w:tcPr>
            <w:tcW w:w="968" w:type="dxa"/>
            <w:tcBorders>
              <w:tl2br w:val="nil"/>
              <w:tr2bl w:val="nil"/>
            </w:tcBorders>
            <w:vAlign w:val="center"/>
          </w:tcPr>
          <w:p>
            <w:pPr>
              <w:pStyle w:val="17"/>
              <w:bidi w:val="0"/>
              <w:rPr>
                <w:rFonts w:hint="default"/>
                <w:b/>
                <w:bCs/>
              </w:rPr>
            </w:pPr>
            <w:r>
              <w:rPr>
                <w:rFonts w:hint="default"/>
                <w:b/>
                <w:bCs/>
              </w:rPr>
              <w:t>产生量（t/a）</w:t>
            </w:r>
          </w:p>
        </w:tc>
        <w:tc>
          <w:tcPr>
            <w:tcW w:w="3982" w:type="dxa"/>
            <w:tcBorders>
              <w:tl2br w:val="nil"/>
              <w:tr2bl w:val="nil"/>
            </w:tcBorders>
            <w:vAlign w:val="center"/>
          </w:tcPr>
          <w:p>
            <w:pPr>
              <w:pStyle w:val="17"/>
              <w:bidi w:val="0"/>
              <w:rPr>
                <w:rFonts w:hint="default"/>
                <w:b/>
                <w:bCs/>
              </w:rPr>
            </w:pPr>
            <w:r>
              <w:rPr>
                <w:rFonts w:hint="default"/>
                <w:b/>
                <w:bCs/>
              </w:rPr>
              <w:t>处理处置措施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28" w:type="dxa"/>
            <w:tcBorders>
              <w:tl2br w:val="nil"/>
              <w:tr2bl w:val="nil"/>
            </w:tcBorders>
            <w:vAlign w:val="center"/>
          </w:tcPr>
          <w:p>
            <w:pPr>
              <w:pStyle w:val="17"/>
              <w:bidi w:val="0"/>
              <w:rPr>
                <w:rFonts w:hint="default"/>
              </w:rPr>
            </w:pPr>
            <w:r>
              <w:rPr>
                <w:rFonts w:hint="default"/>
              </w:rPr>
              <w:t>1</w:t>
            </w:r>
          </w:p>
        </w:tc>
        <w:tc>
          <w:tcPr>
            <w:tcW w:w="628" w:type="dxa"/>
            <w:vMerge w:val="restart"/>
            <w:tcBorders>
              <w:tl2br w:val="nil"/>
              <w:tr2bl w:val="nil"/>
            </w:tcBorders>
            <w:vAlign w:val="center"/>
          </w:tcPr>
          <w:p>
            <w:pPr>
              <w:pStyle w:val="17"/>
              <w:bidi w:val="0"/>
              <w:rPr>
                <w:rFonts w:hint="default"/>
              </w:rPr>
            </w:pPr>
            <w:r>
              <w:rPr>
                <w:rFonts w:hint="default"/>
              </w:rPr>
              <w:t>一般生产固废</w:t>
            </w:r>
          </w:p>
        </w:tc>
        <w:tc>
          <w:tcPr>
            <w:tcW w:w="1274" w:type="dxa"/>
            <w:tcBorders>
              <w:tl2br w:val="nil"/>
              <w:tr2bl w:val="nil"/>
            </w:tcBorders>
            <w:vAlign w:val="center"/>
          </w:tcPr>
          <w:p>
            <w:pPr>
              <w:pStyle w:val="17"/>
              <w:bidi w:val="0"/>
              <w:rPr>
                <w:rFonts w:hint="default"/>
              </w:rPr>
            </w:pPr>
            <w:r>
              <w:rPr>
                <w:rFonts w:hint="default"/>
              </w:rPr>
              <w:t>分拣废物</w:t>
            </w:r>
          </w:p>
        </w:tc>
        <w:tc>
          <w:tcPr>
            <w:tcW w:w="1691" w:type="dxa"/>
            <w:tcBorders>
              <w:tl2br w:val="nil"/>
              <w:tr2bl w:val="nil"/>
            </w:tcBorders>
            <w:vAlign w:val="center"/>
          </w:tcPr>
          <w:p>
            <w:pPr>
              <w:pStyle w:val="17"/>
              <w:bidi w:val="0"/>
              <w:rPr>
                <w:rFonts w:hint="default"/>
              </w:rPr>
            </w:pPr>
            <w:r>
              <w:rPr>
                <w:rFonts w:hint="default"/>
              </w:rPr>
              <w:t>分拣工序</w:t>
            </w:r>
          </w:p>
        </w:tc>
        <w:tc>
          <w:tcPr>
            <w:tcW w:w="968" w:type="dxa"/>
            <w:tcBorders>
              <w:tl2br w:val="nil"/>
              <w:tr2bl w:val="nil"/>
            </w:tcBorders>
            <w:vAlign w:val="center"/>
          </w:tcPr>
          <w:p>
            <w:pPr>
              <w:pStyle w:val="17"/>
              <w:bidi w:val="0"/>
              <w:rPr>
                <w:rFonts w:hint="default"/>
                <w:lang w:val="en-US" w:eastAsia="zh-CN"/>
              </w:rPr>
            </w:pPr>
            <w:r>
              <w:rPr>
                <w:rFonts w:hint="eastAsia"/>
                <w:lang w:val="en-US" w:eastAsia="zh-CN"/>
              </w:rPr>
              <w:t>150</w:t>
            </w:r>
          </w:p>
        </w:tc>
        <w:tc>
          <w:tcPr>
            <w:tcW w:w="3982" w:type="dxa"/>
            <w:tcBorders>
              <w:tl2br w:val="nil"/>
              <w:tr2bl w:val="nil"/>
            </w:tcBorders>
            <w:vAlign w:val="center"/>
          </w:tcPr>
          <w:p>
            <w:pPr>
              <w:pStyle w:val="17"/>
              <w:bidi w:val="0"/>
              <w:rPr>
                <w:rFonts w:hint="default"/>
              </w:rPr>
            </w:pPr>
            <w:r>
              <w:rPr>
                <w:rFonts w:hint="default"/>
              </w:rPr>
              <w:t>项目区内设置垃圾箱（规格：3</w:t>
            </w:r>
            <w:r>
              <w:rPr>
                <w:rFonts w:hint="eastAsia"/>
                <w:lang w:eastAsia="zh-CN"/>
              </w:rPr>
              <w:t>m³</w:t>
            </w:r>
            <w:r>
              <w:rPr>
                <w:rFonts w:hint="default"/>
              </w:rPr>
              <w:t>，共计2个），统一收集后由环卫部门</w:t>
            </w:r>
            <w:r>
              <w:rPr>
                <w:rFonts w:hint="default"/>
                <w:lang w:val="en-US" w:eastAsia="zh-CN"/>
              </w:rPr>
              <w:t>送</w:t>
            </w:r>
            <w:r>
              <w:rPr>
                <w:rFonts w:hint="eastAsia"/>
                <w:lang w:val="en-US" w:eastAsia="zh-CN"/>
              </w:rPr>
              <w:t>吉木萨尔县</w:t>
            </w:r>
            <w:r>
              <w:rPr>
                <w:rFonts w:hint="default"/>
                <w:lang w:val="en-US" w:eastAsia="zh-CN"/>
              </w:rPr>
              <w:t>垃圾填埋场填埋</w:t>
            </w:r>
            <w:r>
              <w:rPr>
                <w:rFonts w:hint="default"/>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28" w:type="dxa"/>
            <w:tcBorders>
              <w:tl2br w:val="nil"/>
              <w:tr2bl w:val="nil"/>
            </w:tcBorders>
            <w:vAlign w:val="center"/>
          </w:tcPr>
          <w:p>
            <w:pPr>
              <w:pStyle w:val="17"/>
              <w:bidi w:val="0"/>
              <w:rPr>
                <w:rFonts w:hint="default"/>
              </w:rPr>
            </w:pPr>
            <w:r>
              <w:rPr>
                <w:rFonts w:hint="default"/>
              </w:rPr>
              <w:t>2</w:t>
            </w:r>
          </w:p>
        </w:tc>
        <w:tc>
          <w:tcPr>
            <w:tcW w:w="628" w:type="dxa"/>
            <w:vMerge w:val="continue"/>
            <w:tcBorders>
              <w:tl2br w:val="nil"/>
              <w:tr2bl w:val="nil"/>
            </w:tcBorders>
            <w:vAlign w:val="center"/>
          </w:tcPr>
          <w:p>
            <w:pPr>
              <w:pStyle w:val="17"/>
              <w:bidi w:val="0"/>
              <w:rPr>
                <w:rFonts w:hint="default"/>
              </w:rPr>
            </w:pPr>
          </w:p>
        </w:tc>
        <w:tc>
          <w:tcPr>
            <w:tcW w:w="1274" w:type="dxa"/>
            <w:tcBorders>
              <w:tl2br w:val="nil"/>
              <w:tr2bl w:val="nil"/>
            </w:tcBorders>
            <w:vAlign w:val="center"/>
          </w:tcPr>
          <w:p>
            <w:pPr>
              <w:pStyle w:val="17"/>
              <w:bidi w:val="0"/>
              <w:rPr>
                <w:rFonts w:hint="default"/>
              </w:rPr>
            </w:pPr>
            <w:r>
              <w:rPr>
                <w:rFonts w:hint="default"/>
              </w:rPr>
              <w:t>不合格产品</w:t>
            </w:r>
          </w:p>
        </w:tc>
        <w:tc>
          <w:tcPr>
            <w:tcW w:w="1691" w:type="dxa"/>
            <w:tcBorders>
              <w:tl2br w:val="nil"/>
              <w:tr2bl w:val="nil"/>
            </w:tcBorders>
            <w:vAlign w:val="center"/>
          </w:tcPr>
          <w:p>
            <w:pPr>
              <w:pStyle w:val="17"/>
              <w:bidi w:val="0"/>
              <w:rPr>
                <w:rFonts w:hint="default"/>
              </w:rPr>
            </w:pPr>
            <w:r>
              <w:rPr>
                <w:rFonts w:hint="default"/>
              </w:rPr>
              <w:t>滴灌带、</w:t>
            </w:r>
            <w:r>
              <w:rPr>
                <w:rFonts w:hint="default"/>
                <w:lang w:eastAsia="zh-CN"/>
              </w:rPr>
              <w:t>PE管材</w:t>
            </w:r>
            <w:r>
              <w:rPr>
                <w:rFonts w:hint="default"/>
              </w:rPr>
              <w:t>、地膜生产过程</w:t>
            </w:r>
          </w:p>
        </w:tc>
        <w:tc>
          <w:tcPr>
            <w:tcW w:w="968" w:type="dxa"/>
            <w:tcBorders>
              <w:tl2br w:val="nil"/>
              <w:tr2bl w:val="nil"/>
            </w:tcBorders>
            <w:vAlign w:val="center"/>
          </w:tcPr>
          <w:p>
            <w:pPr>
              <w:pStyle w:val="17"/>
              <w:bidi w:val="0"/>
              <w:rPr>
                <w:rFonts w:hint="default" w:eastAsia="宋体"/>
                <w:lang w:val="en-US" w:eastAsia="zh-CN"/>
              </w:rPr>
            </w:pPr>
            <w:r>
              <w:rPr>
                <w:rFonts w:hint="eastAsia"/>
                <w:lang w:val="en-US" w:eastAsia="zh-CN"/>
              </w:rPr>
              <w:t>21.36</w:t>
            </w:r>
          </w:p>
        </w:tc>
        <w:tc>
          <w:tcPr>
            <w:tcW w:w="3982" w:type="dxa"/>
            <w:tcBorders>
              <w:tl2br w:val="nil"/>
              <w:tr2bl w:val="nil"/>
            </w:tcBorders>
            <w:vAlign w:val="center"/>
          </w:tcPr>
          <w:p>
            <w:pPr>
              <w:pStyle w:val="17"/>
              <w:bidi w:val="0"/>
              <w:rPr>
                <w:rFonts w:hint="default"/>
              </w:rPr>
            </w:pPr>
            <w:r>
              <w:rPr>
                <w:rFonts w:hint="default"/>
              </w:rPr>
              <w:t>运至破碎机破碎后，回用到生产系统，综合利用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28" w:type="dxa"/>
            <w:tcBorders>
              <w:tl2br w:val="nil"/>
              <w:tr2bl w:val="nil"/>
            </w:tcBorders>
            <w:vAlign w:val="center"/>
          </w:tcPr>
          <w:p>
            <w:pPr>
              <w:pStyle w:val="17"/>
              <w:bidi w:val="0"/>
              <w:rPr>
                <w:rFonts w:hint="default"/>
              </w:rPr>
            </w:pPr>
            <w:r>
              <w:rPr>
                <w:rFonts w:hint="default"/>
              </w:rPr>
              <w:t>3</w:t>
            </w:r>
          </w:p>
        </w:tc>
        <w:tc>
          <w:tcPr>
            <w:tcW w:w="628" w:type="dxa"/>
            <w:vMerge w:val="continue"/>
            <w:tcBorders>
              <w:tl2br w:val="nil"/>
              <w:tr2bl w:val="nil"/>
            </w:tcBorders>
            <w:vAlign w:val="center"/>
          </w:tcPr>
          <w:p>
            <w:pPr>
              <w:pStyle w:val="17"/>
              <w:bidi w:val="0"/>
              <w:rPr>
                <w:rFonts w:hint="default"/>
              </w:rPr>
            </w:pPr>
          </w:p>
        </w:tc>
        <w:tc>
          <w:tcPr>
            <w:tcW w:w="1274" w:type="dxa"/>
            <w:tcBorders>
              <w:tl2br w:val="nil"/>
              <w:tr2bl w:val="nil"/>
            </w:tcBorders>
            <w:vAlign w:val="center"/>
          </w:tcPr>
          <w:p>
            <w:pPr>
              <w:pStyle w:val="17"/>
              <w:bidi w:val="0"/>
              <w:rPr>
                <w:rFonts w:hint="default"/>
              </w:rPr>
            </w:pPr>
            <w:r>
              <w:rPr>
                <w:rFonts w:hint="default"/>
              </w:rPr>
              <w:t>沉降池污泥</w:t>
            </w:r>
          </w:p>
        </w:tc>
        <w:tc>
          <w:tcPr>
            <w:tcW w:w="1691" w:type="dxa"/>
            <w:tcBorders>
              <w:tl2br w:val="nil"/>
              <w:tr2bl w:val="nil"/>
            </w:tcBorders>
            <w:vAlign w:val="center"/>
          </w:tcPr>
          <w:p>
            <w:pPr>
              <w:pStyle w:val="17"/>
              <w:bidi w:val="0"/>
              <w:rPr>
                <w:rFonts w:hint="default"/>
              </w:rPr>
            </w:pPr>
            <w:r>
              <w:rPr>
                <w:rFonts w:hint="default"/>
              </w:rPr>
              <w:t>沉降池清理过程</w:t>
            </w:r>
          </w:p>
        </w:tc>
        <w:tc>
          <w:tcPr>
            <w:tcW w:w="968" w:type="dxa"/>
            <w:tcBorders>
              <w:tl2br w:val="nil"/>
              <w:tr2bl w:val="nil"/>
            </w:tcBorders>
            <w:vAlign w:val="center"/>
          </w:tcPr>
          <w:p>
            <w:pPr>
              <w:pStyle w:val="17"/>
              <w:bidi w:val="0"/>
              <w:rPr>
                <w:rFonts w:hint="default"/>
                <w:lang w:val="en-US" w:eastAsia="zh-CN"/>
              </w:rPr>
            </w:pPr>
            <w:r>
              <w:rPr>
                <w:rFonts w:hint="eastAsia"/>
                <w:lang w:val="en-US" w:eastAsia="zh-CN"/>
              </w:rPr>
              <w:t>190</w:t>
            </w:r>
          </w:p>
        </w:tc>
        <w:tc>
          <w:tcPr>
            <w:tcW w:w="3982" w:type="dxa"/>
            <w:tcBorders>
              <w:tl2br w:val="nil"/>
              <w:tr2bl w:val="nil"/>
            </w:tcBorders>
            <w:vAlign w:val="center"/>
          </w:tcPr>
          <w:p>
            <w:pPr>
              <w:pStyle w:val="17"/>
              <w:bidi w:val="0"/>
              <w:rPr>
                <w:rFonts w:hint="default"/>
              </w:rPr>
            </w:pPr>
            <w:r>
              <w:rPr>
                <w:rFonts w:hint="default"/>
              </w:rPr>
              <w:t>统一收集后，由环卫部门</w:t>
            </w:r>
            <w:r>
              <w:rPr>
                <w:rFonts w:hint="default"/>
                <w:lang w:val="en-US" w:eastAsia="zh-CN"/>
              </w:rPr>
              <w:t>送</w:t>
            </w:r>
            <w:r>
              <w:rPr>
                <w:rFonts w:hint="eastAsia"/>
                <w:lang w:val="en-US" w:eastAsia="zh-CN"/>
              </w:rPr>
              <w:t>吉木萨尔县</w:t>
            </w:r>
            <w:r>
              <w:rPr>
                <w:rFonts w:hint="default"/>
                <w:lang w:val="en-US" w:eastAsia="zh-CN"/>
              </w:rPr>
              <w:t>垃圾填埋场</w:t>
            </w:r>
            <w:r>
              <w:rPr>
                <w:rFonts w:hint="default"/>
              </w:rPr>
              <w:t>干化填埋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28" w:type="dxa"/>
            <w:tcBorders>
              <w:tl2br w:val="nil"/>
              <w:tr2bl w:val="nil"/>
            </w:tcBorders>
            <w:vAlign w:val="center"/>
          </w:tcPr>
          <w:p>
            <w:pPr>
              <w:pStyle w:val="17"/>
              <w:bidi w:val="0"/>
              <w:rPr>
                <w:rFonts w:hint="default"/>
              </w:rPr>
            </w:pPr>
            <w:r>
              <w:rPr>
                <w:rFonts w:hint="default"/>
              </w:rPr>
              <w:t>4</w:t>
            </w:r>
          </w:p>
        </w:tc>
        <w:tc>
          <w:tcPr>
            <w:tcW w:w="628" w:type="dxa"/>
            <w:vMerge w:val="continue"/>
            <w:tcBorders>
              <w:tl2br w:val="nil"/>
              <w:tr2bl w:val="nil"/>
            </w:tcBorders>
            <w:vAlign w:val="center"/>
          </w:tcPr>
          <w:p>
            <w:pPr>
              <w:pStyle w:val="17"/>
              <w:bidi w:val="0"/>
              <w:rPr>
                <w:rFonts w:hint="default"/>
              </w:rPr>
            </w:pPr>
          </w:p>
        </w:tc>
        <w:tc>
          <w:tcPr>
            <w:tcW w:w="1274" w:type="dxa"/>
            <w:tcBorders>
              <w:tl2br w:val="nil"/>
              <w:tr2bl w:val="nil"/>
            </w:tcBorders>
            <w:vAlign w:val="center"/>
          </w:tcPr>
          <w:p>
            <w:pPr>
              <w:pStyle w:val="17"/>
              <w:bidi w:val="0"/>
              <w:rPr>
                <w:rFonts w:hint="default"/>
              </w:rPr>
            </w:pPr>
            <w:r>
              <w:rPr>
                <w:rFonts w:hint="default"/>
              </w:rPr>
              <w:t>废过滤网</w:t>
            </w:r>
          </w:p>
        </w:tc>
        <w:tc>
          <w:tcPr>
            <w:tcW w:w="1691" w:type="dxa"/>
            <w:tcBorders>
              <w:tl2br w:val="nil"/>
              <w:tr2bl w:val="nil"/>
            </w:tcBorders>
            <w:vAlign w:val="center"/>
          </w:tcPr>
          <w:p>
            <w:pPr>
              <w:pStyle w:val="17"/>
              <w:bidi w:val="0"/>
              <w:rPr>
                <w:rFonts w:hint="default"/>
              </w:rPr>
            </w:pPr>
            <w:r>
              <w:rPr>
                <w:rFonts w:hint="default"/>
              </w:rPr>
              <w:t>熔融挤出工序</w:t>
            </w:r>
          </w:p>
        </w:tc>
        <w:tc>
          <w:tcPr>
            <w:tcW w:w="968" w:type="dxa"/>
            <w:tcBorders>
              <w:tl2br w:val="nil"/>
              <w:tr2bl w:val="nil"/>
            </w:tcBorders>
            <w:vAlign w:val="center"/>
          </w:tcPr>
          <w:p>
            <w:pPr>
              <w:pStyle w:val="17"/>
              <w:bidi w:val="0"/>
              <w:rPr>
                <w:rFonts w:hint="eastAsia"/>
                <w:lang w:eastAsia="zh-CN"/>
              </w:rPr>
            </w:pPr>
            <w:r>
              <w:rPr>
                <w:rFonts w:hint="default"/>
              </w:rPr>
              <w:t>0.1</w:t>
            </w:r>
            <w:r>
              <w:rPr>
                <w:rFonts w:hint="eastAsia"/>
                <w:lang w:val="en-US" w:eastAsia="zh-CN"/>
              </w:rPr>
              <w:t>8</w:t>
            </w:r>
          </w:p>
        </w:tc>
        <w:tc>
          <w:tcPr>
            <w:tcW w:w="3982" w:type="dxa"/>
            <w:tcBorders>
              <w:tl2br w:val="nil"/>
              <w:tr2bl w:val="nil"/>
            </w:tcBorders>
            <w:vAlign w:val="center"/>
          </w:tcPr>
          <w:p>
            <w:pPr>
              <w:pStyle w:val="17"/>
              <w:bidi w:val="0"/>
              <w:rPr>
                <w:rFonts w:hint="default"/>
              </w:rPr>
            </w:pPr>
            <w:r>
              <w:rPr>
                <w:rFonts w:hint="default"/>
              </w:rPr>
              <w:t>由厂家回收。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28" w:type="dxa"/>
            <w:tcBorders>
              <w:tl2br w:val="nil"/>
              <w:tr2bl w:val="nil"/>
            </w:tcBorders>
            <w:vAlign w:val="center"/>
          </w:tcPr>
          <w:p>
            <w:pPr>
              <w:pStyle w:val="17"/>
              <w:bidi w:val="0"/>
              <w:rPr>
                <w:rFonts w:hint="eastAsia" w:eastAsia="宋体"/>
                <w:lang w:val="en-US" w:eastAsia="zh-CN"/>
              </w:rPr>
            </w:pPr>
            <w:r>
              <w:rPr>
                <w:rFonts w:hint="eastAsia"/>
                <w:lang w:val="en-US" w:eastAsia="zh-CN"/>
              </w:rPr>
              <w:t>5</w:t>
            </w:r>
          </w:p>
        </w:tc>
        <w:tc>
          <w:tcPr>
            <w:tcW w:w="628" w:type="dxa"/>
            <w:vMerge w:val="continue"/>
            <w:tcBorders>
              <w:tl2br w:val="nil"/>
              <w:tr2bl w:val="nil"/>
            </w:tcBorders>
            <w:vAlign w:val="center"/>
          </w:tcPr>
          <w:p>
            <w:pPr>
              <w:pStyle w:val="17"/>
              <w:bidi w:val="0"/>
              <w:rPr>
                <w:rFonts w:hint="default"/>
              </w:rPr>
            </w:pPr>
          </w:p>
        </w:tc>
        <w:tc>
          <w:tcPr>
            <w:tcW w:w="1274" w:type="dxa"/>
            <w:tcBorders>
              <w:tl2br w:val="nil"/>
              <w:tr2bl w:val="nil"/>
            </w:tcBorders>
            <w:vAlign w:val="center"/>
          </w:tcPr>
          <w:p>
            <w:pPr>
              <w:pStyle w:val="17"/>
              <w:bidi w:val="0"/>
              <w:rPr>
                <w:rFonts w:hint="default" w:eastAsia="宋体"/>
                <w:lang w:val="en-US" w:eastAsia="zh-CN"/>
              </w:rPr>
            </w:pPr>
            <w:r>
              <w:rPr>
                <w:rFonts w:hint="eastAsia"/>
                <w:lang w:val="en-US" w:eastAsia="zh-CN"/>
              </w:rPr>
              <w:t>污水处理设备污泥</w:t>
            </w:r>
          </w:p>
        </w:tc>
        <w:tc>
          <w:tcPr>
            <w:tcW w:w="1691" w:type="dxa"/>
            <w:tcBorders>
              <w:tl2br w:val="nil"/>
              <w:tr2bl w:val="nil"/>
            </w:tcBorders>
            <w:vAlign w:val="center"/>
          </w:tcPr>
          <w:p>
            <w:pPr>
              <w:pStyle w:val="17"/>
              <w:bidi w:val="0"/>
              <w:rPr>
                <w:rFonts w:hint="default" w:eastAsia="宋体"/>
                <w:lang w:val="en-US" w:eastAsia="zh-CN"/>
              </w:rPr>
            </w:pPr>
            <w:r>
              <w:rPr>
                <w:rFonts w:hint="eastAsia"/>
                <w:lang w:val="en-US" w:eastAsia="zh-CN"/>
              </w:rPr>
              <w:t>活性污泥老化</w:t>
            </w:r>
          </w:p>
        </w:tc>
        <w:tc>
          <w:tcPr>
            <w:tcW w:w="968" w:type="dxa"/>
            <w:tcBorders>
              <w:tl2br w:val="nil"/>
              <w:tr2bl w:val="nil"/>
            </w:tcBorders>
            <w:vAlign w:val="center"/>
          </w:tcPr>
          <w:p>
            <w:pPr>
              <w:pStyle w:val="17"/>
              <w:bidi w:val="0"/>
              <w:rPr>
                <w:rFonts w:hint="default" w:eastAsia="宋体"/>
                <w:lang w:val="en-US" w:eastAsia="zh-CN"/>
              </w:rPr>
            </w:pPr>
            <w:r>
              <w:rPr>
                <w:rFonts w:hint="eastAsia"/>
                <w:lang w:val="en-US" w:eastAsia="zh-CN"/>
              </w:rPr>
              <w:t>5</w:t>
            </w:r>
          </w:p>
        </w:tc>
        <w:tc>
          <w:tcPr>
            <w:tcW w:w="3982" w:type="dxa"/>
            <w:tcBorders>
              <w:tl2br w:val="nil"/>
              <w:tr2bl w:val="nil"/>
            </w:tcBorders>
            <w:vAlign w:val="center"/>
          </w:tcPr>
          <w:p>
            <w:pPr>
              <w:pStyle w:val="17"/>
              <w:bidi w:val="0"/>
              <w:rPr>
                <w:rFonts w:hint="default" w:eastAsia="宋体"/>
                <w:lang w:val="en-US" w:eastAsia="zh-CN"/>
              </w:rPr>
            </w:pPr>
            <w:r>
              <w:rPr>
                <w:rFonts w:hint="eastAsia"/>
                <w:lang w:val="en-US" w:eastAsia="zh-CN"/>
              </w:rPr>
              <w:t>干化后送至垃圾填埋场卫生填埋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28" w:type="dxa"/>
            <w:tcBorders>
              <w:tl2br w:val="nil"/>
              <w:tr2bl w:val="nil"/>
            </w:tcBorders>
            <w:vAlign w:val="center"/>
          </w:tcPr>
          <w:p>
            <w:pPr>
              <w:pStyle w:val="17"/>
              <w:bidi w:val="0"/>
              <w:rPr>
                <w:rFonts w:hint="default"/>
              </w:rPr>
            </w:pPr>
            <w:r>
              <w:rPr>
                <w:rFonts w:hint="default"/>
              </w:rPr>
              <w:t>5</w:t>
            </w:r>
          </w:p>
        </w:tc>
        <w:tc>
          <w:tcPr>
            <w:tcW w:w="628" w:type="dxa"/>
            <w:tcBorders>
              <w:tl2br w:val="nil"/>
              <w:tr2bl w:val="nil"/>
            </w:tcBorders>
            <w:vAlign w:val="center"/>
          </w:tcPr>
          <w:p>
            <w:pPr>
              <w:pStyle w:val="17"/>
              <w:bidi w:val="0"/>
              <w:rPr>
                <w:rFonts w:hint="default"/>
              </w:rPr>
            </w:pPr>
            <w:r>
              <w:rPr>
                <w:rFonts w:hint="default"/>
              </w:rPr>
              <w:t>生活垃圾</w:t>
            </w:r>
          </w:p>
        </w:tc>
        <w:tc>
          <w:tcPr>
            <w:tcW w:w="1274" w:type="dxa"/>
            <w:tcBorders>
              <w:tl2br w:val="nil"/>
              <w:tr2bl w:val="nil"/>
            </w:tcBorders>
            <w:vAlign w:val="center"/>
          </w:tcPr>
          <w:p>
            <w:pPr>
              <w:pStyle w:val="17"/>
              <w:bidi w:val="0"/>
              <w:rPr>
                <w:rFonts w:hint="default"/>
              </w:rPr>
            </w:pPr>
            <w:r>
              <w:rPr>
                <w:rFonts w:hint="default"/>
              </w:rPr>
              <w:t>生活垃圾</w:t>
            </w:r>
          </w:p>
        </w:tc>
        <w:tc>
          <w:tcPr>
            <w:tcW w:w="1691" w:type="dxa"/>
            <w:tcBorders>
              <w:tl2br w:val="nil"/>
              <w:tr2bl w:val="nil"/>
            </w:tcBorders>
            <w:vAlign w:val="center"/>
          </w:tcPr>
          <w:p>
            <w:pPr>
              <w:pStyle w:val="17"/>
              <w:bidi w:val="0"/>
              <w:rPr>
                <w:rFonts w:hint="default"/>
              </w:rPr>
            </w:pPr>
            <w:r>
              <w:rPr>
                <w:rFonts w:hint="default"/>
              </w:rPr>
              <w:t>工作、生活过程</w:t>
            </w:r>
          </w:p>
        </w:tc>
        <w:tc>
          <w:tcPr>
            <w:tcW w:w="968" w:type="dxa"/>
            <w:tcBorders>
              <w:tl2br w:val="nil"/>
              <w:tr2bl w:val="nil"/>
            </w:tcBorders>
            <w:vAlign w:val="center"/>
          </w:tcPr>
          <w:p>
            <w:pPr>
              <w:pStyle w:val="17"/>
              <w:bidi w:val="0"/>
              <w:rPr>
                <w:rFonts w:hint="default"/>
                <w:lang w:val="en-US" w:eastAsia="zh-CN"/>
              </w:rPr>
            </w:pPr>
            <w:r>
              <w:rPr>
                <w:rFonts w:hint="eastAsia"/>
                <w:lang w:val="en-US" w:eastAsia="zh-CN"/>
              </w:rPr>
              <w:t>13.86</w:t>
            </w:r>
          </w:p>
        </w:tc>
        <w:tc>
          <w:tcPr>
            <w:tcW w:w="3982" w:type="dxa"/>
            <w:tcBorders>
              <w:tl2br w:val="nil"/>
              <w:tr2bl w:val="nil"/>
            </w:tcBorders>
            <w:vAlign w:val="center"/>
          </w:tcPr>
          <w:p>
            <w:pPr>
              <w:pStyle w:val="17"/>
              <w:bidi w:val="0"/>
              <w:rPr>
                <w:rFonts w:hint="default"/>
              </w:rPr>
            </w:pPr>
            <w:r>
              <w:rPr>
                <w:rFonts w:hint="default"/>
              </w:rPr>
              <w:t>项目区内设置垃圾桶（规格：50L，共计2个），统一收集后由环卫部门由环卫部门</w:t>
            </w:r>
            <w:r>
              <w:rPr>
                <w:rFonts w:hint="default"/>
                <w:lang w:val="en-US" w:eastAsia="zh-CN"/>
              </w:rPr>
              <w:t>送</w:t>
            </w:r>
            <w:r>
              <w:rPr>
                <w:rFonts w:hint="default"/>
              </w:rPr>
              <w:t>统一</w:t>
            </w:r>
            <w:r>
              <w:rPr>
                <w:rFonts w:hint="default"/>
                <w:lang w:val="en-US" w:eastAsia="zh-CN"/>
              </w:rPr>
              <w:t>送</w:t>
            </w:r>
            <w:r>
              <w:rPr>
                <w:rFonts w:hint="eastAsia"/>
                <w:lang w:val="en-US" w:eastAsia="zh-CN"/>
              </w:rPr>
              <w:t>吉木萨尔县</w:t>
            </w:r>
            <w:r>
              <w:rPr>
                <w:rFonts w:hint="default"/>
                <w:lang w:val="en-US" w:eastAsia="zh-CN"/>
              </w:rPr>
              <w:t>垃圾填埋场填埋</w:t>
            </w:r>
            <w:r>
              <w:rPr>
                <w:rFonts w:hint="default"/>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28" w:type="dxa"/>
            <w:tcBorders>
              <w:tl2br w:val="nil"/>
              <w:tr2bl w:val="nil"/>
            </w:tcBorders>
            <w:vAlign w:val="center"/>
          </w:tcPr>
          <w:p>
            <w:pPr>
              <w:pStyle w:val="17"/>
              <w:bidi w:val="0"/>
              <w:rPr>
                <w:rFonts w:hint="eastAsia" w:eastAsia="宋体"/>
                <w:lang w:val="en-US" w:eastAsia="zh-CN"/>
              </w:rPr>
            </w:pPr>
            <w:r>
              <w:rPr>
                <w:rFonts w:hint="eastAsia"/>
                <w:lang w:val="en-US" w:eastAsia="zh-CN"/>
              </w:rPr>
              <w:t>6</w:t>
            </w:r>
          </w:p>
        </w:tc>
        <w:tc>
          <w:tcPr>
            <w:tcW w:w="628"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危险废物</w:t>
            </w:r>
          </w:p>
        </w:tc>
        <w:tc>
          <w:tcPr>
            <w:tcW w:w="1274" w:type="dxa"/>
            <w:tcBorders>
              <w:tl2br w:val="nil"/>
              <w:tr2bl w:val="nil"/>
            </w:tcBorders>
            <w:vAlign w:val="center"/>
          </w:tcPr>
          <w:p>
            <w:pPr>
              <w:pStyle w:val="17"/>
              <w:bidi w:val="0"/>
              <w:rPr>
                <w:rFonts w:hint="default" w:eastAsia="宋体"/>
                <w:lang w:val="en-US" w:eastAsia="zh-CN"/>
              </w:rPr>
            </w:pPr>
            <w:r>
              <w:rPr>
                <w:rFonts w:hint="eastAsia"/>
                <w:lang w:val="en-US" w:eastAsia="zh-CN"/>
              </w:rPr>
              <w:t>废活性炭</w:t>
            </w:r>
          </w:p>
        </w:tc>
        <w:tc>
          <w:tcPr>
            <w:tcW w:w="1691" w:type="dxa"/>
            <w:tcBorders>
              <w:tl2br w:val="nil"/>
              <w:tr2bl w:val="nil"/>
            </w:tcBorders>
            <w:vAlign w:val="center"/>
          </w:tcPr>
          <w:p>
            <w:pPr>
              <w:pStyle w:val="17"/>
              <w:bidi w:val="0"/>
              <w:rPr>
                <w:rFonts w:hint="default" w:eastAsia="宋体"/>
                <w:lang w:val="en-US" w:eastAsia="zh-CN"/>
              </w:rPr>
            </w:pPr>
            <w:r>
              <w:rPr>
                <w:rFonts w:hint="eastAsia"/>
                <w:lang w:val="en-US" w:eastAsia="zh-CN"/>
              </w:rPr>
              <w:t>活性炭吸附装置更换活性炭</w:t>
            </w:r>
          </w:p>
        </w:tc>
        <w:tc>
          <w:tcPr>
            <w:tcW w:w="968" w:type="dxa"/>
            <w:tcBorders>
              <w:tl2br w:val="nil"/>
              <w:tr2bl w:val="nil"/>
            </w:tcBorders>
            <w:vAlign w:val="center"/>
          </w:tcPr>
          <w:p>
            <w:pPr>
              <w:pStyle w:val="17"/>
              <w:bidi w:val="0"/>
              <w:rPr>
                <w:rFonts w:hint="default"/>
                <w:lang w:val="en-US" w:eastAsia="zh-CN"/>
              </w:rPr>
            </w:pPr>
            <w:r>
              <w:rPr>
                <w:rFonts w:hint="eastAsia"/>
                <w:lang w:val="en-US" w:eastAsia="zh-CN"/>
              </w:rPr>
              <w:t>7.2</w:t>
            </w:r>
          </w:p>
        </w:tc>
        <w:tc>
          <w:tcPr>
            <w:tcW w:w="3982"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暂存在厂区按规范建造的危险废物暂存间内，定期交由具有处理资质的单位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28" w:type="dxa"/>
            <w:tcBorders>
              <w:tl2br w:val="nil"/>
              <w:tr2bl w:val="nil"/>
            </w:tcBorders>
            <w:vAlign w:val="center"/>
          </w:tcPr>
          <w:p>
            <w:pPr>
              <w:pStyle w:val="17"/>
              <w:bidi w:val="0"/>
              <w:rPr>
                <w:rFonts w:hint="eastAsia" w:eastAsia="宋体"/>
                <w:lang w:val="en-US" w:eastAsia="zh-CN"/>
              </w:rPr>
            </w:pPr>
            <w:r>
              <w:rPr>
                <w:rFonts w:hint="eastAsia"/>
                <w:lang w:val="en-US" w:eastAsia="zh-CN"/>
              </w:rPr>
              <w:t>7</w:t>
            </w:r>
          </w:p>
        </w:tc>
        <w:tc>
          <w:tcPr>
            <w:tcW w:w="628" w:type="dxa"/>
            <w:vMerge w:val="continue"/>
            <w:tcBorders>
              <w:tl2br w:val="nil"/>
              <w:tr2bl w:val="nil"/>
            </w:tcBorders>
            <w:vAlign w:val="center"/>
          </w:tcPr>
          <w:p>
            <w:pPr>
              <w:pStyle w:val="17"/>
              <w:bidi w:val="0"/>
              <w:rPr>
                <w:rFonts w:hint="default"/>
              </w:rPr>
            </w:pPr>
          </w:p>
        </w:tc>
        <w:tc>
          <w:tcPr>
            <w:tcW w:w="1274" w:type="dxa"/>
            <w:tcBorders>
              <w:tl2br w:val="nil"/>
              <w:tr2bl w:val="nil"/>
            </w:tcBorders>
            <w:vAlign w:val="center"/>
          </w:tcPr>
          <w:p>
            <w:pPr>
              <w:pStyle w:val="17"/>
              <w:bidi w:val="0"/>
              <w:rPr>
                <w:rFonts w:hint="default" w:eastAsia="宋体"/>
                <w:lang w:val="en-US" w:eastAsia="zh-CN"/>
              </w:rPr>
            </w:pPr>
            <w:r>
              <w:rPr>
                <w:rFonts w:hint="eastAsia"/>
                <w:lang w:val="en-US" w:eastAsia="zh-CN"/>
              </w:rPr>
              <w:t>废灯管</w:t>
            </w:r>
          </w:p>
        </w:tc>
        <w:tc>
          <w:tcPr>
            <w:tcW w:w="1691" w:type="dxa"/>
            <w:tcBorders>
              <w:tl2br w:val="nil"/>
              <w:tr2bl w:val="nil"/>
            </w:tcBorders>
            <w:vAlign w:val="center"/>
          </w:tcPr>
          <w:p>
            <w:pPr>
              <w:pStyle w:val="17"/>
              <w:bidi w:val="0"/>
              <w:rPr>
                <w:rFonts w:hint="default" w:eastAsia="宋体"/>
                <w:lang w:val="en-US" w:eastAsia="zh-CN"/>
              </w:rPr>
            </w:pPr>
            <w:r>
              <w:rPr>
                <w:rFonts w:hint="eastAsia"/>
                <w:lang w:val="en-US" w:eastAsia="zh-CN"/>
              </w:rPr>
              <w:t>等离子光氧一体机灯管</w:t>
            </w:r>
          </w:p>
        </w:tc>
        <w:tc>
          <w:tcPr>
            <w:tcW w:w="968" w:type="dxa"/>
            <w:tcBorders>
              <w:tl2br w:val="nil"/>
              <w:tr2bl w:val="nil"/>
            </w:tcBorders>
            <w:vAlign w:val="center"/>
          </w:tcPr>
          <w:p>
            <w:pPr>
              <w:pStyle w:val="17"/>
              <w:bidi w:val="0"/>
              <w:rPr>
                <w:rFonts w:hint="default"/>
                <w:lang w:val="en-US" w:eastAsia="zh-CN"/>
              </w:rPr>
            </w:pPr>
            <w:r>
              <w:rPr>
                <w:rFonts w:hint="eastAsia"/>
                <w:lang w:val="en-US" w:eastAsia="zh-CN"/>
              </w:rPr>
              <w:t>0.015</w:t>
            </w:r>
          </w:p>
        </w:tc>
        <w:tc>
          <w:tcPr>
            <w:tcW w:w="3982" w:type="dxa"/>
            <w:vMerge w:val="continue"/>
            <w:tcBorders>
              <w:tl2br w:val="nil"/>
              <w:tr2bl w:val="nil"/>
            </w:tcBorders>
            <w:vAlign w:val="center"/>
          </w:tcPr>
          <w:p>
            <w:pPr>
              <w:pStyle w:val="17"/>
              <w:bidi w:val="0"/>
              <w:rPr>
                <w:rFonts w:hint="default" w:eastAsia="宋体"/>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28" w:type="dxa"/>
            <w:tcBorders>
              <w:tl2br w:val="nil"/>
              <w:tr2bl w:val="nil"/>
            </w:tcBorders>
            <w:vAlign w:val="center"/>
          </w:tcPr>
          <w:p>
            <w:pPr>
              <w:pStyle w:val="17"/>
              <w:bidi w:val="0"/>
              <w:rPr>
                <w:rFonts w:hint="eastAsia" w:eastAsia="宋体"/>
                <w:lang w:val="en-US" w:eastAsia="zh-CN"/>
              </w:rPr>
            </w:pPr>
            <w:r>
              <w:rPr>
                <w:rFonts w:hint="eastAsia"/>
                <w:lang w:val="en-US" w:eastAsia="zh-CN"/>
              </w:rPr>
              <w:t>8</w:t>
            </w:r>
          </w:p>
        </w:tc>
        <w:tc>
          <w:tcPr>
            <w:tcW w:w="628" w:type="dxa"/>
            <w:vMerge w:val="continue"/>
            <w:tcBorders>
              <w:tl2br w:val="nil"/>
              <w:tr2bl w:val="nil"/>
            </w:tcBorders>
            <w:vAlign w:val="center"/>
          </w:tcPr>
          <w:p>
            <w:pPr>
              <w:pStyle w:val="17"/>
              <w:bidi w:val="0"/>
              <w:rPr>
                <w:rFonts w:hint="default"/>
              </w:rPr>
            </w:pPr>
          </w:p>
        </w:tc>
        <w:tc>
          <w:tcPr>
            <w:tcW w:w="1274" w:type="dxa"/>
            <w:tcBorders>
              <w:tl2br w:val="nil"/>
              <w:tr2bl w:val="nil"/>
            </w:tcBorders>
            <w:vAlign w:val="center"/>
          </w:tcPr>
          <w:p>
            <w:pPr>
              <w:pStyle w:val="17"/>
              <w:bidi w:val="0"/>
              <w:rPr>
                <w:rFonts w:hint="default" w:eastAsia="宋体"/>
                <w:lang w:val="en-US" w:eastAsia="zh-CN"/>
              </w:rPr>
            </w:pPr>
            <w:r>
              <w:rPr>
                <w:rFonts w:hint="eastAsia"/>
                <w:lang w:val="en-US" w:eastAsia="zh-CN"/>
              </w:rPr>
              <w:t>废润滑油</w:t>
            </w:r>
          </w:p>
        </w:tc>
        <w:tc>
          <w:tcPr>
            <w:tcW w:w="1691" w:type="dxa"/>
            <w:tcBorders>
              <w:tl2br w:val="nil"/>
              <w:tr2bl w:val="nil"/>
            </w:tcBorders>
            <w:vAlign w:val="center"/>
          </w:tcPr>
          <w:p>
            <w:pPr>
              <w:pStyle w:val="17"/>
              <w:bidi w:val="0"/>
              <w:rPr>
                <w:rFonts w:hint="default" w:eastAsia="宋体"/>
                <w:lang w:val="en-US" w:eastAsia="zh-CN"/>
              </w:rPr>
            </w:pPr>
            <w:r>
              <w:rPr>
                <w:rFonts w:hint="eastAsia"/>
                <w:lang w:val="en-US" w:eastAsia="zh-CN"/>
              </w:rPr>
              <w:t>设备检维修</w:t>
            </w:r>
          </w:p>
        </w:tc>
        <w:tc>
          <w:tcPr>
            <w:tcW w:w="968" w:type="dxa"/>
            <w:tcBorders>
              <w:tl2br w:val="nil"/>
              <w:tr2bl w:val="nil"/>
            </w:tcBorders>
            <w:vAlign w:val="center"/>
          </w:tcPr>
          <w:p>
            <w:pPr>
              <w:pStyle w:val="17"/>
              <w:bidi w:val="0"/>
              <w:rPr>
                <w:rFonts w:hint="default"/>
                <w:lang w:val="en-US" w:eastAsia="zh-CN"/>
              </w:rPr>
            </w:pPr>
            <w:r>
              <w:rPr>
                <w:rFonts w:hint="eastAsia"/>
                <w:lang w:val="en-US" w:eastAsia="zh-CN"/>
              </w:rPr>
              <w:t>0.2</w:t>
            </w:r>
          </w:p>
        </w:tc>
        <w:tc>
          <w:tcPr>
            <w:tcW w:w="3982" w:type="dxa"/>
            <w:tcBorders>
              <w:tl2br w:val="nil"/>
              <w:tr2bl w:val="nil"/>
            </w:tcBorders>
            <w:vAlign w:val="center"/>
          </w:tcPr>
          <w:p>
            <w:pPr>
              <w:pStyle w:val="17"/>
              <w:bidi w:val="0"/>
              <w:rPr>
                <w:rFonts w:hint="default"/>
              </w:rPr>
            </w:pPr>
            <w:r>
              <w:rPr>
                <w:rFonts w:hint="eastAsia"/>
                <w:lang w:val="en-US" w:eastAsia="zh-CN"/>
              </w:rPr>
              <w:t>暂存在厂区按规范建造的危险废物暂存间内，定期交由具有处理资质的单位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121" w:type="dxa"/>
            <w:gridSpan w:val="4"/>
            <w:tcBorders>
              <w:tl2br w:val="nil"/>
              <w:tr2bl w:val="nil"/>
            </w:tcBorders>
            <w:vAlign w:val="center"/>
          </w:tcPr>
          <w:p>
            <w:pPr>
              <w:pStyle w:val="17"/>
              <w:bidi w:val="0"/>
              <w:rPr>
                <w:rFonts w:hint="default"/>
              </w:rPr>
            </w:pPr>
            <w:r>
              <w:rPr>
                <w:rFonts w:hint="default"/>
              </w:rPr>
              <w:t>合计</w:t>
            </w:r>
          </w:p>
        </w:tc>
        <w:tc>
          <w:tcPr>
            <w:tcW w:w="968" w:type="dxa"/>
            <w:tcBorders>
              <w:tl2br w:val="nil"/>
              <w:tr2bl w:val="nil"/>
            </w:tcBorders>
            <w:vAlign w:val="center"/>
          </w:tcPr>
          <w:p>
            <w:pPr>
              <w:pStyle w:val="17"/>
              <w:bidi w:val="0"/>
              <w:rPr>
                <w:rFonts w:hint="default"/>
                <w:lang w:val="en-US" w:eastAsia="zh-CN"/>
              </w:rPr>
            </w:pPr>
            <w:r>
              <w:rPr>
                <w:rFonts w:hint="eastAsia"/>
                <w:lang w:val="en-US" w:eastAsia="zh-CN"/>
              </w:rPr>
              <w:t>387.815</w:t>
            </w:r>
          </w:p>
        </w:tc>
        <w:tc>
          <w:tcPr>
            <w:tcW w:w="3982" w:type="dxa"/>
            <w:tcBorders>
              <w:tl2br w:val="nil"/>
              <w:tr2bl w:val="nil"/>
            </w:tcBorders>
            <w:vAlign w:val="center"/>
          </w:tcPr>
          <w:p>
            <w:pPr>
              <w:pStyle w:val="17"/>
              <w:bidi w:val="0"/>
              <w:rPr>
                <w:rFonts w:hint="default"/>
              </w:rPr>
            </w:pPr>
            <w:r>
              <w:rPr>
                <w:rFonts w:hint="default"/>
              </w:rPr>
              <w:t>/</w:t>
            </w:r>
          </w:p>
        </w:tc>
      </w:tr>
    </w:tbl>
    <w:p>
      <w:pPr>
        <w:pStyle w:val="5"/>
        <w:bidi w:val="0"/>
        <w:rPr>
          <w:rFonts w:hint="default"/>
        </w:rPr>
      </w:pPr>
      <w:r>
        <w:rPr>
          <w:rFonts w:hint="default"/>
        </w:rPr>
        <w:t>3.9.4</w:t>
      </w:r>
      <w:r>
        <w:rPr>
          <w:rFonts w:hint="eastAsia"/>
          <w:lang w:eastAsia="zh-CN"/>
        </w:rPr>
        <w:t>、</w:t>
      </w:r>
      <w:r>
        <w:rPr>
          <w:rFonts w:hint="default"/>
        </w:rPr>
        <w:t>噪声</w:t>
      </w:r>
    </w:p>
    <w:p>
      <w:pPr>
        <w:bidi w:val="0"/>
        <w:rPr>
          <w:rFonts w:hint="default"/>
        </w:rPr>
      </w:pPr>
      <w:bookmarkStart w:id="134" w:name="_Toc20055"/>
      <w:r>
        <w:rPr>
          <w:rFonts w:hint="default"/>
        </w:rPr>
        <w:t>本项目装置产生的噪音主要为洗料机、破碎机、提料机、泵类等机械设备产生的噪音。源强在78~90 dB（A）之间，为了改善操作环境，对噪音比较大的风机、泵类等除设防震基础外还要进行隔离操作，操作室做隔音处理；设备布置时，噪音比较大的设备尽量集中，并室内放置，厂区周围及高噪音车间周围种植降噪植物。</w:t>
      </w:r>
    </w:p>
    <w:p>
      <w:pPr>
        <w:bidi w:val="0"/>
        <w:rPr>
          <w:rFonts w:hint="default"/>
        </w:rPr>
      </w:pPr>
      <w:r>
        <w:rPr>
          <w:rFonts w:hint="default"/>
        </w:rPr>
        <w:t>主要噪声设备情况详见表3.9-4。</w:t>
      </w:r>
    </w:p>
    <w:p>
      <w:pPr>
        <w:pStyle w:val="17"/>
        <w:bidi w:val="0"/>
        <w:rPr>
          <w:rFonts w:hint="default"/>
          <w:b/>
          <w:bCs/>
        </w:rPr>
      </w:pPr>
      <w:r>
        <w:rPr>
          <w:rFonts w:hint="default"/>
          <w:b/>
          <w:bCs/>
        </w:rPr>
        <w:t xml:space="preserve">表3.9-4 </w:t>
      </w:r>
      <w:r>
        <w:rPr>
          <w:rFonts w:hint="eastAsia"/>
          <w:b/>
          <w:bCs/>
          <w:lang w:val="en-US" w:eastAsia="zh-CN"/>
        </w:rPr>
        <w:t xml:space="preserve"> </w:t>
      </w:r>
      <w:r>
        <w:rPr>
          <w:rFonts w:hint="default"/>
          <w:b/>
          <w:bCs/>
        </w:rPr>
        <w:t xml:space="preserve"> 生产主要噪声设备一览表</w:t>
      </w:r>
    </w:p>
    <w:tbl>
      <w:tblPr>
        <w:tblStyle w:val="12"/>
        <w:tblW w:w="9071"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95"/>
        <w:gridCol w:w="1479"/>
        <w:gridCol w:w="1147"/>
        <w:gridCol w:w="963"/>
        <w:gridCol w:w="1105"/>
        <w:gridCol w:w="1390"/>
        <w:gridCol w:w="1220"/>
        <w:gridCol w:w="13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jc w:val="center"/>
        </w:trPr>
        <w:tc>
          <w:tcPr>
            <w:tcW w:w="395" w:type="dxa"/>
            <w:tcBorders>
              <w:tl2br w:val="nil"/>
              <w:tr2bl w:val="nil"/>
            </w:tcBorders>
            <w:vAlign w:val="center"/>
          </w:tcPr>
          <w:p>
            <w:pPr>
              <w:pStyle w:val="17"/>
              <w:bidi w:val="0"/>
              <w:rPr>
                <w:rFonts w:hint="default"/>
                <w:b/>
                <w:bCs/>
              </w:rPr>
            </w:pPr>
            <w:r>
              <w:rPr>
                <w:rFonts w:hint="default"/>
                <w:b/>
                <w:bCs/>
              </w:rPr>
              <w:t>序号</w:t>
            </w:r>
          </w:p>
        </w:tc>
        <w:tc>
          <w:tcPr>
            <w:tcW w:w="1479" w:type="dxa"/>
            <w:tcBorders>
              <w:tl2br w:val="nil"/>
              <w:tr2bl w:val="nil"/>
            </w:tcBorders>
            <w:vAlign w:val="center"/>
          </w:tcPr>
          <w:p>
            <w:pPr>
              <w:pStyle w:val="17"/>
              <w:bidi w:val="0"/>
              <w:rPr>
                <w:rFonts w:hint="default"/>
                <w:b/>
                <w:bCs/>
              </w:rPr>
            </w:pPr>
            <w:r>
              <w:rPr>
                <w:rFonts w:hint="default"/>
                <w:b/>
                <w:bCs/>
              </w:rPr>
              <w:t>设备名称</w:t>
            </w:r>
          </w:p>
        </w:tc>
        <w:tc>
          <w:tcPr>
            <w:tcW w:w="1147" w:type="dxa"/>
            <w:tcBorders>
              <w:tl2br w:val="nil"/>
              <w:tr2bl w:val="nil"/>
            </w:tcBorders>
            <w:vAlign w:val="center"/>
          </w:tcPr>
          <w:p>
            <w:pPr>
              <w:pStyle w:val="17"/>
              <w:bidi w:val="0"/>
              <w:rPr>
                <w:rFonts w:hint="default"/>
                <w:b/>
                <w:bCs/>
              </w:rPr>
            </w:pPr>
            <w:r>
              <w:rPr>
                <w:rFonts w:hint="default"/>
                <w:b/>
                <w:bCs/>
              </w:rPr>
              <w:t>位置</w:t>
            </w:r>
          </w:p>
        </w:tc>
        <w:tc>
          <w:tcPr>
            <w:tcW w:w="963" w:type="dxa"/>
            <w:tcBorders>
              <w:tl2br w:val="nil"/>
              <w:tr2bl w:val="nil"/>
            </w:tcBorders>
            <w:vAlign w:val="center"/>
          </w:tcPr>
          <w:p>
            <w:pPr>
              <w:pStyle w:val="17"/>
              <w:bidi w:val="0"/>
              <w:rPr>
                <w:rFonts w:hint="default"/>
                <w:b/>
                <w:bCs/>
              </w:rPr>
            </w:pPr>
            <w:r>
              <w:rPr>
                <w:rFonts w:hint="default"/>
                <w:b/>
                <w:bCs/>
              </w:rPr>
              <w:t>数量</w:t>
            </w:r>
          </w:p>
          <w:p>
            <w:pPr>
              <w:pStyle w:val="17"/>
              <w:bidi w:val="0"/>
              <w:rPr>
                <w:rFonts w:hint="default"/>
                <w:b/>
                <w:bCs/>
              </w:rPr>
            </w:pPr>
            <w:r>
              <w:rPr>
                <w:rFonts w:hint="default"/>
                <w:b/>
                <w:bCs/>
              </w:rPr>
              <w:t>（台）</w:t>
            </w:r>
          </w:p>
        </w:tc>
        <w:tc>
          <w:tcPr>
            <w:tcW w:w="1105" w:type="dxa"/>
            <w:tcBorders>
              <w:tl2br w:val="nil"/>
              <w:tr2bl w:val="nil"/>
            </w:tcBorders>
            <w:vAlign w:val="center"/>
          </w:tcPr>
          <w:p>
            <w:pPr>
              <w:pStyle w:val="17"/>
              <w:bidi w:val="0"/>
              <w:rPr>
                <w:rFonts w:hint="default"/>
                <w:b/>
                <w:bCs/>
              </w:rPr>
            </w:pPr>
            <w:r>
              <w:rPr>
                <w:rFonts w:hint="default"/>
                <w:b/>
                <w:bCs/>
              </w:rPr>
              <w:t>排放</w:t>
            </w:r>
          </w:p>
          <w:p>
            <w:pPr>
              <w:pStyle w:val="17"/>
              <w:bidi w:val="0"/>
              <w:rPr>
                <w:rFonts w:hint="default"/>
                <w:b/>
                <w:bCs/>
              </w:rPr>
            </w:pPr>
            <w:r>
              <w:rPr>
                <w:rFonts w:hint="default"/>
                <w:b/>
                <w:bCs/>
              </w:rPr>
              <w:t>方式</w:t>
            </w:r>
          </w:p>
        </w:tc>
        <w:tc>
          <w:tcPr>
            <w:tcW w:w="1390" w:type="dxa"/>
            <w:tcBorders>
              <w:tl2br w:val="nil"/>
              <w:tr2bl w:val="nil"/>
            </w:tcBorders>
            <w:vAlign w:val="center"/>
          </w:tcPr>
          <w:p>
            <w:pPr>
              <w:pStyle w:val="17"/>
              <w:bidi w:val="0"/>
              <w:rPr>
                <w:rFonts w:hint="default"/>
                <w:b/>
                <w:bCs/>
              </w:rPr>
            </w:pPr>
            <w:r>
              <w:rPr>
                <w:rFonts w:hint="default"/>
                <w:b/>
                <w:bCs/>
              </w:rPr>
              <w:t>治理前噪声值dB(A)</w:t>
            </w:r>
          </w:p>
        </w:tc>
        <w:tc>
          <w:tcPr>
            <w:tcW w:w="1220" w:type="dxa"/>
            <w:tcBorders>
              <w:tl2br w:val="nil"/>
              <w:tr2bl w:val="nil"/>
            </w:tcBorders>
            <w:vAlign w:val="center"/>
          </w:tcPr>
          <w:p>
            <w:pPr>
              <w:pStyle w:val="17"/>
              <w:bidi w:val="0"/>
              <w:rPr>
                <w:rFonts w:hint="default"/>
                <w:b/>
                <w:bCs/>
              </w:rPr>
            </w:pPr>
            <w:r>
              <w:rPr>
                <w:rFonts w:hint="default"/>
                <w:b/>
                <w:bCs/>
              </w:rPr>
              <w:t>减（防）噪措施</w:t>
            </w:r>
          </w:p>
        </w:tc>
        <w:tc>
          <w:tcPr>
            <w:tcW w:w="1372" w:type="dxa"/>
            <w:tcBorders>
              <w:tl2br w:val="nil"/>
              <w:tr2bl w:val="nil"/>
            </w:tcBorders>
            <w:vAlign w:val="center"/>
          </w:tcPr>
          <w:p>
            <w:pPr>
              <w:pStyle w:val="17"/>
              <w:bidi w:val="0"/>
              <w:rPr>
                <w:rFonts w:hint="default"/>
                <w:b/>
                <w:bCs/>
              </w:rPr>
            </w:pPr>
            <w:r>
              <w:rPr>
                <w:rFonts w:hint="default"/>
                <w:b/>
                <w:bCs/>
              </w:rPr>
              <w:t>治理后噪声值dB(A)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jc w:val="center"/>
        </w:trPr>
        <w:tc>
          <w:tcPr>
            <w:tcW w:w="395" w:type="dxa"/>
            <w:tcBorders>
              <w:tl2br w:val="nil"/>
              <w:tr2bl w:val="nil"/>
            </w:tcBorders>
            <w:vAlign w:val="center"/>
          </w:tcPr>
          <w:p>
            <w:pPr>
              <w:pStyle w:val="17"/>
              <w:bidi w:val="0"/>
              <w:rPr>
                <w:rFonts w:hint="default"/>
              </w:rPr>
            </w:pPr>
            <w:r>
              <w:rPr>
                <w:rFonts w:hint="default"/>
              </w:rPr>
              <w:t>1</w:t>
            </w:r>
          </w:p>
        </w:tc>
        <w:tc>
          <w:tcPr>
            <w:tcW w:w="1479" w:type="dxa"/>
            <w:tcBorders>
              <w:tl2br w:val="nil"/>
              <w:tr2bl w:val="nil"/>
            </w:tcBorders>
            <w:vAlign w:val="center"/>
          </w:tcPr>
          <w:p>
            <w:pPr>
              <w:pStyle w:val="17"/>
              <w:bidi w:val="0"/>
              <w:rPr>
                <w:rFonts w:hint="default"/>
              </w:rPr>
            </w:pPr>
            <w:r>
              <w:rPr>
                <w:rFonts w:hint="default"/>
              </w:rPr>
              <w:t>破碎机</w:t>
            </w:r>
          </w:p>
        </w:tc>
        <w:tc>
          <w:tcPr>
            <w:tcW w:w="1147"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生产车间和造粒车间</w:t>
            </w:r>
          </w:p>
        </w:tc>
        <w:tc>
          <w:tcPr>
            <w:tcW w:w="963" w:type="dxa"/>
            <w:tcBorders>
              <w:tl2br w:val="nil"/>
              <w:tr2bl w:val="nil"/>
            </w:tcBorders>
            <w:vAlign w:val="center"/>
          </w:tcPr>
          <w:p>
            <w:pPr>
              <w:pStyle w:val="17"/>
              <w:bidi w:val="0"/>
              <w:rPr>
                <w:rFonts w:hint="default"/>
                <w:lang w:val="en-US" w:eastAsia="zh-CN"/>
              </w:rPr>
            </w:pPr>
            <w:r>
              <w:rPr>
                <w:rFonts w:hint="eastAsia"/>
                <w:lang w:val="en-US" w:eastAsia="zh-CN"/>
              </w:rPr>
              <w:t>12</w:t>
            </w:r>
          </w:p>
        </w:tc>
        <w:tc>
          <w:tcPr>
            <w:tcW w:w="1105" w:type="dxa"/>
            <w:tcBorders>
              <w:tl2br w:val="nil"/>
              <w:tr2bl w:val="nil"/>
            </w:tcBorders>
            <w:vAlign w:val="center"/>
          </w:tcPr>
          <w:p>
            <w:pPr>
              <w:pStyle w:val="17"/>
              <w:bidi w:val="0"/>
              <w:rPr>
                <w:rFonts w:hint="default"/>
              </w:rPr>
            </w:pPr>
            <w:r>
              <w:rPr>
                <w:rFonts w:hint="default"/>
              </w:rPr>
              <w:t>连续</w:t>
            </w:r>
          </w:p>
        </w:tc>
        <w:tc>
          <w:tcPr>
            <w:tcW w:w="1390" w:type="dxa"/>
            <w:tcBorders>
              <w:tl2br w:val="nil"/>
              <w:tr2bl w:val="nil"/>
            </w:tcBorders>
            <w:vAlign w:val="center"/>
          </w:tcPr>
          <w:p>
            <w:pPr>
              <w:pStyle w:val="17"/>
              <w:bidi w:val="0"/>
              <w:rPr>
                <w:rFonts w:hint="default"/>
              </w:rPr>
            </w:pPr>
            <w:r>
              <w:rPr>
                <w:rFonts w:hint="default"/>
              </w:rPr>
              <w:t>90</w:t>
            </w:r>
          </w:p>
        </w:tc>
        <w:tc>
          <w:tcPr>
            <w:tcW w:w="1220" w:type="dxa"/>
            <w:vMerge w:val="restart"/>
            <w:tcBorders>
              <w:tl2br w:val="nil"/>
              <w:tr2bl w:val="nil"/>
            </w:tcBorders>
            <w:vAlign w:val="center"/>
          </w:tcPr>
          <w:p>
            <w:pPr>
              <w:pStyle w:val="17"/>
              <w:bidi w:val="0"/>
              <w:rPr>
                <w:rFonts w:hint="default"/>
              </w:rPr>
            </w:pPr>
            <w:r>
              <w:rPr>
                <w:rFonts w:hint="default"/>
              </w:rPr>
              <w:t>厂房隔音</w:t>
            </w:r>
          </w:p>
          <w:p>
            <w:pPr>
              <w:pStyle w:val="17"/>
              <w:bidi w:val="0"/>
              <w:rPr>
                <w:rFonts w:hint="default"/>
              </w:rPr>
            </w:pPr>
            <w:r>
              <w:rPr>
                <w:rFonts w:hint="default"/>
              </w:rPr>
              <w:t>基础减震</w:t>
            </w:r>
          </w:p>
        </w:tc>
        <w:tc>
          <w:tcPr>
            <w:tcW w:w="1372" w:type="dxa"/>
            <w:tcBorders>
              <w:tl2br w:val="nil"/>
              <w:tr2bl w:val="nil"/>
            </w:tcBorders>
            <w:vAlign w:val="center"/>
          </w:tcPr>
          <w:p>
            <w:pPr>
              <w:pStyle w:val="17"/>
              <w:bidi w:val="0"/>
              <w:rPr>
                <w:rFonts w:hint="default"/>
              </w:rPr>
            </w:pPr>
            <w:r>
              <w:rPr>
                <w:rFonts w:hint="default"/>
              </w:rPr>
              <w:t>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jc w:val="center"/>
        </w:trPr>
        <w:tc>
          <w:tcPr>
            <w:tcW w:w="395" w:type="dxa"/>
            <w:tcBorders>
              <w:tl2br w:val="nil"/>
              <w:tr2bl w:val="nil"/>
            </w:tcBorders>
            <w:vAlign w:val="center"/>
          </w:tcPr>
          <w:p>
            <w:pPr>
              <w:pStyle w:val="17"/>
              <w:bidi w:val="0"/>
              <w:rPr>
                <w:rFonts w:hint="default"/>
              </w:rPr>
            </w:pPr>
            <w:r>
              <w:rPr>
                <w:rFonts w:hint="default"/>
              </w:rPr>
              <w:t>2</w:t>
            </w:r>
          </w:p>
        </w:tc>
        <w:tc>
          <w:tcPr>
            <w:tcW w:w="1479" w:type="dxa"/>
            <w:tcBorders>
              <w:tl2br w:val="nil"/>
              <w:tr2bl w:val="nil"/>
            </w:tcBorders>
            <w:vAlign w:val="center"/>
          </w:tcPr>
          <w:p>
            <w:pPr>
              <w:pStyle w:val="17"/>
              <w:bidi w:val="0"/>
              <w:rPr>
                <w:rFonts w:hint="default"/>
              </w:rPr>
            </w:pPr>
            <w:r>
              <w:rPr>
                <w:rFonts w:hint="default"/>
              </w:rPr>
              <w:t>脱水机</w:t>
            </w:r>
          </w:p>
        </w:tc>
        <w:tc>
          <w:tcPr>
            <w:tcW w:w="1147" w:type="dxa"/>
            <w:vMerge w:val="continue"/>
            <w:tcBorders>
              <w:tl2br w:val="nil"/>
              <w:tr2bl w:val="nil"/>
            </w:tcBorders>
            <w:vAlign w:val="center"/>
          </w:tcPr>
          <w:p>
            <w:pPr>
              <w:pStyle w:val="17"/>
              <w:bidi w:val="0"/>
              <w:rPr>
                <w:rFonts w:hint="default"/>
              </w:rPr>
            </w:pPr>
          </w:p>
        </w:tc>
        <w:tc>
          <w:tcPr>
            <w:tcW w:w="963" w:type="dxa"/>
            <w:tcBorders>
              <w:tl2br w:val="nil"/>
              <w:tr2bl w:val="nil"/>
            </w:tcBorders>
            <w:vAlign w:val="center"/>
          </w:tcPr>
          <w:p>
            <w:pPr>
              <w:pStyle w:val="17"/>
              <w:bidi w:val="0"/>
              <w:rPr>
                <w:rFonts w:hint="default"/>
                <w:lang w:val="en-US" w:eastAsia="zh-CN"/>
              </w:rPr>
            </w:pPr>
            <w:r>
              <w:rPr>
                <w:rFonts w:hint="eastAsia"/>
                <w:lang w:val="en-US" w:eastAsia="zh-CN"/>
              </w:rPr>
              <w:t>12</w:t>
            </w:r>
          </w:p>
        </w:tc>
        <w:tc>
          <w:tcPr>
            <w:tcW w:w="1105" w:type="dxa"/>
            <w:tcBorders>
              <w:tl2br w:val="nil"/>
              <w:tr2bl w:val="nil"/>
            </w:tcBorders>
            <w:vAlign w:val="center"/>
          </w:tcPr>
          <w:p>
            <w:pPr>
              <w:pStyle w:val="17"/>
              <w:bidi w:val="0"/>
              <w:rPr>
                <w:rFonts w:hint="default"/>
              </w:rPr>
            </w:pPr>
            <w:r>
              <w:rPr>
                <w:rFonts w:hint="default"/>
              </w:rPr>
              <w:t>连续</w:t>
            </w:r>
          </w:p>
        </w:tc>
        <w:tc>
          <w:tcPr>
            <w:tcW w:w="1390" w:type="dxa"/>
            <w:tcBorders>
              <w:tl2br w:val="nil"/>
              <w:tr2bl w:val="nil"/>
            </w:tcBorders>
            <w:vAlign w:val="center"/>
          </w:tcPr>
          <w:p>
            <w:pPr>
              <w:pStyle w:val="17"/>
              <w:bidi w:val="0"/>
              <w:rPr>
                <w:rFonts w:hint="default"/>
              </w:rPr>
            </w:pPr>
            <w:r>
              <w:rPr>
                <w:rFonts w:hint="default"/>
              </w:rPr>
              <w:t>80</w:t>
            </w:r>
          </w:p>
        </w:tc>
        <w:tc>
          <w:tcPr>
            <w:tcW w:w="1220" w:type="dxa"/>
            <w:vMerge w:val="continue"/>
            <w:tcBorders>
              <w:tl2br w:val="nil"/>
              <w:tr2bl w:val="nil"/>
            </w:tcBorders>
            <w:vAlign w:val="center"/>
          </w:tcPr>
          <w:p>
            <w:pPr>
              <w:pStyle w:val="17"/>
              <w:bidi w:val="0"/>
              <w:rPr>
                <w:rFonts w:hint="default"/>
              </w:rPr>
            </w:pPr>
          </w:p>
        </w:tc>
        <w:tc>
          <w:tcPr>
            <w:tcW w:w="1372" w:type="dxa"/>
            <w:tcBorders>
              <w:tl2br w:val="nil"/>
              <w:tr2bl w:val="nil"/>
            </w:tcBorders>
            <w:vAlign w:val="center"/>
          </w:tcPr>
          <w:p>
            <w:pPr>
              <w:pStyle w:val="17"/>
              <w:bidi w:val="0"/>
              <w:rPr>
                <w:rFonts w:hint="default"/>
              </w:rPr>
            </w:pPr>
            <w:r>
              <w:rPr>
                <w:rFonts w:hint="default"/>
              </w:rPr>
              <w:t>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jc w:val="center"/>
        </w:trPr>
        <w:tc>
          <w:tcPr>
            <w:tcW w:w="395" w:type="dxa"/>
            <w:tcBorders>
              <w:tl2br w:val="nil"/>
              <w:tr2bl w:val="nil"/>
            </w:tcBorders>
            <w:vAlign w:val="center"/>
          </w:tcPr>
          <w:p>
            <w:pPr>
              <w:pStyle w:val="17"/>
              <w:bidi w:val="0"/>
              <w:rPr>
                <w:rFonts w:hint="default"/>
              </w:rPr>
            </w:pPr>
            <w:r>
              <w:rPr>
                <w:rFonts w:hint="default"/>
              </w:rPr>
              <w:t>3</w:t>
            </w:r>
          </w:p>
        </w:tc>
        <w:tc>
          <w:tcPr>
            <w:tcW w:w="1479" w:type="dxa"/>
            <w:tcBorders>
              <w:tl2br w:val="nil"/>
              <w:tr2bl w:val="nil"/>
            </w:tcBorders>
            <w:vAlign w:val="center"/>
          </w:tcPr>
          <w:p>
            <w:pPr>
              <w:pStyle w:val="17"/>
              <w:bidi w:val="0"/>
              <w:rPr>
                <w:rFonts w:hint="default"/>
              </w:rPr>
            </w:pPr>
            <w:r>
              <w:rPr>
                <w:rFonts w:hint="default"/>
              </w:rPr>
              <w:t>造粒机</w:t>
            </w:r>
          </w:p>
        </w:tc>
        <w:tc>
          <w:tcPr>
            <w:tcW w:w="1147" w:type="dxa"/>
            <w:vMerge w:val="continue"/>
            <w:tcBorders>
              <w:tl2br w:val="nil"/>
              <w:tr2bl w:val="nil"/>
            </w:tcBorders>
            <w:vAlign w:val="center"/>
          </w:tcPr>
          <w:p>
            <w:pPr>
              <w:pStyle w:val="17"/>
              <w:bidi w:val="0"/>
              <w:rPr>
                <w:rFonts w:hint="default"/>
              </w:rPr>
            </w:pPr>
          </w:p>
        </w:tc>
        <w:tc>
          <w:tcPr>
            <w:tcW w:w="963" w:type="dxa"/>
            <w:tcBorders>
              <w:tl2br w:val="nil"/>
              <w:tr2bl w:val="nil"/>
            </w:tcBorders>
            <w:vAlign w:val="center"/>
          </w:tcPr>
          <w:p>
            <w:pPr>
              <w:pStyle w:val="17"/>
              <w:bidi w:val="0"/>
              <w:rPr>
                <w:rFonts w:hint="default"/>
                <w:lang w:val="en-US" w:eastAsia="zh-CN"/>
              </w:rPr>
            </w:pPr>
            <w:r>
              <w:rPr>
                <w:rFonts w:hint="eastAsia"/>
                <w:lang w:val="en-US" w:eastAsia="zh-CN"/>
              </w:rPr>
              <w:t>12</w:t>
            </w:r>
          </w:p>
        </w:tc>
        <w:tc>
          <w:tcPr>
            <w:tcW w:w="1105" w:type="dxa"/>
            <w:tcBorders>
              <w:tl2br w:val="nil"/>
              <w:tr2bl w:val="nil"/>
            </w:tcBorders>
            <w:vAlign w:val="center"/>
          </w:tcPr>
          <w:p>
            <w:pPr>
              <w:pStyle w:val="17"/>
              <w:bidi w:val="0"/>
              <w:rPr>
                <w:rFonts w:hint="default"/>
              </w:rPr>
            </w:pPr>
            <w:r>
              <w:rPr>
                <w:rFonts w:hint="default"/>
              </w:rPr>
              <w:t>连续</w:t>
            </w:r>
          </w:p>
        </w:tc>
        <w:tc>
          <w:tcPr>
            <w:tcW w:w="1390" w:type="dxa"/>
            <w:tcBorders>
              <w:tl2br w:val="nil"/>
              <w:tr2bl w:val="nil"/>
            </w:tcBorders>
            <w:vAlign w:val="center"/>
          </w:tcPr>
          <w:p>
            <w:pPr>
              <w:pStyle w:val="17"/>
              <w:bidi w:val="0"/>
              <w:rPr>
                <w:rFonts w:hint="default"/>
              </w:rPr>
            </w:pPr>
            <w:r>
              <w:rPr>
                <w:rFonts w:hint="default"/>
              </w:rPr>
              <w:t>85</w:t>
            </w:r>
          </w:p>
        </w:tc>
        <w:tc>
          <w:tcPr>
            <w:tcW w:w="1220" w:type="dxa"/>
            <w:vMerge w:val="continue"/>
            <w:tcBorders>
              <w:tl2br w:val="nil"/>
              <w:tr2bl w:val="nil"/>
            </w:tcBorders>
            <w:vAlign w:val="center"/>
          </w:tcPr>
          <w:p>
            <w:pPr>
              <w:pStyle w:val="17"/>
              <w:bidi w:val="0"/>
              <w:rPr>
                <w:rFonts w:hint="default"/>
              </w:rPr>
            </w:pPr>
          </w:p>
        </w:tc>
        <w:tc>
          <w:tcPr>
            <w:tcW w:w="1372" w:type="dxa"/>
            <w:tcBorders>
              <w:tl2br w:val="nil"/>
              <w:tr2bl w:val="nil"/>
            </w:tcBorders>
            <w:vAlign w:val="center"/>
          </w:tcPr>
          <w:p>
            <w:pPr>
              <w:pStyle w:val="17"/>
              <w:bidi w:val="0"/>
              <w:rPr>
                <w:rFonts w:hint="default"/>
              </w:rPr>
            </w:pPr>
            <w:r>
              <w:rPr>
                <w:rFonts w:hint="default"/>
              </w:rPr>
              <w:t>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jc w:val="center"/>
        </w:trPr>
        <w:tc>
          <w:tcPr>
            <w:tcW w:w="395" w:type="dxa"/>
            <w:tcBorders>
              <w:tl2br w:val="nil"/>
              <w:tr2bl w:val="nil"/>
            </w:tcBorders>
            <w:vAlign w:val="center"/>
          </w:tcPr>
          <w:p>
            <w:pPr>
              <w:pStyle w:val="17"/>
              <w:bidi w:val="0"/>
              <w:rPr>
                <w:rFonts w:hint="default"/>
              </w:rPr>
            </w:pPr>
            <w:r>
              <w:rPr>
                <w:rFonts w:hint="default"/>
              </w:rPr>
              <w:t>4</w:t>
            </w:r>
          </w:p>
        </w:tc>
        <w:tc>
          <w:tcPr>
            <w:tcW w:w="1479" w:type="dxa"/>
            <w:tcBorders>
              <w:tl2br w:val="nil"/>
              <w:tr2bl w:val="nil"/>
            </w:tcBorders>
            <w:vAlign w:val="center"/>
          </w:tcPr>
          <w:p>
            <w:pPr>
              <w:pStyle w:val="17"/>
              <w:bidi w:val="0"/>
              <w:rPr>
                <w:rFonts w:hint="default"/>
              </w:rPr>
            </w:pPr>
            <w:r>
              <w:rPr>
                <w:rFonts w:hint="default"/>
              </w:rPr>
              <w:t>切粒机</w:t>
            </w:r>
          </w:p>
        </w:tc>
        <w:tc>
          <w:tcPr>
            <w:tcW w:w="1147" w:type="dxa"/>
            <w:vMerge w:val="continue"/>
            <w:tcBorders>
              <w:tl2br w:val="nil"/>
              <w:tr2bl w:val="nil"/>
            </w:tcBorders>
            <w:vAlign w:val="center"/>
          </w:tcPr>
          <w:p>
            <w:pPr>
              <w:pStyle w:val="17"/>
              <w:bidi w:val="0"/>
              <w:rPr>
                <w:rFonts w:hint="default"/>
              </w:rPr>
            </w:pPr>
          </w:p>
        </w:tc>
        <w:tc>
          <w:tcPr>
            <w:tcW w:w="963" w:type="dxa"/>
            <w:tcBorders>
              <w:tl2br w:val="nil"/>
              <w:tr2bl w:val="nil"/>
            </w:tcBorders>
            <w:vAlign w:val="center"/>
          </w:tcPr>
          <w:p>
            <w:pPr>
              <w:pStyle w:val="17"/>
              <w:bidi w:val="0"/>
              <w:rPr>
                <w:rFonts w:hint="default"/>
                <w:lang w:val="en-US" w:eastAsia="zh-CN"/>
              </w:rPr>
            </w:pPr>
            <w:r>
              <w:rPr>
                <w:rFonts w:hint="eastAsia"/>
                <w:lang w:val="en-US" w:eastAsia="zh-CN"/>
              </w:rPr>
              <w:t>12</w:t>
            </w:r>
          </w:p>
        </w:tc>
        <w:tc>
          <w:tcPr>
            <w:tcW w:w="1105" w:type="dxa"/>
            <w:tcBorders>
              <w:tl2br w:val="nil"/>
              <w:tr2bl w:val="nil"/>
            </w:tcBorders>
            <w:vAlign w:val="center"/>
          </w:tcPr>
          <w:p>
            <w:pPr>
              <w:pStyle w:val="17"/>
              <w:bidi w:val="0"/>
              <w:rPr>
                <w:rFonts w:hint="default"/>
              </w:rPr>
            </w:pPr>
            <w:r>
              <w:rPr>
                <w:rFonts w:hint="default"/>
              </w:rPr>
              <w:t>连续</w:t>
            </w:r>
          </w:p>
        </w:tc>
        <w:tc>
          <w:tcPr>
            <w:tcW w:w="1390" w:type="dxa"/>
            <w:tcBorders>
              <w:tl2br w:val="nil"/>
              <w:tr2bl w:val="nil"/>
            </w:tcBorders>
            <w:vAlign w:val="center"/>
          </w:tcPr>
          <w:p>
            <w:pPr>
              <w:pStyle w:val="17"/>
              <w:bidi w:val="0"/>
              <w:rPr>
                <w:rFonts w:hint="default"/>
              </w:rPr>
            </w:pPr>
            <w:r>
              <w:rPr>
                <w:rFonts w:hint="default"/>
              </w:rPr>
              <w:t>80</w:t>
            </w:r>
          </w:p>
        </w:tc>
        <w:tc>
          <w:tcPr>
            <w:tcW w:w="1220" w:type="dxa"/>
            <w:vMerge w:val="continue"/>
            <w:tcBorders>
              <w:tl2br w:val="nil"/>
              <w:tr2bl w:val="nil"/>
            </w:tcBorders>
            <w:vAlign w:val="center"/>
          </w:tcPr>
          <w:p>
            <w:pPr>
              <w:pStyle w:val="17"/>
              <w:bidi w:val="0"/>
              <w:rPr>
                <w:rFonts w:hint="default"/>
              </w:rPr>
            </w:pPr>
          </w:p>
        </w:tc>
        <w:tc>
          <w:tcPr>
            <w:tcW w:w="1372" w:type="dxa"/>
            <w:tcBorders>
              <w:tl2br w:val="nil"/>
              <w:tr2bl w:val="nil"/>
            </w:tcBorders>
            <w:vAlign w:val="center"/>
          </w:tcPr>
          <w:p>
            <w:pPr>
              <w:pStyle w:val="17"/>
              <w:bidi w:val="0"/>
              <w:rPr>
                <w:rFonts w:hint="default"/>
              </w:rPr>
            </w:pPr>
            <w:r>
              <w:rPr>
                <w:rFonts w:hint="default"/>
              </w:rPr>
              <w:t>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jc w:val="center"/>
        </w:trPr>
        <w:tc>
          <w:tcPr>
            <w:tcW w:w="395" w:type="dxa"/>
            <w:tcBorders>
              <w:tl2br w:val="nil"/>
              <w:tr2bl w:val="nil"/>
            </w:tcBorders>
            <w:vAlign w:val="center"/>
          </w:tcPr>
          <w:p>
            <w:pPr>
              <w:pStyle w:val="17"/>
              <w:bidi w:val="0"/>
              <w:rPr>
                <w:rFonts w:hint="default"/>
              </w:rPr>
            </w:pPr>
            <w:r>
              <w:rPr>
                <w:rFonts w:hint="default"/>
              </w:rPr>
              <w:t>5</w:t>
            </w:r>
          </w:p>
        </w:tc>
        <w:tc>
          <w:tcPr>
            <w:tcW w:w="1479" w:type="dxa"/>
            <w:tcBorders>
              <w:tl2br w:val="nil"/>
              <w:tr2bl w:val="nil"/>
            </w:tcBorders>
            <w:vAlign w:val="center"/>
          </w:tcPr>
          <w:p>
            <w:pPr>
              <w:pStyle w:val="17"/>
              <w:bidi w:val="0"/>
              <w:rPr>
                <w:rFonts w:hint="default"/>
              </w:rPr>
            </w:pPr>
            <w:r>
              <w:rPr>
                <w:rFonts w:hint="default"/>
              </w:rPr>
              <w:t>清洗槽</w:t>
            </w:r>
          </w:p>
        </w:tc>
        <w:tc>
          <w:tcPr>
            <w:tcW w:w="1147" w:type="dxa"/>
            <w:vMerge w:val="continue"/>
            <w:tcBorders>
              <w:tl2br w:val="nil"/>
              <w:tr2bl w:val="nil"/>
            </w:tcBorders>
            <w:vAlign w:val="center"/>
          </w:tcPr>
          <w:p>
            <w:pPr>
              <w:pStyle w:val="17"/>
              <w:bidi w:val="0"/>
              <w:rPr>
                <w:rFonts w:hint="default"/>
              </w:rPr>
            </w:pPr>
          </w:p>
        </w:tc>
        <w:tc>
          <w:tcPr>
            <w:tcW w:w="963" w:type="dxa"/>
            <w:tcBorders>
              <w:tl2br w:val="nil"/>
              <w:tr2bl w:val="nil"/>
            </w:tcBorders>
            <w:vAlign w:val="center"/>
          </w:tcPr>
          <w:p>
            <w:pPr>
              <w:pStyle w:val="17"/>
              <w:bidi w:val="0"/>
              <w:rPr>
                <w:rFonts w:hint="eastAsia"/>
                <w:lang w:eastAsia="zh-CN"/>
              </w:rPr>
            </w:pPr>
            <w:r>
              <w:rPr>
                <w:rFonts w:hint="eastAsia"/>
                <w:lang w:val="en-US" w:eastAsia="zh-CN"/>
              </w:rPr>
              <w:t>3</w:t>
            </w:r>
          </w:p>
        </w:tc>
        <w:tc>
          <w:tcPr>
            <w:tcW w:w="1105" w:type="dxa"/>
            <w:tcBorders>
              <w:tl2br w:val="nil"/>
              <w:tr2bl w:val="nil"/>
            </w:tcBorders>
            <w:vAlign w:val="center"/>
          </w:tcPr>
          <w:p>
            <w:pPr>
              <w:pStyle w:val="17"/>
              <w:bidi w:val="0"/>
              <w:rPr>
                <w:rFonts w:hint="default"/>
              </w:rPr>
            </w:pPr>
            <w:r>
              <w:rPr>
                <w:rFonts w:hint="default"/>
              </w:rPr>
              <w:t>连续</w:t>
            </w:r>
          </w:p>
        </w:tc>
        <w:tc>
          <w:tcPr>
            <w:tcW w:w="1390" w:type="dxa"/>
            <w:tcBorders>
              <w:tl2br w:val="nil"/>
              <w:tr2bl w:val="nil"/>
            </w:tcBorders>
            <w:vAlign w:val="center"/>
          </w:tcPr>
          <w:p>
            <w:pPr>
              <w:pStyle w:val="17"/>
              <w:bidi w:val="0"/>
              <w:rPr>
                <w:rFonts w:hint="default"/>
              </w:rPr>
            </w:pPr>
            <w:r>
              <w:rPr>
                <w:rFonts w:hint="default"/>
              </w:rPr>
              <w:t>78</w:t>
            </w:r>
          </w:p>
        </w:tc>
        <w:tc>
          <w:tcPr>
            <w:tcW w:w="1220" w:type="dxa"/>
            <w:tcBorders>
              <w:tl2br w:val="nil"/>
              <w:tr2bl w:val="nil"/>
            </w:tcBorders>
            <w:vAlign w:val="center"/>
          </w:tcPr>
          <w:p>
            <w:pPr>
              <w:pStyle w:val="17"/>
              <w:bidi w:val="0"/>
              <w:rPr>
                <w:rFonts w:hint="default"/>
              </w:rPr>
            </w:pPr>
            <w:r>
              <w:rPr>
                <w:rFonts w:hint="default"/>
              </w:rPr>
              <w:t>基础减震</w:t>
            </w:r>
          </w:p>
        </w:tc>
        <w:tc>
          <w:tcPr>
            <w:tcW w:w="1372" w:type="dxa"/>
            <w:tcBorders>
              <w:tl2br w:val="nil"/>
              <w:tr2bl w:val="nil"/>
            </w:tcBorders>
            <w:vAlign w:val="center"/>
          </w:tcPr>
          <w:p>
            <w:pPr>
              <w:pStyle w:val="17"/>
              <w:bidi w:val="0"/>
              <w:rPr>
                <w:rFonts w:hint="default"/>
              </w:rPr>
            </w:pPr>
            <w:r>
              <w:rPr>
                <w:rFonts w:hint="default"/>
              </w:rPr>
              <w:t>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jc w:val="center"/>
        </w:trPr>
        <w:tc>
          <w:tcPr>
            <w:tcW w:w="395" w:type="dxa"/>
            <w:tcBorders>
              <w:tl2br w:val="nil"/>
              <w:tr2bl w:val="nil"/>
            </w:tcBorders>
            <w:vAlign w:val="center"/>
          </w:tcPr>
          <w:p>
            <w:pPr>
              <w:pStyle w:val="17"/>
              <w:bidi w:val="0"/>
              <w:rPr>
                <w:rFonts w:hint="default"/>
              </w:rPr>
            </w:pPr>
            <w:r>
              <w:rPr>
                <w:rFonts w:hint="default"/>
              </w:rPr>
              <w:t>6</w:t>
            </w:r>
          </w:p>
        </w:tc>
        <w:tc>
          <w:tcPr>
            <w:tcW w:w="1479" w:type="dxa"/>
            <w:tcBorders>
              <w:tl2br w:val="nil"/>
              <w:tr2bl w:val="nil"/>
            </w:tcBorders>
            <w:vAlign w:val="center"/>
          </w:tcPr>
          <w:p>
            <w:pPr>
              <w:pStyle w:val="17"/>
              <w:bidi w:val="0"/>
              <w:rPr>
                <w:rFonts w:hint="default"/>
              </w:rPr>
            </w:pPr>
            <w:r>
              <w:rPr>
                <w:rFonts w:hint="default"/>
              </w:rPr>
              <w:t>注塑机</w:t>
            </w:r>
          </w:p>
        </w:tc>
        <w:tc>
          <w:tcPr>
            <w:tcW w:w="1147" w:type="dxa"/>
            <w:vMerge w:val="continue"/>
            <w:tcBorders>
              <w:tl2br w:val="nil"/>
              <w:tr2bl w:val="nil"/>
            </w:tcBorders>
            <w:vAlign w:val="center"/>
          </w:tcPr>
          <w:p>
            <w:pPr>
              <w:pStyle w:val="17"/>
              <w:bidi w:val="0"/>
              <w:rPr>
                <w:rFonts w:hint="default"/>
              </w:rPr>
            </w:pPr>
          </w:p>
        </w:tc>
        <w:tc>
          <w:tcPr>
            <w:tcW w:w="963" w:type="dxa"/>
            <w:tcBorders>
              <w:tl2br w:val="nil"/>
              <w:tr2bl w:val="nil"/>
            </w:tcBorders>
            <w:vAlign w:val="center"/>
          </w:tcPr>
          <w:p>
            <w:pPr>
              <w:pStyle w:val="17"/>
              <w:bidi w:val="0"/>
              <w:rPr>
                <w:rFonts w:hint="default"/>
                <w:lang w:val="en-US" w:eastAsia="zh-CN"/>
              </w:rPr>
            </w:pPr>
            <w:r>
              <w:rPr>
                <w:rFonts w:hint="eastAsia"/>
                <w:lang w:val="en-US" w:eastAsia="zh-CN"/>
              </w:rPr>
              <w:t>12</w:t>
            </w:r>
          </w:p>
        </w:tc>
        <w:tc>
          <w:tcPr>
            <w:tcW w:w="1105" w:type="dxa"/>
            <w:tcBorders>
              <w:tl2br w:val="nil"/>
              <w:tr2bl w:val="nil"/>
            </w:tcBorders>
            <w:vAlign w:val="center"/>
          </w:tcPr>
          <w:p>
            <w:pPr>
              <w:pStyle w:val="17"/>
              <w:bidi w:val="0"/>
              <w:rPr>
                <w:rFonts w:hint="default"/>
              </w:rPr>
            </w:pPr>
            <w:r>
              <w:rPr>
                <w:rFonts w:hint="default"/>
              </w:rPr>
              <w:t>连续</w:t>
            </w:r>
          </w:p>
        </w:tc>
        <w:tc>
          <w:tcPr>
            <w:tcW w:w="1390" w:type="dxa"/>
            <w:tcBorders>
              <w:tl2br w:val="nil"/>
              <w:tr2bl w:val="nil"/>
            </w:tcBorders>
            <w:vAlign w:val="center"/>
          </w:tcPr>
          <w:p>
            <w:pPr>
              <w:pStyle w:val="17"/>
              <w:bidi w:val="0"/>
              <w:rPr>
                <w:rFonts w:hint="default"/>
              </w:rPr>
            </w:pPr>
            <w:r>
              <w:rPr>
                <w:rFonts w:hint="default"/>
              </w:rPr>
              <w:t>80</w:t>
            </w:r>
          </w:p>
        </w:tc>
        <w:tc>
          <w:tcPr>
            <w:tcW w:w="1220" w:type="dxa"/>
            <w:vMerge w:val="restart"/>
            <w:tcBorders>
              <w:tl2br w:val="nil"/>
              <w:tr2bl w:val="nil"/>
            </w:tcBorders>
            <w:vAlign w:val="center"/>
          </w:tcPr>
          <w:p>
            <w:pPr>
              <w:pStyle w:val="17"/>
              <w:bidi w:val="0"/>
              <w:rPr>
                <w:rFonts w:hint="default"/>
              </w:rPr>
            </w:pPr>
            <w:r>
              <w:rPr>
                <w:rFonts w:hint="default"/>
              </w:rPr>
              <w:t>厂房隔音</w:t>
            </w:r>
          </w:p>
          <w:p>
            <w:pPr>
              <w:pStyle w:val="17"/>
              <w:bidi w:val="0"/>
              <w:rPr>
                <w:rFonts w:hint="default"/>
              </w:rPr>
            </w:pPr>
            <w:r>
              <w:rPr>
                <w:rFonts w:hint="default"/>
              </w:rPr>
              <w:t>基础减震</w:t>
            </w:r>
          </w:p>
        </w:tc>
        <w:tc>
          <w:tcPr>
            <w:tcW w:w="1372" w:type="dxa"/>
            <w:tcBorders>
              <w:tl2br w:val="nil"/>
              <w:tr2bl w:val="nil"/>
            </w:tcBorders>
            <w:vAlign w:val="center"/>
          </w:tcPr>
          <w:p>
            <w:pPr>
              <w:pStyle w:val="17"/>
              <w:bidi w:val="0"/>
              <w:rPr>
                <w:rFonts w:hint="default"/>
              </w:rPr>
            </w:pPr>
            <w:r>
              <w:rPr>
                <w:rFonts w:hint="default"/>
              </w:rPr>
              <w:t>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jc w:val="center"/>
        </w:trPr>
        <w:tc>
          <w:tcPr>
            <w:tcW w:w="395" w:type="dxa"/>
            <w:tcBorders>
              <w:tl2br w:val="nil"/>
              <w:tr2bl w:val="nil"/>
            </w:tcBorders>
            <w:vAlign w:val="center"/>
          </w:tcPr>
          <w:p>
            <w:pPr>
              <w:pStyle w:val="17"/>
              <w:bidi w:val="0"/>
              <w:rPr>
                <w:rFonts w:hint="default"/>
              </w:rPr>
            </w:pPr>
            <w:r>
              <w:rPr>
                <w:rFonts w:hint="default"/>
              </w:rPr>
              <w:t>7</w:t>
            </w:r>
          </w:p>
        </w:tc>
        <w:tc>
          <w:tcPr>
            <w:tcW w:w="1479" w:type="dxa"/>
            <w:tcBorders>
              <w:tl2br w:val="nil"/>
              <w:tr2bl w:val="nil"/>
            </w:tcBorders>
            <w:vAlign w:val="center"/>
          </w:tcPr>
          <w:p>
            <w:pPr>
              <w:pStyle w:val="17"/>
              <w:bidi w:val="0"/>
              <w:rPr>
                <w:rFonts w:hint="default"/>
              </w:rPr>
            </w:pPr>
            <w:r>
              <w:rPr>
                <w:rFonts w:hint="default"/>
              </w:rPr>
              <w:t>风机</w:t>
            </w:r>
          </w:p>
        </w:tc>
        <w:tc>
          <w:tcPr>
            <w:tcW w:w="1147" w:type="dxa"/>
            <w:vMerge w:val="continue"/>
            <w:tcBorders>
              <w:tl2br w:val="nil"/>
              <w:tr2bl w:val="nil"/>
            </w:tcBorders>
            <w:vAlign w:val="center"/>
          </w:tcPr>
          <w:p>
            <w:pPr>
              <w:pStyle w:val="17"/>
              <w:bidi w:val="0"/>
              <w:rPr>
                <w:rFonts w:hint="default"/>
              </w:rPr>
            </w:pPr>
          </w:p>
        </w:tc>
        <w:tc>
          <w:tcPr>
            <w:tcW w:w="963" w:type="dxa"/>
            <w:tcBorders>
              <w:tl2br w:val="nil"/>
              <w:tr2bl w:val="nil"/>
            </w:tcBorders>
            <w:vAlign w:val="center"/>
          </w:tcPr>
          <w:p>
            <w:pPr>
              <w:pStyle w:val="17"/>
              <w:bidi w:val="0"/>
              <w:rPr>
                <w:rFonts w:hint="eastAsia"/>
                <w:lang w:val="en-US" w:eastAsia="zh-CN"/>
              </w:rPr>
            </w:pPr>
            <w:r>
              <w:rPr>
                <w:rFonts w:hint="eastAsia"/>
                <w:lang w:val="en-US" w:eastAsia="zh-CN"/>
              </w:rPr>
              <w:t>6</w:t>
            </w:r>
          </w:p>
        </w:tc>
        <w:tc>
          <w:tcPr>
            <w:tcW w:w="1105" w:type="dxa"/>
            <w:tcBorders>
              <w:tl2br w:val="nil"/>
              <w:tr2bl w:val="nil"/>
            </w:tcBorders>
            <w:vAlign w:val="center"/>
          </w:tcPr>
          <w:p>
            <w:pPr>
              <w:pStyle w:val="17"/>
              <w:bidi w:val="0"/>
              <w:rPr>
                <w:rFonts w:hint="default"/>
              </w:rPr>
            </w:pPr>
            <w:r>
              <w:rPr>
                <w:rFonts w:hint="default"/>
              </w:rPr>
              <w:t>连续</w:t>
            </w:r>
          </w:p>
        </w:tc>
        <w:tc>
          <w:tcPr>
            <w:tcW w:w="1390" w:type="dxa"/>
            <w:tcBorders>
              <w:tl2br w:val="nil"/>
              <w:tr2bl w:val="nil"/>
            </w:tcBorders>
            <w:vAlign w:val="center"/>
          </w:tcPr>
          <w:p>
            <w:pPr>
              <w:pStyle w:val="17"/>
              <w:bidi w:val="0"/>
              <w:rPr>
                <w:rFonts w:hint="default"/>
              </w:rPr>
            </w:pPr>
            <w:r>
              <w:rPr>
                <w:rFonts w:hint="default"/>
              </w:rPr>
              <w:t>85</w:t>
            </w:r>
          </w:p>
        </w:tc>
        <w:tc>
          <w:tcPr>
            <w:tcW w:w="1220" w:type="dxa"/>
            <w:vMerge w:val="continue"/>
            <w:tcBorders>
              <w:tl2br w:val="nil"/>
              <w:tr2bl w:val="nil"/>
            </w:tcBorders>
            <w:vAlign w:val="center"/>
          </w:tcPr>
          <w:p>
            <w:pPr>
              <w:pStyle w:val="17"/>
              <w:bidi w:val="0"/>
              <w:rPr>
                <w:rFonts w:hint="default"/>
              </w:rPr>
            </w:pPr>
          </w:p>
        </w:tc>
        <w:tc>
          <w:tcPr>
            <w:tcW w:w="1372" w:type="dxa"/>
            <w:tcBorders>
              <w:tl2br w:val="nil"/>
              <w:tr2bl w:val="nil"/>
            </w:tcBorders>
            <w:vAlign w:val="center"/>
          </w:tcPr>
          <w:p>
            <w:pPr>
              <w:pStyle w:val="17"/>
              <w:bidi w:val="0"/>
              <w:rPr>
                <w:rFonts w:hint="default"/>
              </w:rPr>
            </w:pPr>
            <w:r>
              <w:rPr>
                <w:rFonts w:hint="default"/>
              </w:rPr>
              <w:t>70</w:t>
            </w:r>
          </w:p>
        </w:tc>
      </w:tr>
    </w:tbl>
    <w:p>
      <w:pPr>
        <w:pStyle w:val="4"/>
        <w:bidi w:val="0"/>
        <w:rPr>
          <w:rFonts w:hint="default"/>
        </w:rPr>
      </w:pPr>
      <w:bookmarkStart w:id="135" w:name="_Toc9077"/>
      <w:r>
        <w:rPr>
          <w:rFonts w:hint="default"/>
        </w:rPr>
        <w:t>3.10</w:t>
      </w:r>
      <w:r>
        <w:rPr>
          <w:rFonts w:hint="eastAsia"/>
          <w:lang w:eastAsia="zh-CN"/>
        </w:rPr>
        <w:t>、</w:t>
      </w:r>
      <w:r>
        <w:rPr>
          <w:rFonts w:hint="default"/>
        </w:rPr>
        <w:t>污染源汇总分析</w:t>
      </w:r>
      <w:bookmarkEnd w:id="134"/>
      <w:bookmarkEnd w:id="135"/>
    </w:p>
    <w:p>
      <w:pPr>
        <w:bidi w:val="0"/>
        <w:rPr>
          <w:rFonts w:hint="default"/>
        </w:rPr>
      </w:pPr>
      <w:r>
        <w:rPr>
          <w:rFonts w:hint="default"/>
        </w:rPr>
        <w:t>本项目污染物</w:t>
      </w:r>
      <w:r>
        <w:rPr>
          <w:rFonts w:hint="eastAsia"/>
          <w:lang w:eastAsia="zh-CN"/>
        </w:rPr>
        <w:t>“</w:t>
      </w:r>
      <w:r>
        <w:rPr>
          <w:rFonts w:hint="default"/>
        </w:rPr>
        <w:t>三废</w:t>
      </w:r>
      <w:r>
        <w:rPr>
          <w:rFonts w:hint="eastAsia"/>
          <w:lang w:eastAsia="zh-CN"/>
        </w:rPr>
        <w:t>”</w:t>
      </w:r>
      <w:r>
        <w:rPr>
          <w:rFonts w:hint="default"/>
        </w:rPr>
        <w:t>产生及排放统计见表3.4-1。</w:t>
      </w:r>
    </w:p>
    <w:p>
      <w:pPr>
        <w:pStyle w:val="17"/>
        <w:bidi w:val="0"/>
        <w:rPr>
          <w:rFonts w:hint="default"/>
          <w:b/>
          <w:bCs/>
        </w:rPr>
      </w:pPr>
      <w:r>
        <w:rPr>
          <w:rFonts w:hint="default"/>
          <w:b/>
          <w:bCs/>
        </w:rPr>
        <w:t>表3.4-1  污染物</w:t>
      </w:r>
      <w:r>
        <w:rPr>
          <w:rFonts w:hint="eastAsia"/>
          <w:b/>
          <w:bCs/>
          <w:lang w:eastAsia="zh-CN"/>
        </w:rPr>
        <w:t>“</w:t>
      </w:r>
      <w:r>
        <w:rPr>
          <w:rFonts w:hint="default"/>
          <w:b/>
          <w:bCs/>
        </w:rPr>
        <w:t>三废</w:t>
      </w:r>
      <w:r>
        <w:rPr>
          <w:rFonts w:hint="eastAsia"/>
          <w:b/>
          <w:bCs/>
          <w:lang w:eastAsia="zh-CN"/>
        </w:rPr>
        <w:t>”</w:t>
      </w:r>
      <w:r>
        <w:rPr>
          <w:rFonts w:hint="default"/>
          <w:b/>
          <w:bCs/>
        </w:rPr>
        <w:t>产生及排放统计表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82"/>
        <w:gridCol w:w="807"/>
        <w:gridCol w:w="858"/>
        <w:gridCol w:w="1040"/>
        <w:gridCol w:w="1433"/>
        <w:gridCol w:w="1191"/>
        <w:gridCol w:w="30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535" w:hRule="atLeast"/>
          <w:tblHeader/>
          <w:jc w:val="center"/>
        </w:trPr>
        <w:tc>
          <w:tcPr>
            <w:tcW w:w="682" w:type="dxa"/>
            <w:tcBorders>
              <w:tl2br w:val="nil"/>
              <w:tr2bl w:val="nil"/>
            </w:tcBorders>
            <w:vAlign w:val="center"/>
          </w:tcPr>
          <w:p>
            <w:pPr>
              <w:pStyle w:val="17"/>
              <w:bidi w:val="0"/>
              <w:rPr>
                <w:rFonts w:hint="default"/>
                <w:b/>
                <w:bCs/>
              </w:rPr>
            </w:pPr>
            <w:r>
              <w:rPr>
                <w:rFonts w:hint="default"/>
                <w:b/>
                <w:bCs/>
              </w:rPr>
              <w:t>类别</w:t>
            </w:r>
          </w:p>
        </w:tc>
        <w:tc>
          <w:tcPr>
            <w:tcW w:w="807" w:type="dxa"/>
            <w:tcBorders>
              <w:tl2br w:val="nil"/>
              <w:tr2bl w:val="nil"/>
            </w:tcBorders>
            <w:vAlign w:val="center"/>
          </w:tcPr>
          <w:p>
            <w:pPr>
              <w:pStyle w:val="17"/>
              <w:bidi w:val="0"/>
              <w:rPr>
                <w:rFonts w:hint="default"/>
                <w:b/>
                <w:bCs/>
              </w:rPr>
            </w:pPr>
            <w:r>
              <w:rPr>
                <w:rFonts w:hint="default"/>
                <w:b/>
                <w:bCs/>
              </w:rPr>
              <w:t>污染源</w:t>
            </w:r>
          </w:p>
        </w:tc>
        <w:tc>
          <w:tcPr>
            <w:tcW w:w="1898" w:type="dxa"/>
            <w:gridSpan w:val="2"/>
            <w:tcBorders>
              <w:tl2br w:val="nil"/>
              <w:tr2bl w:val="nil"/>
            </w:tcBorders>
            <w:vAlign w:val="center"/>
          </w:tcPr>
          <w:p>
            <w:pPr>
              <w:pStyle w:val="17"/>
              <w:bidi w:val="0"/>
              <w:rPr>
                <w:rFonts w:hint="default"/>
                <w:b/>
                <w:bCs/>
              </w:rPr>
            </w:pPr>
            <w:r>
              <w:rPr>
                <w:rFonts w:hint="default"/>
                <w:b/>
                <w:bCs/>
              </w:rPr>
              <w:t>污染物</w:t>
            </w:r>
          </w:p>
        </w:tc>
        <w:tc>
          <w:tcPr>
            <w:tcW w:w="1433" w:type="dxa"/>
            <w:tcBorders>
              <w:tl2br w:val="nil"/>
              <w:tr2bl w:val="nil"/>
            </w:tcBorders>
            <w:vAlign w:val="center"/>
          </w:tcPr>
          <w:p>
            <w:pPr>
              <w:pStyle w:val="17"/>
              <w:bidi w:val="0"/>
              <w:rPr>
                <w:rFonts w:hint="default"/>
                <w:b/>
                <w:bCs/>
              </w:rPr>
            </w:pPr>
            <w:r>
              <w:rPr>
                <w:rFonts w:hint="default"/>
                <w:b/>
                <w:bCs/>
              </w:rPr>
              <w:t>产生量</w:t>
            </w:r>
          </w:p>
        </w:tc>
        <w:tc>
          <w:tcPr>
            <w:tcW w:w="1191" w:type="dxa"/>
            <w:tcBorders>
              <w:tl2br w:val="nil"/>
              <w:tr2bl w:val="nil"/>
            </w:tcBorders>
            <w:vAlign w:val="center"/>
          </w:tcPr>
          <w:p>
            <w:pPr>
              <w:pStyle w:val="17"/>
              <w:bidi w:val="0"/>
              <w:rPr>
                <w:rFonts w:hint="default"/>
                <w:b/>
                <w:bCs/>
              </w:rPr>
            </w:pPr>
            <w:r>
              <w:rPr>
                <w:rFonts w:hint="default"/>
                <w:b/>
                <w:bCs/>
              </w:rPr>
              <w:t>排放浓度</w:t>
            </w:r>
          </w:p>
          <w:p>
            <w:pPr>
              <w:pStyle w:val="17"/>
              <w:bidi w:val="0"/>
              <w:rPr>
                <w:rFonts w:hint="default"/>
                <w:b/>
                <w:bCs/>
              </w:rPr>
            </w:pPr>
            <w:r>
              <w:rPr>
                <w:rFonts w:hint="default"/>
                <w:b/>
                <w:bCs/>
              </w:rPr>
              <w:t>及排放量</w:t>
            </w:r>
          </w:p>
        </w:tc>
        <w:tc>
          <w:tcPr>
            <w:tcW w:w="3060" w:type="dxa"/>
            <w:tcBorders>
              <w:tl2br w:val="nil"/>
              <w:tr2bl w:val="nil"/>
            </w:tcBorders>
            <w:vAlign w:val="center"/>
          </w:tcPr>
          <w:p>
            <w:pPr>
              <w:pStyle w:val="17"/>
              <w:bidi w:val="0"/>
              <w:rPr>
                <w:rFonts w:hint="default"/>
                <w:b/>
                <w:bCs/>
              </w:rPr>
            </w:pPr>
            <w:r>
              <w:rPr>
                <w:rFonts w:hint="default"/>
                <w:b/>
                <w:bCs/>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535" w:hRule="atLeast"/>
          <w:jc w:val="center"/>
        </w:trPr>
        <w:tc>
          <w:tcPr>
            <w:tcW w:w="682" w:type="dxa"/>
            <w:vMerge w:val="restart"/>
            <w:tcBorders>
              <w:tl2br w:val="nil"/>
              <w:tr2bl w:val="nil"/>
            </w:tcBorders>
            <w:vAlign w:val="center"/>
          </w:tcPr>
          <w:p>
            <w:pPr>
              <w:pStyle w:val="17"/>
              <w:bidi w:val="0"/>
              <w:rPr>
                <w:rFonts w:hint="default"/>
              </w:rPr>
            </w:pPr>
            <w:r>
              <w:rPr>
                <w:rFonts w:hint="default"/>
              </w:rPr>
              <w:t>大气</w:t>
            </w:r>
          </w:p>
          <w:p>
            <w:pPr>
              <w:pStyle w:val="17"/>
              <w:bidi w:val="0"/>
              <w:rPr>
                <w:rFonts w:hint="default"/>
              </w:rPr>
            </w:pPr>
            <w:r>
              <w:rPr>
                <w:rFonts w:hint="default"/>
              </w:rPr>
              <w:t>污染物</w:t>
            </w:r>
          </w:p>
        </w:tc>
        <w:tc>
          <w:tcPr>
            <w:tcW w:w="807"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造粒车间</w:t>
            </w:r>
          </w:p>
        </w:tc>
        <w:tc>
          <w:tcPr>
            <w:tcW w:w="858" w:type="dxa"/>
            <w:tcBorders>
              <w:tl2br w:val="nil"/>
              <w:tr2bl w:val="nil"/>
            </w:tcBorders>
            <w:vAlign w:val="center"/>
          </w:tcPr>
          <w:p>
            <w:pPr>
              <w:pStyle w:val="17"/>
              <w:bidi w:val="0"/>
              <w:rPr>
                <w:rFonts w:hint="default"/>
              </w:rPr>
            </w:pPr>
            <w:r>
              <w:rPr>
                <w:rFonts w:hint="default"/>
              </w:rPr>
              <w:t>有组织</w:t>
            </w:r>
          </w:p>
        </w:tc>
        <w:tc>
          <w:tcPr>
            <w:tcW w:w="1040" w:type="dxa"/>
            <w:tcBorders>
              <w:tl2br w:val="nil"/>
              <w:tr2bl w:val="nil"/>
            </w:tcBorders>
            <w:vAlign w:val="center"/>
          </w:tcPr>
          <w:p>
            <w:pPr>
              <w:pStyle w:val="17"/>
              <w:bidi w:val="0"/>
              <w:rPr>
                <w:rFonts w:hint="default"/>
              </w:rPr>
            </w:pPr>
            <w:r>
              <w:rPr>
                <w:rFonts w:hint="default"/>
              </w:rPr>
              <w:t>非甲烷总烃</w:t>
            </w:r>
          </w:p>
        </w:tc>
        <w:tc>
          <w:tcPr>
            <w:tcW w:w="1433" w:type="dxa"/>
            <w:tcBorders>
              <w:tl2br w:val="nil"/>
              <w:tr2bl w:val="nil"/>
            </w:tcBorders>
            <w:vAlign w:val="center"/>
          </w:tcPr>
          <w:p>
            <w:pPr>
              <w:pStyle w:val="17"/>
              <w:bidi w:val="0"/>
              <w:rPr>
                <w:rFonts w:hint="default"/>
                <w:lang w:val="en-US" w:eastAsia="zh-CN"/>
              </w:rPr>
            </w:pPr>
            <w:r>
              <w:rPr>
                <w:rFonts w:hint="eastAsia"/>
                <w:lang w:val="en-US" w:eastAsia="zh-CN"/>
              </w:rPr>
              <w:t>1.422t/a</w:t>
            </w:r>
          </w:p>
        </w:tc>
        <w:tc>
          <w:tcPr>
            <w:tcW w:w="1191" w:type="dxa"/>
            <w:tcBorders>
              <w:tl2br w:val="nil"/>
              <w:tr2bl w:val="nil"/>
            </w:tcBorders>
            <w:vAlign w:val="center"/>
          </w:tcPr>
          <w:p>
            <w:pPr>
              <w:pStyle w:val="17"/>
              <w:bidi w:val="0"/>
              <w:rPr>
                <w:rFonts w:hint="default"/>
              </w:rPr>
            </w:pPr>
            <w:r>
              <w:rPr>
                <w:rFonts w:hint="eastAsia"/>
                <w:lang w:val="en-US" w:eastAsia="zh-CN"/>
              </w:rPr>
              <w:t>11.3</w:t>
            </w:r>
            <w:r>
              <w:rPr>
                <w:rFonts w:hint="default"/>
              </w:rPr>
              <w:t>mg/</w:t>
            </w:r>
            <w:r>
              <w:rPr>
                <w:rFonts w:hint="eastAsia"/>
                <w:lang w:eastAsia="zh-CN"/>
              </w:rPr>
              <w:t>m³</w:t>
            </w:r>
            <w:r>
              <w:rPr>
                <w:rFonts w:hint="default"/>
              </w:rPr>
              <w:t>，</w:t>
            </w:r>
            <w:r>
              <w:rPr>
                <w:rFonts w:hint="eastAsia"/>
                <w:lang w:val="en-US" w:eastAsia="zh-CN"/>
              </w:rPr>
              <w:t>0.0505</w:t>
            </w:r>
            <w:r>
              <w:rPr>
                <w:rFonts w:hint="default"/>
              </w:rPr>
              <w:t>t/a</w:t>
            </w:r>
          </w:p>
        </w:tc>
        <w:tc>
          <w:tcPr>
            <w:tcW w:w="3060" w:type="dxa"/>
            <w:tcBorders>
              <w:tl2br w:val="nil"/>
              <w:tr2bl w:val="nil"/>
            </w:tcBorders>
            <w:vAlign w:val="center"/>
          </w:tcPr>
          <w:p>
            <w:pPr>
              <w:pStyle w:val="17"/>
              <w:bidi w:val="0"/>
              <w:rPr>
                <w:rFonts w:hint="default"/>
              </w:rPr>
            </w:pPr>
            <w:r>
              <w:rPr>
                <w:rFonts w:hint="default"/>
              </w:rPr>
              <w:t>等离子光氧一体机</w:t>
            </w:r>
            <w:r>
              <w:rPr>
                <w:rFonts w:hint="eastAsia"/>
                <w:lang w:val="en-US" w:eastAsia="zh-CN"/>
              </w:rPr>
              <w:t>+活性炭吸附装置</w:t>
            </w:r>
            <w:r>
              <w:rPr>
                <w:rFonts w:hint="default"/>
              </w:rPr>
              <w:t>+15m高排气筒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82" w:type="dxa"/>
            <w:vMerge w:val="continue"/>
            <w:tcBorders>
              <w:tl2br w:val="nil"/>
              <w:tr2bl w:val="nil"/>
            </w:tcBorders>
            <w:vAlign w:val="center"/>
          </w:tcPr>
          <w:p>
            <w:pPr>
              <w:pStyle w:val="17"/>
              <w:bidi w:val="0"/>
              <w:rPr>
                <w:rFonts w:hint="default"/>
              </w:rPr>
            </w:pPr>
          </w:p>
        </w:tc>
        <w:tc>
          <w:tcPr>
            <w:tcW w:w="807" w:type="dxa"/>
            <w:vMerge w:val="continue"/>
            <w:tcBorders>
              <w:tl2br w:val="nil"/>
              <w:tr2bl w:val="nil"/>
            </w:tcBorders>
            <w:vAlign w:val="center"/>
          </w:tcPr>
          <w:p>
            <w:pPr>
              <w:pStyle w:val="17"/>
              <w:bidi w:val="0"/>
              <w:rPr>
                <w:rFonts w:hint="default"/>
              </w:rPr>
            </w:pPr>
          </w:p>
        </w:tc>
        <w:tc>
          <w:tcPr>
            <w:tcW w:w="858" w:type="dxa"/>
            <w:vMerge w:val="restart"/>
            <w:tcBorders>
              <w:tl2br w:val="nil"/>
              <w:tr2bl w:val="nil"/>
            </w:tcBorders>
            <w:vAlign w:val="center"/>
          </w:tcPr>
          <w:p>
            <w:pPr>
              <w:pStyle w:val="17"/>
              <w:bidi w:val="0"/>
              <w:rPr>
                <w:rFonts w:hint="default"/>
              </w:rPr>
            </w:pPr>
            <w:r>
              <w:rPr>
                <w:rFonts w:hint="default"/>
              </w:rPr>
              <w:t>无组织</w:t>
            </w:r>
          </w:p>
        </w:tc>
        <w:tc>
          <w:tcPr>
            <w:tcW w:w="1040" w:type="dxa"/>
            <w:tcBorders>
              <w:tl2br w:val="nil"/>
              <w:tr2bl w:val="nil"/>
            </w:tcBorders>
            <w:vAlign w:val="center"/>
          </w:tcPr>
          <w:p>
            <w:pPr>
              <w:pStyle w:val="17"/>
              <w:bidi w:val="0"/>
              <w:rPr>
                <w:rFonts w:hint="default"/>
              </w:rPr>
            </w:pPr>
            <w:r>
              <w:rPr>
                <w:rFonts w:hint="default"/>
              </w:rPr>
              <w:t>粉尘</w:t>
            </w:r>
          </w:p>
        </w:tc>
        <w:tc>
          <w:tcPr>
            <w:tcW w:w="1433" w:type="dxa"/>
            <w:tcBorders>
              <w:tl2br w:val="nil"/>
              <w:tr2bl w:val="nil"/>
            </w:tcBorders>
            <w:vAlign w:val="center"/>
          </w:tcPr>
          <w:p>
            <w:pPr>
              <w:pStyle w:val="17"/>
              <w:bidi w:val="0"/>
              <w:rPr>
                <w:rFonts w:hint="default"/>
              </w:rPr>
            </w:pPr>
            <w:r>
              <w:rPr>
                <w:rFonts w:hint="eastAsia"/>
                <w:lang w:val="en-US" w:eastAsia="zh-CN"/>
              </w:rPr>
              <w:t>3.3</w:t>
            </w:r>
            <w:r>
              <w:rPr>
                <w:rFonts w:hint="default"/>
              </w:rPr>
              <w:t>t/a</w:t>
            </w:r>
          </w:p>
        </w:tc>
        <w:tc>
          <w:tcPr>
            <w:tcW w:w="1191" w:type="dxa"/>
            <w:tcBorders>
              <w:tl2br w:val="nil"/>
              <w:tr2bl w:val="nil"/>
            </w:tcBorders>
            <w:vAlign w:val="center"/>
          </w:tcPr>
          <w:p>
            <w:pPr>
              <w:pStyle w:val="17"/>
              <w:bidi w:val="0"/>
              <w:rPr>
                <w:rFonts w:hint="default"/>
              </w:rPr>
            </w:pPr>
            <w:r>
              <w:rPr>
                <w:rFonts w:hint="eastAsia"/>
                <w:lang w:val="en-US" w:eastAsia="zh-CN"/>
              </w:rPr>
              <w:t>0.033</w:t>
            </w:r>
            <w:r>
              <w:rPr>
                <w:rFonts w:hint="default"/>
              </w:rPr>
              <w:t>t/a</w:t>
            </w:r>
          </w:p>
        </w:tc>
        <w:tc>
          <w:tcPr>
            <w:tcW w:w="3060" w:type="dxa"/>
            <w:tcBorders>
              <w:tl2br w:val="nil"/>
              <w:tr2bl w:val="nil"/>
            </w:tcBorders>
            <w:vAlign w:val="center"/>
          </w:tcPr>
          <w:p>
            <w:pPr>
              <w:pStyle w:val="17"/>
              <w:bidi w:val="0"/>
              <w:rPr>
                <w:rFonts w:hint="default"/>
                <w:lang w:val="en-US" w:eastAsia="zh-CN"/>
              </w:rPr>
            </w:pPr>
            <w:r>
              <w:rPr>
                <w:rFonts w:hint="default"/>
              </w:rPr>
              <w:t>喷淋降尘</w:t>
            </w:r>
            <w:r>
              <w:rPr>
                <w:rFonts w:hint="eastAsia"/>
                <w:lang w:eastAsia="zh-CN"/>
              </w:rPr>
              <w:t>、</w:t>
            </w:r>
            <w:r>
              <w:rPr>
                <w:rFonts w:hint="eastAsia"/>
                <w:lang w:val="en-US" w:eastAsia="zh-CN"/>
              </w:rPr>
              <w:t>封闭车间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82" w:type="dxa"/>
            <w:vMerge w:val="continue"/>
            <w:tcBorders>
              <w:tl2br w:val="nil"/>
              <w:tr2bl w:val="nil"/>
            </w:tcBorders>
            <w:vAlign w:val="center"/>
          </w:tcPr>
          <w:p>
            <w:pPr>
              <w:pStyle w:val="17"/>
              <w:bidi w:val="0"/>
              <w:rPr>
                <w:rFonts w:hint="default"/>
              </w:rPr>
            </w:pPr>
          </w:p>
        </w:tc>
        <w:tc>
          <w:tcPr>
            <w:tcW w:w="807" w:type="dxa"/>
            <w:vMerge w:val="continue"/>
            <w:tcBorders>
              <w:tl2br w:val="nil"/>
              <w:tr2bl w:val="nil"/>
            </w:tcBorders>
            <w:vAlign w:val="center"/>
          </w:tcPr>
          <w:p>
            <w:pPr>
              <w:pStyle w:val="17"/>
              <w:bidi w:val="0"/>
              <w:rPr>
                <w:rFonts w:hint="default"/>
              </w:rPr>
            </w:pPr>
          </w:p>
        </w:tc>
        <w:tc>
          <w:tcPr>
            <w:tcW w:w="858" w:type="dxa"/>
            <w:vMerge w:val="continue"/>
            <w:tcBorders>
              <w:tl2br w:val="nil"/>
              <w:tr2bl w:val="nil"/>
            </w:tcBorders>
            <w:vAlign w:val="center"/>
          </w:tcPr>
          <w:p>
            <w:pPr>
              <w:pStyle w:val="17"/>
              <w:bidi w:val="0"/>
              <w:rPr>
                <w:rFonts w:hint="default"/>
              </w:rPr>
            </w:pPr>
          </w:p>
        </w:tc>
        <w:tc>
          <w:tcPr>
            <w:tcW w:w="1040" w:type="dxa"/>
            <w:tcBorders>
              <w:tl2br w:val="nil"/>
              <w:tr2bl w:val="nil"/>
            </w:tcBorders>
            <w:vAlign w:val="center"/>
          </w:tcPr>
          <w:p>
            <w:pPr>
              <w:pStyle w:val="17"/>
              <w:bidi w:val="0"/>
              <w:rPr>
                <w:rFonts w:hint="default"/>
              </w:rPr>
            </w:pPr>
            <w:r>
              <w:rPr>
                <w:rFonts w:hint="default"/>
              </w:rPr>
              <w:t>非甲烷总烃</w:t>
            </w:r>
          </w:p>
        </w:tc>
        <w:tc>
          <w:tcPr>
            <w:tcW w:w="1433" w:type="dxa"/>
            <w:tcBorders>
              <w:tl2br w:val="nil"/>
              <w:tr2bl w:val="nil"/>
            </w:tcBorders>
            <w:vAlign w:val="center"/>
          </w:tcPr>
          <w:p>
            <w:pPr>
              <w:pStyle w:val="17"/>
              <w:bidi w:val="0"/>
              <w:rPr>
                <w:rFonts w:hint="default"/>
              </w:rPr>
            </w:pPr>
            <w:r>
              <w:rPr>
                <w:rFonts w:hint="eastAsia"/>
                <w:lang w:val="en-US" w:eastAsia="zh-CN"/>
              </w:rPr>
              <w:t>0.158</w:t>
            </w:r>
            <w:r>
              <w:rPr>
                <w:rFonts w:hint="default"/>
              </w:rPr>
              <w:t>t/a</w:t>
            </w:r>
          </w:p>
        </w:tc>
        <w:tc>
          <w:tcPr>
            <w:tcW w:w="1191" w:type="dxa"/>
            <w:tcBorders>
              <w:tl2br w:val="nil"/>
              <w:tr2bl w:val="nil"/>
            </w:tcBorders>
            <w:vAlign w:val="center"/>
          </w:tcPr>
          <w:p>
            <w:pPr>
              <w:pStyle w:val="17"/>
              <w:bidi w:val="0"/>
              <w:rPr>
                <w:rFonts w:hint="default"/>
              </w:rPr>
            </w:pPr>
            <w:r>
              <w:rPr>
                <w:rFonts w:hint="eastAsia"/>
                <w:lang w:val="en-US" w:eastAsia="zh-CN"/>
              </w:rPr>
              <w:t>0.158</w:t>
            </w:r>
            <w:r>
              <w:rPr>
                <w:rFonts w:hint="default"/>
              </w:rPr>
              <w:t>t/a</w:t>
            </w:r>
          </w:p>
        </w:tc>
        <w:tc>
          <w:tcPr>
            <w:tcW w:w="3060" w:type="dxa"/>
            <w:tcBorders>
              <w:tl2br w:val="nil"/>
              <w:tr2bl w:val="nil"/>
            </w:tcBorders>
            <w:vAlign w:val="center"/>
          </w:tcPr>
          <w:p>
            <w:pPr>
              <w:pStyle w:val="17"/>
              <w:bidi w:val="0"/>
              <w:rPr>
                <w:rFonts w:hint="default"/>
              </w:rPr>
            </w:pPr>
            <w:r>
              <w:rPr>
                <w:rFonts w:hint="default"/>
              </w:rPr>
              <w:t>加强通风及设备维护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82" w:type="dxa"/>
            <w:vMerge w:val="continue"/>
            <w:tcBorders>
              <w:tl2br w:val="nil"/>
              <w:tr2bl w:val="nil"/>
            </w:tcBorders>
            <w:vAlign w:val="center"/>
          </w:tcPr>
          <w:p>
            <w:pPr>
              <w:pStyle w:val="17"/>
              <w:bidi w:val="0"/>
              <w:rPr>
                <w:rFonts w:hint="default"/>
              </w:rPr>
            </w:pPr>
          </w:p>
        </w:tc>
        <w:tc>
          <w:tcPr>
            <w:tcW w:w="807"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生产车间</w:t>
            </w:r>
          </w:p>
        </w:tc>
        <w:tc>
          <w:tcPr>
            <w:tcW w:w="858" w:type="dxa"/>
            <w:tcBorders>
              <w:tl2br w:val="nil"/>
              <w:tr2bl w:val="nil"/>
            </w:tcBorders>
            <w:vAlign w:val="center"/>
          </w:tcPr>
          <w:p>
            <w:pPr>
              <w:pStyle w:val="17"/>
              <w:bidi w:val="0"/>
              <w:rPr>
                <w:rFonts w:hint="default"/>
              </w:rPr>
            </w:pPr>
            <w:r>
              <w:rPr>
                <w:rFonts w:hint="default"/>
              </w:rPr>
              <w:t>有组织</w:t>
            </w:r>
          </w:p>
        </w:tc>
        <w:tc>
          <w:tcPr>
            <w:tcW w:w="1040" w:type="dxa"/>
            <w:tcBorders>
              <w:tl2br w:val="nil"/>
              <w:tr2bl w:val="nil"/>
            </w:tcBorders>
            <w:vAlign w:val="center"/>
          </w:tcPr>
          <w:p>
            <w:pPr>
              <w:pStyle w:val="17"/>
              <w:bidi w:val="0"/>
              <w:rPr>
                <w:rFonts w:hint="default"/>
              </w:rPr>
            </w:pPr>
            <w:r>
              <w:rPr>
                <w:rFonts w:hint="default"/>
              </w:rPr>
              <w:t>非甲烷总烃</w:t>
            </w:r>
          </w:p>
        </w:tc>
        <w:tc>
          <w:tcPr>
            <w:tcW w:w="1433" w:type="dxa"/>
            <w:tcBorders>
              <w:tl2br w:val="nil"/>
              <w:tr2bl w:val="nil"/>
            </w:tcBorders>
            <w:vAlign w:val="center"/>
          </w:tcPr>
          <w:p>
            <w:pPr>
              <w:pStyle w:val="17"/>
              <w:bidi w:val="0"/>
              <w:ind w:firstLine="0" w:firstLineChars="0"/>
              <w:rPr>
                <w:rFonts w:hint="default"/>
              </w:rPr>
            </w:pPr>
            <w:r>
              <w:rPr>
                <w:rFonts w:hint="eastAsia"/>
                <w:lang w:val="en-US" w:eastAsia="zh-CN"/>
              </w:rPr>
              <w:t>6.75t/a</w:t>
            </w:r>
          </w:p>
        </w:tc>
        <w:tc>
          <w:tcPr>
            <w:tcW w:w="1191" w:type="dxa"/>
            <w:tcBorders>
              <w:tl2br w:val="nil"/>
              <w:tr2bl w:val="nil"/>
            </w:tcBorders>
            <w:vAlign w:val="center"/>
          </w:tcPr>
          <w:p>
            <w:pPr>
              <w:pStyle w:val="17"/>
              <w:bidi w:val="0"/>
              <w:ind w:firstLine="0" w:firstLineChars="0"/>
              <w:rPr>
                <w:rFonts w:hint="default"/>
              </w:rPr>
            </w:pPr>
            <w:r>
              <w:rPr>
                <w:rFonts w:hint="eastAsia"/>
                <w:lang w:val="en-US" w:eastAsia="zh-CN"/>
              </w:rPr>
              <w:t>11.3</w:t>
            </w:r>
            <w:r>
              <w:rPr>
                <w:rFonts w:hint="default"/>
              </w:rPr>
              <w:t>mg/</w:t>
            </w:r>
            <w:r>
              <w:rPr>
                <w:rFonts w:hint="eastAsia"/>
                <w:lang w:eastAsia="zh-CN"/>
              </w:rPr>
              <w:t>m³</w:t>
            </w:r>
            <w:r>
              <w:rPr>
                <w:rFonts w:hint="default"/>
              </w:rPr>
              <w:t>，</w:t>
            </w:r>
            <w:r>
              <w:rPr>
                <w:rFonts w:hint="eastAsia"/>
                <w:lang w:val="en-US" w:eastAsia="zh-CN"/>
              </w:rPr>
              <w:t>1.35</w:t>
            </w:r>
            <w:r>
              <w:rPr>
                <w:rFonts w:hint="default"/>
              </w:rPr>
              <w:t>t/a</w:t>
            </w:r>
          </w:p>
        </w:tc>
        <w:tc>
          <w:tcPr>
            <w:tcW w:w="3060" w:type="dxa"/>
            <w:tcBorders>
              <w:tl2br w:val="nil"/>
              <w:tr2bl w:val="nil"/>
            </w:tcBorders>
            <w:vAlign w:val="center"/>
          </w:tcPr>
          <w:p>
            <w:pPr>
              <w:pStyle w:val="17"/>
              <w:bidi w:val="0"/>
              <w:rPr>
                <w:rFonts w:hint="default"/>
              </w:rPr>
            </w:pPr>
            <w:r>
              <w:rPr>
                <w:rFonts w:hint="default"/>
              </w:rPr>
              <w:t>等离子光氧一体机</w:t>
            </w:r>
            <w:r>
              <w:rPr>
                <w:rFonts w:hint="eastAsia"/>
                <w:lang w:val="en-US" w:eastAsia="zh-CN"/>
              </w:rPr>
              <w:t>+活性炭吸附装置</w:t>
            </w:r>
            <w:r>
              <w:rPr>
                <w:rFonts w:hint="default"/>
              </w:rPr>
              <w:t>+15m高排气筒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82" w:type="dxa"/>
            <w:vMerge w:val="continue"/>
            <w:tcBorders>
              <w:tl2br w:val="nil"/>
              <w:tr2bl w:val="nil"/>
            </w:tcBorders>
            <w:vAlign w:val="center"/>
          </w:tcPr>
          <w:p>
            <w:pPr>
              <w:pStyle w:val="17"/>
              <w:bidi w:val="0"/>
              <w:rPr>
                <w:rFonts w:hint="default"/>
              </w:rPr>
            </w:pPr>
          </w:p>
        </w:tc>
        <w:tc>
          <w:tcPr>
            <w:tcW w:w="807" w:type="dxa"/>
            <w:vMerge w:val="continue"/>
            <w:tcBorders>
              <w:tl2br w:val="nil"/>
              <w:tr2bl w:val="nil"/>
            </w:tcBorders>
            <w:vAlign w:val="center"/>
          </w:tcPr>
          <w:p>
            <w:pPr>
              <w:pStyle w:val="17"/>
              <w:bidi w:val="0"/>
              <w:rPr>
                <w:rFonts w:hint="default"/>
              </w:rPr>
            </w:pPr>
          </w:p>
        </w:tc>
        <w:tc>
          <w:tcPr>
            <w:tcW w:w="858" w:type="dxa"/>
            <w:tcBorders>
              <w:tl2br w:val="nil"/>
              <w:tr2bl w:val="nil"/>
            </w:tcBorders>
            <w:vAlign w:val="center"/>
          </w:tcPr>
          <w:p>
            <w:pPr>
              <w:pStyle w:val="17"/>
              <w:bidi w:val="0"/>
              <w:rPr>
                <w:rFonts w:hint="eastAsia" w:eastAsia="宋体"/>
                <w:lang w:val="en-US" w:eastAsia="zh-CN"/>
              </w:rPr>
            </w:pPr>
            <w:r>
              <w:rPr>
                <w:rFonts w:hint="eastAsia"/>
                <w:lang w:val="en-US" w:eastAsia="zh-CN"/>
              </w:rPr>
              <w:t>无组织</w:t>
            </w:r>
          </w:p>
        </w:tc>
        <w:tc>
          <w:tcPr>
            <w:tcW w:w="1040" w:type="dxa"/>
            <w:tcBorders>
              <w:tl2br w:val="nil"/>
              <w:tr2bl w:val="nil"/>
            </w:tcBorders>
            <w:vAlign w:val="center"/>
          </w:tcPr>
          <w:p>
            <w:pPr>
              <w:pStyle w:val="17"/>
              <w:bidi w:val="0"/>
              <w:rPr>
                <w:rFonts w:hint="default"/>
              </w:rPr>
            </w:pPr>
            <w:r>
              <w:rPr>
                <w:rFonts w:hint="default"/>
              </w:rPr>
              <w:t>非甲烷总烃</w:t>
            </w:r>
          </w:p>
        </w:tc>
        <w:tc>
          <w:tcPr>
            <w:tcW w:w="1433" w:type="dxa"/>
            <w:tcBorders>
              <w:tl2br w:val="nil"/>
              <w:tr2bl w:val="nil"/>
            </w:tcBorders>
            <w:vAlign w:val="center"/>
          </w:tcPr>
          <w:p>
            <w:pPr>
              <w:pStyle w:val="17"/>
              <w:bidi w:val="0"/>
              <w:ind w:firstLine="0" w:firstLineChars="0"/>
              <w:rPr>
                <w:rFonts w:hint="default"/>
              </w:rPr>
            </w:pPr>
            <w:r>
              <w:rPr>
                <w:rFonts w:hint="eastAsia"/>
                <w:lang w:val="en-US" w:eastAsia="zh-CN"/>
              </w:rPr>
              <w:t>6.75</w:t>
            </w:r>
            <w:r>
              <w:rPr>
                <w:rFonts w:hint="default"/>
              </w:rPr>
              <w:t>t/a</w:t>
            </w:r>
          </w:p>
        </w:tc>
        <w:tc>
          <w:tcPr>
            <w:tcW w:w="1191" w:type="dxa"/>
            <w:tcBorders>
              <w:tl2br w:val="nil"/>
              <w:tr2bl w:val="nil"/>
            </w:tcBorders>
            <w:vAlign w:val="center"/>
          </w:tcPr>
          <w:p>
            <w:pPr>
              <w:pStyle w:val="17"/>
              <w:bidi w:val="0"/>
              <w:ind w:firstLine="0" w:firstLineChars="0"/>
              <w:rPr>
                <w:rFonts w:hint="default"/>
              </w:rPr>
            </w:pPr>
            <w:r>
              <w:rPr>
                <w:rFonts w:hint="eastAsia"/>
                <w:lang w:val="en-US" w:eastAsia="zh-CN"/>
              </w:rPr>
              <w:t>0.57</w:t>
            </w:r>
            <w:r>
              <w:rPr>
                <w:rFonts w:hint="default"/>
              </w:rPr>
              <w:t>t/a</w:t>
            </w:r>
          </w:p>
        </w:tc>
        <w:tc>
          <w:tcPr>
            <w:tcW w:w="3060" w:type="dxa"/>
            <w:tcBorders>
              <w:tl2br w:val="nil"/>
              <w:tr2bl w:val="nil"/>
            </w:tcBorders>
            <w:vAlign w:val="center"/>
          </w:tcPr>
          <w:p>
            <w:pPr>
              <w:pStyle w:val="17"/>
              <w:bidi w:val="0"/>
              <w:rPr>
                <w:rFonts w:hint="default"/>
              </w:rPr>
            </w:pPr>
            <w:r>
              <w:rPr>
                <w:rFonts w:hint="default"/>
              </w:rPr>
              <w:t>加强通风及设备维护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82" w:type="dxa"/>
            <w:vMerge w:val="continue"/>
            <w:tcBorders>
              <w:tl2br w:val="nil"/>
              <w:tr2bl w:val="nil"/>
            </w:tcBorders>
            <w:vAlign w:val="center"/>
          </w:tcPr>
          <w:p>
            <w:pPr>
              <w:pStyle w:val="17"/>
              <w:bidi w:val="0"/>
              <w:rPr>
                <w:rFonts w:hint="default"/>
              </w:rPr>
            </w:pPr>
          </w:p>
        </w:tc>
        <w:tc>
          <w:tcPr>
            <w:tcW w:w="807" w:type="dxa"/>
            <w:tcBorders>
              <w:tl2br w:val="nil"/>
              <w:tr2bl w:val="nil"/>
            </w:tcBorders>
            <w:vAlign w:val="center"/>
          </w:tcPr>
          <w:p>
            <w:pPr>
              <w:pStyle w:val="17"/>
              <w:bidi w:val="0"/>
              <w:rPr>
                <w:rFonts w:hint="default"/>
              </w:rPr>
            </w:pPr>
            <w:r>
              <w:rPr>
                <w:rFonts w:hint="default"/>
              </w:rPr>
              <w:t>食堂油烟</w:t>
            </w:r>
          </w:p>
        </w:tc>
        <w:tc>
          <w:tcPr>
            <w:tcW w:w="858" w:type="dxa"/>
            <w:tcBorders>
              <w:tl2br w:val="nil"/>
              <w:tr2bl w:val="nil"/>
            </w:tcBorders>
            <w:vAlign w:val="center"/>
          </w:tcPr>
          <w:p>
            <w:pPr>
              <w:pStyle w:val="17"/>
              <w:bidi w:val="0"/>
              <w:rPr>
                <w:rFonts w:hint="default"/>
              </w:rPr>
            </w:pPr>
            <w:r>
              <w:rPr>
                <w:rFonts w:hint="default"/>
              </w:rPr>
              <w:t>无组织</w:t>
            </w:r>
          </w:p>
        </w:tc>
        <w:tc>
          <w:tcPr>
            <w:tcW w:w="1040" w:type="dxa"/>
            <w:tcBorders>
              <w:tl2br w:val="nil"/>
              <w:tr2bl w:val="nil"/>
            </w:tcBorders>
            <w:vAlign w:val="center"/>
          </w:tcPr>
          <w:p>
            <w:pPr>
              <w:pStyle w:val="17"/>
              <w:bidi w:val="0"/>
              <w:rPr>
                <w:rFonts w:hint="default"/>
              </w:rPr>
            </w:pPr>
            <w:r>
              <w:rPr>
                <w:rFonts w:hint="default"/>
              </w:rPr>
              <w:t>油烟</w:t>
            </w:r>
          </w:p>
        </w:tc>
        <w:tc>
          <w:tcPr>
            <w:tcW w:w="1433" w:type="dxa"/>
            <w:tcBorders>
              <w:tl2br w:val="nil"/>
              <w:tr2bl w:val="nil"/>
            </w:tcBorders>
            <w:vAlign w:val="center"/>
          </w:tcPr>
          <w:p>
            <w:pPr>
              <w:pStyle w:val="17"/>
              <w:bidi w:val="0"/>
              <w:rPr>
                <w:rFonts w:hint="default"/>
              </w:rPr>
            </w:pPr>
            <w:r>
              <w:rPr>
                <w:rFonts w:hint="default"/>
              </w:rPr>
              <w:t>2.81mg/</w:t>
            </w:r>
            <w:r>
              <w:rPr>
                <w:rFonts w:hint="eastAsia"/>
                <w:lang w:eastAsia="zh-CN"/>
              </w:rPr>
              <w:t>m³</w:t>
            </w:r>
            <w:r>
              <w:rPr>
                <w:rFonts w:hint="default"/>
              </w:rPr>
              <w:t>，8.1kg/a</w:t>
            </w:r>
          </w:p>
        </w:tc>
        <w:tc>
          <w:tcPr>
            <w:tcW w:w="1191" w:type="dxa"/>
            <w:tcBorders>
              <w:tl2br w:val="nil"/>
              <w:tr2bl w:val="nil"/>
            </w:tcBorders>
            <w:vAlign w:val="center"/>
          </w:tcPr>
          <w:p>
            <w:pPr>
              <w:pStyle w:val="17"/>
              <w:bidi w:val="0"/>
              <w:rPr>
                <w:rFonts w:hint="default"/>
              </w:rPr>
            </w:pPr>
            <w:r>
              <w:rPr>
                <w:rFonts w:hint="default"/>
              </w:rPr>
              <w:t>1.13mg/</w:t>
            </w:r>
            <w:r>
              <w:rPr>
                <w:rFonts w:hint="eastAsia"/>
                <w:lang w:eastAsia="zh-CN"/>
              </w:rPr>
              <w:t>m³</w:t>
            </w:r>
            <w:r>
              <w:rPr>
                <w:rFonts w:hint="default"/>
              </w:rPr>
              <w:t>，3.24kg/a</w:t>
            </w:r>
          </w:p>
        </w:tc>
        <w:tc>
          <w:tcPr>
            <w:tcW w:w="3060" w:type="dxa"/>
            <w:tcBorders>
              <w:tl2br w:val="nil"/>
              <w:tr2bl w:val="nil"/>
            </w:tcBorders>
            <w:vAlign w:val="center"/>
          </w:tcPr>
          <w:p>
            <w:pPr>
              <w:pStyle w:val="17"/>
              <w:bidi w:val="0"/>
              <w:rPr>
                <w:rFonts w:hint="default"/>
              </w:rPr>
            </w:pPr>
            <w:r>
              <w:rPr>
                <w:rFonts w:hint="default"/>
              </w:rPr>
              <w:t>油烟净化器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82" w:type="dxa"/>
            <w:vMerge w:val="restart"/>
            <w:tcBorders>
              <w:tl2br w:val="nil"/>
              <w:tr2bl w:val="nil"/>
            </w:tcBorders>
            <w:vAlign w:val="center"/>
          </w:tcPr>
          <w:p>
            <w:pPr>
              <w:pStyle w:val="17"/>
              <w:bidi w:val="0"/>
              <w:rPr>
                <w:rFonts w:hint="default"/>
              </w:rPr>
            </w:pPr>
            <w:r>
              <w:rPr>
                <w:rFonts w:hint="default"/>
              </w:rPr>
              <w:t>废水污染物</w:t>
            </w:r>
          </w:p>
        </w:tc>
        <w:tc>
          <w:tcPr>
            <w:tcW w:w="807" w:type="dxa"/>
            <w:tcBorders>
              <w:tl2br w:val="nil"/>
              <w:tr2bl w:val="nil"/>
            </w:tcBorders>
            <w:vAlign w:val="center"/>
          </w:tcPr>
          <w:p>
            <w:pPr>
              <w:pStyle w:val="17"/>
              <w:bidi w:val="0"/>
              <w:rPr>
                <w:rFonts w:hint="default"/>
              </w:rPr>
            </w:pPr>
            <w:r>
              <w:rPr>
                <w:rFonts w:hint="default"/>
              </w:rPr>
              <w:t>厂房</w:t>
            </w:r>
          </w:p>
        </w:tc>
        <w:tc>
          <w:tcPr>
            <w:tcW w:w="858" w:type="dxa"/>
            <w:tcBorders>
              <w:tl2br w:val="nil"/>
              <w:tr2bl w:val="nil"/>
            </w:tcBorders>
            <w:vAlign w:val="center"/>
          </w:tcPr>
          <w:p>
            <w:pPr>
              <w:pStyle w:val="17"/>
              <w:bidi w:val="0"/>
              <w:rPr>
                <w:rFonts w:hint="default"/>
              </w:rPr>
            </w:pPr>
            <w:r>
              <w:rPr>
                <w:rFonts w:hint="default"/>
              </w:rPr>
              <w:t>生产废水</w:t>
            </w:r>
          </w:p>
        </w:tc>
        <w:tc>
          <w:tcPr>
            <w:tcW w:w="1040" w:type="dxa"/>
            <w:tcBorders>
              <w:tl2br w:val="nil"/>
              <w:tr2bl w:val="nil"/>
            </w:tcBorders>
            <w:vAlign w:val="center"/>
          </w:tcPr>
          <w:p>
            <w:pPr>
              <w:pStyle w:val="17"/>
              <w:bidi w:val="0"/>
              <w:rPr>
                <w:rFonts w:hint="default"/>
              </w:rPr>
            </w:pPr>
            <w:r>
              <w:rPr>
                <w:rFonts w:hint="default"/>
              </w:rPr>
              <w:t>废水量</w:t>
            </w:r>
          </w:p>
        </w:tc>
        <w:tc>
          <w:tcPr>
            <w:tcW w:w="1433" w:type="dxa"/>
            <w:tcBorders>
              <w:tl2br w:val="nil"/>
              <w:tr2bl w:val="nil"/>
            </w:tcBorders>
            <w:vAlign w:val="center"/>
          </w:tcPr>
          <w:p>
            <w:pPr>
              <w:pStyle w:val="17"/>
              <w:bidi w:val="0"/>
              <w:rPr>
                <w:rFonts w:hint="default"/>
              </w:rPr>
            </w:pPr>
            <w:r>
              <w:rPr>
                <w:rFonts w:hint="eastAsia"/>
                <w:lang w:val="en-US" w:eastAsia="zh-CN"/>
              </w:rPr>
              <w:t>162500</w:t>
            </w:r>
            <w:r>
              <w:rPr>
                <w:rFonts w:hint="default"/>
              </w:rPr>
              <w:t>t/a</w:t>
            </w:r>
          </w:p>
        </w:tc>
        <w:tc>
          <w:tcPr>
            <w:tcW w:w="1191" w:type="dxa"/>
            <w:tcBorders>
              <w:tl2br w:val="nil"/>
              <w:tr2bl w:val="nil"/>
            </w:tcBorders>
            <w:vAlign w:val="center"/>
          </w:tcPr>
          <w:p>
            <w:pPr>
              <w:pStyle w:val="17"/>
              <w:bidi w:val="0"/>
              <w:rPr>
                <w:rFonts w:hint="default"/>
              </w:rPr>
            </w:pPr>
            <w:r>
              <w:rPr>
                <w:rFonts w:hint="default"/>
              </w:rPr>
              <w:t>0</w:t>
            </w:r>
          </w:p>
        </w:tc>
        <w:tc>
          <w:tcPr>
            <w:tcW w:w="3060" w:type="dxa"/>
            <w:tcBorders>
              <w:tl2br w:val="nil"/>
              <w:tr2bl w:val="nil"/>
            </w:tcBorders>
            <w:vAlign w:val="center"/>
          </w:tcPr>
          <w:p>
            <w:pPr>
              <w:pStyle w:val="17"/>
              <w:bidi w:val="0"/>
              <w:rPr>
                <w:rFonts w:hint="default"/>
              </w:rPr>
            </w:pPr>
            <w:r>
              <w:rPr>
                <w:rFonts w:hint="default"/>
              </w:rPr>
              <w:t>经沉降池沉淀</w:t>
            </w:r>
            <w:r>
              <w:rPr>
                <w:rFonts w:hint="default"/>
                <w:lang w:val="en-US" w:eastAsia="zh-CN"/>
              </w:rPr>
              <w:t>过滤</w:t>
            </w:r>
            <w:r>
              <w:rPr>
                <w:rFonts w:hint="default"/>
              </w:rPr>
              <w:t>处理后回用于清洗工序和喷淋工序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82" w:type="dxa"/>
            <w:vMerge w:val="continue"/>
            <w:tcBorders>
              <w:tl2br w:val="nil"/>
              <w:tr2bl w:val="nil"/>
            </w:tcBorders>
            <w:vAlign w:val="center"/>
          </w:tcPr>
          <w:p>
            <w:pPr>
              <w:pStyle w:val="17"/>
              <w:bidi w:val="0"/>
              <w:rPr>
                <w:rFonts w:hint="default"/>
              </w:rPr>
            </w:pPr>
          </w:p>
        </w:tc>
        <w:tc>
          <w:tcPr>
            <w:tcW w:w="807" w:type="dxa"/>
            <w:tcBorders>
              <w:tl2br w:val="nil"/>
              <w:tr2bl w:val="nil"/>
            </w:tcBorders>
            <w:vAlign w:val="center"/>
          </w:tcPr>
          <w:p>
            <w:pPr>
              <w:pStyle w:val="17"/>
              <w:bidi w:val="0"/>
              <w:rPr>
                <w:rFonts w:hint="default"/>
              </w:rPr>
            </w:pPr>
            <w:r>
              <w:rPr>
                <w:rFonts w:hint="default"/>
              </w:rPr>
              <w:t>办公</w:t>
            </w:r>
          </w:p>
          <w:p>
            <w:pPr>
              <w:pStyle w:val="17"/>
              <w:bidi w:val="0"/>
              <w:rPr>
                <w:rFonts w:hint="default"/>
              </w:rPr>
            </w:pPr>
            <w:r>
              <w:rPr>
                <w:rFonts w:hint="default"/>
              </w:rPr>
              <w:t>生活区</w:t>
            </w:r>
          </w:p>
        </w:tc>
        <w:tc>
          <w:tcPr>
            <w:tcW w:w="858" w:type="dxa"/>
            <w:tcBorders>
              <w:tl2br w:val="nil"/>
              <w:tr2bl w:val="nil"/>
            </w:tcBorders>
            <w:vAlign w:val="center"/>
          </w:tcPr>
          <w:p>
            <w:pPr>
              <w:pStyle w:val="17"/>
              <w:bidi w:val="0"/>
              <w:rPr>
                <w:rFonts w:hint="default"/>
              </w:rPr>
            </w:pPr>
            <w:r>
              <w:rPr>
                <w:rFonts w:hint="default"/>
              </w:rPr>
              <w:t>生活污水</w:t>
            </w:r>
          </w:p>
        </w:tc>
        <w:tc>
          <w:tcPr>
            <w:tcW w:w="1040" w:type="dxa"/>
            <w:tcBorders>
              <w:tl2br w:val="nil"/>
              <w:tr2bl w:val="nil"/>
            </w:tcBorders>
            <w:vAlign w:val="center"/>
          </w:tcPr>
          <w:p>
            <w:pPr>
              <w:pStyle w:val="17"/>
              <w:bidi w:val="0"/>
              <w:rPr>
                <w:rFonts w:hint="default"/>
              </w:rPr>
            </w:pPr>
            <w:r>
              <w:rPr>
                <w:rFonts w:hint="default"/>
              </w:rPr>
              <w:t>废水量</w:t>
            </w:r>
          </w:p>
        </w:tc>
        <w:tc>
          <w:tcPr>
            <w:tcW w:w="1433" w:type="dxa"/>
            <w:tcBorders>
              <w:tl2br w:val="nil"/>
              <w:tr2bl w:val="nil"/>
            </w:tcBorders>
            <w:vAlign w:val="center"/>
          </w:tcPr>
          <w:p>
            <w:pPr>
              <w:pStyle w:val="17"/>
              <w:bidi w:val="0"/>
              <w:rPr>
                <w:rFonts w:hint="default"/>
              </w:rPr>
            </w:pPr>
            <w:r>
              <w:rPr>
                <w:rFonts w:hint="eastAsia"/>
                <w:lang w:val="en-US" w:eastAsia="zh-CN"/>
              </w:rPr>
              <w:t>1108.8</w:t>
            </w:r>
            <w:r>
              <w:rPr>
                <w:rFonts w:hint="default"/>
              </w:rPr>
              <w:t>t/a</w:t>
            </w:r>
          </w:p>
        </w:tc>
        <w:tc>
          <w:tcPr>
            <w:tcW w:w="1191" w:type="dxa"/>
            <w:tcBorders>
              <w:tl2br w:val="nil"/>
              <w:tr2bl w:val="nil"/>
            </w:tcBorders>
            <w:vAlign w:val="center"/>
          </w:tcPr>
          <w:p>
            <w:pPr>
              <w:pStyle w:val="17"/>
              <w:bidi w:val="0"/>
              <w:rPr>
                <w:rFonts w:hint="default"/>
              </w:rPr>
            </w:pPr>
            <w:r>
              <w:rPr>
                <w:rFonts w:hint="eastAsia"/>
                <w:lang w:val="en-US" w:eastAsia="zh-CN"/>
              </w:rPr>
              <w:t>1108.8</w:t>
            </w:r>
            <w:r>
              <w:rPr>
                <w:rFonts w:hint="default"/>
              </w:rPr>
              <w:t>t/a</w:t>
            </w:r>
          </w:p>
        </w:tc>
        <w:tc>
          <w:tcPr>
            <w:tcW w:w="3060" w:type="dxa"/>
            <w:tcBorders>
              <w:tl2br w:val="nil"/>
              <w:tr2bl w:val="nil"/>
            </w:tcBorders>
            <w:vAlign w:val="center"/>
          </w:tcPr>
          <w:p>
            <w:pPr>
              <w:pStyle w:val="17"/>
              <w:bidi w:val="0"/>
              <w:rPr>
                <w:rFonts w:hint="default" w:eastAsia="宋体"/>
                <w:lang w:val="en-US" w:eastAsia="zh-CN"/>
              </w:rPr>
            </w:pPr>
            <w:r>
              <w:rPr>
                <w:rFonts w:hint="eastAsia"/>
                <w:lang w:val="en-US" w:eastAsia="zh-CN"/>
              </w:rPr>
              <w:t>抽运至吉木萨尔县二工镇污水处理厂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82" w:type="dxa"/>
            <w:vMerge w:val="restart"/>
            <w:tcBorders>
              <w:tl2br w:val="nil"/>
              <w:tr2bl w:val="nil"/>
            </w:tcBorders>
            <w:vAlign w:val="center"/>
          </w:tcPr>
          <w:p>
            <w:pPr>
              <w:pStyle w:val="17"/>
              <w:bidi w:val="0"/>
              <w:rPr>
                <w:rFonts w:hint="eastAsia" w:eastAsia="宋体"/>
                <w:lang w:eastAsia="zh-CN"/>
              </w:rPr>
            </w:pPr>
            <w:r>
              <w:rPr>
                <w:rFonts w:hint="eastAsia"/>
                <w:lang w:eastAsia="zh-CN"/>
              </w:rPr>
              <w:t>固体废物</w:t>
            </w:r>
          </w:p>
        </w:tc>
        <w:tc>
          <w:tcPr>
            <w:tcW w:w="807" w:type="dxa"/>
            <w:vMerge w:val="restart"/>
            <w:tcBorders>
              <w:tl2br w:val="nil"/>
              <w:tr2bl w:val="nil"/>
            </w:tcBorders>
            <w:vAlign w:val="center"/>
          </w:tcPr>
          <w:p>
            <w:pPr>
              <w:pStyle w:val="17"/>
              <w:bidi w:val="0"/>
              <w:rPr>
                <w:rFonts w:hint="default"/>
              </w:rPr>
            </w:pPr>
            <w:r>
              <w:rPr>
                <w:rFonts w:hint="default"/>
              </w:rPr>
              <w:t>厂房</w:t>
            </w:r>
          </w:p>
        </w:tc>
        <w:tc>
          <w:tcPr>
            <w:tcW w:w="858" w:type="dxa"/>
            <w:vMerge w:val="restart"/>
            <w:tcBorders>
              <w:tl2br w:val="nil"/>
              <w:tr2bl w:val="nil"/>
            </w:tcBorders>
            <w:vAlign w:val="center"/>
          </w:tcPr>
          <w:p>
            <w:pPr>
              <w:pStyle w:val="17"/>
              <w:bidi w:val="0"/>
              <w:rPr>
                <w:rFonts w:hint="default"/>
              </w:rPr>
            </w:pPr>
            <w:r>
              <w:rPr>
                <w:rFonts w:hint="default"/>
              </w:rPr>
              <w:t>生产固废</w:t>
            </w:r>
          </w:p>
        </w:tc>
        <w:tc>
          <w:tcPr>
            <w:tcW w:w="1040" w:type="dxa"/>
            <w:tcBorders>
              <w:tl2br w:val="nil"/>
              <w:tr2bl w:val="nil"/>
            </w:tcBorders>
            <w:vAlign w:val="center"/>
          </w:tcPr>
          <w:p>
            <w:pPr>
              <w:pStyle w:val="17"/>
              <w:bidi w:val="0"/>
              <w:rPr>
                <w:rFonts w:hint="default"/>
              </w:rPr>
            </w:pPr>
            <w:r>
              <w:rPr>
                <w:rFonts w:hint="default"/>
              </w:rPr>
              <w:t>分拣废物</w:t>
            </w:r>
          </w:p>
        </w:tc>
        <w:tc>
          <w:tcPr>
            <w:tcW w:w="1433" w:type="dxa"/>
            <w:tcBorders>
              <w:tl2br w:val="nil"/>
              <w:tr2bl w:val="nil"/>
            </w:tcBorders>
            <w:vAlign w:val="center"/>
          </w:tcPr>
          <w:p>
            <w:pPr>
              <w:pStyle w:val="17"/>
              <w:bidi w:val="0"/>
              <w:rPr>
                <w:rFonts w:hint="default"/>
              </w:rPr>
            </w:pPr>
            <w:r>
              <w:rPr>
                <w:rFonts w:hint="eastAsia"/>
                <w:lang w:val="en-US" w:eastAsia="zh-CN"/>
              </w:rPr>
              <w:t>150</w:t>
            </w:r>
            <w:r>
              <w:rPr>
                <w:rFonts w:hint="default"/>
              </w:rPr>
              <w:t>/a</w:t>
            </w:r>
          </w:p>
        </w:tc>
        <w:tc>
          <w:tcPr>
            <w:tcW w:w="1191" w:type="dxa"/>
            <w:tcBorders>
              <w:tl2br w:val="nil"/>
              <w:tr2bl w:val="nil"/>
            </w:tcBorders>
            <w:vAlign w:val="center"/>
          </w:tcPr>
          <w:p>
            <w:pPr>
              <w:pStyle w:val="17"/>
              <w:bidi w:val="0"/>
              <w:rPr>
                <w:rFonts w:hint="default"/>
              </w:rPr>
            </w:pPr>
            <w:r>
              <w:rPr>
                <w:rFonts w:hint="eastAsia"/>
                <w:lang w:val="en-US" w:eastAsia="zh-CN"/>
              </w:rPr>
              <w:t>150</w:t>
            </w:r>
            <w:r>
              <w:rPr>
                <w:rFonts w:hint="default"/>
              </w:rPr>
              <w:t>t/a</w:t>
            </w:r>
          </w:p>
        </w:tc>
        <w:tc>
          <w:tcPr>
            <w:tcW w:w="3060" w:type="dxa"/>
            <w:tcBorders>
              <w:tl2br w:val="nil"/>
              <w:tr2bl w:val="nil"/>
            </w:tcBorders>
            <w:vAlign w:val="center"/>
          </w:tcPr>
          <w:p>
            <w:pPr>
              <w:pStyle w:val="17"/>
              <w:bidi w:val="0"/>
              <w:rPr>
                <w:rFonts w:hint="default"/>
              </w:rPr>
            </w:pPr>
            <w:r>
              <w:rPr>
                <w:rFonts w:hint="default"/>
              </w:rPr>
              <w:t>项目区内设置垃圾箱（规格：3</w:t>
            </w:r>
            <w:r>
              <w:rPr>
                <w:rFonts w:hint="eastAsia"/>
                <w:lang w:eastAsia="zh-CN"/>
              </w:rPr>
              <w:t>m³</w:t>
            </w:r>
            <w:r>
              <w:rPr>
                <w:rFonts w:hint="default"/>
              </w:rPr>
              <w:t>，共计2个），由环卫部门统一收集处理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82" w:type="dxa"/>
            <w:vMerge w:val="continue"/>
            <w:tcBorders>
              <w:tl2br w:val="nil"/>
              <w:tr2bl w:val="nil"/>
            </w:tcBorders>
            <w:vAlign w:val="center"/>
          </w:tcPr>
          <w:p>
            <w:pPr>
              <w:pStyle w:val="17"/>
              <w:bidi w:val="0"/>
              <w:rPr>
                <w:rFonts w:hint="default"/>
              </w:rPr>
            </w:pPr>
          </w:p>
        </w:tc>
        <w:tc>
          <w:tcPr>
            <w:tcW w:w="807" w:type="dxa"/>
            <w:vMerge w:val="continue"/>
            <w:tcBorders>
              <w:tl2br w:val="nil"/>
              <w:tr2bl w:val="nil"/>
            </w:tcBorders>
            <w:vAlign w:val="center"/>
          </w:tcPr>
          <w:p>
            <w:pPr>
              <w:pStyle w:val="17"/>
              <w:bidi w:val="0"/>
              <w:rPr>
                <w:rFonts w:hint="default"/>
              </w:rPr>
            </w:pPr>
          </w:p>
        </w:tc>
        <w:tc>
          <w:tcPr>
            <w:tcW w:w="858" w:type="dxa"/>
            <w:vMerge w:val="continue"/>
            <w:tcBorders>
              <w:tl2br w:val="nil"/>
              <w:tr2bl w:val="nil"/>
            </w:tcBorders>
            <w:vAlign w:val="center"/>
          </w:tcPr>
          <w:p>
            <w:pPr>
              <w:pStyle w:val="17"/>
              <w:bidi w:val="0"/>
              <w:rPr>
                <w:rFonts w:hint="default"/>
              </w:rPr>
            </w:pPr>
          </w:p>
        </w:tc>
        <w:tc>
          <w:tcPr>
            <w:tcW w:w="1040" w:type="dxa"/>
            <w:tcBorders>
              <w:tl2br w:val="nil"/>
              <w:tr2bl w:val="nil"/>
            </w:tcBorders>
            <w:vAlign w:val="center"/>
          </w:tcPr>
          <w:p>
            <w:pPr>
              <w:pStyle w:val="17"/>
              <w:bidi w:val="0"/>
              <w:rPr>
                <w:rFonts w:hint="default"/>
              </w:rPr>
            </w:pPr>
            <w:r>
              <w:rPr>
                <w:rFonts w:hint="default"/>
              </w:rPr>
              <w:t>废边角料</w:t>
            </w:r>
          </w:p>
        </w:tc>
        <w:tc>
          <w:tcPr>
            <w:tcW w:w="1433" w:type="dxa"/>
            <w:tcBorders>
              <w:tl2br w:val="nil"/>
              <w:tr2bl w:val="nil"/>
            </w:tcBorders>
            <w:vAlign w:val="center"/>
          </w:tcPr>
          <w:p>
            <w:pPr>
              <w:pStyle w:val="17"/>
              <w:bidi w:val="0"/>
              <w:rPr>
                <w:rFonts w:hint="default"/>
              </w:rPr>
            </w:pPr>
            <w:r>
              <w:rPr>
                <w:rFonts w:hint="eastAsia"/>
                <w:lang w:val="en-US" w:eastAsia="zh-CN"/>
              </w:rPr>
              <w:t>21.36</w:t>
            </w:r>
            <w:r>
              <w:rPr>
                <w:rFonts w:hint="default"/>
              </w:rPr>
              <w:t>t/a</w:t>
            </w:r>
          </w:p>
        </w:tc>
        <w:tc>
          <w:tcPr>
            <w:tcW w:w="1191" w:type="dxa"/>
            <w:tcBorders>
              <w:tl2br w:val="nil"/>
              <w:tr2bl w:val="nil"/>
            </w:tcBorders>
            <w:vAlign w:val="center"/>
          </w:tcPr>
          <w:p>
            <w:pPr>
              <w:pStyle w:val="17"/>
              <w:bidi w:val="0"/>
              <w:rPr>
                <w:rFonts w:hint="default"/>
              </w:rPr>
            </w:pPr>
            <w:r>
              <w:rPr>
                <w:rFonts w:hint="eastAsia"/>
                <w:lang w:val="en-US" w:eastAsia="zh-CN"/>
              </w:rPr>
              <w:t>21.36</w:t>
            </w:r>
            <w:r>
              <w:rPr>
                <w:rFonts w:hint="default"/>
              </w:rPr>
              <w:t>/a</w:t>
            </w:r>
          </w:p>
        </w:tc>
        <w:tc>
          <w:tcPr>
            <w:tcW w:w="3060" w:type="dxa"/>
            <w:tcBorders>
              <w:tl2br w:val="nil"/>
              <w:tr2bl w:val="nil"/>
            </w:tcBorders>
            <w:vAlign w:val="center"/>
          </w:tcPr>
          <w:p>
            <w:pPr>
              <w:pStyle w:val="17"/>
              <w:bidi w:val="0"/>
              <w:rPr>
                <w:rFonts w:hint="default"/>
              </w:rPr>
            </w:pPr>
            <w:r>
              <w:rPr>
                <w:rFonts w:hint="default"/>
              </w:rPr>
              <w:t>送至造粒工段重新造粒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82" w:type="dxa"/>
            <w:vMerge w:val="continue"/>
            <w:tcBorders>
              <w:tl2br w:val="nil"/>
              <w:tr2bl w:val="nil"/>
            </w:tcBorders>
            <w:vAlign w:val="center"/>
          </w:tcPr>
          <w:p>
            <w:pPr>
              <w:pStyle w:val="17"/>
              <w:bidi w:val="0"/>
              <w:rPr>
                <w:rFonts w:hint="default"/>
              </w:rPr>
            </w:pPr>
          </w:p>
        </w:tc>
        <w:tc>
          <w:tcPr>
            <w:tcW w:w="807" w:type="dxa"/>
            <w:vMerge w:val="continue"/>
            <w:tcBorders>
              <w:tl2br w:val="nil"/>
              <w:tr2bl w:val="nil"/>
            </w:tcBorders>
            <w:vAlign w:val="center"/>
          </w:tcPr>
          <w:p>
            <w:pPr>
              <w:pStyle w:val="17"/>
              <w:bidi w:val="0"/>
              <w:rPr>
                <w:rFonts w:hint="default"/>
              </w:rPr>
            </w:pPr>
          </w:p>
        </w:tc>
        <w:tc>
          <w:tcPr>
            <w:tcW w:w="858" w:type="dxa"/>
            <w:vMerge w:val="continue"/>
            <w:tcBorders>
              <w:tl2br w:val="nil"/>
              <w:tr2bl w:val="nil"/>
            </w:tcBorders>
            <w:vAlign w:val="center"/>
          </w:tcPr>
          <w:p>
            <w:pPr>
              <w:pStyle w:val="17"/>
              <w:bidi w:val="0"/>
              <w:rPr>
                <w:rFonts w:hint="default"/>
              </w:rPr>
            </w:pPr>
          </w:p>
        </w:tc>
        <w:tc>
          <w:tcPr>
            <w:tcW w:w="1040" w:type="dxa"/>
            <w:tcBorders>
              <w:tl2br w:val="nil"/>
              <w:tr2bl w:val="nil"/>
            </w:tcBorders>
            <w:vAlign w:val="center"/>
          </w:tcPr>
          <w:p>
            <w:pPr>
              <w:pStyle w:val="17"/>
              <w:bidi w:val="0"/>
              <w:rPr>
                <w:rFonts w:hint="default"/>
              </w:rPr>
            </w:pPr>
            <w:r>
              <w:rPr>
                <w:rFonts w:hint="eastAsia"/>
                <w:lang w:val="en-US" w:eastAsia="zh-CN"/>
              </w:rPr>
              <w:t>沉淀池</w:t>
            </w:r>
            <w:r>
              <w:rPr>
                <w:rFonts w:hint="default"/>
              </w:rPr>
              <w:t>污泥</w:t>
            </w:r>
          </w:p>
        </w:tc>
        <w:tc>
          <w:tcPr>
            <w:tcW w:w="1433" w:type="dxa"/>
            <w:tcBorders>
              <w:tl2br w:val="nil"/>
              <w:tr2bl w:val="nil"/>
            </w:tcBorders>
            <w:vAlign w:val="center"/>
          </w:tcPr>
          <w:p>
            <w:pPr>
              <w:pStyle w:val="17"/>
              <w:bidi w:val="0"/>
              <w:rPr>
                <w:rFonts w:hint="default"/>
              </w:rPr>
            </w:pPr>
            <w:r>
              <w:rPr>
                <w:rFonts w:hint="eastAsia"/>
                <w:lang w:val="en-US" w:eastAsia="zh-CN"/>
              </w:rPr>
              <w:t>190</w:t>
            </w:r>
            <w:r>
              <w:rPr>
                <w:rFonts w:hint="default"/>
              </w:rPr>
              <w:t>t/a</w:t>
            </w:r>
          </w:p>
        </w:tc>
        <w:tc>
          <w:tcPr>
            <w:tcW w:w="1191" w:type="dxa"/>
            <w:tcBorders>
              <w:tl2br w:val="nil"/>
              <w:tr2bl w:val="nil"/>
            </w:tcBorders>
            <w:vAlign w:val="center"/>
          </w:tcPr>
          <w:p>
            <w:pPr>
              <w:pStyle w:val="17"/>
              <w:bidi w:val="0"/>
              <w:rPr>
                <w:rFonts w:hint="default"/>
              </w:rPr>
            </w:pPr>
            <w:r>
              <w:rPr>
                <w:rFonts w:hint="eastAsia"/>
                <w:lang w:val="en-US" w:eastAsia="zh-CN"/>
              </w:rPr>
              <w:t>190</w:t>
            </w:r>
            <w:r>
              <w:rPr>
                <w:rFonts w:hint="default"/>
              </w:rPr>
              <w:t>t/a</w:t>
            </w:r>
          </w:p>
        </w:tc>
        <w:tc>
          <w:tcPr>
            <w:tcW w:w="3060" w:type="dxa"/>
            <w:tcBorders>
              <w:tl2br w:val="nil"/>
              <w:tr2bl w:val="nil"/>
            </w:tcBorders>
            <w:vAlign w:val="center"/>
          </w:tcPr>
          <w:p>
            <w:pPr>
              <w:pStyle w:val="17"/>
              <w:bidi w:val="0"/>
              <w:rPr>
                <w:rFonts w:hint="default"/>
              </w:rPr>
            </w:pPr>
            <w:r>
              <w:rPr>
                <w:rFonts w:hint="default"/>
              </w:rPr>
              <w:t>统一收集后，干化填埋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82" w:type="dxa"/>
            <w:vMerge w:val="continue"/>
            <w:tcBorders>
              <w:tl2br w:val="nil"/>
              <w:tr2bl w:val="nil"/>
            </w:tcBorders>
            <w:vAlign w:val="center"/>
          </w:tcPr>
          <w:p>
            <w:pPr>
              <w:pStyle w:val="17"/>
              <w:bidi w:val="0"/>
              <w:rPr>
                <w:rFonts w:hint="default"/>
              </w:rPr>
            </w:pPr>
          </w:p>
        </w:tc>
        <w:tc>
          <w:tcPr>
            <w:tcW w:w="807" w:type="dxa"/>
            <w:vMerge w:val="continue"/>
            <w:tcBorders>
              <w:tl2br w:val="nil"/>
              <w:tr2bl w:val="nil"/>
            </w:tcBorders>
            <w:vAlign w:val="center"/>
          </w:tcPr>
          <w:p>
            <w:pPr>
              <w:pStyle w:val="17"/>
              <w:bidi w:val="0"/>
              <w:rPr>
                <w:rFonts w:hint="default"/>
              </w:rPr>
            </w:pPr>
          </w:p>
        </w:tc>
        <w:tc>
          <w:tcPr>
            <w:tcW w:w="858" w:type="dxa"/>
            <w:vMerge w:val="continue"/>
            <w:tcBorders>
              <w:tl2br w:val="nil"/>
              <w:tr2bl w:val="nil"/>
            </w:tcBorders>
            <w:vAlign w:val="center"/>
          </w:tcPr>
          <w:p>
            <w:pPr>
              <w:pStyle w:val="17"/>
              <w:bidi w:val="0"/>
              <w:rPr>
                <w:rFonts w:hint="default"/>
              </w:rPr>
            </w:pPr>
          </w:p>
        </w:tc>
        <w:tc>
          <w:tcPr>
            <w:tcW w:w="1040" w:type="dxa"/>
            <w:tcBorders>
              <w:tl2br w:val="nil"/>
              <w:tr2bl w:val="nil"/>
            </w:tcBorders>
            <w:vAlign w:val="center"/>
          </w:tcPr>
          <w:p>
            <w:pPr>
              <w:pStyle w:val="17"/>
              <w:bidi w:val="0"/>
              <w:rPr>
                <w:rFonts w:hint="default"/>
              </w:rPr>
            </w:pPr>
            <w:r>
              <w:rPr>
                <w:rFonts w:hint="default"/>
              </w:rPr>
              <w:t>废过滤网</w:t>
            </w:r>
          </w:p>
        </w:tc>
        <w:tc>
          <w:tcPr>
            <w:tcW w:w="1433" w:type="dxa"/>
            <w:tcBorders>
              <w:tl2br w:val="nil"/>
              <w:tr2bl w:val="nil"/>
            </w:tcBorders>
            <w:vAlign w:val="center"/>
          </w:tcPr>
          <w:p>
            <w:pPr>
              <w:pStyle w:val="17"/>
              <w:bidi w:val="0"/>
              <w:rPr>
                <w:rFonts w:hint="default"/>
              </w:rPr>
            </w:pPr>
            <w:r>
              <w:rPr>
                <w:rFonts w:hint="default"/>
              </w:rPr>
              <w:t>0.1</w:t>
            </w:r>
            <w:r>
              <w:rPr>
                <w:rFonts w:hint="eastAsia"/>
                <w:lang w:val="en-US" w:eastAsia="zh-CN"/>
              </w:rPr>
              <w:t>8</w:t>
            </w:r>
            <w:r>
              <w:rPr>
                <w:rFonts w:hint="default"/>
              </w:rPr>
              <w:t>t/a</w:t>
            </w:r>
          </w:p>
        </w:tc>
        <w:tc>
          <w:tcPr>
            <w:tcW w:w="1191" w:type="dxa"/>
            <w:tcBorders>
              <w:tl2br w:val="nil"/>
              <w:tr2bl w:val="nil"/>
            </w:tcBorders>
            <w:vAlign w:val="center"/>
          </w:tcPr>
          <w:p>
            <w:pPr>
              <w:pStyle w:val="17"/>
              <w:bidi w:val="0"/>
              <w:rPr>
                <w:rFonts w:hint="default"/>
              </w:rPr>
            </w:pPr>
            <w:r>
              <w:rPr>
                <w:rFonts w:hint="default"/>
              </w:rPr>
              <w:t>0.1</w:t>
            </w:r>
            <w:r>
              <w:rPr>
                <w:rFonts w:hint="eastAsia"/>
                <w:lang w:val="en-US" w:eastAsia="zh-CN"/>
              </w:rPr>
              <w:t>8</w:t>
            </w:r>
            <w:r>
              <w:rPr>
                <w:rFonts w:hint="default"/>
              </w:rPr>
              <w:t>t/a</w:t>
            </w:r>
          </w:p>
        </w:tc>
        <w:tc>
          <w:tcPr>
            <w:tcW w:w="3060" w:type="dxa"/>
            <w:tcBorders>
              <w:tl2br w:val="nil"/>
              <w:tr2bl w:val="nil"/>
            </w:tcBorders>
            <w:vAlign w:val="center"/>
          </w:tcPr>
          <w:p>
            <w:pPr>
              <w:pStyle w:val="17"/>
              <w:bidi w:val="0"/>
              <w:rPr>
                <w:rFonts w:hint="default"/>
              </w:rPr>
            </w:pPr>
            <w:r>
              <w:rPr>
                <w:rFonts w:hint="default"/>
              </w:rPr>
              <w:t>由厂家回收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82" w:type="dxa"/>
            <w:vMerge w:val="continue"/>
            <w:tcBorders>
              <w:tl2br w:val="nil"/>
              <w:tr2bl w:val="nil"/>
            </w:tcBorders>
            <w:vAlign w:val="center"/>
          </w:tcPr>
          <w:p>
            <w:pPr>
              <w:pStyle w:val="17"/>
              <w:bidi w:val="0"/>
              <w:rPr>
                <w:rFonts w:hint="default"/>
              </w:rPr>
            </w:pPr>
          </w:p>
        </w:tc>
        <w:tc>
          <w:tcPr>
            <w:tcW w:w="807" w:type="dxa"/>
            <w:vMerge w:val="continue"/>
            <w:tcBorders>
              <w:tl2br w:val="nil"/>
              <w:tr2bl w:val="nil"/>
            </w:tcBorders>
            <w:vAlign w:val="center"/>
          </w:tcPr>
          <w:p>
            <w:pPr>
              <w:pStyle w:val="17"/>
              <w:bidi w:val="0"/>
              <w:rPr>
                <w:rFonts w:hint="default"/>
              </w:rPr>
            </w:pPr>
          </w:p>
        </w:tc>
        <w:tc>
          <w:tcPr>
            <w:tcW w:w="858" w:type="dxa"/>
            <w:vMerge w:val="continue"/>
            <w:tcBorders>
              <w:tl2br w:val="nil"/>
              <w:tr2bl w:val="nil"/>
            </w:tcBorders>
            <w:vAlign w:val="center"/>
          </w:tcPr>
          <w:p>
            <w:pPr>
              <w:pStyle w:val="17"/>
              <w:bidi w:val="0"/>
              <w:rPr>
                <w:rFonts w:hint="default"/>
              </w:rPr>
            </w:pPr>
          </w:p>
        </w:tc>
        <w:tc>
          <w:tcPr>
            <w:tcW w:w="1040" w:type="dxa"/>
            <w:tcBorders>
              <w:tl2br w:val="nil"/>
              <w:tr2bl w:val="nil"/>
            </w:tcBorders>
            <w:vAlign w:val="center"/>
          </w:tcPr>
          <w:p>
            <w:pPr>
              <w:pStyle w:val="17"/>
              <w:bidi w:val="0"/>
              <w:rPr>
                <w:rFonts w:hint="default" w:eastAsia="宋体"/>
                <w:lang w:val="en-US" w:eastAsia="zh-CN"/>
              </w:rPr>
            </w:pPr>
            <w:r>
              <w:rPr>
                <w:rFonts w:hint="eastAsia"/>
                <w:lang w:val="en-US" w:eastAsia="zh-CN"/>
              </w:rPr>
              <w:t>污水处理设备污泥</w:t>
            </w:r>
          </w:p>
        </w:tc>
        <w:tc>
          <w:tcPr>
            <w:tcW w:w="1433" w:type="dxa"/>
            <w:tcBorders>
              <w:tl2br w:val="nil"/>
              <w:tr2bl w:val="nil"/>
            </w:tcBorders>
            <w:vAlign w:val="center"/>
          </w:tcPr>
          <w:p>
            <w:pPr>
              <w:pStyle w:val="17"/>
              <w:bidi w:val="0"/>
              <w:rPr>
                <w:rFonts w:hint="default" w:eastAsia="宋体"/>
                <w:lang w:val="en-US" w:eastAsia="zh-CN"/>
              </w:rPr>
            </w:pPr>
            <w:r>
              <w:rPr>
                <w:rFonts w:hint="eastAsia"/>
                <w:lang w:val="en-US" w:eastAsia="zh-CN"/>
              </w:rPr>
              <w:t>5t/a</w:t>
            </w:r>
          </w:p>
        </w:tc>
        <w:tc>
          <w:tcPr>
            <w:tcW w:w="1191" w:type="dxa"/>
            <w:tcBorders>
              <w:tl2br w:val="nil"/>
              <w:tr2bl w:val="nil"/>
            </w:tcBorders>
            <w:vAlign w:val="center"/>
          </w:tcPr>
          <w:p>
            <w:pPr>
              <w:pStyle w:val="17"/>
              <w:bidi w:val="0"/>
              <w:rPr>
                <w:rFonts w:hint="default" w:eastAsia="宋体"/>
                <w:lang w:val="en-US" w:eastAsia="zh-CN"/>
              </w:rPr>
            </w:pPr>
            <w:r>
              <w:rPr>
                <w:rFonts w:hint="eastAsia"/>
                <w:lang w:val="en-US" w:eastAsia="zh-CN"/>
              </w:rPr>
              <w:t>5t/a</w:t>
            </w:r>
          </w:p>
        </w:tc>
        <w:tc>
          <w:tcPr>
            <w:tcW w:w="3060" w:type="dxa"/>
            <w:tcBorders>
              <w:tl2br w:val="nil"/>
              <w:tr2bl w:val="nil"/>
            </w:tcBorders>
            <w:vAlign w:val="center"/>
          </w:tcPr>
          <w:p>
            <w:pPr>
              <w:pStyle w:val="17"/>
              <w:bidi w:val="0"/>
              <w:rPr>
                <w:rFonts w:hint="default" w:eastAsia="宋体"/>
                <w:lang w:val="en-US" w:eastAsia="zh-CN"/>
              </w:rPr>
            </w:pPr>
            <w:r>
              <w:rPr>
                <w:rFonts w:hint="eastAsia"/>
                <w:lang w:val="en-US" w:eastAsia="zh-CN"/>
              </w:rPr>
              <w:t>干化后送至垃圾填埋场卫生填埋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82" w:type="dxa"/>
            <w:vMerge w:val="continue"/>
            <w:tcBorders>
              <w:tl2br w:val="nil"/>
              <w:tr2bl w:val="nil"/>
            </w:tcBorders>
            <w:vAlign w:val="center"/>
          </w:tcPr>
          <w:p>
            <w:pPr>
              <w:pStyle w:val="17"/>
              <w:bidi w:val="0"/>
              <w:rPr>
                <w:rFonts w:hint="default"/>
              </w:rPr>
            </w:pPr>
          </w:p>
        </w:tc>
        <w:tc>
          <w:tcPr>
            <w:tcW w:w="807" w:type="dxa"/>
            <w:tcBorders>
              <w:tl2br w:val="nil"/>
              <w:tr2bl w:val="nil"/>
            </w:tcBorders>
            <w:vAlign w:val="center"/>
          </w:tcPr>
          <w:p>
            <w:pPr>
              <w:pStyle w:val="17"/>
              <w:bidi w:val="0"/>
              <w:rPr>
                <w:rFonts w:hint="default"/>
              </w:rPr>
            </w:pPr>
            <w:r>
              <w:rPr>
                <w:rFonts w:hint="default"/>
              </w:rPr>
              <w:t>办公</w:t>
            </w:r>
          </w:p>
          <w:p>
            <w:pPr>
              <w:pStyle w:val="17"/>
              <w:bidi w:val="0"/>
              <w:rPr>
                <w:rFonts w:hint="default"/>
              </w:rPr>
            </w:pPr>
            <w:r>
              <w:rPr>
                <w:rFonts w:hint="default"/>
              </w:rPr>
              <w:t>生活区</w:t>
            </w:r>
          </w:p>
        </w:tc>
        <w:tc>
          <w:tcPr>
            <w:tcW w:w="858" w:type="dxa"/>
            <w:tcBorders>
              <w:tl2br w:val="nil"/>
              <w:tr2bl w:val="nil"/>
            </w:tcBorders>
            <w:vAlign w:val="center"/>
          </w:tcPr>
          <w:p>
            <w:pPr>
              <w:pStyle w:val="17"/>
              <w:bidi w:val="0"/>
              <w:rPr>
                <w:rFonts w:hint="default"/>
              </w:rPr>
            </w:pPr>
            <w:r>
              <w:rPr>
                <w:rFonts w:hint="default"/>
              </w:rPr>
              <w:t>生活垃圾</w:t>
            </w:r>
          </w:p>
        </w:tc>
        <w:tc>
          <w:tcPr>
            <w:tcW w:w="1040" w:type="dxa"/>
            <w:tcBorders>
              <w:tl2br w:val="nil"/>
              <w:tr2bl w:val="nil"/>
            </w:tcBorders>
            <w:vAlign w:val="center"/>
          </w:tcPr>
          <w:p>
            <w:pPr>
              <w:pStyle w:val="17"/>
              <w:bidi w:val="0"/>
              <w:rPr>
                <w:rFonts w:hint="default"/>
              </w:rPr>
            </w:pPr>
            <w:r>
              <w:rPr>
                <w:rFonts w:hint="default"/>
              </w:rPr>
              <w:t>生活垃圾</w:t>
            </w:r>
          </w:p>
        </w:tc>
        <w:tc>
          <w:tcPr>
            <w:tcW w:w="1433" w:type="dxa"/>
            <w:tcBorders>
              <w:tl2br w:val="nil"/>
              <w:tr2bl w:val="nil"/>
            </w:tcBorders>
            <w:vAlign w:val="center"/>
          </w:tcPr>
          <w:p>
            <w:pPr>
              <w:pStyle w:val="17"/>
              <w:bidi w:val="0"/>
              <w:rPr>
                <w:rFonts w:hint="default"/>
              </w:rPr>
            </w:pPr>
            <w:r>
              <w:rPr>
                <w:rFonts w:hint="eastAsia"/>
                <w:lang w:val="en-US" w:eastAsia="zh-CN"/>
              </w:rPr>
              <w:t>13.86</w:t>
            </w:r>
            <w:r>
              <w:rPr>
                <w:rFonts w:hint="default"/>
              </w:rPr>
              <w:t>t/a</w:t>
            </w:r>
          </w:p>
        </w:tc>
        <w:tc>
          <w:tcPr>
            <w:tcW w:w="1191" w:type="dxa"/>
            <w:tcBorders>
              <w:tl2br w:val="nil"/>
              <w:tr2bl w:val="nil"/>
            </w:tcBorders>
            <w:vAlign w:val="center"/>
          </w:tcPr>
          <w:p>
            <w:pPr>
              <w:pStyle w:val="17"/>
              <w:bidi w:val="0"/>
              <w:rPr>
                <w:rFonts w:hint="default"/>
              </w:rPr>
            </w:pPr>
            <w:r>
              <w:rPr>
                <w:rFonts w:hint="eastAsia"/>
                <w:lang w:val="en-US" w:eastAsia="zh-CN"/>
              </w:rPr>
              <w:t>13.86</w:t>
            </w:r>
            <w:r>
              <w:rPr>
                <w:rFonts w:hint="default"/>
              </w:rPr>
              <w:t>t/a</w:t>
            </w:r>
          </w:p>
        </w:tc>
        <w:tc>
          <w:tcPr>
            <w:tcW w:w="3060" w:type="dxa"/>
            <w:tcBorders>
              <w:tl2br w:val="nil"/>
              <w:tr2bl w:val="nil"/>
            </w:tcBorders>
            <w:vAlign w:val="center"/>
          </w:tcPr>
          <w:p>
            <w:pPr>
              <w:pStyle w:val="17"/>
              <w:bidi w:val="0"/>
              <w:rPr>
                <w:rFonts w:hint="default"/>
              </w:rPr>
            </w:pPr>
            <w:r>
              <w:rPr>
                <w:rFonts w:hint="default"/>
              </w:rPr>
              <w:t>项目区内设置垃圾桶（规格：50L，共计2个），由环卫部门统一收集处理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56" w:hRule="atLeast"/>
          <w:jc w:val="center"/>
        </w:trPr>
        <w:tc>
          <w:tcPr>
            <w:tcW w:w="682" w:type="dxa"/>
            <w:vMerge w:val="continue"/>
            <w:tcBorders>
              <w:tl2br w:val="nil"/>
              <w:tr2bl w:val="nil"/>
            </w:tcBorders>
            <w:vAlign w:val="center"/>
          </w:tcPr>
          <w:p>
            <w:pPr>
              <w:pStyle w:val="17"/>
              <w:bidi w:val="0"/>
              <w:rPr>
                <w:rFonts w:hint="default"/>
              </w:rPr>
            </w:pPr>
          </w:p>
        </w:tc>
        <w:tc>
          <w:tcPr>
            <w:tcW w:w="807" w:type="dxa"/>
            <w:vMerge w:val="restart"/>
            <w:tcBorders>
              <w:tl2br w:val="nil"/>
              <w:tr2bl w:val="nil"/>
            </w:tcBorders>
            <w:vAlign w:val="center"/>
          </w:tcPr>
          <w:p>
            <w:pPr>
              <w:pStyle w:val="17"/>
              <w:bidi w:val="0"/>
              <w:rPr>
                <w:rFonts w:hint="default"/>
              </w:rPr>
            </w:pPr>
            <w:r>
              <w:rPr>
                <w:rFonts w:hint="default"/>
              </w:rPr>
              <w:t>厂房</w:t>
            </w:r>
          </w:p>
        </w:tc>
        <w:tc>
          <w:tcPr>
            <w:tcW w:w="858"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危险废物</w:t>
            </w:r>
          </w:p>
        </w:tc>
        <w:tc>
          <w:tcPr>
            <w:tcW w:w="1040" w:type="dxa"/>
            <w:tcBorders>
              <w:tl2br w:val="nil"/>
              <w:tr2bl w:val="nil"/>
            </w:tcBorders>
            <w:vAlign w:val="center"/>
          </w:tcPr>
          <w:p>
            <w:pPr>
              <w:pStyle w:val="17"/>
              <w:bidi w:val="0"/>
              <w:rPr>
                <w:rFonts w:hint="default" w:eastAsia="宋体"/>
                <w:lang w:val="en-US" w:eastAsia="zh-CN"/>
              </w:rPr>
            </w:pPr>
            <w:r>
              <w:rPr>
                <w:rFonts w:hint="eastAsia"/>
                <w:lang w:val="en-US" w:eastAsia="zh-CN"/>
              </w:rPr>
              <w:t>废活性炭</w:t>
            </w:r>
          </w:p>
        </w:tc>
        <w:tc>
          <w:tcPr>
            <w:tcW w:w="1433" w:type="dxa"/>
            <w:tcBorders>
              <w:tl2br w:val="nil"/>
              <w:tr2bl w:val="nil"/>
            </w:tcBorders>
            <w:vAlign w:val="center"/>
          </w:tcPr>
          <w:p>
            <w:pPr>
              <w:pStyle w:val="17"/>
              <w:bidi w:val="0"/>
              <w:rPr>
                <w:rFonts w:hint="default"/>
                <w:lang w:val="en-US" w:eastAsia="zh-CN"/>
              </w:rPr>
            </w:pPr>
            <w:r>
              <w:rPr>
                <w:rFonts w:hint="eastAsia"/>
                <w:lang w:val="en-US" w:eastAsia="zh-CN"/>
              </w:rPr>
              <w:t>7.2t/a</w:t>
            </w:r>
          </w:p>
        </w:tc>
        <w:tc>
          <w:tcPr>
            <w:tcW w:w="1191" w:type="dxa"/>
            <w:tcBorders>
              <w:tl2br w:val="nil"/>
              <w:tr2bl w:val="nil"/>
            </w:tcBorders>
            <w:vAlign w:val="center"/>
          </w:tcPr>
          <w:p>
            <w:pPr>
              <w:pStyle w:val="17"/>
              <w:bidi w:val="0"/>
              <w:rPr>
                <w:rFonts w:hint="eastAsia"/>
                <w:lang w:val="en-US" w:eastAsia="zh-CN"/>
              </w:rPr>
            </w:pPr>
            <w:r>
              <w:rPr>
                <w:rFonts w:hint="eastAsia"/>
                <w:lang w:val="en-US" w:eastAsia="zh-CN"/>
              </w:rPr>
              <w:t>7.2t/a</w:t>
            </w:r>
          </w:p>
        </w:tc>
        <w:tc>
          <w:tcPr>
            <w:tcW w:w="3060"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在建设单位按要求建设危险废物暂存间内在暂存，并定期交由具有资质的处理单位进行后续处置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682" w:type="dxa"/>
            <w:vMerge w:val="continue"/>
            <w:tcBorders>
              <w:tl2br w:val="nil"/>
              <w:tr2bl w:val="nil"/>
            </w:tcBorders>
            <w:vAlign w:val="center"/>
          </w:tcPr>
          <w:p>
            <w:pPr>
              <w:pStyle w:val="17"/>
              <w:bidi w:val="0"/>
              <w:rPr>
                <w:rFonts w:hint="default"/>
              </w:rPr>
            </w:pPr>
          </w:p>
        </w:tc>
        <w:tc>
          <w:tcPr>
            <w:tcW w:w="807" w:type="dxa"/>
            <w:vMerge w:val="continue"/>
            <w:tcBorders>
              <w:tl2br w:val="nil"/>
              <w:tr2bl w:val="nil"/>
            </w:tcBorders>
            <w:vAlign w:val="center"/>
          </w:tcPr>
          <w:p>
            <w:pPr>
              <w:pStyle w:val="17"/>
              <w:bidi w:val="0"/>
              <w:rPr>
                <w:rFonts w:hint="default"/>
              </w:rPr>
            </w:pPr>
          </w:p>
        </w:tc>
        <w:tc>
          <w:tcPr>
            <w:tcW w:w="858" w:type="dxa"/>
            <w:vMerge w:val="continue"/>
            <w:tcBorders>
              <w:tl2br w:val="nil"/>
              <w:tr2bl w:val="nil"/>
            </w:tcBorders>
            <w:vAlign w:val="center"/>
          </w:tcPr>
          <w:p>
            <w:pPr>
              <w:pStyle w:val="17"/>
              <w:bidi w:val="0"/>
              <w:rPr>
                <w:rFonts w:hint="default"/>
              </w:rPr>
            </w:pPr>
          </w:p>
        </w:tc>
        <w:tc>
          <w:tcPr>
            <w:tcW w:w="1040" w:type="dxa"/>
            <w:tcBorders>
              <w:tl2br w:val="nil"/>
              <w:tr2bl w:val="nil"/>
            </w:tcBorders>
            <w:vAlign w:val="center"/>
          </w:tcPr>
          <w:p>
            <w:pPr>
              <w:pStyle w:val="17"/>
              <w:bidi w:val="0"/>
              <w:rPr>
                <w:rFonts w:hint="default" w:eastAsia="宋体"/>
                <w:lang w:val="en-US" w:eastAsia="zh-CN"/>
              </w:rPr>
            </w:pPr>
            <w:r>
              <w:rPr>
                <w:rFonts w:hint="eastAsia"/>
                <w:lang w:val="en-US" w:eastAsia="zh-CN"/>
              </w:rPr>
              <w:t>废灯管</w:t>
            </w:r>
          </w:p>
        </w:tc>
        <w:tc>
          <w:tcPr>
            <w:tcW w:w="1433" w:type="dxa"/>
            <w:tcBorders>
              <w:tl2br w:val="nil"/>
              <w:tr2bl w:val="nil"/>
            </w:tcBorders>
            <w:vAlign w:val="center"/>
          </w:tcPr>
          <w:p>
            <w:pPr>
              <w:pStyle w:val="17"/>
              <w:bidi w:val="0"/>
              <w:rPr>
                <w:rFonts w:hint="default"/>
                <w:lang w:val="en-US" w:eastAsia="zh-CN"/>
              </w:rPr>
            </w:pPr>
            <w:r>
              <w:rPr>
                <w:rFonts w:hint="eastAsia"/>
                <w:lang w:val="en-US" w:eastAsia="zh-CN"/>
              </w:rPr>
              <w:t>0.015t/a</w:t>
            </w:r>
          </w:p>
        </w:tc>
        <w:tc>
          <w:tcPr>
            <w:tcW w:w="1191" w:type="dxa"/>
            <w:tcBorders>
              <w:tl2br w:val="nil"/>
              <w:tr2bl w:val="nil"/>
            </w:tcBorders>
            <w:vAlign w:val="center"/>
          </w:tcPr>
          <w:p>
            <w:pPr>
              <w:pStyle w:val="17"/>
              <w:bidi w:val="0"/>
              <w:rPr>
                <w:rFonts w:hint="default"/>
                <w:lang w:val="en-US" w:eastAsia="zh-CN"/>
              </w:rPr>
            </w:pPr>
            <w:r>
              <w:rPr>
                <w:rFonts w:hint="eastAsia"/>
                <w:lang w:val="en-US" w:eastAsia="zh-CN"/>
              </w:rPr>
              <w:t>0.015t/a</w:t>
            </w:r>
          </w:p>
        </w:tc>
        <w:tc>
          <w:tcPr>
            <w:tcW w:w="3060" w:type="dxa"/>
            <w:vMerge w:val="continue"/>
            <w:tcBorders>
              <w:tl2br w:val="nil"/>
              <w:tr2bl w:val="nil"/>
            </w:tcBorders>
            <w:vAlign w:val="center"/>
          </w:tcPr>
          <w:p>
            <w:pPr>
              <w:pStyle w:val="17"/>
              <w:bidi w:val="0"/>
              <w:rPr>
                <w:rFonts w:hint="default" w:eastAsia="宋体"/>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82" w:type="dxa"/>
            <w:vMerge w:val="continue"/>
            <w:tcBorders>
              <w:tl2br w:val="nil"/>
              <w:tr2bl w:val="nil"/>
            </w:tcBorders>
            <w:vAlign w:val="center"/>
          </w:tcPr>
          <w:p>
            <w:pPr>
              <w:pStyle w:val="17"/>
              <w:bidi w:val="0"/>
              <w:rPr>
                <w:rFonts w:hint="default"/>
              </w:rPr>
            </w:pPr>
          </w:p>
        </w:tc>
        <w:tc>
          <w:tcPr>
            <w:tcW w:w="807" w:type="dxa"/>
            <w:vMerge w:val="continue"/>
            <w:tcBorders>
              <w:tl2br w:val="nil"/>
              <w:tr2bl w:val="nil"/>
            </w:tcBorders>
            <w:vAlign w:val="center"/>
          </w:tcPr>
          <w:p>
            <w:pPr>
              <w:pStyle w:val="17"/>
              <w:bidi w:val="0"/>
              <w:rPr>
                <w:rFonts w:hint="default"/>
              </w:rPr>
            </w:pPr>
          </w:p>
        </w:tc>
        <w:tc>
          <w:tcPr>
            <w:tcW w:w="858" w:type="dxa"/>
            <w:vMerge w:val="continue"/>
            <w:tcBorders>
              <w:tl2br w:val="nil"/>
              <w:tr2bl w:val="nil"/>
            </w:tcBorders>
            <w:vAlign w:val="center"/>
          </w:tcPr>
          <w:p>
            <w:pPr>
              <w:pStyle w:val="17"/>
              <w:bidi w:val="0"/>
              <w:rPr>
                <w:rFonts w:hint="default"/>
              </w:rPr>
            </w:pPr>
          </w:p>
        </w:tc>
        <w:tc>
          <w:tcPr>
            <w:tcW w:w="1040" w:type="dxa"/>
            <w:tcBorders>
              <w:tl2br w:val="nil"/>
              <w:tr2bl w:val="nil"/>
            </w:tcBorders>
            <w:vAlign w:val="center"/>
          </w:tcPr>
          <w:p>
            <w:pPr>
              <w:pStyle w:val="17"/>
              <w:bidi w:val="0"/>
              <w:rPr>
                <w:rFonts w:hint="default" w:eastAsia="宋体"/>
                <w:lang w:val="en-US" w:eastAsia="zh-CN"/>
              </w:rPr>
            </w:pPr>
            <w:r>
              <w:rPr>
                <w:rFonts w:hint="eastAsia"/>
                <w:lang w:val="en-US" w:eastAsia="zh-CN"/>
              </w:rPr>
              <w:t>废润滑油</w:t>
            </w:r>
          </w:p>
        </w:tc>
        <w:tc>
          <w:tcPr>
            <w:tcW w:w="1433" w:type="dxa"/>
            <w:tcBorders>
              <w:tl2br w:val="nil"/>
              <w:tr2bl w:val="nil"/>
            </w:tcBorders>
            <w:vAlign w:val="center"/>
          </w:tcPr>
          <w:p>
            <w:pPr>
              <w:pStyle w:val="17"/>
              <w:bidi w:val="0"/>
              <w:rPr>
                <w:rFonts w:hint="default"/>
                <w:lang w:val="en-US" w:eastAsia="zh-CN"/>
              </w:rPr>
            </w:pPr>
            <w:r>
              <w:rPr>
                <w:rFonts w:hint="eastAsia"/>
                <w:lang w:val="en-US" w:eastAsia="zh-CN"/>
              </w:rPr>
              <w:t>0.2t/a</w:t>
            </w:r>
          </w:p>
        </w:tc>
        <w:tc>
          <w:tcPr>
            <w:tcW w:w="1191" w:type="dxa"/>
            <w:tcBorders>
              <w:tl2br w:val="nil"/>
              <w:tr2bl w:val="nil"/>
            </w:tcBorders>
            <w:vAlign w:val="center"/>
          </w:tcPr>
          <w:p>
            <w:pPr>
              <w:pStyle w:val="17"/>
              <w:bidi w:val="0"/>
              <w:rPr>
                <w:rFonts w:hint="default"/>
                <w:lang w:val="en-US" w:eastAsia="zh-CN"/>
              </w:rPr>
            </w:pPr>
            <w:r>
              <w:rPr>
                <w:rFonts w:hint="eastAsia"/>
                <w:lang w:val="en-US" w:eastAsia="zh-CN"/>
              </w:rPr>
              <w:t>0.2t/a</w:t>
            </w:r>
          </w:p>
        </w:tc>
        <w:tc>
          <w:tcPr>
            <w:tcW w:w="3060" w:type="dxa"/>
            <w:tcBorders>
              <w:tl2br w:val="nil"/>
              <w:tr2bl w:val="nil"/>
            </w:tcBorders>
            <w:vAlign w:val="center"/>
          </w:tcPr>
          <w:p>
            <w:pPr>
              <w:pStyle w:val="17"/>
              <w:bidi w:val="0"/>
              <w:rPr>
                <w:rFonts w:hint="default"/>
              </w:rPr>
            </w:pPr>
            <w:r>
              <w:rPr>
                <w:rFonts w:hint="eastAsia"/>
                <w:lang w:val="en-US" w:eastAsia="zh-CN"/>
              </w:rPr>
              <w:t>在建设单位按要求建设危险废物暂存间内在暂存，并定期交由具有资质的处理单位进行后续处置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82" w:type="dxa"/>
            <w:tcBorders>
              <w:tl2br w:val="nil"/>
              <w:tr2bl w:val="nil"/>
            </w:tcBorders>
            <w:vAlign w:val="center"/>
          </w:tcPr>
          <w:p>
            <w:pPr>
              <w:pStyle w:val="17"/>
              <w:bidi w:val="0"/>
              <w:rPr>
                <w:rFonts w:hint="default"/>
              </w:rPr>
            </w:pPr>
            <w:r>
              <w:rPr>
                <w:rFonts w:hint="default"/>
              </w:rPr>
              <w:t>噪声</w:t>
            </w:r>
          </w:p>
        </w:tc>
        <w:tc>
          <w:tcPr>
            <w:tcW w:w="2705" w:type="dxa"/>
            <w:gridSpan w:val="3"/>
            <w:tcBorders>
              <w:tl2br w:val="nil"/>
              <w:tr2bl w:val="nil"/>
            </w:tcBorders>
            <w:vAlign w:val="center"/>
          </w:tcPr>
          <w:p>
            <w:pPr>
              <w:pStyle w:val="17"/>
              <w:bidi w:val="0"/>
              <w:rPr>
                <w:rFonts w:hint="default"/>
              </w:rPr>
            </w:pPr>
            <w:r>
              <w:rPr>
                <w:rFonts w:hint="default"/>
              </w:rPr>
              <w:t>设备噪声</w:t>
            </w:r>
          </w:p>
        </w:tc>
        <w:tc>
          <w:tcPr>
            <w:tcW w:w="1433" w:type="dxa"/>
            <w:tcBorders>
              <w:tl2br w:val="nil"/>
              <w:tr2bl w:val="nil"/>
            </w:tcBorders>
            <w:vAlign w:val="center"/>
          </w:tcPr>
          <w:p>
            <w:pPr>
              <w:pStyle w:val="17"/>
              <w:bidi w:val="0"/>
              <w:rPr>
                <w:rFonts w:hint="default"/>
              </w:rPr>
            </w:pPr>
            <w:r>
              <w:rPr>
                <w:rFonts w:hint="default"/>
              </w:rPr>
              <w:t>78～90dB（A）</w:t>
            </w:r>
          </w:p>
        </w:tc>
        <w:tc>
          <w:tcPr>
            <w:tcW w:w="1191" w:type="dxa"/>
            <w:tcBorders>
              <w:tl2br w:val="nil"/>
              <w:tr2bl w:val="nil"/>
            </w:tcBorders>
            <w:vAlign w:val="center"/>
          </w:tcPr>
          <w:p>
            <w:pPr>
              <w:pStyle w:val="17"/>
              <w:bidi w:val="0"/>
              <w:rPr>
                <w:rFonts w:hint="default"/>
              </w:rPr>
            </w:pPr>
            <w:r>
              <w:rPr>
                <w:rFonts w:hint="default"/>
              </w:rPr>
              <w:t>63～75dB（A）</w:t>
            </w:r>
          </w:p>
        </w:tc>
        <w:tc>
          <w:tcPr>
            <w:tcW w:w="3060" w:type="dxa"/>
            <w:tcBorders>
              <w:tl2br w:val="nil"/>
              <w:tr2bl w:val="nil"/>
            </w:tcBorders>
            <w:vAlign w:val="center"/>
          </w:tcPr>
          <w:p>
            <w:pPr>
              <w:pStyle w:val="17"/>
              <w:bidi w:val="0"/>
              <w:rPr>
                <w:rFonts w:hint="default"/>
              </w:rPr>
            </w:pPr>
            <w:r>
              <w:rPr>
                <w:rFonts w:hint="default"/>
              </w:rPr>
              <w:t>采用低噪设备，采用设备减振、厂房隔声</w:t>
            </w:r>
          </w:p>
        </w:tc>
      </w:tr>
    </w:tbl>
    <w:p>
      <w:pPr>
        <w:pStyle w:val="4"/>
        <w:bidi w:val="0"/>
        <w:rPr>
          <w:rFonts w:hint="default"/>
        </w:rPr>
      </w:pPr>
      <w:bookmarkStart w:id="136" w:name="_Toc117518348"/>
      <w:bookmarkStart w:id="137" w:name="_Toc117518183"/>
      <w:bookmarkStart w:id="138" w:name="_Toc347242003"/>
      <w:bookmarkStart w:id="139" w:name="_Toc20263"/>
      <w:bookmarkStart w:id="140" w:name="_Toc30919"/>
      <w:bookmarkStart w:id="141" w:name="_Toc117518268"/>
      <w:bookmarkStart w:id="142" w:name="_Toc117518553"/>
      <w:bookmarkStart w:id="143" w:name="_Toc117517838"/>
      <w:bookmarkStart w:id="144" w:name="_Toc117518102"/>
      <w:r>
        <w:rPr>
          <w:rFonts w:hint="default"/>
        </w:rPr>
        <w:t>3.11</w:t>
      </w:r>
      <w:r>
        <w:rPr>
          <w:rFonts w:hint="eastAsia"/>
          <w:lang w:eastAsia="zh-CN"/>
        </w:rPr>
        <w:t>、</w:t>
      </w:r>
      <w:r>
        <w:rPr>
          <w:rFonts w:hint="default"/>
        </w:rPr>
        <w:t>清洁生产概述</w:t>
      </w:r>
      <w:bookmarkEnd w:id="136"/>
      <w:bookmarkEnd w:id="137"/>
      <w:bookmarkEnd w:id="138"/>
      <w:bookmarkEnd w:id="139"/>
      <w:bookmarkEnd w:id="140"/>
      <w:bookmarkEnd w:id="141"/>
      <w:bookmarkEnd w:id="142"/>
      <w:bookmarkEnd w:id="143"/>
      <w:bookmarkEnd w:id="144"/>
    </w:p>
    <w:p>
      <w:pPr>
        <w:pStyle w:val="5"/>
        <w:bidi w:val="0"/>
        <w:rPr>
          <w:rFonts w:hint="default"/>
        </w:rPr>
      </w:pPr>
      <w:bookmarkStart w:id="145" w:name="_Toc299381556"/>
      <w:bookmarkStart w:id="146" w:name="_Toc321043931"/>
      <w:bookmarkStart w:id="147" w:name="_Toc300831158"/>
      <w:bookmarkStart w:id="148" w:name="_Toc289360120"/>
      <w:bookmarkStart w:id="149" w:name="_Toc224388100"/>
      <w:bookmarkStart w:id="150" w:name="_Toc310503813"/>
      <w:bookmarkStart w:id="151" w:name="_Toc291499424"/>
      <w:r>
        <w:rPr>
          <w:rFonts w:hint="default"/>
        </w:rPr>
        <w:t>3.11.1</w:t>
      </w:r>
      <w:r>
        <w:rPr>
          <w:rFonts w:hint="eastAsia"/>
          <w:lang w:eastAsia="zh-CN"/>
        </w:rPr>
        <w:t>、</w:t>
      </w:r>
      <w:r>
        <w:rPr>
          <w:rFonts w:hint="default"/>
        </w:rPr>
        <w:t>清洁生产水平分析</w:t>
      </w:r>
      <w:bookmarkEnd w:id="145"/>
      <w:bookmarkEnd w:id="146"/>
      <w:bookmarkEnd w:id="147"/>
      <w:bookmarkEnd w:id="148"/>
      <w:bookmarkEnd w:id="149"/>
      <w:bookmarkEnd w:id="150"/>
      <w:bookmarkEnd w:id="151"/>
    </w:p>
    <w:p>
      <w:pPr>
        <w:bidi w:val="0"/>
        <w:rPr>
          <w:rFonts w:hint="default"/>
        </w:rPr>
      </w:pPr>
      <w:r>
        <w:rPr>
          <w:rFonts w:hint="default"/>
        </w:rPr>
        <w:t>清洁生产是指将整体预防的环境战略持续应用于生产过程、产品和服务中，以期增加生态效率并减少对人类和环境的风险。清洁生产的目的就是通过采用先进的生产技术、工艺设备以及清洁原料，在生产过程中实现节省能源，降低原材料消耗，从源头控制污染物产生量并降低末端污染控制投资和运行费用，实现污染物排放的全过程控制，有效地减少污染物排放量。</w:t>
      </w:r>
    </w:p>
    <w:p>
      <w:pPr>
        <w:bidi w:val="0"/>
        <w:rPr>
          <w:rFonts w:hint="default"/>
        </w:rPr>
      </w:pPr>
      <w:r>
        <w:rPr>
          <w:rFonts w:hint="default"/>
          <w:lang w:val="en-US" w:eastAsia="zh-CN"/>
        </w:rPr>
        <w:t>由于目前该行业尚无具体的清洁生产标准，</w:t>
      </w:r>
      <w:r>
        <w:rPr>
          <w:rFonts w:hint="default"/>
        </w:rPr>
        <w:t>根据国内外有关文献资料以及本项目的实际情况，本项目的清洁生产分析主要从以下几个方面进行：</w:t>
      </w:r>
    </w:p>
    <w:p>
      <w:pPr>
        <w:pStyle w:val="6"/>
        <w:bidi w:val="0"/>
        <w:rPr>
          <w:rFonts w:hint="default"/>
        </w:rPr>
      </w:pPr>
      <w:r>
        <w:rPr>
          <w:rFonts w:hint="default"/>
        </w:rPr>
        <w:t>3.11.1.1</w:t>
      </w:r>
      <w:r>
        <w:rPr>
          <w:rFonts w:hint="eastAsia"/>
          <w:lang w:eastAsia="zh-CN"/>
        </w:rPr>
        <w:t>、</w:t>
      </w:r>
      <w:r>
        <w:rPr>
          <w:rFonts w:hint="default"/>
        </w:rPr>
        <w:t>生产工艺与设备分析</w:t>
      </w:r>
    </w:p>
    <w:p>
      <w:pPr>
        <w:bidi w:val="0"/>
        <w:rPr>
          <w:rFonts w:hint="default"/>
        </w:rPr>
      </w:pPr>
      <w:bookmarkStart w:id="152" w:name="_Toc286878496"/>
      <w:bookmarkStart w:id="153" w:name="_Toc287628649"/>
      <w:bookmarkStart w:id="154" w:name="_Toc287627756"/>
      <w:r>
        <w:rPr>
          <w:rFonts w:hint="default"/>
        </w:rPr>
        <w:t>本项目从事的废塑料再生加工利用，是指将回收的废塑料进行清洗、造粒，而后再生成塑料制品的活动。《废塑料回收与再生利用污染控制技术规范（试行）》（HJ/T364-2007）和《废塑料综合利用行业规范条件》（工信部2015年第81号公告）对废塑料处理工艺和装备</w:t>
      </w:r>
      <w:r>
        <w:rPr>
          <w:rFonts w:hint="eastAsia"/>
          <w:lang w:val="en-US" w:eastAsia="zh-CN"/>
        </w:rPr>
        <w:t>均</w:t>
      </w:r>
      <w:r>
        <w:rPr>
          <w:rFonts w:hint="default"/>
        </w:rPr>
        <w:t>做出了</w:t>
      </w:r>
      <w:r>
        <w:rPr>
          <w:rFonts w:hint="eastAsia"/>
          <w:lang w:val="en-US" w:eastAsia="zh-CN"/>
        </w:rPr>
        <w:t>明确的</w:t>
      </w:r>
      <w:r>
        <w:rPr>
          <w:rFonts w:hint="default"/>
        </w:rPr>
        <w:t>规定和要求。</w:t>
      </w:r>
    </w:p>
    <w:p>
      <w:pPr>
        <w:pStyle w:val="17"/>
        <w:bidi w:val="0"/>
        <w:rPr>
          <w:rFonts w:hint="default"/>
          <w:b/>
          <w:bCs/>
        </w:rPr>
      </w:pPr>
      <w:r>
        <w:rPr>
          <w:rFonts w:hint="default"/>
          <w:b/>
          <w:bCs/>
        </w:rPr>
        <w:t xml:space="preserve">表3.11-1 </w:t>
      </w:r>
      <w:r>
        <w:rPr>
          <w:rFonts w:hint="eastAsia"/>
          <w:b/>
          <w:bCs/>
          <w:lang w:val="en-US" w:eastAsia="zh-CN"/>
        </w:rPr>
        <w:t xml:space="preserve"> </w:t>
      </w:r>
      <w:r>
        <w:rPr>
          <w:rFonts w:hint="default"/>
          <w:b/>
          <w:bCs/>
        </w:rPr>
        <w:t xml:space="preserve"> HJ/T364-2007中相关要求与本项目情况对比一览表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3874"/>
        <w:gridCol w:w="38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1" w:type="dxa"/>
            <w:tcBorders>
              <w:tl2br w:val="nil"/>
              <w:tr2bl w:val="nil"/>
            </w:tcBorders>
            <w:vAlign w:val="center"/>
          </w:tcPr>
          <w:p>
            <w:pPr>
              <w:pStyle w:val="17"/>
              <w:bidi w:val="0"/>
              <w:rPr>
                <w:rFonts w:hint="default"/>
                <w:b/>
                <w:bCs/>
              </w:rPr>
            </w:pPr>
            <w:r>
              <w:rPr>
                <w:rFonts w:hint="default"/>
                <w:b/>
                <w:bCs/>
              </w:rPr>
              <w:t>项目</w:t>
            </w:r>
          </w:p>
        </w:tc>
        <w:tc>
          <w:tcPr>
            <w:tcW w:w="3874" w:type="dxa"/>
            <w:tcBorders>
              <w:tl2br w:val="nil"/>
              <w:tr2bl w:val="nil"/>
            </w:tcBorders>
            <w:vAlign w:val="center"/>
          </w:tcPr>
          <w:p>
            <w:pPr>
              <w:pStyle w:val="17"/>
              <w:bidi w:val="0"/>
              <w:rPr>
                <w:rFonts w:hint="default"/>
                <w:b/>
                <w:bCs/>
              </w:rPr>
            </w:pPr>
            <w:r>
              <w:rPr>
                <w:rFonts w:hint="default"/>
                <w:b/>
                <w:bCs/>
              </w:rPr>
              <w:t>HJ/T364-2007中相关要求</w:t>
            </w:r>
          </w:p>
        </w:tc>
        <w:tc>
          <w:tcPr>
            <w:tcW w:w="3876" w:type="dxa"/>
            <w:tcBorders>
              <w:tl2br w:val="nil"/>
              <w:tr2bl w:val="nil"/>
            </w:tcBorders>
            <w:vAlign w:val="center"/>
          </w:tcPr>
          <w:p>
            <w:pPr>
              <w:pStyle w:val="17"/>
              <w:bidi w:val="0"/>
              <w:rPr>
                <w:rFonts w:hint="default"/>
                <w:b/>
                <w:bCs/>
              </w:rPr>
            </w:pPr>
            <w:r>
              <w:rPr>
                <w:rFonts w:hint="default"/>
                <w:b/>
                <w:bCs/>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1" w:type="dxa"/>
            <w:vMerge w:val="restart"/>
            <w:tcBorders>
              <w:tl2br w:val="nil"/>
              <w:tr2bl w:val="nil"/>
            </w:tcBorders>
            <w:vAlign w:val="center"/>
          </w:tcPr>
          <w:p>
            <w:pPr>
              <w:pStyle w:val="17"/>
              <w:bidi w:val="0"/>
              <w:rPr>
                <w:rFonts w:hint="default"/>
              </w:rPr>
            </w:pPr>
            <w:r>
              <w:rPr>
                <w:rFonts w:hint="default"/>
              </w:rPr>
              <w:t>预处理工艺要求</w:t>
            </w:r>
          </w:p>
        </w:tc>
        <w:tc>
          <w:tcPr>
            <w:tcW w:w="3874" w:type="dxa"/>
            <w:tcBorders>
              <w:tl2br w:val="nil"/>
              <w:tr2bl w:val="nil"/>
            </w:tcBorders>
            <w:vAlign w:val="center"/>
          </w:tcPr>
          <w:p>
            <w:pPr>
              <w:pStyle w:val="17"/>
              <w:bidi w:val="0"/>
              <w:rPr>
                <w:rFonts w:hint="default"/>
              </w:rPr>
            </w:pPr>
            <w:r>
              <w:rPr>
                <w:rFonts w:hint="default"/>
              </w:rPr>
              <w:t>废塑料预处理工艺应当遵循先进、稳定、无二次污染的原则，应采用节水、节能、高效、低污染的技术和装备；宜采用机械化和自动化作业，减少手工操作。</w:t>
            </w:r>
          </w:p>
        </w:tc>
        <w:tc>
          <w:tcPr>
            <w:tcW w:w="3876" w:type="dxa"/>
            <w:tcBorders>
              <w:tl2br w:val="nil"/>
              <w:tr2bl w:val="nil"/>
            </w:tcBorders>
            <w:vAlign w:val="center"/>
          </w:tcPr>
          <w:p>
            <w:pPr>
              <w:pStyle w:val="17"/>
              <w:bidi w:val="0"/>
              <w:rPr>
                <w:rFonts w:hint="default"/>
              </w:rPr>
            </w:pPr>
            <w:r>
              <w:rPr>
                <w:rFonts w:hint="default"/>
              </w:rPr>
              <w:t>废塑料预处理主要包括人工分拣、破碎、清洗等工序，废水回用率达到90%以上。除人工分拣采取手工操作外，后续破碎、清洗均采取自动化作业。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1" w:type="dxa"/>
            <w:vMerge w:val="continue"/>
            <w:tcBorders>
              <w:tl2br w:val="nil"/>
              <w:tr2bl w:val="nil"/>
            </w:tcBorders>
            <w:vAlign w:val="center"/>
          </w:tcPr>
          <w:p>
            <w:pPr>
              <w:pStyle w:val="17"/>
              <w:bidi w:val="0"/>
              <w:rPr>
                <w:rFonts w:hint="default"/>
              </w:rPr>
            </w:pPr>
          </w:p>
        </w:tc>
        <w:tc>
          <w:tcPr>
            <w:tcW w:w="3874" w:type="dxa"/>
            <w:tcBorders>
              <w:tl2br w:val="nil"/>
              <w:tr2bl w:val="nil"/>
            </w:tcBorders>
            <w:vAlign w:val="center"/>
          </w:tcPr>
          <w:p>
            <w:pPr>
              <w:pStyle w:val="17"/>
              <w:bidi w:val="0"/>
              <w:rPr>
                <w:rFonts w:hint="default"/>
              </w:rPr>
            </w:pPr>
            <w:r>
              <w:rPr>
                <w:rFonts w:hint="default"/>
              </w:rPr>
              <w:t>废塑料的分选宜采用浮选和光学分选等先进技术；人工分选应采取措施确保操作人员的健康和安全。</w:t>
            </w:r>
          </w:p>
        </w:tc>
        <w:tc>
          <w:tcPr>
            <w:tcW w:w="3876" w:type="dxa"/>
            <w:tcBorders>
              <w:tl2br w:val="nil"/>
              <w:tr2bl w:val="nil"/>
            </w:tcBorders>
            <w:vAlign w:val="center"/>
          </w:tcPr>
          <w:p>
            <w:pPr>
              <w:pStyle w:val="17"/>
              <w:bidi w:val="0"/>
              <w:rPr>
                <w:rFonts w:hint="default"/>
              </w:rPr>
            </w:pPr>
            <w:r>
              <w:rPr>
                <w:rFonts w:hint="default"/>
              </w:rPr>
              <w:t>废塑料进厂需要进行人工分拣，工作人员作业时配备必要的劳保用品（口罩、工作服等）确保健康和安全。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1" w:type="dxa"/>
            <w:vMerge w:val="continue"/>
            <w:tcBorders>
              <w:tl2br w:val="nil"/>
              <w:tr2bl w:val="nil"/>
            </w:tcBorders>
            <w:vAlign w:val="center"/>
          </w:tcPr>
          <w:p>
            <w:pPr>
              <w:pStyle w:val="17"/>
              <w:bidi w:val="0"/>
              <w:rPr>
                <w:rFonts w:hint="default"/>
              </w:rPr>
            </w:pPr>
          </w:p>
        </w:tc>
        <w:tc>
          <w:tcPr>
            <w:tcW w:w="3874" w:type="dxa"/>
            <w:tcBorders>
              <w:tl2br w:val="nil"/>
              <w:tr2bl w:val="nil"/>
            </w:tcBorders>
            <w:vAlign w:val="center"/>
          </w:tcPr>
          <w:p>
            <w:pPr>
              <w:pStyle w:val="17"/>
              <w:bidi w:val="0"/>
              <w:rPr>
                <w:rFonts w:hint="default"/>
              </w:rPr>
            </w:pPr>
            <w:r>
              <w:rPr>
                <w:rFonts w:hint="default"/>
              </w:rPr>
              <w:t>应根据废塑料来源和污染情况选择清洗工艺；宜采用节水的机械清洗技术；化学清洗不得使用有毒有害的化学清洗剂，宜采用无磷清洗剂。</w:t>
            </w:r>
          </w:p>
        </w:tc>
        <w:tc>
          <w:tcPr>
            <w:tcW w:w="3876" w:type="dxa"/>
            <w:tcBorders>
              <w:tl2br w:val="nil"/>
              <w:tr2bl w:val="nil"/>
            </w:tcBorders>
            <w:vAlign w:val="center"/>
          </w:tcPr>
          <w:p>
            <w:pPr>
              <w:pStyle w:val="17"/>
              <w:bidi w:val="0"/>
              <w:rPr>
                <w:rFonts w:hint="default"/>
              </w:rPr>
            </w:pPr>
            <w:r>
              <w:rPr>
                <w:rFonts w:hint="default"/>
              </w:rPr>
              <w:t>本项目采取机械清洗方式，自动化程度高，清洗废水沉淀</w:t>
            </w:r>
            <w:r>
              <w:rPr>
                <w:rFonts w:hint="default"/>
                <w:lang w:val="en-US" w:eastAsia="zh-CN"/>
              </w:rPr>
              <w:t>过滤</w:t>
            </w:r>
            <w:r>
              <w:rPr>
                <w:rFonts w:hint="default"/>
              </w:rPr>
              <w:t>处理后循环利用。清洗工序不使用任何清洗剂。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1" w:type="dxa"/>
            <w:vMerge w:val="continue"/>
            <w:tcBorders>
              <w:tl2br w:val="nil"/>
              <w:tr2bl w:val="nil"/>
            </w:tcBorders>
            <w:vAlign w:val="center"/>
          </w:tcPr>
          <w:p>
            <w:pPr>
              <w:pStyle w:val="17"/>
              <w:bidi w:val="0"/>
              <w:rPr>
                <w:rFonts w:hint="default"/>
              </w:rPr>
            </w:pPr>
          </w:p>
        </w:tc>
        <w:tc>
          <w:tcPr>
            <w:tcW w:w="3874" w:type="dxa"/>
            <w:tcBorders>
              <w:tl2br w:val="nil"/>
              <w:tr2bl w:val="nil"/>
            </w:tcBorders>
            <w:vAlign w:val="center"/>
          </w:tcPr>
          <w:p>
            <w:pPr>
              <w:pStyle w:val="17"/>
              <w:bidi w:val="0"/>
              <w:rPr>
                <w:rFonts w:hint="default"/>
              </w:rPr>
            </w:pPr>
            <w:r>
              <w:rPr>
                <w:rFonts w:hint="default"/>
              </w:rPr>
              <w:t>废塑料的破碎宜采用干法破碎技术，并应配有防治粉尘和噪声污染的设备。</w:t>
            </w:r>
          </w:p>
        </w:tc>
        <w:tc>
          <w:tcPr>
            <w:tcW w:w="3876" w:type="dxa"/>
            <w:tcBorders>
              <w:tl2br w:val="nil"/>
              <w:tr2bl w:val="nil"/>
            </w:tcBorders>
            <w:vAlign w:val="center"/>
          </w:tcPr>
          <w:p>
            <w:pPr>
              <w:pStyle w:val="17"/>
              <w:bidi w:val="0"/>
              <w:rPr>
                <w:rFonts w:hint="default"/>
                <w:lang w:val="en-US" w:eastAsia="zh-CN"/>
              </w:rPr>
            </w:pPr>
            <w:r>
              <w:rPr>
                <w:rFonts w:hint="default"/>
              </w:rPr>
              <w:t>本项目废塑料采用</w:t>
            </w:r>
            <w:r>
              <w:rPr>
                <w:rFonts w:hint="default"/>
                <w:lang w:val="en-US" w:eastAsia="zh-CN"/>
              </w:rPr>
              <w:t>干</w:t>
            </w:r>
            <w:r>
              <w:rPr>
                <w:rFonts w:hint="default"/>
              </w:rPr>
              <w:t>法破碎方式。</w:t>
            </w:r>
            <w:r>
              <w:rPr>
                <w:rFonts w:hint="eastAsia"/>
                <w:lang w:val="en-US" w:eastAsia="zh-CN"/>
              </w:rPr>
              <w:t>配备有防尘粉尘和噪声的措施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1" w:type="dxa"/>
            <w:vMerge w:val="restart"/>
            <w:tcBorders>
              <w:tl2br w:val="nil"/>
              <w:tr2bl w:val="nil"/>
            </w:tcBorders>
            <w:vAlign w:val="center"/>
          </w:tcPr>
          <w:p>
            <w:pPr>
              <w:pStyle w:val="17"/>
              <w:bidi w:val="0"/>
              <w:rPr>
                <w:rFonts w:hint="default"/>
              </w:rPr>
            </w:pPr>
            <w:r>
              <w:rPr>
                <w:rFonts w:hint="default"/>
              </w:rPr>
              <w:t>再生利用技术要求</w:t>
            </w:r>
          </w:p>
        </w:tc>
        <w:tc>
          <w:tcPr>
            <w:tcW w:w="3874" w:type="dxa"/>
            <w:tcBorders>
              <w:tl2br w:val="nil"/>
              <w:tr2bl w:val="nil"/>
            </w:tcBorders>
            <w:vAlign w:val="center"/>
          </w:tcPr>
          <w:p>
            <w:pPr>
              <w:pStyle w:val="17"/>
              <w:bidi w:val="0"/>
              <w:rPr>
                <w:rFonts w:hint="default"/>
              </w:rPr>
            </w:pPr>
            <w:r>
              <w:rPr>
                <w:rFonts w:hint="default"/>
              </w:rPr>
              <w:t>废塑料应按照直接再生、改性再生、能量回收的优先顺序进行再生利用。不宜以废塑料为原料炼油。</w:t>
            </w:r>
          </w:p>
        </w:tc>
        <w:tc>
          <w:tcPr>
            <w:tcW w:w="3876" w:type="dxa"/>
            <w:tcBorders>
              <w:tl2br w:val="nil"/>
              <w:tr2bl w:val="nil"/>
            </w:tcBorders>
            <w:vAlign w:val="center"/>
          </w:tcPr>
          <w:p>
            <w:pPr>
              <w:pStyle w:val="17"/>
              <w:bidi w:val="0"/>
              <w:rPr>
                <w:rFonts w:hint="default"/>
              </w:rPr>
            </w:pPr>
            <w:r>
              <w:rPr>
                <w:rFonts w:hint="default"/>
              </w:rPr>
              <w:t>本项目废塑料再生利用方式属于直接再生。且不涉及以废塑料为原料炼油。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1" w:type="dxa"/>
            <w:vMerge w:val="continue"/>
            <w:tcBorders>
              <w:tl2br w:val="nil"/>
              <w:tr2bl w:val="nil"/>
            </w:tcBorders>
            <w:vAlign w:val="center"/>
          </w:tcPr>
          <w:p>
            <w:pPr>
              <w:pStyle w:val="17"/>
              <w:bidi w:val="0"/>
              <w:rPr>
                <w:rFonts w:hint="default"/>
              </w:rPr>
            </w:pPr>
          </w:p>
        </w:tc>
        <w:tc>
          <w:tcPr>
            <w:tcW w:w="3874" w:type="dxa"/>
            <w:tcBorders>
              <w:tl2br w:val="nil"/>
              <w:tr2bl w:val="nil"/>
            </w:tcBorders>
            <w:vAlign w:val="center"/>
          </w:tcPr>
          <w:p>
            <w:pPr>
              <w:pStyle w:val="17"/>
              <w:bidi w:val="0"/>
              <w:rPr>
                <w:rFonts w:hint="default"/>
              </w:rPr>
            </w:pPr>
            <w:r>
              <w:rPr>
                <w:rFonts w:hint="default"/>
              </w:rPr>
              <w:t>含卤素的废塑料宜采用低温工艺再生，不宜焚烧处理；进行焚烧处理时应配备烟气处理设备，焚烧设施的烟气排放应符合GB18484的要求。</w:t>
            </w:r>
          </w:p>
        </w:tc>
        <w:tc>
          <w:tcPr>
            <w:tcW w:w="3876" w:type="dxa"/>
            <w:tcBorders>
              <w:tl2br w:val="nil"/>
              <w:tr2bl w:val="nil"/>
            </w:tcBorders>
            <w:vAlign w:val="center"/>
          </w:tcPr>
          <w:p>
            <w:pPr>
              <w:pStyle w:val="17"/>
              <w:bidi w:val="0"/>
              <w:rPr>
                <w:rFonts w:hint="default"/>
              </w:rPr>
            </w:pPr>
            <w:r>
              <w:rPr>
                <w:rFonts w:hint="default"/>
              </w:rPr>
              <w:t>本项目不涉及含卤素的废塑料。项目工艺技术较为简单、成熟，为纯物理加工过程，无焚烧处理。</w:t>
            </w:r>
          </w:p>
        </w:tc>
      </w:tr>
    </w:tbl>
    <w:p>
      <w:pPr>
        <w:pStyle w:val="17"/>
        <w:bidi w:val="0"/>
        <w:rPr>
          <w:rFonts w:hint="default"/>
          <w:b/>
          <w:bCs/>
        </w:rPr>
      </w:pPr>
      <w:r>
        <w:rPr>
          <w:rFonts w:hint="default"/>
          <w:b/>
          <w:bCs/>
        </w:rPr>
        <w:t xml:space="preserve">表3.11-2  </w:t>
      </w:r>
      <w:r>
        <w:rPr>
          <w:rFonts w:hint="eastAsia"/>
          <w:b/>
          <w:bCs/>
          <w:lang w:val="en-US" w:eastAsia="zh-CN"/>
        </w:rPr>
        <w:t xml:space="preserve"> </w:t>
      </w:r>
      <w:r>
        <w:rPr>
          <w:rFonts w:hint="default"/>
          <w:b/>
          <w:bCs/>
        </w:rPr>
        <w:t>《废塑料综合利用行业规范条件》中相关要求与本项目情况对比一览表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3874"/>
        <w:gridCol w:w="38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1" w:type="dxa"/>
            <w:tcBorders>
              <w:tl2br w:val="nil"/>
              <w:tr2bl w:val="nil"/>
            </w:tcBorders>
            <w:vAlign w:val="center"/>
          </w:tcPr>
          <w:p>
            <w:pPr>
              <w:pStyle w:val="17"/>
              <w:bidi w:val="0"/>
              <w:rPr>
                <w:rFonts w:hint="default"/>
                <w:b/>
                <w:bCs/>
              </w:rPr>
            </w:pPr>
            <w:r>
              <w:rPr>
                <w:rFonts w:hint="default"/>
                <w:b/>
                <w:bCs/>
              </w:rPr>
              <w:t>项目</w:t>
            </w:r>
          </w:p>
        </w:tc>
        <w:tc>
          <w:tcPr>
            <w:tcW w:w="3874" w:type="dxa"/>
            <w:tcBorders>
              <w:tl2br w:val="nil"/>
              <w:tr2bl w:val="nil"/>
            </w:tcBorders>
            <w:vAlign w:val="center"/>
          </w:tcPr>
          <w:p>
            <w:pPr>
              <w:pStyle w:val="17"/>
              <w:bidi w:val="0"/>
              <w:rPr>
                <w:rFonts w:hint="default"/>
                <w:b/>
                <w:bCs/>
              </w:rPr>
            </w:pPr>
            <w:r>
              <w:rPr>
                <w:rFonts w:hint="default"/>
                <w:b/>
                <w:bCs/>
              </w:rPr>
              <w:t>《废塑料综合利用行业规范条件》中相关要求</w:t>
            </w:r>
          </w:p>
        </w:tc>
        <w:tc>
          <w:tcPr>
            <w:tcW w:w="3876" w:type="dxa"/>
            <w:tcBorders>
              <w:tl2br w:val="nil"/>
              <w:tr2bl w:val="nil"/>
            </w:tcBorders>
            <w:vAlign w:val="center"/>
          </w:tcPr>
          <w:p>
            <w:pPr>
              <w:pStyle w:val="17"/>
              <w:bidi w:val="0"/>
              <w:rPr>
                <w:rFonts w:hint="default"/>
                <w:b/>
                <w:bCs/>
              </w:rPr>
            </w:pPr>
            <w:r>
              <w:rPr>
                <w:rFonts w:hint="default"/>
                <w:b/>
                <w:bCs/>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1" w:type="dxa"/>
            <w:vMerge w:val="restart"/>
            <w:tcBorders>
              <w:tl2br w:val="nil"/>
              <w:tr2bl w:val="nil"/>
            </w:tcBorders>
            <w:vAlign w:val="center"/>
          </w:tcPr>
          <w:p>
            <w:pPr>
              <w:pStyle w:val="17"/>
              <w:bidi w:val="0"/>
              <w:rPr>
                <w:rFonts w:hint="default"/>
              </w:rPr>
            </w:pPr>
            <w:r>
              <w:rPr>
                <w:rFonts w:hint="default"/>
              </w:rPr>
              <w:t>工艺与装备</w:t>
            </w:r>
          </w:p>
        </w:tc>
        <w:tc>
          <w:tcPr>
            <w:tcW w:w="3874" w:type="dxa"/>
            <w:tcBorders>
              <w:tl2br w:val="nil"/>
              <w:tr2bl w:val="nil"/>
            </w:tcBorders>
            <w:vAlign w:val="center"/>
          </w:tcPr>
          <w:p>
            <w:pPr>
              <w:pStyle w:val="17"/>
              <w:bidi w:val="0"/>
              <w:rPr>
                <w:rFonts w:hint="default"/>
              </w:rPr>
            </w:pPr>
            <w:r>
              <w:rPr>
                <w:rFonts w:hint="default"/>
              </w:rPr>
              <w:t>应采用自动化处理设备和设施。其中，破碎工序应采用具有减振与降噪功能的密闭破碎设备；清洗工序应实现自动控制和清洗液循环利用，降低耗水量与耗药量；应使用低发泡、低残留、易处理的清洗药剂；分选工序鼓励采用自动化分选设备。</w:t>
            </w:r>
          </w:p>
        </w:tc>
        <w:tc>
          <w:tcPr>
            <w:tcW w:w="3876" w:type="dxa"/>
            <w:tcBorders>
              <w:tl2br w:val="nil"/>
              <w:tr2bl w:val="nil"/>
            </w:tcBorders>
            <w:vAlign w:val="center"/>
          </w:tcPr>
          <w:p>
            <w:pPr>
              <w:pStyle w:val="17"/>
              <w:bidi w:val="0"/>
              <w:rPr>
                <w:rFonts w:hint="default"/>
              </w:rPr>
            </w:pPr>
            <w:r>
              <w:rPr>
                <w:rFonts w:hint="default"/>
              </w:rPr>
              <w:t>本项目所用设备及工艺自动化程度较高。破碎机设减振基础，破碎工序采用</w:t>
            </w:r>
            <w:r>
              <w:rPr>
                <w:rFonts w:hint="default"/>
                <w:lang w:val="en-US" w:eastAsia="zh-CN"/>
              </w:rPr>
              <w:t>干</w:t>
            </w:r>
            <w:r>
              <w:rPr>
                <w:rFonts w:hint="default"/>
              </w:rPr>
              <w:t>法破碎方式；清洗工序采取机械清洗方式，自动化程度高，清洗废水沉淀处理后循环利用。清洗工序不使用任何清洗剂；分拣工序为手工操作。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21" w:type="dxa"/>
            <w:vMerge w:val="continue"/>
            <w:tcBorders>
              <w:tl2br w:val="nil"/>
              <w:tr2bl w:val="nil"/>
            </w:tcBorders>
            <w:vAlign w:val="center"/>
          </w:tcPr>
          <w:p>
            <w:pPr>
              <w:pStyle w:val="17"/>
              <w:bidi w:val="0"/>
              <w:rPr>
                <w:rFonts w:hint="default"/>
              </w:rPr>
            </w:pPr>
          </w:p>
        </w:tc>
        <w:tc>
          <w:tcPr>
            <w:tcW w:w="3874" w:type="dxa"/>
            <w:tcBorders>
              <w:tl2br w:val="nil"/>
              <w:tr2bl w:val="nil"/>
            </w:tcBorders>
            <w:vAlign w:val="center"/>
          </w:tcPr>
          <w:p>
            <w:pPr>
              <w:pStyle w:val="17"/>
              <w:bidi w:val="0"/>
              <w:rPr>
                <w:rFonts w:hint="default"/>
              </w:rPr>
            </w:pPr>
            <w:r>
              <w:rPr>
                <w:rFonts w:hint="default"/>
              </w:rPr>
              <w:t>应具有与加工利用能力相适应的预处理设备和造粒设备。其中，造粒设备应具有强制排气系统，通过集气装置实现废气的集中处理；过滤装置的废弃过滤网应按照环境保护有关规定处理，禁止露天焚烧。</w:t>
            </w:r>
          </w:p>
        </w:tc>
        <w:tc>
          <w:tcPr>
            <w:tcW w:w="3876" w:type="dxa"/>
            <w:tcBorders>
              <w:tl2br w:val="nil"/>
              <w:tr2bl w:val="nil"/>
            </w:tcBorders>
            <w:vAlign w:val="center"/>
          </w:tcPr>
          <w:p>
            <w:pPr>
              <w:pStyle w:val="17"/>
              <w:bidi w:val="0"/>
              <w:rPr>
                <w:rFonts w:hint="default"/>
              </w:rPr>
            </w:pPr>
            <w:r>
              <w:rPr>
                <w:rFonts w:hint="default"/>
              </w:rPr>
              <w:t>本项目具有与加工利用能力相适应的预处理设备和造粒设备。造粒设备配集气罩+等离子光氧一体机</w:t>
            </w:r>
            <w:r>
              <w:rPr>
                <w:rFonts w:hint="eastAsia"/>
                <w:lang w:val="en-US" w:eastAsia="zh-CN"/>
              </w:rPr>
              <w:t>+活性炭吸附装置</w:t>
            </w:r>
            <w:r>
              <w:rPr>
                <w:rFonts w:hint="default"/>
              </w:rPr>
              <w:t>处理设备，废气经集气罩收集后引入等离子光氧一体机</w:t>
            </w:r>
            <w:r>
              <w:rPr>
                <w:rFonts w:hint="eastAsia"/>
                <w:lang w:val="en-US" w:eastAsia="zh-CN"/>
              </w:rPr>
              <w:t>+活性炭吸附装置</w:t>
            </w:r>
            <w:r>
              <w:rPr>
                <w:rFonts w:hint="default"/>
              </w:rPr>
              <w:t>处理设备进行处理，最终通过排气筒排放。</w:t>
            </w:r>
          </w:p>
        </w:tc>
      </w:tr>
    </w:tbl>
    <w:p>
      <w:pPr>
        <w:bidi w:val="0"/>
        <w:rPr>
          <w:rFonts w:hint="default"/>
        </w:rPr>
      </w:pPr>
      <w:r>
        <w:rPr>
          <w:rFonts w:hint="default"/>
        </w:rPr>
        <w:t>从工艺技术、设备等方面考查，本项目基本符合《废塑料回收与再生利用污染控制技术规范（试行）》（HJ/T364-2007）和《废塑料综合利用行业规范条件》（工信部2015年第81号公告）中的相关要求。</w:t>
      </w:r>
    </w:p>
    <w:p>
      <w:pPr>
        <w:pStyle w:val="6"/>
        <w:bidi w:val="0"/>
        <w:rPr>
          <w:rFonts w:hint="default"/>
        </w:rPr>
      </w:pPr>
      <w:r>
        <w:rPr>
          <w:rFonts w:hint="default"/>
        </w:rPr>
        <w:t>3.11.1.2</w:t>
      </w:r>
      <w:r>
        <w:rPr>
          <w:rFonts w:hint="eastAsia"/>
          <w:lang w:eastAsia="zh-CN"/>
        </w:rPr>
        <w:t>、</w:t>
      </w:r>
      <w:r>
        <w:rPr>
          <w:rFonts w:hint="default"/>
        </w:rPr>
        <w:t>资源能源利用指标</w:t>
      </w:r>
      <w:bookmarkEnd w:id="152"/>
      <w:bookmarkEnd w:id="153"/>
      <w:bookmarkEnd w:id="154"/>
    </w:p>
    <w:p>
      <w:pPr>
        <w:bidi w:val="0"/>
        <w:rPr>
          <w:rFonts w:hint="default"/>
        </w:rPr>
      </w:pPr>
      <w:bookmarkStart w:id="155" w:name="_Toc287628650"/>
      <w:bookmarkStart w:id="156" w:name="_Toc286878497"/>
      <w:bookmarkStart w:id="157" w:name="_Toc287627757"/>
      <w:r>
        <w:rPr>
          <w:rFonts w:hint="default"/>
        </w:rPr>
        <w:t>（1）原辅材料及产品</w:t>
      </w:r>
    </w:p>
    <w:p>
      <w:pPr>
        <w:bidi w:val="0"/>
        <w:rPr>
          <w:rFonts w:hint="default"/>
        </w:rPr>
      </w:pPr>
      <w:r>
        <w:rPr>
          <w:rFonts w:hint="default"/>
        </w:rPr>
        <w:t>本项目主要从事废塑料的再生加工利用，所用的原辅材料主要是废旧滴灌带，本项目产品主要为滴灌带、</w:t>
      </w:r>
      <w:r>
        <w:rPr>
          <w:rFonts w:hint="default"/>
          <w:lang w:eastAsia="zh-CN"/>
        </w:rPr>
        <w:t>PE管材</w:t>
      </w:r>
      <w:r>
        <w:rPr>
          <w:rFonts w:hint="default"/>
        </w:rPr>
        <w:t>、地膜，可用于工业企业及农业生产过程。由此可见，本项目属于</w:t>
      </w:r>
      <w:r>
        <w:rPr>
          <w:rFonts w:hint="eastAsia"/>
          <w:lang w:eastAsia="zh-CN"/>
        </w:rPr>
        <w:t>“</w:t>
      </w:r>
      <w:r>
        <w:rPr>
          <w:rFonts w:hint="default"/>
        </w:rPr>
        <w:t>再生资源回收利用产业化</w:t>
      </w:r>
      <w:r>
        <w:rPr>
          <w:rFonts w:hint="eastAsia"/>
          <w:lang w:eastAsia="zh-CN"/>
        </w:rPr>
        <w:t>”</w:t>
      </w:r>
      <w:r>
        <w:rPr>
          <w:rFonts w:hint="default"/>
        </w:rPr>
        <w:t>项目，其本身就是循环经济的体现，可部分缓解产品资源的浪费，对保护环境有一定的意义。</w:t>
      </w:r>
    </w:p>
    <w:p>
      <w:pPr>
        <w:bidi w:val="0"/>
        <w:rPr>
          <w:rFonts w:hint="default"/>
        </w:rPr>
      </w:pPr>
      <w:r>
        <w:rPr>
          <w:rFonts w:hint="default"/>
        </w:rPr>
        <w:t>本项目生产所使用的废塑料按照塑料来源和原用途进行分类回收，不回收和再生利用属于医疗废物和危险废物的废塑料，均为清洁干净的热塑性塑料，不属于环境有毒有害物质。废塑料进厂后贮存在厂区库房内。因此本项目废塑料的回收和贮存符合《废塑料回收与再生利用污染控制技术规范（试行）》（HJ/T364-2007）的要求，对环境和人体健康不会造成危害。</w:t>
      </w:r>
    </w:p>
    <w:p>
      <w:pPr>
        <w:bidi w:val="0"/>
        <w:rPr>
          <w:rFonts w:hint="default"/>
        </w:rPr>
      </w:pPr>
      <w:r>
        <w:rPr>
          <w:rFonts w:hint="default"/>
        </w:rPr>
        <w:t>（2）资源能源利用</w:t>
      </w:r>
    </w:p>
    <w:p>
      <w:pPr>
        <w:bidi w:val="0"/>
        <w:rPr>
          <w:rFonts w:hint="default"/>
        </w:rPr>
      </w:pPr>
      <w:r>
        <w:rPr>
          <w:rFonts w:hint="default"/>
        </w:rPr>
        <w:t>本项目购进废塑料，通过破碎、清洗、造粒、熔融挤出等工序加工成成品，再生加工过程中不添加任何阻燃剂、增塑剂等添加剂，采用纯物理过程，对废塑料的利用率达到了9</w:t>
      </w:r>
      <w:r>
        <w:rPr>
          <w:rFonts w:hint="eastAsia"/>
          <w:lang w:val="en-US" w:eastAsia="zh-CN"/>
        </w:rPr>
        <w:t>6.73</w:t>
      </w:r>
      <w:r>
        <w:rPr>
          <w:rFonts w:hint="default"/>
        </w:rPr>
        <w:t>%。</w:t>
      </w:r>
    </w:p>
    <w:p>
      <w:pPr>
        <w:bidi w:val="0"/>
        <w:rPr>
          <w:rFonts w:hint="default"/>
        </w:rPr>
      </w:pPr>
      <w:r>
        <w:rPr>
          <w:rFonts w:hint="default"/>
        </w:rPr>
        <w:t>本项目生产过程中，清洗废水经沉淀</w:t>
      </w:r>
      <w:r>
        <w:rPr>
          <w:rFonts w:hint="default"/>
          <w:lang w:val="en-US" w:eastAsia="zh-CN"/>
        </w:rPr>
        <w:t>过滤</w:t>
      </w:r>
      <w:r>
        <w:rPr>
          <w:rFonts w:hint="default"/>
        </w:rPr>
        <w:t>处理后循环利用，冷却水循环利用，全厂生产废水循环利用率达90%以上，减少了废水的排放量。</w:t>
      </w:r>
    </w:p>
    <w:p>
      <w:pPr>
        <w:bidi w:val="0"/>
        <w:rPr>
          <w:rFonts w:hint="default"/>
        </w:rPr>
      </w:pPr>
      <w:r>
        <w:rPr>
          <w:rFonts w:hint="default"/>
        </w:rPr>
        <w:t>本项目生产工艺中涉及的能源主要为电，电属于清洁能源。</w:t>
      </w:r>
    </w:p>
    <w:p>
      <w:pPr>
        <w:bidi w:val="0"/>
        <w:rPr>
          <w:rFonts w:hint="default"/>
        </w:rPr>
      </w:pPr>
      <w:r>
        <w:rPr>
          <w:rFonts w:hint="default"/>
        </w:rPr>
        <w:t>同时生产过程中加强对用电量、用水量的考核管理，以节约能源和资源。</w:t>
      </w:r>
    </w:p>
    <w:p>
      <w:pPr>
        <w:bidi w:val="0"/>
        <w:rPr>
          <w:rFonts w:hint="default"/>
        </w:rPr>
      </w:pPr>
      <w:r>
        <w:rPr>
          <w:rFonts w:hint="default"/>
        </w:rPr>
        <w:t>（3）指标分析</w:t>
      </w:r>
    </w:p>
    <w:p>
      <w:pPr>
        <w:bidi w:val="0"/>
        <w:rPr>
          <w:rFonts w:hint="default"/>
        </w:rPr>
      </w:pPr>
      <w:r>
        <w:rPr>
          <w:rFonts w:hint="default"/>
        </w:rPr>
        <w:t>本项目资源能源消耗指标分析详见表3.11-3。</w:t>
      </w:r>
    </w:p>
    <w:p>
      <w:pPr>
        <w:pStyle w:val="17"/>
        <w:bidi w:val="0"/>
        <w:rPr>
          <w:rFonts w:hint="default"/>
          <w:b/>
          <w:bCs/>
        </w:rPr>
      </w:pPr>
      <w:r>
        <w:rPr>
          <w:rFonts w:hint="default"/>
          <w:b/>
          <w:bCs/>
        </w:rPr>
        <w:t>表3.11-3    资源能源消耗指标分析</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4"/>
        <w:gridCol w:w="1249"/>
        <w:gridCol w:w="1511"/>
        <w:gridCol w:w="1009"/>
        <w:gridCol w:w="2412"/>
        <w:gridCol w:w="11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023" w:type="dxa"/>
            <w:gridSpan w:val="2"/>
            <w:tcBorders>
              <w:tl2br w:val="nil"/>
              <w:tr2bl w:val="nil"/>
            </w:tcBorders>
            <w:vAlign w:val="center"/>
          </w:tcPr>
          <w:p>
            <w:pPr>
              <w:pStyle w:val="17"/>
              <w:bidi w:val="0"/>
              <w:rPr>
                <w:rFonts w:hint="default"/>
                <w:b/>
                <w:bCs/>
              </w:rPr>
            </w:pPr>
            <w:r>
              <w:rPr>
                <w:rFonts w:hint="default"/>
                <w:b/>
                <w:bCs/>
              </w:rPr>
              <w:t>指标类别</w:t>
            </w:r>
          </w:p>
        </w:tc>
        <w:tc>
          <w:tcPr>
            <w:tcW w:w="1511" w:type="dxa"/>
            <w:tcBorders>
              <w:tl2br w:val="nil"/>
              <w:tr2bl w:val="nil"/>
            </w:tcBorders>
            <w:vAlign w:val="center"/>
          </w:tcPr>
          <w:p>
            <w:pPr>
              <w:pStyle w:val="17"/>
              <w:bidi w:val="0"/>
              <w:rPr>
                <w:rFonts w:hint="default"/>
                <w:b/>
                <w:bCs/>
              </w:rPr>
            </w:pPr>
            <w:r>
              <w:rPr>
                <w:rFonts w:hint="default"/>
                <w:b/>
                <w:bCs/>
              </w:rPr>
              <w:t>单位</w:t>
            </w:r>
          </w:p>
        </w:tc>
        <w:tc>
          <w:tcPr>
            <w:tcW w:w="1009" w:type="dxa"/>
            <w:tcBorders>
              <w:tl2br w:val="nil"/>
              <w:tr2bl w:val="nil"/>
            </w:tcBorders>
            <w:vAlign w:val="center"/>
          </w:tcPr>
          <w:p>
            <w:pPr>
              <w:pStyle w:val="17"/>
              <w:bidi w:val="0"/>
              <w:rPr>
                <w:rFonts w:hint="default"/>
                <w:b/>
                <w:bCs/>
              </w:rPr>
            </w:pPr>
            <w:r>
              <w:rPr>
                <w:rFonts w:hint="default"/>
                <w:b/>
                <w:bCs/>
              </w:rPr>
              <w:t>本项目</w:t>
            </w:r>
          </w:p>
        </w:tc>
        <w:tc>
          <w:tcPr>
            <w:tcW w:w="2412" w:type="dxa"/>
            <w:tcBorders>
              <w:tl2br w:val="nil"/>
              <w:tr2bl w:val="nil"/>
            </w:tcBorders>
            <w:vAlign w:val="center"/>
          </w:tcPr>
          <w:p>
            <w:pPr>
              <w:pStyle w:val="17"/>
              <w:bidi w:val="0"/>
              <w:rPr>
                <w:rFonts w:hint="default"/>
                <w:b/>
                <w:bCs/>
              </w:rPr>
            </w:pPr>
            <w:r>
              <w:rPr>
                <w:rFonts w:hint="default"/>
                <w:b/>
                <w:bCs/>
              </w:rPr>
              <w:t>《废塑料综合利用行业规范条件》中要求</w:t>
            </w:r>
          </w:p>
        </w:tc>
        <w:tc>
          <w:tcPr>
            <w:tcW w:w="1116" w:type="dxa"/>
            <w:tcBorders>
              <w:tl2br w:val="nil"/>
              <w:tr2bl w:val="nil"/>
            </w:tcBorders>
            <w:vAlign w:val="center"/>
          </w:tcPr>
          <w:p>
            <w:pPr>
              <w:pStyle w:val="17"/>
              <w:bidi w:val="0"/>
              <w:rPr>
                <w:rFonts w:hint="default"/>
                <w:b/>
                <w:bCs/>
              </w:rPr>
            </w:pPr>
            <w:r>
              <w:rPr>
                <w:rFonts w:hint="default"/>
                <w:b/>
                <w:bCs/>
              </w:rPr>
              <w:t>符合性判定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774" w:type="dxa"/>
            <w:tcBorders>
              <w:tl2br w:val="nil"/>
              <w:tr2bl w:val="nil"/>
            </w:tcBorders>
            <w:vAlign w:val="center"/>
          </w:tcPr>
          <w:p>
            <w:pPr>
              <w:pStyle w:val="17"/>
              <w:bidi w:val="0"/>
              <w:rPr>
                <w:rFonts w:hint="default"/>
              </w:rPr>
            </w:pPr>
            <w:r>
              <w:rPr>
                <w:rFonts w:hint="default"/>
              </w:rPr>
              <w:t>资源消耗指标</w:t>
            </w:r>
          </w:p>
        </w:tc>
        <w:tc>
          <w:tcPr>
            <w:tcW w:w="1249" w:type="dxa"/>
            <w:tcBorders>
              <w:tl2br w:val="nil"/>
              <w:tr2bl w:val="nil"/>
            </w:tcBorders>
            <w:vAlign w:val="center"/>
          </w:tcPr>
          <w:p>
            <w:pPr>
              <w:pStyle w:val="17"/>
              <w:bidi w:val="0"/>
              <w:rPr>
                <w:rFonts w:hint="default"/>
              </w:rPr>
            </w:pPr>
            <w:r>
              <w:rPr>
                <w:rFonts w:hint="default"/>
              </w:rPr>
              <w:t>新鲜水耗</w:t>
            </w:r>
          </w:p>
        </w:tc>
        <w:tc>
          <w:tcPr>
            <w:tcW w:w="1511" w:type="dxa"/>
            <w:tcBorders>
              <w:tl2br w:val="nil"/>
              <w:tr2bl w:val="nil"/>
            </w:tcBorders>
            <w:vAlign w:val="center"/>
          </w:tcPr>
          <w:p>
            <w:pPr>
              <w:pStyle w:val="17"/>
              <w:bidi w:val="0"/>
              <w:rPr>
                <w:rFonts w:hint="default"/>
              </w:rPr>
            </w:pPr>
            <w:r>
              <w:rPr>
                <w:rFonts w:hint="default"/>
              </w:rPr>
              <w:t>t/t废塑料</w:t>
            </w:r>
          </w:p>
        </w:tc>
        <w:tc>
          <w:tcPr>
            <w:tcW w:w="1009" w:type="dxa"/>
            <w:tcBorders>
              <w:tl2br w:val="nil"/>
              <w:tr2bl w:val="nil"/>
            </w:tcBorders>
            <w:vAlign w:val="center"/>
          </w:tcPr>
          <w:p>
            <w:pPr>
              <w:pStyle w:val="17"/>
              <w:bidi w:val="0"/>
              <w:rPr>
                <w:rFonts w:hint="default"/>
                <w:lang w:val="en-US" w:eastAsia="zh-CN"/>
              </w:rPr>
            </w:pPr>
            <w:r>
              <w:rPr>
                <w:rFonts w:hint="default"/>
              </w:rPr>
              <w:t>0.</w:t>
            </w:r>
            <w:r>
              <w:rPr>
                <w:rFonts w:hint="eastAsia"/>
                <w:lang w:val="en-US" w:eastAsia="zh-CN"/>
              </w:rPr>
              <w:t>05</w:t>
            </w:r>
          </w:p>
        </w:tc>
        <w:tc>
          <w:tcPr>
            <w:tcW w:w="2412" w:type="dxa"/>
            <w:tcBorders>
              <w:tl2br w:val="nil"/>
              <w:tr2bl w:val="nil"/>
            </w:tcBorders>
            <w:vAlign w:val="center"/>
          </w:tcPr>
          <w:p>
            <w:pPr>
              <w:pStyle w:val="17"/>
              <w:bidi w:val="0"/>
              <w:rPr>
                <w:rFonts w:hint="default"/>
              </w:rPr>
            </w:pPr>
            <w:r>
              <w:rPr>
                <w:rFonts w:hint="default"/>
              </w:rPr>
              <w:t>＜0.2</w:t>
            </w:r>
          </w:p>
        </w:tc>
        <w:tc>
          <w:tcPr>
            <w:tcW w:w="1116" w:type="dxa"/>
            <w:tcBorders>
              <w:tl2br w:val="nil"/>
              <w:tr2bl w:val="nil"/>
            </w:tcBorders>
            <w:vAlign w:val="center"/>
          </w:tcPr>
          <w:p>
            <w:pPr>
              <w:pStyle w:val="17"/>
              <w:bidi w:val="0"/>
              <w:rPr>
                <w:rFonts w:hint="default"/>
              </w:rPr>
            </w:pPr>
            <w:r>
              <w:rPr>
                <w:rFonts w:hint="default"/>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774" w:type="dxa"/>
            <w:tcBorders>
              <w:tl2br w:val="nil"/>
              <w:tr2bl w:val="nil"/>
            </w:tcBorders>
            <w:vAlign w:val="center"/>
          </w:tcPr>
          <w:p>
            <w:pPr>
              <w:pStyle w:val="17"/>
              <w:bidi w:val="0"/>
              <w:rPr>
                <w:rFonts w:hint="default"/>
              </w:rPr>
            </w:pPr>
            <w:r>
              <w:rPr>
                <w:rFonts w:hint="default"/>
              </w:rPr>
              <w:t>能源消耗指标</w:t>
            </w:r>
          </w:p>
        </w:tc>
        <w:tc>
          <w:tcPr>
            <w:tcW w:w="1249" w:type="dxa"/>
            <w:tcBorders>
              <w:tl2br w:val="nil"/>
              <w:tr2bl w:val="nil"/>
            </w:tcBorders>
            <w:vAlign w:val="center"/>
          </w:tcPr>
          <w:p>
            <w:pPr>
              <w:pStyle w:val="17"/>
              <w:bidi w:val="0"/>
              <w:rPr>
                <w:rFonts w:hint="default"/>
              </w:rPr>
            </w:pPr>
            <w:r>
              <w:rPr>
                <w:rFonts w:hint="default"/>
              </w:rPr>
              <w:t>电耗</w:t>
            </w:r>
          </w:p>
        </w:tc>
        <w:tc>
          <w:tcPr>
            <w:tcW w:w="1511" w:type="dxa"/>
            <w:tcBorders>
              <w:tl2br w:val="nil"/>
              <w:tr2bl w:val="nil"/>
            </w:tcBorders>
            <w:vAlign w:val="center"/>
          </w:tcPr>
          <w:p>
            <w:pPr>
              <w:pStyle w:val="17"/>
              <w:bidi w:val="0"/>
              <w:rPr>
                <w:rFonts w:hint="default"/>
              </w:rPr>
            </w:pPr>
            <w:r>
              <w:rPr>
                <w:rFonts w:hint="default"/>
              </w:rPr>
              <w:t>kWh/t废塑料</w:t>
            </w:r>
          </w:p>
        </w:tc>
        <w:tc>
          <w:tcPr>
            <w:tcW w:w="1009" w:type="dxa"/>
            <w:tcBorders>
              <w:tl2br w:val="nil"/>
              <w:tr2bl w:val="nil"/>
            </w:tcBorders>
            <w:vAlign w:val="center"/>
          </w:tcPr>
          <w:p>
            <w:pPr>
              <w:pStyle w:val="17"/>
              <w:bidi w:val="0"/>
              <w:rPr>
                <w:rFonts w:hint="default"/>
              </w:rPr>
            </w:pPr>
            <w:r>
              <w:rPr>
                <w:rFonts w:hint="default"/>
              </w:rPr>
              <w:t>165.33</w:t>
            </w:r>
          </w:p>
        </w:tc>
        <w:tc>
          <w:tcPr>
            <w:tcW w:w="2412" w:type="dxa"/>
            <w:tcBorders>
              <w:tl2br w:val="nil"/>
              <w:tr2bl w:val="nil"/>
            </w:tcBorders>
            <w:vAlign w:val="center"/>
          </w:tcPr>
          <w:p>
            <w:pPr>
              <w:pStyle w:val="17"/>
              <w:bidi w:val="0"/>
              <w:rPr>
                <w:rFonts w:hint="default"/>
              </w:rPr>
            </w:pPr>
            <w:r>
              <w:rPr>
                <w:rFonts w:hint="default"/>
              </w:rPr>
              <w:t>＜500</w:t>
            </w:r>
          </w:p>
        </w:tc>
        <w:tc>
          <w:tcPr>
            <w:tcW w:w="1116" w:type="dxa"/>
            <w:tcBorders>
              <w:tl2br w:val="nil"/>
              <w:tr2bl w:val="nil"/>
            </w:tcBorders>
            <w:vAlign w:val="center"/>
          </w:tcPr>
          <w:p>
            <w:pPr>
              <w:pStyle w:val="17"/>
              <w:bidi w:val="0"/>
              <w:rPr>
                <w:rFonts w:hint="default"/>
              </w:rPr>
            </w:pPr>
            <w:r>
              <w:rPr>
                <w:rFonts w:hint="default"/>
              </w:rPr>
              <w:t>符合</w:t>
            </w:r>
          </w:p>
        </w:tc>
      </w:tr>
    </w:tbl>
    <w:p>
      <w:pPr>
        <w:bidi w:val="0"/>
        <w:rPr>
          <w:rFonts w:hint="default"/>
        </w:rPr>
      </w:pPr>
      <w:r>
        <w:rPr>
          <w:rFonts w:hint="default"/>
        </w:rPr>
        <w:t>由表3.11-3可知，本项目生产过程中水耗、能耗较小，符合《废塑料综合利用行业规范条件》（工信部2015年第81号公告）中的要求。</w:t>
      </w:r>
    </w:p>
    <w:p>
      <w:pPr>
        <w:pStyle w:val="6"/>
        <w:bidi w:val="0"/>
        <w:rPr>
          <w:rFonts w:hint="default"/>
        </w:rPr>
      </w:pPr>
      <w:r>
        <w:rPr>
          <w:rFonts w:hint="default"/>
        </w:rPr>
        <w:t>3.11.1.3</w:t>
      </w:r>
      <w:bookmarkEnd w:id="155"/>
      <w:bookmarkEnd w:id="156"/>
      <w:bookmarkEnd w:id="157"/>
      <w:r>
        <w:rPr>
          <w:rFonts w:hint="eastAsia"/>
          <w:lang w:eastAsia="zh-CN"/>
        </w:rPr>
        <w:t>、</w:t>
      </w:r>
      <w:r>
        <w:rPr>
          <w:rFonts w:hint="default"/>
        </w:rPr>
        <w:t>生产过程污染控制</w:t>
      </w:r>
    </w:p>
    <w:p>
      <w:pPr>
        <w:bidi w:val="0"/>
        <w:rPr>
          <w:rFonts w:hint="default"/>
        </w:rPr>
      </w:pPr>
      <w:r>
        <w:rPr>
          <w:rFonts w:hint="default"/>
        </w:rPr>
        <w:t>本项目对生产过程产生的废水、废气、噪声、固体废物均制定了相应的控制措施。</w:t>
      </w:r>
    </w:p>
    <w:p>
      <w:pPr>
        <w:pStyle w:val="17"/>
        <w:bidi w:val="0"/>
        <w:rPr>
          <w:rFonts w:hint="default"/>
          <w:b/>
          <w:bCs/>
        </w:rPr>
      </w:pPr>
      <w:r>
        <w:rPr>
          <w:rFonts w:hint="default"/>
          <w:b/>
          <w:bCs/>
        </w:rPr>
        <w:t xml:space="preserve">表3.11-4 </w:t>
      </w:r>
      <w:r>
        <w:rPr>
          <w:rFonts w:hint="eastAsia"/>
          <w:b/>
          <w:bCs/>
          <w:lang w:val="en-US" w:eastAsia="zh-CN"/>
        </w:rPr>
        <w:t xml:space="preserve"> </w:t>
      </w:r>
      <w:r>
        <w:rPr>
          <w:rFonts w:hint="default"/>
          <w:b/>
          <w:bCs/>
        </w:rPr>
        <w:t xml:space="preserve"> 废塑料再生污染控制要求与项目污染控制措施对比一览表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0"/>
        <w:gridCol w:w="3966"/>
        <w:gridCol w:w="44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blHeader/>
          <w:jc w:val="center"/>
        </w:trPr>
        <w:tc>
          <w:tcPr>
            <w:tcW w:w="670" w:type="dxa"/>
            <w:tcBorders>
              <w:tl2br w:val="nil"/>
              <w:tr2bl w:val="nil"/>
            </w:tcBorders>
            <w:vAlign w:val="center"/>
          </w:tcPr>
          <w:p>
            <w:pPr>
              <w:pStyle w:val="17"/>
              <w:bidi w:val="0"/>
              <w:rPr>
                <w:rFonts w:hint="default"/>
                <w:b/>
                <w:bCs/>
              </w:rPr>
            </w:pPr>
            <w:r>
              <w:rPr>
                <w:rFonts w:hint="default"/>
                <w:b/>
                <w:bCs/>
              </w:rPr>
              <w:t>项目</w:t>
            </w:r>
          </w:p>
        </w:tc>
        <w:tc>
          <w:tcPr>
            <w:tcW w:w="3966" w:type="dxa"/>
            <w:tcBorders>
              <w:tl2br w:val="nil"/>
              <w:tr2bl w:val="nil"/>
            </w:tcBorders>
            <w:vAlign w:val="center"/>
          </w:tcPr>
          <w:p>
            <w:pPr>
              <w:pStyle w:val="17"/>
              <w:bidi w:val="0"/>
              <w:rPr>
                <w:rFonts w:hint="default"/>
                <w:b/>
                <w:bCs/>
              </w:rPr>
            </w:pPr>
            <w:r>
              <w:rPr>
                <w:rFonts w:hint="default"/>
                <w:b/>
                <w:bCs/>
              </w:rPr>
              <w:t>污染控制要求（HJ/T364-2007）</w:t>
            </w:r>
          </w:p>
        </w:tc>
        <w:tc>
          <w:tcPr>
            <w:tcW w:w="4435" w:type="dxa"/>
            <w:tcBorders>
              <w:tl2br w:val="nil"/>
              <w:tr2bl w:val="nil"/>
            </w:tcBorders>
            <w:vAlign w:val="center"/>
          </w:tcPr>
          <w:p>
            <w:pPr>
              <w:pStyle w:val="17"/>
              <w:bidi w:val="0"/>
              <w:rPr>
                <w:rFonts w:hint="default"/>
                <w:b/>
                <w:bCs/>
              </w:rPr>
            </w:pPr>
            <w:r>
              <w:rPr>
                <w:rFonts w:hint="default"/>
                <w:b/>
                <w:bCs/>
              </w:rPr>
              <w:t>本项目污染控制措施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70" w:type="dxa"/>
            <w:tcBorders>
              <w:tl2br w:val="nil"/>
              <w:tr2bl w:val="nil"/>
            </w:tcBorders>
            <w:vAlign w:val="center"/>
          </w:tcPr>
          <w:p>
            <w:pPr>
              <w:pStyle w:val="17"/>
              <w:bidi w:val="0"/>
              <w:rPr>
                <w:rFonts w:hint="default"/>
              </w:rPr>
            </w:pPr>
            <w:r>
              <w:rPr>
                <w:rFonts w:hint="default"/>
              </w:rPr>
              <w:t>废气</w:t>
            </w:r>
          </w:p>
        </w:tc>
        <w:tc>
          <w:tcPr>
            <w:tcW w:w="3966" w:type="dxa"/>
            <w:tcBorders>
              <w:tl2br w:val="nil"/>
              <w:tr2bl w:val="nil"/>
            </w:tcBorders>
            <w:vAlign w:val="center"/>
          </w:tcPr>
          <w:p>
            <w:pPr>
              <w:pStyle w:val="17"/>
              <w:bidi w:val="0"/>
              <w:rPr>
                <w:rFonts w:hint="default"/>
              </w:rPr>
            </w:pPr>
            <w:r>
              <w:rPr>
                <w:rFonts w:hint="default"/>
              </w:rPr>
              <w:t>预处理、再生利用过程中产生的废气，企业应有集气装置收集，经净化处理的废气排放应按企业所在环境功能区类别，执行GB16297和GB14554；重点控制的污染物包括颗粒物、氟化物、汞、铬、铅、苯、甲苯、酚类、苯胺类、光气、恶臭。</w:t>
            </w:r>
          </w:p>
        </w:tc>
        <w:tc>
          <w:tcPr>
            <w:tcW w:w="4435" w:type="dxa"/>
            <w:tcBorders>
              <w:tl2br w:val="nil"/>
              <w:tr2bl w:val="nil"/>
            </w:tcBorders>
            <w:vAlign w:val="center"/>
          </w:tcPr>
          <w:p>
            <w:pPr>
              <w:pStyle w:val="17"/>
              <w:bidi w:val="0"/>
              <w:rPr>
                <w:rFonts w:hint="default"/>
              </w:rPr>
            </w:pPr>
            <w:r>
              <w:rPr>
                <w:rFonts w:hint="default"/>
              </w:rPr>
              <w:t>破碎工序采用干法破碎方式，粉尘可得到有效控制；熔融挤出工序产生的非甲烷总烃经集气罩收集后引入等离子光氧一体机</w:t>
            </w:r>
            <w:r>
              <w:rPr>
                <w:rFonts w:hint="eastAsia"/>
                <w:lang w:val="en-US" w:eastAsia="zh-CN"/>
              </w:rPr>
              <w:t>+活性炭吸附装置</w:t>
            </w:r>
            <w:r>
              <w:rPr>
                <w:rFonts w:hint="default"/>
              </w:rPr>
              <w:t>处理设备进行处理，最终通过排气筒排放。粉尘、非甲烷总烃的排放满足相关标准要求。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70" w:type="dxa"/>
            <w:tcBorders>
              <w:tl2br w:val="nil"/>
              <w:tr2bl w:val="nil"/>
            </w:tcBorders>
            <w:vAlign w:val="center"/>
          </w:tcPr>
          <w:p>
            <w:pPr>
              <w:pStyle w:val="17"/>
              <w:bidi w:val="0"/>
              <w:rPr>
                <w:rFonts w:hint="default"/>
              </w:rPr>
            </w:pPr>
            <w:r>
              <w:rPr>
                <w:rFonts w:hint="default"/>
              </w:rPr>
              <w:t>废水</w:t>
            </w:r>
          </w:p>
        </w:tc>
        <w:tc>
          <w:tcPr>
            <w:tcW w:w="3966" w:type="dxa"/>
            <w:tcBorders>
              <w:tl2br w:val="nil"/>
              <w:tr2bl w:val="nil"/>
            </w:tcBorders>
            <w:vAlign w:val="center"/>
          </w:tcPr>
          <w:p>
            <w:pPr>
              <w:pStyle w:val="17"/>
              <w:bidi w:val="0"/>
              <w:rPr>
                <w:rFonts w:hint="default"/>
              </w:rPr>
            </w:pPr>
            <w:r>
              <w:rPr>
                <w:rFonts w:hint="default"/>
              </w:rPr>
              <w:t>废塑料预处理、再生利用等过程中产生的废水和厂区产生的生活废水，企业应有配套的废水收集设施。废水宜在厂区内处理并循环利用。</w:t>
            </w:r>
          </w:p>
        </w:tc>
        <w:tc>
          <w:tcPr>
            <w:tcW w:w="4435" w:type="dxa"/>
            <w:tcBorders>
              <w:tl2br w:val="nil"/>
              <w:tr2bl w:val="nil"/>
            </w:tcBorders>
            <w:vAlign w:val="center"/>
          </w:tcPr>
          <w:p>
            <w:pPr>
              <w:pStyle w:val="17"/>
              <w:bidi w:val="0"/>
              <w:rPr>
                <w:rFonts w:hint="default"/>
              </w:rPr>
            </w:pPr>
            <w:r>
              <w:rPr>
                <w:rFonts w:hint="default"/>
              </w:rPr>
              <w:t>本项目清洗废水经沉淀处理后循环利用，不外排；项目产生的餐饮废水经隔油池处理后与生活污水</w:t>
            </w:r>
            <w:r>
              <w:rPr>
                <w:rFonts w:hint="eastAsia"/>
                <w:lang w:val="en-US" w:eastAsia="zh-CN"/>
              </w:rPr>
              <w:t>抽运至吉木萨尔县二工镇污水处理厂</w:t>
            </w: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70" w:type="dxa"/>
            <w:tcBorders>
              <w:tl2br w:val="nil"/>
              <w:tr2bl w:val="nil"/>
            </w:tcBorders>
            <w:vAlign w:val="center"/>
          </w:tcPr>
          <w:p>
            <w:pPr>
              <w:pStyle w:val="17"/>
              <w:bidi w:val="0"/>
              <w:rPr>
                <w:rFonts w:hint="default"/>
              </w:rPr>
            </w:pPr>
            <w:r>
              <w:rPr>
                <w:rFonts w:hint="default"/>
              </w:rPr>
              <w:t>噪声</w:t>
            </w:r>
          </w:p>
        </w:tc>
        <w:tc>
          <w:tcPr>
            <w:tcW w:w="3966" w:type="dxa"/>
            <w:tcBorders>
              <w:tl2br w:val="nil"/>
              <w:tr2bl w:val="nil"/>
            </w:tcBorders>
            <w:vAlign w:val="center"/>
          </w:tcPr>
          <w:p>
            <w:pPr>
              <w:pStyle w:val="17"/>
              <w:bidi w:val="0"/>
              <w:rPr>
                <w:rFonts w:hint="default"/>
              </w:rPr>
            </w:pPr>
            <w:r>
              <w:rPr>
                <w:rFonts w:hint="default"/>
              </w:rPr>
              <w:t>预处理和再生利用过程中应控制噪声污染，排放噪声应符合GB12348的要求。</w:t>
            </w:r>
          </w:p>
        </w:tc>
        <w:tc>
          <w:tcPr>
            <w:tcW w:w="4435" w:type="dxa"/>
            <w:tcBorders>
              <w:tl2br w:val="nil"/>
              <w:tr2bl w:val="nil"/>
            </w:tcBorders>
            <w:vAlign w:val="center"/>
          </w:tcPr>
          <w:p>
            <w:pPr>
              <w:pStyle w:val="17"/>
              <w:bidi w:val="0"/>
              <w:rPr>
                <w:rFonts w:hint="default"/>
              </w:rPr>
            </w:pPr>
            <w:r>
              <w:rPr>
                <w:rFonts w:hint="default"/>
              </w:rPr>
              <w:t>通过选用低噪声、低振动设备，合理布局，采取减振、消声等降噪处理，厂界噪声满足标准要求。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70" w:type="dxa"/>
            <w:tcBorders>
              <w:tl2br w:val="nil"/>
              <w:tr2bl w:val="nil"/>
            </w:tcBorders>
            <w:vAlign w:val="center"/>
          </w:tcPr>
          <w:p>
            <w:pPr>
              <w:pStyle w:val="17"/>
              <w:bidi w:val="0"/>
              <w:rPr>
                <w:rFonts w:hint="default"/>
              </w:rPr>
            </w:pPr>
            <w:r>
              <w:rPr>
                <w:rFonts w:hint="default"/>
              </w:rPr>
              <w:t>固废</w:t>
            </w:r>
          </w:p>
        </w:tc>
        <w:tc>
          <w:tcPr>
            <w:tcW w:w="3966" w:type="dxa"/>
            <w:tcBorders>
              <w:tl2br w:val="nil"/>
              <w:tr2bl w:val="nil"/>
            </w:tcBorders>
            <w:vAlign w:val="center"/>
          </w:tcPr>
          <w:p>
            <w:pPr>
              <w:pStyle w:val="17"/>
              <w:bidi w:val="0"/>
              <w:rPr>
                <w:rFonts w:hint="default"/>
              </w:rPr>
            </w:pPr>
            <w:r>
              <w:rPr>
                <w:rFonts w:hint="default"/>
              </w:rPr>
              <w:t>废塑料预处理、再生利用过程中产生的固体废物，包括分选出的不宜再生利用的废塑料，应按工业固体废物处置，并执行相关环境保护标准。</w:t>
            </w:r>
          </w:p>
        </w:tc>
        <w:tc>
          <w:tcPr>
            <w:tcW w:w="4435" w:type="dxa"/>
            <w:tcBorders>
              <w:tl2br w:val="nil"/>
              <w:tr2bl w:val="nil"/>
            </w:tcBorders>
            <w:vAlign w:val="center"/>
          </w:tcPr>
          <w:p>
            <w:pPr>
              <w:pStyle w:val="17"/>
              <w:bidi w:val="0"/>
              <w:rPr>
                <w:rFonts w:hint="default"/>
              </w:rPr>
            </w:pPr>
            <w:r>
              <w:rPr>
                <w:rFonts w:hint="default"/>
              </w:rPr>
              <w:t>本项目产生的固体废物分类收集、处理。其中分拣废物</w:t>
            </w:r>
            <w:r>
              <w:rPr>
                <w:rFonts w:hint="default"/>
                <w:lang w:eastAsia="zh-CN"/>
              </w:rPr>
              <w:t>、</w:t>
            </w:r>
            <w:r>
              <w:rPr>
                <w:rFonts w:hint="default"/>
              </w:rPr>
              <w:t>沉降池污泥以及生活垃圾</w:t>
            </w:r>
            <w:r>
              <w:rPr>
                <w:rFonts w:hint="default"/>
                <w:lang w:val="en-US" w:eastAsia="zh-CN"/>
              </w:rPr>
              <w:t>统一收集后，</w:t>
            </w:r>
            <w:r>
              <w:rPr>
                <w:rFonts w:hint="default"/>
              </w:rPr>
              <w:t>委托环卫部门清运至</w:t>
            </w:r>
            <w:r>
              <w:rPr>
                <w:rFonts w:hint="eastAsia"/>
                <w:lang w:eastAsia="zh-CN"/>
              </w:rPr>
              <w:t>吉木萨尔县</w:t>
            </w:r>
            <w:r>
              <w:rPr>
                <w:rFonts w:hint="default"/>
                <w:lang w:eastAsia="zh-CN"/>
              </w:rPr>
              <w:t>垃圾填埋场</w:t>
            </w:r>
            <w:r>
              <w:rPr>
                <w:rFonts w:hint="default"/>
                <w:lang w:val="en-US" w:eastAsia="zh-CN"/>
              </w:rPr>
              <w:t>垃圾填埋场</w:t>
            </w:r>
            <w:r>
              <w:rPr>
                <w:rFonts w:hint="default"/>
              </w:rPr>
              <w:t>填埋处置；废过滤网由厂家回收处理；不合格产品送至厂房重新造粒。</w:t>
            </w:r>
          </w:p>
        </w:tc>
      </w:tr>
    </w:tbl>
    <w:p>
      <w:pPr>
        <w:bidi w:val="0"/>
        <w:rPr>
          <w:rFonts w:hint="default"/>
        </w:rPr>
      </w:pPr>
      <w:r>
        <w:rPr>
          <w:rFonts w:hint="default"/>
        </w:rPr>
        <w:t>由表3.11-4可知，本项目拟采取的环保措施具有针对性，符合环保要求，满足《废塑料回收与再生利用污染控制技术规范（试行）》（HJ/T364-2007）中的污染控制要求。</w:t>
      </w:r>
    </w:p>
    <w:p>
      <w:pPr>
        <w:pStyle w:val="6"/>
        <w:bidi w:val="0"/>
        <w:rPr>
          <w:rFonts w:hint="default"/>
        </w:rPr>
      </w:pPr>
      <w:r>
        <w:rPr>
          <w:rFonts w:hint="default"/>
        </w:rPr>
        <w:t>3.11.1.4</w:t>
      </w:r>
      <w:r>
        <w:rPr>
          <w:rFonts w:hint="eastAsia"/>
          <w:lang w:eastAsia="zh-CN"/>
        </w:rPr>
        <w:t>、</w:t>
      </w:r>
      <w:r>
        <w:rPr>
          <w:rFonts w:hint="default"/>
        </w:rPr>
        <w:t>污染物产生指标分析</w:t>
      </w:r>
    </w:p>
    <w:p>
      <w:pPr>
        <w:bidi w:val="0"/>
        <w:rPr>
          <w:rFonts w:hint="default"/>
        </w:rPr>
      </w:pPr>
      <w:r>
        <w:rPr>
          <w:rFonts w:hint="default"/>
        </w:rPr>
        <w:t>本项目污染物产生指标详见表3.11-5。</w:t>
      </w:r>
    </w:p>
    <w:p>
      <w:pPr>
        <w:pStyle w:val="17"/>
        <w:bidi w:val="0"/>
        <w:rPr>
          <w:rFonts w:hint="default"/>
          <w:b/>
          <w:bCs/>
        </w:rPr>
      </w:pPr>
      <w:r>
        <w:rPr>
          <w:rFonts w:hint="default"/>
          <w:b/>
          <w:bCs/>
        </w:rPr>
        <w:t xml:space="preserve">表3.11-5 </w:t>
      </w:r>
      <w:r>
        <w:rPr>
          <w:rFonts w:hint="eastAsia"/>
          <w:b/>
          <w:bCs/>
          <w:lang w:val="en-US" w:eastAsia="zh-CN"/>
        </w:rPr>
        <w:t xml:space="preserve"> </w:t>
      </w:r>
      <w:r>
        <w:rPr>
          <w:rFonts w:hint="default"/>
          <w:b/>
          <w:bCs/>
        </w:rPr>
        <w:t xml:space="preserve"> 本项目污染物产生指标一览表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6634"/>
        <w:gridCol w:w="1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020" w:type="dxa"/>
            <w:tcBorders>
              <w:tl2br w:val="nil"/>
              <w:tr2bl w:val="nil"/>
            </w:tcBorders>
            <w:vAlign w:val="center"/>
          </w:tcPr>
          <w:p>
            <w:pPr>
              <w:pStyle w:val="17"/>
              <w:bidi w:val="0"/>
              <w:rPr>
                <w:rFonts w:hint="default"/>
                <w:b/>
                <w:bCs/>
              </w:rPr>
            </w:pPr>
            <w:r>
              <w:rPr>
                <w:rFonts w:hint="default"/>
                <w:b/>
                <w:bCs/>
              </w:rPr>
              <w:t>类别</w:t>
            </w:r>
          </w:p>
        </w:tc>
        <w:tc>
          <w:tcPr>
            <w:tcW w:w="6634" w:type="dxa"/>
            <w:tcBorders>
              <w:tl2br w:val="nil"/>
              <w:tr2bl w:val="nil"/>
            </w:tcBorders>
            <w:vAlign w:val="center"/>
          </w:tcPr>
          <w:p>
            <w:pPr>
              <w:pStyle w:val="17"/>
              <w:bidi w:val="0"/>
              <w:rPr>
                <w:rFonts w:hint="default"/>
                <w:b/>
                <w:bCs/>
              </w:rPr>
            </w:pPr>
            <w:r>
              <w:rPr>
                <w:rFonts w:hint="default"/>
                <w:b/>
                <w:bCs/>
              </w:rPr>
              <w:t>指标</w:t>
            </w:r>
          </w:p>
        </w:tc>
        <w:tc>
          <w:tcPr>
            <w:tcW w:w="1417" w:type="dxa"/>
            <w:tcBorders>
              <w:tl2br w:val="nil"/>
              <w:tr2bl w:val="nil"/>
            </w:tcBorders>
            <w:vAlign w:val="center"/>
          </w:tcPr>
          <w:p>
            <w:pPr>
              <w:pStyle w:val="17"/>
              <w:bidi w:val="0"/>
              <w:rPr>
                <w:rFonts w:hint="default"/>
                <w:b/>
                <w:bCs/>
              </w:rPr>
            </w:pPr>
            <w:r>
              <w:rPr>
                <w:rFonts w:hint="default"/>
                <w:b/>
                <w:bCs/>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020" w:type="dxa"/>
            <w:vMerge w:val="restart"/>
            <w:tcBorders>
              <w:tl2br w:val="nil"/>
              <w:tr2bl w:val="nil"/>
            </w:tcBorders>
            <w:vAlign w:val="center"/>
          </w:tcPr>
          <w:p>
            <w:pPr>
              <w:pStyle w:val="17"/>
              <w:bidi w:val="0"/>
              <w:rPr>
                <w:rFonts w:hint="default"/>
              </w:rPr>
            </w:pPr>
            <w:r>
              <w:rPr>
                <w:rFonts w:hint="default"/>
              </w:rPr>
              <w:t>废气</w:t>
            </w:r>
          </w:p>
        </w:tc>
        <w:tc>
          <w:tcPr>
            <w:tcW w:w="6634" w:type="dxa"/>
            <w:tcBorders>
              <w:tl2br w:val="nil"/>
              <w:tr2bl w:val="nil"/>
            </w:tcBorders>
            <w:vAlign w:val="center"/>
          </w:tcPr>
          <w:p>
            <w:pPr>
              <w:pStyle w:val="17"/>
              <w:bidi w:val="0"/>
              <w:rPr>
                <w:rFonts w:hint="default"/>
              </w:rPr>
            </w:pPr>
            <w:r>
              <w:rPr>
                <w:rFonts w:hint="default"/>
              </w:rPr>
              <w:t>颗粒物（kg/t原料）</w:t>
            </w:r>
          </w:p>
        </w:tc>
        <w:tc>
          <w:tcPr>
            <w:tcW w:w="1417" w:type="dxa"/>
            <w:tcBorders>
              <w:tl2br w:val="nil"/>
              <w:tr2bl w:val="nil"/>
            </w:tcBorders>
            <w:vAlign w:val="center"/>
          </w:tcPr>
          <w:p>
            <w:pPr>
              <w:pStyle w:val="17"/>
              <w:bidi w:val="0"/>
              <w:rPr>
                <w:rFonts w:hint="default"/>
                <w:lang w:val="en-US" w:eastAsia="zh-CN"/>
              </w:rPr>
            </w:pPr>
            <w:r>
              <w:rPr>
                <w:rFonts w:hint="eastAsia"/>
                <w:lang w:val="en-US" w:eastAsia="zh-CN"/>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020" w:type="dxa"/>
            <w:vMerge w:val="continue"/>
            <w:tcBorders>
              <w:tl2br w:val="nil"/>
              <w:tr2bl w:val="nil"/>
            </w:tcBorders>
            <w:vAlign w:val="center"/>
          </w:tcPr>
          <w:p>
            <w:pPr>
              <w:pStyle w:val="17"/>
              <w:bidi w:val="0"/>
              <w:rPr>
                <w:rFonts w:hint="default"/>
              </w:rPr>
            </w:pPr>
          </w:p>
        </w:tc>
        <w:tc>
          <w:tcPr>
            <w:tcW w:w="6634" w:type="dxa"/>
            <w:tcBorders>
              <w:tl2br w:val="nil"/>
              <w:tr2bl w:val="nil"/>
            </w:tcBorders>
            <w:vAlign w:val="center"/>
          </w:tcPr>
          <w:p>
            <w:pPr>
              <w:pStyle w:val="17"/>
              <w:bidi w:val="0"/>
              <w:rPr>
                <w:rFonts w:hint="default"/>
              </w:rPr>
            </w:pPr>
            <w:r>
              <w:rPr>
                <w:rFonts w:hint="default"/>
              </w:rPr>
              <w:t>非甲烷总烃（kg/t树脂原料）</w:t>
            </w:r>
          </w:p>
        </w:tc>
        <w:tc>
          <w:tcPr>
            <w:tcW w:w="1417" w:type="dxa"/>
            <w:tcBorders>
              <w:tl2br w:val="nil"/>
              <w:tr2bl w:val="nil"/>
            </w:tcBorders>
            <w:vAlign w:val="center"/>
          </w:tcPr>
          <w:p>
            <w:pPr>
              <w:pStyle w:val="17"/>
              <w:bidi w:val="0"/>
              <w:rPr>
                <w:rFonts w:hint="default"/>
                <w:lang w:val="en-US" w:eastAsia="zh-CN"/>
              </w:rPr>
            </w:pPr>
            <w:r>
              <w:rPr>
                <w:rFonts w:hint="eastAsia"/>
                <w:lang w:val="en-US" w:eastAsia="zh-CN"/>
              </w:rPr>
              <w:t>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020" w:type="dxa"/>
            <w:tcBorders>
              <w:tl2br w:val="nil"/>
              <w:tr2bl w:val="nil"/>
            </w:tcBorders>
            <w:vAlign w:val="center"/>
          </w:tcPr>
          <w:p>
            <w:pPr>
              <w:pStyle w:val="17"/>
              <w:bidi w:val="0"/>
              <w:rPr>
                <w:rFonts w:hint="default"/>
              </w:rPr>
            </w:pPr>
            <w:r>
              <w:rPr>
                <w:rFonts w:hint="default"/>
              </w:rPr>
              <w:t>固废</w:t>
            </w:r>
          </w:p>
        </w:tc>
        <w:tc>
          <w:tcPr>
            <w:tcW w:w="6634" w:type="dxa"/>
            <w:tcBorders>
              <w:tl2br w:val="nil"/>
              <w:tr2bl w:val="nil"/>
            </w:tcBorders>
            <w:vAlign w:val="center"/>
          </w:tcPr>
          <w:p>
            <w:pPr>
              <w:pStyle w:val="17"/>
              <w:bidi w:val="0"/>
              <w:rPr>
                <w:rFonts w:hint="default"/>
              </w:rPr>
            </w:pPr>
            <w:r>
              <w:rPr>
                <w:rFonts w:hint="default"/>
              </w:rPr>
              <w:t>产生量（kg/t原料）</w:t>
            </w:r>
          </w:p>
        </w:tc>
        <w:tc>
          <w:tcPr>
            <w:tcW w:w="1417" w:type="dxa"/>
            <w:tcBorders>
              <w:tl2br w:val="nil"/>
              <w:tr2bl w:val="nil"/>
            </w:tcBorders>
            <w:vAlign w:val="center"/>
          </w:tcPr>
          <w:p>
            <w:pPr>
              <w:pStyle w:val="17"/>
              <w:bidi w:val="0"/>
              <w:rPr>
                <w:rFonts w:hint="default"/>
                <w:lang w:val="en-US" w:eastAsia="zh-CN"/>
              </w:rPr>
            </w:pPr>
            <w:r>
              <w:rPr>
                <w:rFonts w:hint="eastAsia"/>
                <w:lang w:val="en-US" w:eastAsia="zh-CN"/>
              </w:rPr>
              <w:t>91.88</w:t>
            </w:r>
          </w:p>
        </w:tc>
      </w:tr>
    </w:tbl>
    <w:p>
      <w:pPr>
        <w:pStyle w:val="6"/>
        <w:bidi w:val="0"/>
        <w:rPr>
          <w:rFonts w:hint="default"/>
        </w:rPr>
      </w:pPr>
      <w:r>
        <w:rPr>
          <w:rFonts w:hint="default"/>
        </w:rPr>
        <w:t>3.11.1.5</w:t>
      </w:r>
      <w:r>
        <w:rPr>
          <w:rFonts w:hint="eastAsia"/>
          <w:lang w:eastAsia="zh-CN"/>
        </w:rPr>
        <w:t>、</w:t>
      </w:r>
      <w:r>
        <w:rPr>
          <w:rFonts w:hint="default"/>
        </w:rPr>
        <w:t>环境管理水平</w:t>
      </w:r>
    </w:p>
    <w:p>
      <w:pPr>
        <w:bidi w:val="0"/>
        <w:rPr>
          <w:rFonts w:hint="default"/>
        </w:rPr>
      </w:pPr>
      <w:r>
        <w:rPr>
          <w:rFonts w:hint="default"/>
        </w:rPr>
        <w:t>本项目建设在环境管理方面提出以下定性要求：</w:t>
      </w:r>
    </w:p>
    <w:p>
      <w:pPr>
        <w:bidi w:val="0"/>
        <w:rPr>
          <w:rFonts w:hint="default"/>
        </w:rPr>
      </w:pPr>
      <w:r>
        <w:rPr>
          <w:rFonts w:hint="default"/>
        </w:rPr>
        <w:t>（1）有环保规章、管理机构和有效的环境检测手段</w:t>
      </w:r>
      <w:r>
        <w:rPr>
          <w:rFonts w:hint="eastAsia"/>
          <w:lang w:eastAsia="zh-CN"/>
        </w:rPr>
        <w:t>（</w:t>
      </w:r>
      <w:r>
        <w:rPr>
          <w:rFonts w:hint="eastAsia"/>
          <w:lang w:val="en-US" w:eastAsia="zh-CN"/>
        </w:rPr>
        <w:t>建议本项目委托第三方监测机构进行环境检测</w:t>
      </w:r>
      <w:r>
        <w:rPr>
          <w:rFonts w:hint="eastAsia"/>
          <w:lang w:eastAsia="zh-CN"/>
        </w:rPr>
        <w:t>）</w:t>
      </w:r>
      <w:r>
        <w:rPr>
          <w:rFonts w:hint="default"/>
        </w:rPr>
        <w:t>；</w:t>
      </w:r>
    </w:p>
    <w:p>
      <w:pPr>
        <w:bidi w:val="0"/>
        <w:rPr>
          <w:rFonts w:hint="default"/>
        </w:rPr>
      </w:pPr>
      <w:r>
        <w:rPr>
          <w:rFonts w:hint="default"/>
        </w:rPr>
        <w:t>（2）对污染物排放实行定期监测和污染物排放口规范管理</w:t>
      </w:r>
      <w:r>
        <w:rPr>
          <w:rFonts w:hint="eastAsia"/>
          <w:lang w:eastAsia="zh-CN"/>
        </w:rPr>
        <w:t>（</w:t>
      </w:r>
      <w:r>
        <w:rPr>
          <w:rFonts w:hint="eastAsia"/>
          <w:lang w:val="en-US" w:eastAsia="zh-CN"/>
        </w:rPr>
        <w:t>建议本项目委托第三方监测机构进行定期监测</w:t>
      </w:r>
      <w:r>
        <w:rPr>
          <w:rFonts w:hint="eastAsia"/>
          <w:lang w:eastAsia="zh-CN"/>
        </w:rPr>
        <w:t>）</w:t>
      </w:r>
      <w:r>
        <w:rPr>
          <w:rFonts w:hint="default"/>
        </w:rPr>
        <w:t>；</w:t>
      </w:r>
    </w:p>
    <w:p>
      <w:pPr>
        <w:bidi w:val="0"/>
        <w:rPr>
          <w:rFonts w:hint="default"/>
        </w:rPr>
      </w:pPr>
      <w:r>
        <w:rPr>
          <w:rFonts w:hint="default"/>
        </w:rPr>
        <w:t>（3）对各生产单位的环保状况实行月份、年度考核；</w:t>
      </w:r>
    </w:p>
    <w:p>
      <w:pPr>
        <w:bidi w:val="0"/>
        <w:rPr>
          <w:rFonts w:hint="default"/>
        </w:rPr>
      </w:pPr>
      <w:r>
        <w:rPr>
          <w:rFonts w:hint="default"/>
        </w:rPr>
        <w:t>（4）对污染物排放实行总量限制控制和年度考核；</w:t>
      </w:r>
    </w:p>
    <w:p>
      <w:pPr>
        <w:bidi w:val="0"/>
        <w:rPr>
          <w:rFonts w:hint="default"/>
        </w:rPr>
      </w:pPr>
      <w:r>
        <w:rPr>
          <w:rFonts w:hint="default"/>
        </w:rPr>
        <w:t>（5）有日常管理措施和中长期、远期环境管理目标。</w:t>
      </w:r>
    </w:p>
    <w:p>
      <w:pPr>
        <w:bidi w:val="0"/>
        <w:rPr>
          <w:rFonts w:hint="default"/>
        </w:rPr>
      </w:pPr>
      <w:r>
        <w:rPr>
          <w:rFonts w:hint="default"/>
        </w:rPr>
        <w:t>本项目在环境管理上应采取以下措施：</w:t>
      </w:r>
    </w:p>
    <w:p>
      <w:pPr>
        <w:bidi w:val="0"/>
        <w:rPr>
          <w:rFonts w:hint="default"/>
        </w:rPr>
      </w:pPr>
      <w:r>
        <w:rPr>
          <w:rFonts w:hint="default"/>
        </w:rPr>
        <w:t>（1）环境法律法规</w:t>
      </w:r>
    </w:p>
    <w:p>
      <w:pPr>
        <w:bidi w:val="0"/>
        <w:rPr>
          <w:rFonts w:hint="default"/>
        </w:rPr>
      </w:pPr>
      <w:r>
        <w:rPr>
          <w:rFonts w:hint="default"/>
        </w:rPr>
        <w:t>本项目生产符合国家和地方有关环境法律法规，污染物排放达到国家排放标准、总量控制和排污许可证管理要求。</w:t>
      </w:r>
    </w:p>
    <w:p>
      <w:pPr>
        <w:bidi w:val="0"/>
        <w:rPr>
          <w:rFonts w:hint="default"/>
        </w:rPr>
      </w:pPr>
      <w:r>
        <w:rPr>
          <w:rFonts w:hint="default"/>
        </w:rPr>
        <w:t>（2）环境审核</w:t>
      </w:r>
    </w:p>
    <w:p>
      <w:pPr>
        <w:bidi w:val="0"/>
        <w:rPr>
          <w:rFonts w:hint="default"/>
        </w:rPr>
      </w:pPr>
      <w:r>
        <w:rPr>
          <w:rFonts w:hint="default"/>
        </w:rPr>
        <w:t>为了进一步提升企业形象和产品质量，应进行清洁生产审核。</w:t>
      </w:r>
    </w:p>
    <w:p>
      <w:pPr>
        <w:bidi w:val="0"/>
        <w:rPr>
          <w:rFonts w:hint="default"/>
        </w:rPr>
      </w:pPr>
      <w:r>
        <w:rPr>
          <w:rFonts w:hint="default"/>
        </w:rPr>
        <w:t>（3）废物处置</w:t>
      </w:r>
    </w:p>
    <w:p>
      <w:pPr>
        <w:bidi w:val="0"/>
        <w:rPr>
          <w:rFonts w:hint="default"/>
        </w:rPr>
      </w:pPr>
      <w:r>
        <w:rPr>
          <w:rFonts w:hint="default"/>
        </w:rPr>
        <w:t>对污染物排放实行定期监测和污染物排放口规范管理，对于项目排放的固体废物应进行有效的处置。对各生产单位的环保状况实行月份、年度考核，对污染物排放实行总量限制控制和年度考核。</w:t>
      </w:r>
    </w:p>
    <w:p>
      <w:pPr>
        <w:bidi w:val="0"/>
        <w:rPr>
          <w:rFonts w:hint="default"/>
        </w:rPr>
      </w:pPr>
      <w:r>
        <w:rPr>
          <w:rFonts w:hint="default"/>
        </w:rPr>
        <w:t>（4）生产过程管理</w:t>
      </w:r>
    </w:p>
    <w:p>
      <w:pPr>
        <w:bidi w:val="0"/>
        <w:rPr>
          <w:rFonts w:hint="default"/>
        </w:rPr>
      </w:pPr>
      <w:r>
        <w:rPr>
          <w:rFonts w:hint="default"/>
        </w:rPr>
        <w:t>对项目投产后产生污染物或废弃物的环节和过程提出要求，要求有原料质检制度和原材料消耗定额考核，对能耗、水耗有考核，对产品合格率有考核，对跑、冒、滴、漏等现象能够控制。</w:t>
      </w:r>
    </w:p>
    <w:p>
      <w:pPr>
        <w:pStyle w:val="5"/>
        <w:bidi w:val="0"/>
        <w:rPr>
          <w:rFonts w:hint="default"/>
        </w:rPr>
      </w:pPr>
      <w:bookmarkStart w:id="158" w:name="_Toc299381557"/>
      <w:bookmarkStart w:id="159" w:name="_Toc310503814"/>
      <w:bookmarkStart w:id="160" w:name="_Toc321043932"/>
      <w:bookmarkStart w:id="161" w:name="_Toc300831159"/>
      <w:r>
        <w:rPr>
          <w:rFonts w:hint="default"/>
        </w:rPr>
        <w:t>3.11.2</w:t>
      </w:r>
      <w:r>
        <w:rPr>
          <w:rFonts w:hint="eastAsia"/>
          <w:lang w:eastAsia="zh-CN"/>
        </w:rPr>
        <w:t>、</w:t>
      </w:r>
      <w:r>
        <w:rPr>
          <w:rFonts w:hint="default"/>
        </w:rPr>
        <w:t>清洁生产水平判定</w:t>
      </w:r>
      <w:bookmarkEnd w:id="158"/>
      <w:bookmarkEnd w:id="159"/>
      <w:bookmarkEnd w:id="160"/>
      <w:bookmarkEnd w:id="161"/>
    </w:p>
    <w:p>
      <w:pPr>
        <w:bidi w:val="0"/>
        <w:rPr>
          <w:rFonts w:hint="default"/>
        </w:rPr>
      </w:pPr>
      <w:r>
        <w:rPr>
          <w:rFonts w:hint="default"/>
        </w:rPr>
        <w:t>综上所述，本项目采取了先进、成熟的工艺技术和生产设备，从原材料和能源的使用开始，直至产品的应用，均符合清洁生产的要求，从源头控制了污染。从清洁生产各项指标比较分析可知，本项目清洁生产水平达到国内先进水平。</w:t>
      </w:r>
    </w:p>
    <w:p>
      <w:pPr>
        <w:bidi w:val="0"/>
        <w:rPr>
          <w:rFonts w:hint="default"/>
        </w:rPr>
      </w:pPr>
    </w:p>
    <w:p>
      <w:pPr>
        <w:bidi w:val="0"/>
        <w:rPr>
          <w:rFonts w:hint="default"/>
        </w:rPr>
      </w:pPr>
    </w:p>
    <w:p>
      <w:pPr>
        <w:rPr>
          <w:rFonts w:hint="default"/>
        </w:rPr>
      </w:pPr>
      <w:r>
        <w:rPr>
          <w:rFonts w:hint="default"/>
        </w:rPr>
        <w:br w:type="page"/>
      </w:r>
    </w:p>
    <w:p>
      <w:pPr>
        <w:pStyle w:val="3"/>
        <w:bidi w:val="0"/>
        <w:rPr>
          <w:rFonts w:hint="default"/>
        </w:rPr>
      </w:pPr>
      <w:bookmarkStart w:id="162" w:name="_Toc26768"/>
      <w:bookmarkStart w:id="163" w:name="_Toc12030"/>
      <w:bookmarkStart w:id="164" w:name="_Toc11289907"/>
      <w:bookmarkStart w:id="165" w:name="_Toc341867056"/>
      <w:r>
        <w:rPr>
          <w:rFonts w:hint="default"/>
        </w:rPr>
        <w:t>4建设项目周边环境概况</w:t>
      </w:r>
      <w:bookmarkEnd w:id="162"/>
      <w:bookmarkEnd w:id="163"/>
      <w:bookmarkEnd w:id="164"/>
    </w:p>
    <w:bookmarkEnd w:id="165"/>
    <w:p>
      <w:pPr>
        <w:pStyle w:val="4"/>
        <w:bidi w:val="0"/>
        <w:rPr>
          <w:rFonts w:hint="default"/>
        </w:rPr>
      </w:pPr>
      <w:bookmarkStart w:id="166" w:name="_Toc10472"/>
      <w:bookmarkStart w:id="167" w:name="_Toc335315146"/>
      <w:bookmarkStart w:id="168" w:name="_Toc330205284"/>
      <w:bookmarkStart w:id="169" w:name="_Toc13894"/>
      <w:bookmarkStart w:id="170" w:name="_Toc353358328"/>
      <w:bookmarkStart w:id="171" w:name="_Toc11289908"/>
      <w:bookmarkStart w:id="172" w:name="_Toc330205285"/>
      <w:r>
        <w:rPr>
          <w:rFonts w:hint="default"/>
        </w:rPr>
        <w:t>4.1</w:t>
      </w:r>
      <w:r>
        <w:rPr>
          <w:rFonts w:hint="eastAsia"/>
          <w:lang w:eastAsia="zh-CN"/>
        </w:rPr>
        <w:t>、</w:t>
      </w:r>
      <w:r>
        <w:rPr>
          <w:rFonts w:hint="default"/>
        </w:rPr>
        <w:t>自然环境现状调查与评价</w:t>
      </w:r>
      <w:bookmarkEnd w:id="166"/>
      <w:bookmarkEnd w:id="167"/>
      <w:bookmarkEnd w:id="168"/>
      <w:bookmarkEnd w:id="169"/>
      <w:bookmarkEnd w:id="170"/>
      <w:bookmarkEnd w:id="171"/>
    </w:p>
    <w:bookmarkEnd w:id="172"/>
    <w:p>
      <w:pPr>
        <w:pStyle w:val="5"/>
        <w:bidi w:val="0"/>
        <w:rPr>
          <w:rFonts w:hint="default"/>
        </w:rPr>
      </w:pPr>
      <w:r>
        <w:rPr>
          <w:rFonts w:hint="default"/>
        </w:rPr>
        <w:t>4.1.1</w:t>
      </w:r>
      <w:r>
        <w:rPr>
          <w:rFonts w:hint="eastAsia"/>
          <w:lang w:eastAsia="zh-CN"/>
        </w:rPr>
        <w:t>、</w:t>
      </w:r>
      <w:r>
        <w:rPr>
          <w:rFonts w:hint="default"/>
        </w:rPr>
        <w:t>地理位置</w:t>
      </w:r>
    </w:p>
    <w:p>
      <w:pPr>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吉木萨尔县隶属于新疆维吾尔自治区昌吉州，位于天山北麓东端，准噶尔盆地东南缘，扼居南北疆与东疆交汇地带，东与奇台县为邻，西与阜康市接壤，北越卡拉麦里山与富蕴县相连，南以博格达山分水岭同吐鲁番和乌鲁木齐为界。县城西距自治区首府乌鲁木齐152km，距昌吉回族自治州首府昌吉市200km，东离哈密市550km。</w:t>
      </w:r>
    </w:p>
    <w:p>
      <w:pPr>
        <w:bidi w:val="0"/>
        <w:rPr>
          <w:rFonts w:hint="default"/>
        </w:rPr>
      </w:pPr>
      <w:r>
        <w:rPr>
          <w:rFonts w:hint="eastAsia"/>
          <w:lang w:val="en-US" w:eastAsia="zh-CN"/>
        </w:rPr>
        <w:t>目位于</w:t>
      </w:r>
      <w:r>
        <w:rPr>
          <w:rFonts w:hint="eastAsia"/>
          <w:lang w:eastAsia="zh-CN"/>
        </w:rPr>
        <w:t>新疆吉木萨尔县二工镇</w:t>
      </w:r>
      <w:r>
        <w:rPr>
          <w:rFonts w:hint="default"/>
        </w:rPr>
        <w:t>。项目区中心地理坐标为：N</w:t>
      </w:r>
      <w:r>
        <w:rPr>
          <w:rFonts w:hint="eastAsia"/>
          <w:lang w:eastAsia="zh-CN"/>
        </w:rPr>
        <w:t>44°0'44.39"</w:t>
      </w:r>
      <w:r>
        <w:rPr>
          <w:rFonts w:hint="default"/>
        </w:rPr>
        <w:t>，E</w:t>
      </w:r>
      <w:r>
        <w:rPr>
          <w:rFonts w:hint="eastAsia"/>
          <w:lang w:eastAsia="zh-CN"/>
        </w:rPr>
        <w:t>89°20'50.28"</w:t>
      </w:r>
      <w:r>
        <w:rPr>
          <w:rFonts w:hint="default"/>
        </w:rPr>
        <w:t>。厂区</w:t>
      </w:r>
      <w:r>
        <w:rPr>
          <w:rFonts w:hint="eastAsia"/>
          <w:lang w:val="en-US" w:eastAsia="zh-CN"/>
        </w:rPr>
        <w:t>北侧、西侧为牧草地，东侧为牧草地，南侧偏西为农田</w:t>
      </w:r>
      <w:r>
        <w:rPr>
          <w:rFonts w:hint="default"/>
        </w:rPr>
        <w:t>。</w:t>
      </w:r>
    </w:p>
    <w:p>
      <w:pPr>
        <w:pStyle w:val="5"/>
        <w:bidi w:val="0"/>
        <w:rPr>
          <w:rFonts w:hint="default"/>
          <w:lang w:val="en-US" w:eastAsia="zh-CN"/>
        </w:rPr>
      </w:pPr>
      <w:r>
        <w:rPr>
          <w:rFonts w:hint="default"/>
        </w:rPr>
        <w:t>4.1.2</w:t>
      </w:r>
      <w:r>
        <w:rPr>
          <w:rFonts w:hint="eastAsia"/>
          <w:lang w:eastAsia="zh-CN"/>
        </w:rPr>
        <w:t>、</w:t>
      </w:r>
      <w:r>
        <w:rPr>
          <w:rFonts w:hint="default"/>
        </w:rPr>
        <w:t>地形</w:t>
      </w:r>
      <w:r>
        <w:rPr>
          <w:rFonts w:hint="eastAsia"/>
          <w:lang w:eastAsia="zh-CN"/>
        </w:rPr>
        <w:t>、</w:t>
      </w:r>
      <w:r>
        <w:rPr>
          <w:rFonts w:hint="default"/>
        </w:rPr>
        <w:t>地貌</w:t>
      </w:r>
      <w:r>
        <w:rPr>
          <w:rFonts w:hint="eastAsia"/>
          <w:lang w:eastAsia="zh-CN"/>
        </w:rPr>
        <w:t>、</w:t>
      </w:r>
      <w:r>
        <w:rPr>
          <w:rFonts w:hint="eastAsia"/>
          <w:lang w:val="en-US" w:eastAsia="zh-CN"/>
        </w:rPr>
        <w:t>地质</w:t>
      </w:r>
    </w:p>
    <w:p>
      <w:pPr>
        <w:spacing w:line="360" w:lineRule="auto"/>
        <w:ind w:firstLine="480" w:firstLineChars="200"/>
        <w:rPr>
          <w:rFonts w:hint="eastAsia" w:ascii="Times New Roman" w:hAnsi="Times New Roman" w:cs="Times New Roman"/>
          <w:color w:val="auto"/>
          <w:kern w:val="0"/>
          <w:sz w:val="24"/>
          <w:szCs w:val="24"/>
          <w:lang w:eastAsia="zh-CN"/>
        </w:rPr>
      </w:pPr>
      <w:bookmarkStart w:id="173" w:name="_Toc272654705"/>
      <w:bookmarkStart w:id="174" w:name="_Toc99172749"/>
      <w:bookmarkStart w:id="175" w:name="_Toc487917506"/>
      <w:bookmarkStart w:id="176" w:name="_Toc199909340"/>
      <w:bookmarkStart w:id="177" w:name="_Toc136938171"/>
      <w:bookmarkStart w:id="178" w:name="_Toc272687380"/>
      <w:bookmarkStart w:id="179" w:name="_Toc137063982"/>
      <w:bookmarkStart w:id="180" w:name="_Toc209281219"/>
      <w:bookmarkStart w:id="181" w:name="_Toc136938391"/>
      <w:bookmarkStart w:id="182" w:name="_Toc272654601"/>
      <w:bookmarkStart w:id="183" w:name="_Toc136938309"/>
      <w:bookmarkStart w:id="184" w:name="_Toc99521596"/>
      <w:r>
        <w:rPr>
          <w:rFonts w:hint="eastAsia" w:ascii="Times New Roman" w:hAnsi="Times New Roman" w:cs="Times New Roman"/>
          <w:color w:val="auto"/>
          <w:kern w:val="0"/>
          <w:sz w:val="24"/>
          <w:szCs w:val="24"/>
          <w:lang w:eastAsia="zh-CN"/>
        </w:rPr>
        <w:t>吉木萨尔县地势南北高、中间低，地貌可分为南部山区、中部平原、北部沙漠三种类型。</w:t>
      </w:r>
    </w:p>
    <w:p>
      <w:pPr>
        <w:spacing w:line="360" w:lineRule="auto"/>
        <w:ind w:firstLine="480" w:firstLineChars="200"/>
        <w:rPr>
          <w:rStyle w:val="16"/>
          <w:rFonts w:hint="default" w:ascii="Times New Roman" w:hAnsi="Times New Roman" w:eastAsia="宋体" w:cs="Times New Roman"/>
          <w:b w:val="0"/>
          <w:i w:val="0"/>
          <w:caps w:val="0"/>
          <w:color w:val="auto"/>
          <w:spacing w:val="0"/>
          <w:sz w:val="24"/>
          <w:szCs w:val="24"/>
          <w:u w:val="none"/>
          <w:shd w:val="clear" w:color="auto" w:fill="FFFFFF"/>
        </w:rPr>
      </w:pPr>
      <w:r>
        <w:rPr>
          <w:rFonts w:hint="eastAsia" w:ascii="Times New Roman" w:hAnsi="Times New Roman" w:cs="Times New Roman"/>
          <w:color w:val="auto"/>
          <w:kern w:val="0"/>
          <w:sz w:val="24"/>
          <w:szCs w:val="24"/>
          <w:lang w:eastAsia="zh-CN"/>
        </w:rPr>
        <w:t>地貌南部为高山雪岭，北部为卡拉麦里山岭的低山残丘，两山之间是山前倾斜平原和低缓起伏的沙丘，最高点是二工河源头的雪峰，海拔500m。南部山区面积为436km2，以云杉为主的针叶林，四季常青。中部平原面积为2828 km2，占县城面积的22%，是吉木萨尔县主要农作物种植区。北部属古尔班通古牧沙漠，面积达6719.9</w:t>
      </w:r>
      <w:r>
        <w:rPr>
          <w:rFonts w:hint="eastAsia" w:ascii="Times New Roman" w:hAnsi="Times New Roman" w:cs="Times New Roman"/>
          <w:color w:val="auto"/>
          <w:kern w:val="0"/>
          <w:sz w:val="24"/>
          <w:szCs w:val="24"/>
          <w:lang w:val="en-US" w:eastAsia="zh-CN"/>
        </w:rPr>
        <w:t>km2</w:t>
      </w:r>
      <w:r>
        <w:rPr>
          <w:rFonts w:hint="eastAsia" w:ascii="Times New Roman" w:hAnsi="Times New Roman" w:cs="Times New Roman"/>
          <w:color w:val="auto"/>
          <w:kern w:val="0"/>
          <w:sz w:val="24"/>
          <w:szCs w:val="24"/>
          <w:lang w:eastAsia="zh-CN"/>
        </w:rPr>
        <w:t>，占全县面积的53%，生长着耐旱的梭梭、红柳、小灌木等植物。</w:t>
      </w:r>
      <w:bookmarkEnd w:id="173"/>
      <w:bookmarkEnd w:id="174"/>
      <w:bookmarkEnd w:id="175"/>
      <w:bookmarkEnd w:id="176"/>
      <w:bookmarkEnd w:id="177"/>
      <w:bookmarkEnd w:id="178"/>
      <w:bookmarkEnd w:id="179"/>
      <w:bookmarkEnd w:id="180"/>
      <w:bookmarkEnd w:id="181"/>
      <w:bookmarkEnd w:id="182"/>
      <w:bookmarkEnd w:id="183"/>
      <w:bookmarkEnd w:id="184"/>
    </w:p>
    <w:p>
      <w:pPr>
        <w:bidi w:val="0"/>
        <w:rPr>
          <w:rFonts w:hint="default"/>
        </w:rPr>
      </w:pPr>
      <w:r>
        <w:rPr>
          <w:rFonts w:hint="default"/>
        </w:rPr>
        <w:t>根据《中国地震动参数区划图》（GB18306-2001），规划区地震基本烈度为Ⅶ度，地震加速度值0.15g。</w:t>
      </w:r>
    </w:p>
    <w:p>
      <w:pPr>
        <w:pStyle w:val="5"/>
        <w:bidi w:val="0"/>
        <w:rPr>
          <w:rFonts w:hint="default"/>
        </w:rPr>
      </w:pPr>
      <w:bookmarkStart w:id="185" w:name="_Toc344107011"/>
      <w:r>
        <w:rPr>
          <w:rFonts w:hint="default"/>
        </w:rPr>
        <w:t>4.1.3</w:t>
      </w:r>
      <w:bookmarkEnd w:id="185"/>
      <w:r>
        <w:rPr>
          <w:rFonts w:hint="eastAsia"/>
          <w:lang w:eastAsia="zh-CN"/>
        </w:rPr>
        <w:t>、</w:t>
      </w:r>
      <w:r>
        <w:rPr>
          <w:rFonts w:hint="default"/>
        </w:rPr>
        <w:t>气候特征</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吉木萨尔县属于北半球中纬度地区，受温带天气系统和北冰洋冷空气的影响。由于深居欧亚大陆腹地，远离海洋，故在气候上疏远于中温带大陆干旱气候。其特征是冬季寒冷，夏季炎热，降雨量少，日光充足，空气干燥，昼夜温差大，春夏季多风。</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温度：区域全年平均气温5℃—8℃，最冷月（1月）平均气温在–20.2℃至–11.7℃，最热月（7月）平均气温24.7℃。极端最高气温40.9℃，极端最低气温–36.6℃。</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降水：区域自然降水极少，全年降水日≥0.1毫米的只有65.2天，降水日数逐月变化不大，每月5–6天。全年以7月降水量最多为6.8天，10月最少4.4 天，平均每月为3.6天。12 月平均积雪厚度5厘米以上，1–2月在10–15厘米，最后可达20</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30cm，有10%</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20%的年份积雪浅薄，80%</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90%的年份积雪较厚。</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蒸发：由于海拔高度和下垫面性质的影响，区域年蒸发量2321.1mm。夏季炎热，蒸发十分强烈，5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8月蒸发量约占年蒸发量的66%</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70%；冬季寒冷，蒸发微弱。</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大风：区域每年大风平均日10天，一般风力10级左右，4—10月大风出现较多，定时观测的大风最大风速24m/s。</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具体气候气象资料如下：</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夏季最大风频风向      NW</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年平均气压            96.46KPa</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极端最低气压          93.75KPa</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多年平均气温            7.0℃</w:t>
      </w:r>
    </w:p>
    <w:p>
      <w:pPr>
        <w:bidi w:val="0"/>
        <w:rPr>
          <w:rFonts w:hint="default"/>
        </w:rPr>
      </w:pPr>
      <w:r>
        <w:rPr>
          <w:rFonts w:hint="default" w:ascii="Times New Roman" w:hAnsi="Times New Roman" w:eastAsia="宋体" w:cs="Times New Roman"/>
          <w:szCs w:val="24"/>
        </w:rPr>
        <w:t xml:space="preserve">    极端最</w:t>
      </w:r>
      <w:r>
        <w:rPr>
          <w:rFonts w:hint="default"/>
        </w:rPr>
        <w:t>高气温          40.9℃</w:t>
      </w:r>
    </w:p>
    <w:p>
      <w:pPr>
        <w:bidi w:val="0"/>
        <w:rPr>
          <w:rFonts w:hint="default"/>
        </w:rPr>
      </w:pPr>
      <w:r>
        <w:rPr>
          <w:rFonts w:hint="default"/>
        </w:rPr>
        <w:t xml:space="preserve">    极端最低气温          -36.6℃</w:t>
      </w:r>
    </w:p>
    <w:p>
      <w:pPr>
        <w:bidi w:val="0"/>
        <w:rPr>
          <w:rFonts w:hint="default"/>
        </w:rPr>
      </w:pPr>
      <w:r>
        <w:rPr>
          <w:rFonts w:hint="default"/>
        </w:rPr>
        <w:t xml:space="preserve">    无霜期                160-170d</w:t>
      </w:r>
    </w:p>
    <w:p>
      <w:pPr>
        <w:bidi w:val="0"/>
        <w:rPr>
          <w:rFonts w:hint="default"/>
        </w:rPr>
      </w:pPr>
      <w:r>
        <w:rPr>
          <w:rFonts w:hint="default"/>
        </w:rPr>
        <w:t xml:space="preserve">    年平均风速            3.4m/s</w:t>
      </w:r>
    </w:p>
    <w:p>
      <w:pPr>
        <w:bidi w:val="0"/>
        <w:rPr>
          <w:rFonts w:hint="default"/>
        </w:rPr>
      </w:pPr>
      <w:r>
        <w:rPr>
          <w:rFonts w:hint="default"/>
        </w:rPr>
        <w:t xml:space="preserve">    年平均降水量          173.10mm</w:t>
      </w:r>
    </w:p>
    <w:p>
      <w:pPr>
        <w:bidi w:val="0"/>
        <w:rPr>
          <w:rFonts w:hint="default"/>
        </w:rPr>
      </w:pPr>
      <w:r>
        <w:rPr>
          <w:rFonts w:hint="default"/>
        </w:rPr>
        <w:t xml:space="preserve">    年日照时数            2861.1h。</w:t>
      </w:r>
    </w:p>
    <w:p>
      <w:pPr>
        <w:pStyle w:val="5"/>
        <w:bidi w:val="0"/>
        <w:rPr>
          <w:rFonts w:hint="default"/>
        </w:rPr>
      </w:pPr>
      <w:r>
        <w:rPr>
          <w:rFonts w:hint="default"/>
        </w:rPr>
        <w:t>4.1.4</w:t>
      </w:r>
      <w:r>
        <w:rPr>
          <w:rFonts w:hint="eastAsia"/>
          <w:lang w:eastAsia="zh-CN"/>
        </w:rPr>
        <w:t>、</w:t>
      </w:r>
      <w:r>
        <w:rPr>
          <w:rFonts w:hint="default"/>
        </w:rPr>
        <w:t>水文地质概况</w:t>
      </w:r>
    </w:p>
    <w:p>
      <w:pPr>
        <w:pStyle w:val="6"/>
        <w:bidi w:val="0"/>
        <w:rPr>
          <w:rFonts w:hint="default"/>
        </w:rPr>
      </w:pPr>
      <w:r>
        <w:rPr>
          <w:rFonts w:hint="eastAsia"/>
          <w:lang w:val="en-US" w:eastAsia="zh-CN"/>
        </w:rPr>
        <w:t>4.1.4.1、</w:t>
      </w:r>
      <w:r>
        <w:rPr>
          <w:rFonts w:hint="default"/>
        </w:rPr>
        <w:t>地表水</w:t>
      </w:r>
    </w:p>
    <w:p>
      <w:pPr>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吉木萨尔县有发源天山的主要河道10条及一个后堡子泉水系，由西向东为二工河、西大龙口河、大东沟河、新地沟河、渭户沟河、东大龙口河、牛圈子沟河、吾塘沟河、小东沟、白杨河，小支流170余条，河流集水面积981km</w:t>
      </w:r>
      <w:r>
        <w:rPr>
          <w:rFonts w:hint="eastAsia" w:ascii="Times New Roman" w:hAnsi="Times New Roman" w:cs="Times New Roman"/>
          <w:sz w:val="24"/>
          <w:szCs w:val="24"/>
          <w:vertAlign w:val="superscript"/>
          <w:lang w:eastAsia="zh-CN"/>
        </w:rPr>
        <w:t>2</w:t>
      </w:r>
      <w:r>
        <w:rPr>
          <w:rFonts w:hint="eastAsia" w:ascii="Times New Roman" w:hAnsi="Times New Roman" w:cs="Times New Roman"/>
          <w:sz w:val="24"/>
          <w:szCs w:val="24"/>
          <w:lang w:eastAsia="zh-CN"/>
        </w:rPr>
        <w:t>，年径流量32704万m³。</w:t>
      </w:r>
    </w:p>
    <w:p>
      <w:pPr>
        <w:spacing w:line="360" w:lineRule="auto"/>
        <w:ind w:firstLine="480" w:firstLineChars="200"/>
        <w:rPr>
          <w:rFonts w:hint="default"/>
        </w:rPr>
      </w:pPr>
      <w:r>
        <w:rPr>
          <w:rFonts w:hint="eastAsia" w:ascii="Times New Roman" w:hAnsi="Times New Roman" w:cs="Times New Roman"/>
          <w:sz w:val="24"/>
          <w:szCs w:val="24"/>
          <w:lang w:eastAsia="zh-CN"/>
        </w:rPr>
        <w:t>本项目附近无地表水体，项目用水及排水与上述地表水体均无直接的水力联系，对地表水无影响。</w:t>
      </w:r>
    </w:p>
    <w:p>
      <w:pPr>
        <w:pStyle w:val="6"/>
        <w:bidi w:val="0"/>
        <w:rPr>
          <w:rFonts w:hint="default"/>
        </w:rPr>
      </w:pPr>
      <w:r>
        <w:rPr>
          <w:rFonts w:hint="eastAsia"/>
          <w:lang w:val="en-US" w:eastAsia="zh-CN"/>
        </w:rPr>
        <w:t>4.1.4.2、</w:t>
      </w:r>
      <w:r>
        <w:rPr>
          <w:rFonts w:hint="default"/>
        </w:rPr>
        <w:t>地下水</w:t>
      </w:r>
    </w:p>
    <w:p>
      <w:pPr>
        <w:spacing w:line="360" w:lineRule="auto"/>
        <w:ind w:firstLine="480" w:firstLineChars="200"/>
        <w:rPr>
          <w:rFonts w:hint="default"/>
        </w:rPr>
      </w:pPr>
      <w:bookmarkStart w:id="186" w:name="_Toc468344776"/>
      <w:r>
        <w:rPr>
          <w:rFonts w:hint="eastAsia" w:ascii="Times New Roman" w:hAnsi="Times New Roman" w:cs="Times New Roman"/>
          <w:sz w:val="24"/>
          <w:szCs w:val="24"/>
          <w:lang w:eastAsia="zh-CN"/>
        </w:rPr>
        <w:t>吉木萨尔全县可供开采的地下水量为9800万</w:t>
      </w:r>
      <w:r>
        <w:rPr>
          <w:rFonts w:hint="eastAsia" w:ascii="Times New Roman" w:hAnsi="Times New Roman" w:cs="Times New Roman"/>
          <w:sz w:val="24"/>
          <w:szCs w:val="24"/>
          <w:lang w:val="en-US" w:eastAsia="zh-CN"/>
        </w:rPr>
        <w:t>m³</w:t>
      </w:r>
      <w:r>
        <w:rPr>
          <w:rFonts w:hint="eastAsia" w:ascii="Times New Roman" w:hAnsi="Times New Roman" w:cs="Times New Roman"/>
          <w:sz w:val="24"/>
          <w:szCs w:val="24"/>
          <w:lang w:eastAsia="zh-CN"/>
        </w:rPr>
        <w:t>，多年平均开采量为5500万</w:t>
      </w:r>
      <w:r>
        <w:rPr>
          <w:rFonts w:hint="eastAsia" w:ascii="Times New Roman" w:hAnsi="Times New Roman" w:cs="Times New Roman"/>
          <w:sz w:val="24"/>
          <w:szCs w:val="24"/>
          <w:lang w:val="en-US" w:eastAsia="zh-CN"/>
        </w:rPr>
        <w:t>m³</w:t>
      </w:r>
      <w:r>
        <w:rPr>
          <w:rFonts w:hint="eastAsia" w:ascii="Times New Roman" w:hAnsi="Times New Roman" w:cs="Times New Roman"/>
          <w:sz w:val="24"/>
          <w:szCs w:val="24"/>
          <w:lang w:eastAsia="zh-CN"/>
        </w:rPr>
        <w:t>，剩余开采量4300万</w:t>
      </w:r>
      <w:r>
        <w:rPr>
          <w:rFonts w:hint="eastAsia" w:ascii="Times New Roman" w:hAnsi="Times New Roman" w:cs="Times New Roman"/>
          <w:sz w:val="24"/>
          <w:szCs w:val="24"/>
          <w:lang w:val="en-US" w:eastAsia="zh-CN"/>
        </w:rPr>
        <w:t>m³</w:t>
      </w:r>
      <w:r>
        <w:rPr>
          <w:rFonts w:hint="eastAsia" w:ascii="Times New Roman" w:hAnsi="Times New Roman" w:cs="Times New Roman"/>
          <w:sz w:val="24"/>
          <w:szCs w:val="24"/>
          <w:lang w:eastAsia="zh-CN"/>
        </w:rPr>
        <w:t>。并且地面水源泉水、地下水水质普遍较好，PH 值介于6.6—8.5之间，适宜人畜饮用、农田灌溉和各种工业用水。</w:t>
      </w:r>
    </w:p>
    <w:p>
      <w:pPr>
        <w:pStyle w:val="5"/>
        <w:bidi w:val="0"/>
        <w:rPr>
          <w:rFonts w:hint="default"/>
          <w:lang w:val="en-US" w:eastAsia="zh-CN"/>
        </w:rPr>
      </w:pPr>
      <w:r>
        <w:rPr>
          <w:rFonts w:hint="default"/>
        </w:rPr>
        <w:t>4.1.5</w:t>
      </w:r>
      <w:bookmarkEnd w:id="186"/>
      <w:r>
        <w:rPr>
          <w:rFonts w:hint="eastAsia"/>
          <w:lang w:eastAsia="zh-CN"/>
        </w:rPr>
        <w:t>、</w:t>
      </w:r>
      <w:r>
        <w:rPr>
          <w:rFonts w:hint="eastAsia"/>
          <w:lang w:val="en-US" w:eastAsia="zh-CN"/>
        </w:rPr>
        <w:t>生态环境</w:t>
      </w:r>
    </w:p>
    <w:p>
      <w:pPr>
        <w:spacing w:line="360" w:lineRule="auto"/>
        <w:ind w:firstLine="480" w:firstLineChars="200"/>
        <w:rPr>
          <w:rFonts w:hint="default" w:ascii="Times New Roman" w:hAnsi="Times New Roman" w:eastAsia="宋体" w:cs="Times New Roman"/>
          <w:sz w:val="24"/>
          <w:szCs w:val="24"/>
        </w:rPr>
      </w:pPr>
      <w:bookmarkStart w:id="187" w:name="_Toc3328"/>
      <w:r>
        <w:rPr>
          <w:rFonts w:hint="default" w:ascii="Times New Roman" w:hAnsi="Times New Roman" w:eastAsia="宋体" w:cs="Times New Roman"/>
          <w:sz w:val="24"/>
          <w:szCs w:val="24"/>
        </w:rPr>
        <w:t>吉木萨尔县全县土壤分为：棕钙土、栗钙土、黑钙土为主。其中平原地区土壤肥沃，平均有机质含量2.47%，含氮0.1115%，碱解氮28.6ppm，速效磷3.85ppm，速效钾152.6ppm，土壤pH值在7.0～8.5之间，灌溉条件好。吉木萨尔县全县植被类型主要以杨树、榆树以及人工灌木、草坪。</w:t>
      </w:r>
    </w:p>
    <w:p>
      <w:pPr>
        <w:bidi w:val="0"/>
        <w:rPr>
          <w:rFonts w:hint="eastAsia"/>
          <w:lang w:val="zh-CN" w:eastAsia="zh-CN"/>
        </w:rPr>
      </w:pPr>
      <w:r>
        <w:rPr>
          <w:rFonts w:hint="eastAsia"/>
          <w:lang w:val="zh-CN" w:eastAsia="zh-CN"/>
        </w:rPr>
        <w:t>项目</w:t>
      </w:r>
      <w:r>
        <w:rPr>
          <w:rFonts w:hint="eastAsia"/>
          <w:lang w:val="en-US" w:eastAsia="zh-CN"/>
        </w:rPr>
        <w:t>位于吉木萨尔县二工镇</w:t>
      </w:r>
      <w:r>
        <w:rPr>
          <w:rFonts w:hint="eastAsia"/>
          <w:lang w:val="zh-CN" w:eastAsia="zh-CN"/>
        </w:rPr>
        <w:t>的</w:t>
      </w:r>
      <w:r>
        <w:rPr>
          <w:rFonts w:hint="eastAsia"/>
          <w:lang w:val="en-US" w:eastAsia="zh-CN"/>
        </w:rPr>
        <w:t>已初步开发完成的</w:t>
      </w:r>
      <w:r>
        <w:rPr>
          <w:rFonts w:hint="eastAsia"/>
          <w:lang w:val="zh-CN" w:eastAsia="zh-CN"/>
        </w:rPr>
        <w:t>土地上，土地性质为</w:t>
      </w:r>
      <w:r>
        <w:rPr>
          <w:rFonts w:hint="eastAsia"/>
          <w:lang w:val="en-US" w:eastAsia="zh-CN"/>
        </w:rPr>
        <w:t>建设用地</w:t>
      </w:r>
      <w:r>
        <w:rPr>
          <w:rFonts w:hint="eastAsia"/>
          <w:lang w:val="zh-CN" w:eastAsia="zh-CN"/>
        </w:rPr>
        <w:t>，根据现场踏勘可知，由于受工业开发建设的影响，植被主要以人工植被为主，种类为常见的树木花草，分布在道路两侧及房屋前后，在未被占用的土地上分布有常见的旱生植被。野生动物为伴人型物种，如鸟类的麻雀、家燕等，啮齿类的鼠类等，无国家及自治区保护物种分布。</w:t>
      </w:r>
    </w:p>
    <w:bookmarkEnd w:id="187"/>
    <w:p>
      <w:pPr>
        <w:pStyle w:val="4"/>
        <w:bidi w:val="0"/>
        <w:rPr>
          <w:rFonts w:hint="default"/>
        </w:rPr>
      </w:pPr>
      <w:bookmarkStart w:id="188" w:name="_Toc26698"/>
      <w:bookmarkStart w:id="189" w:name="_Toc17906"/>
      <w:bookmarkStart w:id="190" w:name="_Toc31762"/>
      <w:bookmarkStart w:id="191" w:name="_Toc11289910"/>
      <w:r>
        <w:rPr>
          <w:rFonts w:hint="default"/>
        </w:rPr>
        <w:t>4.</w:t>
      </w:r>
      <w:r>
        <w:rPr>
          <w:rFonts w:hint="eastAsia"/>
          <w:lang w:val="en-US" w:eastAsia="zh-CN"/>
        </w:rPr>
        <w:t>2</w:t>
      </w:r>
      <w:r>
        <w:rPr>
          <w:rFonts w:hint="eastAsia"/>
          <w:lang w:eastAsia="zh-CN"/>
        </w:rPr>
        <w:t>、</w:t>
      </w:r>
      <w:r>
        <w:rPr>
          <w:rFonts w:hint="default"/>
        </w:rPr>
        <w:t>环境质量现状调查与评价</w:t>
      </w:r>
      <w:bookmarkEnd w:id="188"/>
      <w:bookmarkEnd w:id="189"/>
      <w:bookmarkEnd w:id="190"/>
      <w:bookmarkEnd w:id="191"/>
    </w:p>
    <w:p>
      <w:pPr>
        <w:pStyle w:val="5"/>
        <w:bidi w:val="0"/>
        <w:rPr>
          <w:rFonts w:hint="default"/>
        </w:rPr>
      </w:pPr>
      <w:r>
        <w:rPr>
          <w:rFonts w:hint="default"/>
        </w:rPr>
        <w:t>4.</w:t>
      </w:r>
      <w:r>
        <w:rPr>
          <w:rFonts w:hint="eastAsia"/>
          <w:lang w:val="en-US" w:eastAsia="zh-CN"/>
        </w:rPr>
        <w:t>2</w:t>
      </w:r>
      <w:r>
        <w:rPr>
          <w:rFonts w:hint="default"/>
        </w:rPr>
        <w:t>.1</w:t>
      </w:r>
      <w:r>
        <w:rPr>
          <w:rFonts w:hint="eastAsia"/>
          <w:lang w:eastAsia="zh-CN"/>
        </w:rPr>
        <w:t>、</w:t>
      </w:r>
      <w:r>
        <w:rPr>
          <w:rFonts w:hint="default"/>
        </w:rPr>
        <w:t>环境空气质量现状调查与评价</w:t>
      </w:r>
    </w:p>
    <w:p>
      <w:pPr>
        <w:pStyle w:val="6"/>
        <w:bidi w:val="0"/>
        <w:rPr>
          <w:rFonts w:hint="default"/>
        </w:rPr>
      </w:pPr>
      <w:r>
        <w:rPr>
          <w:rFonts w:hint="default"/>
        </w:rPr>
        <w:t>4.</w:t>
      </w:r>
      <w:r>
        <w:rPr>
          <w:rFonts w:hint="eastAsia"/>
          <w:lang w:val="en-US" w:eastAsia="zh-CN"/>
        </w:rPr>
        <w:t>2</w:t>
      </w:r>
      <w:r>
        <w:rPr>
          <w:rFonts w:hint="default"/>
        </w:rPr>
        <w:t>.1.1</w:t>
      </w:r>
      <w:r>
        <w:rPr>
          <w:rFonts w:hint="eastAsia"/>
          <w:lang w:eastAsia="zh-CN"/>
        </w:rPr>
        <w:t>、</w:t>
      </w:r>
      <w:r>
        <w:rPr>
          <w:rFonts w:hint="default"/>
        </w:rPr>
        <w:t>环境空气质量基本因子调查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（1）数据来源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环境影响评价技术导则-大气环境》（H.J2.2-2018）中6.2.1.2：采用评价范围内国家或地方环境空气质量监测网中评价基准年连续1年的监测数据，或采用生态环境主管部门公开发布的环境空气质量现状数据。本次评价选择距离项目最近的吉木萨尔县环境监测站2019年的监测数据，作为本项目环境空气现状评价基本污染物SO</w:t>
      </w:r>
      <w:r>
        <w:rPr>
          <w:rFonts w:hint="default" w:ascii="Times New Roman" w:hAnsi="Times New Roman" w:eastAsia="宋体" w:cs="Times New Roman"/>
          <w:color w:val="auto"/>
          <w:kern w:val="0"/>
          <w:sz w:val="15"/>
          <w:szCs w:val="15"/>
          <w:lang w:val="en-US" w:eastAsia="zh-CN" w:bidi="ar"/>
        </w:rPr>
        <w:t>2</w:t>
      </w:r>
      <w:r>
        <w:rPr>
          <w:rFonts w:hint="default" w:ascii="Times New Roman" w:hAnsi="Times New Roman" w:eastAsia="宋体" w:cs="Times New Roman"/>
          <w:color w:val="auto"/>
          <w:kern w:val="0"/>
          <w:sz w:val="24"/>
          <w:szCs w:val="24"/>
          <w:lang w:val="en-US" w:eastAsia="zh-CN" w:bidi="ar"/>
        </w:rPr>
        <w:t>、NO</w:t>
      </w:r>
      <w:r>
        <w:rPr>
          <w:rFonts w:hint="default" w:ascii="Times New Roman" w:hAnsi="Times New Roman" w:eastAsia="宋体" w:cs="Times New Roman"/>
          <w:color w:val="auto"/>
          <w:kern w:val="0"/>
          <w:sz w:val="15"/>
          <w:szCs w:val="15"/>
          <w:lang w:val="en-US" w:eastAsia="zh-CN" w:bidi="ar"/>
        </w:rPr>
        <w:t>2</w:t>
      </w:r>
      <w:r>
        <w:rPr>
          <w:rFonts w:hint="default" w:ascii="Times New Roman" w:hAnsi="Times New Roman" w:eastAsia="宋体" w:cs="Times New Roman"/>
          <w:color w:val="auto"/>
          <w:kern w:val="0"/>
          <w:sz w:val="24"/>
          <w:szCs w:val="24"/>
          <w:lang w:val="en-US" w:eastAsia="zh-CN" w:bidi="ar"/>
        </w:rPr>
        <w:t>、PM</w:t>
      </w:r>
      <w:r>
        <w:rPr>
          <w:rFonts w:hint="default" w:ascii="Times New Roman" w:hAnsi="Times New Roman" w:eastAsia="宋体" w:cs="Times New Roman"/>
          <w:color w:val="auto"/>
          <w:kern w:val="0"/>
          <w:sz w:val="15"/>
          <w:szCs w:val="15"/>
          <w:lang w:val="en-US" w:eastAsia="zh-CN" w:bidi="ar"/>
        </w:rPr>
        <w:t>10</w:t>
      </w:r>
      <w:r>
        <w:rPr>
          <w:rFonts w:hint="default" w:ascii="Times New Roman" w:hAnsi="Times New Roman" w:eastAsia="宋体" w:cs="Times New Roman"/>
          <w:color w:val="auto"/>
          <w:kern w:val="0"/>
          <w:sz w:val="24"/>
          <w:szCs w:val="24"/>
          <w:lang w:val="en-US" w:eastAsia="zh-CN" w:bidi="ar"/>
        </w:rPr>
        <w:t>、PM</w:t>
      </w:r>
      <w:r>
        <w:rPr>
          <w:rFonts w:hint="default" w:ascii="Times New Roman" w:hAnsi="Times New Roman" w:eastAsia="宋体" w:cs="Times New Roman"/>
          <w:color w:val="auto"/>
          <w:kern w:val="0"/>
          <w:sz w:val="15"/>
          <w:szCs w:val="15"/>
          <w:lang w:val="en-US" w:eastAsia="zh-CN" w:bidi="ar"/>
        </w:rPr>
        <w:t>2.5</w:t>
      </w:r>
      <w:r>
        <w:rPr>
          <w:rFonts w:hint="default" w:ascii="Times New Roman" w:hAnsi="Times New Roman" w:eastAsia="宋体" w:cs="Times New Roman"/>
          <w:color w:val="auto"/>
          <w:kern w:val="0"/>
          <w:sz w:val="24"/>
          <w:szCs w:val="24"/>
          <w:lang w:val="en-US" w:eastAsia="zh-CN" w:bidi="ar"/>
        </w:rPr>
        <w:t>、CO和O</w:t>
      </w:r>
      <w:r>
        <w:rPr>
          <w:rFonts w:hint="default" w:ascii="Times New Roman" w:hAnsi="Times New Roman" w:eastAsia="宋体" w:cs="Times New Roman"/>
          <w:color w:val="auto"/>
          <w:kern w:val="0"/>
          <w:sz w:val="15"/>
          <w:szCs w:val="15"/>
          <w:lang w:val="en-US" w:eastAsia="zh-CN" w:bidi="ar"/>
        </w:rPr>
        <w:t>3</w:t>
      </w:r>
      <w:r>
        <w:rPr>
          <w:rFonts w:hint="default" w:ascii="Times New Roman" w:hAnsi="Times New Roman" w:eastAsia="宋体" w:cs="Times New Roman"/>
          <w:color w:val="auto"/>
          <w:kern w:val="0"/>
          <w:sz w:val="24"/>
          <w:szCs w:val="24"/>
          <w:lang w:val="en-US" w:eastAsia="zh-CN" w:bidi="ar"/>
        </w:rPr>
        <w:t>的数据来源可行。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（2）评价标准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基本污染物SO</w:t>
      </w:r>
      <w:r>
        <w:rPr>
          <w:rFonts w:hint="default" w:ascii="Times New Roman" w:hAnsi="Times New Roman" w:eastAsia="宋体" w:cs="Times New Roman"/>
          <w:color w:val="auto"/>
          <w:kern w:val="0"/>
          <w:sz w:val="15"/>
          <w:szCs w:val="15"/>
          <w:lang w:val="en-US" w:eastAsia="zh-CN" w:bidi="ar"/>
        </w:rPr>
        <w:t>2</w:t>
      </w:r>
      <w:r>
        <w:rPr>
          <w:rFonts w:hint="default" w:ascii="Times New Roman" w:hAnsi="Times New Roman" w:eastAsia="宋体" w:cs="Times New Roman"/>
          <w:color w:val="auto"/>
          <w:kern w:val="0"/>
          <w:sz w:val="24"/>
          <w:szCs w:val="24"/>
          <w:lang w:val="en-US" w:eastAsia="zh-CN" w:bidi="ar"/>
        </w:rPr>
        <w:t>、NO</w:t>
      </w:r>
      <w:r>
        <w:rPr>
          <w:rFonts w:hint="default" w:ascii="Times New Roman" w:hAnsi="Times New Roman" w:eastAsia="宋体" w:cs="Times New Roman"/>
          <w:color w:val="auto"/>
          <w:kern w:val="0"/>
          <w:sz w:val="15"/>
          <w:szCs w:val="15"/>
          <w:lang w:val="en-US" w:eastAsia="zh-CN" w:bidi="ar"/>
        </w:rPr>
        <w:t>2</w:t>
      </w:r>
      <w:r>
        <w:rPr>
          <w:rFonts w:hint="default" w:ascii="Times New Roman" w:hAnsi="Times New Roman" w:eastAsia="宋体" w:cs="Times New Roman"/>
          <w:color w:val="auto"/>
          <w:kern w:val="0"/>
          <w:sz w:val="24"/>
          <w:szCs w:val="24"/>
          <w:lang w:val="en-US" w:eastAsia="zh-CN" w:bidi="ar"/>
        </w:rPr>
        <w:t>、PM</w:t>
      </w:r>
      <w:r>
        <w:rPr>
          <w:rFonts w:hint="default" w:ascii="Times New Roman" w:hAnsi="Times New Roman" w:eastAsia="宋体" w:cs="Times New Roman"/>
          <w:color w:val="auto"/>
          <w:kern w:val="0"/>
          <w:sz w:val="15"/>
          <w:szCs w:val="15"/>
          <w:lang w:val="en-US" w:eastAsia="zh-CN" w:bidi="ar"/>
        </w:rPr>
        <w:t>10</w:t>
      </w:r>
      <w:r>
        <w:rPr>
          <w:rFonts w:hint="default" w:ascii="Times New Roman" w:hAnsi="Times New Roman" w:eastAsia="宋体" w:cs="Times New Roman"/>
          <w:color w:val="auto"/>
          <w:kern w:val="0"/>
          <w:sz w:val="24"/>
          <w:szCs w:val="24"/>
          <w:lang w:val="en-US" w:eastAsia="zh-CN" w:bidi="ar"/>
        </w:rPr>
        <w:t>、PM</w:t>
      </w:r>
      <w:r>
        <w:rPr>
          <w:rFonts w:hint="default" w:ascii="Times New Roman" w:hAnsi="Times New Roman" w:eastAsia="宋体" w:cs="Times New Roman"/>
          <w:color w:val="auto"/>
          <w:kern w:val="0"/>
          <w:sz w:val="15"/>
          <w:szCs w:val="15"/>
          <w:lang w:val="en-US" w:eastAsia="zh-CN" w:bidi="ar"/>
        </w:rPr>
        <w:t>2.5</w:t>
      </w:r>
      <w:r>
        <w:rPr>
          <w:rFonts w:hint="default" w:ascii="Times New Roman" w:hAnsi="Times New Roman" w:eastAsia="宋体" w:cs="Times New Roman"/>
          <w:color w:val="auto"/>
          <w:kern w:val="0"/>
          <w:sz w:val="24"/>
          <w:szCs w:val="24"/>
          <w:lang w:val="en-US" w:eastAsia="zh-CN" w:bidi="ar"/>
        </w:rPr>
        <w:t>、CO和O</w:t>
      </w:r>
      <w:r>
        <w:rPr>
          <w:rFonts w:hint="default" w:ascii="Times New Roman" w:hAnsi="Times New Roman" w:eastAsia="宋体" w:cs="Times New Roman"/>
          <w:color w:val="auto"/>
          <w:kern w:val="0"/>
          <w:sz w:val="15"/>
          <w:szCs w:val="15"/>
          <w:lang w:val="en-US" w:eastAsia="zh-CN" w:bidi="ar"/>
        </w:rPr>
        <w:t xml:space="preserve">3 </w:t>
      </w:r>
      <w:r>
        <w:rPr>
          <w:rFonts w:hint="default" w:ascii="Times New Roman" w:hAnsi="Times New Roman" w:eastAsia="宋体" w:cs="Times New Roman"/>
          <w:color w:val="auto"/>
          <w:kern w:val="0"/>
          <w:sz w:val="24"/>
          <w:szCs w:val="24"/>
          <w:lang w:val="en-US" w:eastAsia="zh-CN" w:bidi="ar"/>
        </w:rPr>
        <w:t>执行《环境空气质量标准》（GB3095-2012）中的二级标准。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（3）评价方法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评价方法：基本污染物按照《环境空气质量评价技术规范（试行）》（HJ 663-2013）中各评价项目的年评价指标进行判定。年评价指标中的年均浓度和相应百分位数24h平均或8h平均质量浓度满足GB3095中浓度限值要求的即为达标。对于超标的污染物，计算其超标倍数和超标率。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（4）空气质量达标区判定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根据2019年吉木萨尔县环境监测站空气质量逐日统计结果，SO</w:t>
      </w:r>
      <w:r>
        <w:rPr>
          <w:rFonts w:hint="default" w:ascii="Times New Roman" w:hAnsi="Times New Roman" w:eastAsia="宋体" w:cs="Times New Roman"/>
          <w:color w:val="auto"/>
          <w:kern w:val="0"/>
          <w:sz w:val="15"/>
          <w:szCs w:val="15"/>
          <w:lang w:val="en-US" w:eastAsia="zh-CN" w:bidi="ar"/>
        </w:rPr>
        <w:t>2</w:t>
      </w:r>
      <w:r>
        <w:rPr>
          <w:rFonts w:hint="default" w:ascii="Times New Roman" w:hAnsi="Times New Roman" w:eastAsia="宋体" w:cs="Times New Roman"/>
          <w:color w:val="auto"/>
          <w:kern w:val="0"/>
          <w:sz w:val="24"/>
          <w:szCs w:val="24"/>
          <w:lang w:val="en-US" w:eastAsia="zh-CN" w:bidi="ar"/>
        </w:rPr>
        <w:t>、NO</w:t>
      </w:r>
      <w:r>
        <w:rPr>
          <w:rFonts w:hint="default" w:ascii="Times New Roman" w:hAnsi="Times New Roman" w:eastAsia="宋体" w:cs="Times New Roman"/>
          <w:color w:val="auto"/>
          <w:kern w:val="0"/>
          <w:sz w:val="15"/>
          <w:szCs w:val="15"/>
          <w:lang w:val="en-US" w:eastAsia="zh-CN" w:bidi="ar"/>
        </w:rPr>
        <w:t>2</w:t>
      </w:r>
      <w:r>
        <w:rPr>
          <w:rFonts w:hint="default" w:ascii="Times New Roman" w:hAnsi="Times New Roman" w:eastAsia="宋体" w:cs="Times New Roman"/>
          <w:color w:val="auto"/>
          <w:kern w:val="0"/>
          <w:sz w:val="24"/>
          <w:szCs w:val="24"/>
          <w:lang w:val="en-US" w:eastAsia="zh-CN" w:bidi="ar"/>
        </w:rPr>
        <w:t>、PM</w:t>
      </w:r>
      <w:r>
        <w:rPr>
          <w:rFonts w:hint="default" w:ascii="Times New Roman" w:hAnsi="Times New Roman" w:eastAsia="宋体" w:cs="Times New Roman"/>
          <w:color w:val="auto"/>
          <w:kern w:val="0"/>
          <w:sz w:val="15"/>
          <w:szCs w:val="15"/>
          <w:lang w:val="en-US" w:eastAsia="zh-CN" w:bidi="ar"/>
        </w:rPr>
        <w:t>10</w:t>
      </w:r>
      <w:r>
        <w:rPr>
          <w:rFonts w:hint="default" w:ascii="Times New Roman" w:hAnsi="Times New Roman" w:eastAsia="宋体" w:cs="Times New Roman"/>
          <w:color w:val="auto"/>
          <w:kern w:val="0"/>
          <w:sz w:val="24"/>
          <w:szCs w:val="24"/>
          <w:lang w:val="en-US" w:eastAsia="zh-CN" w:bidi="ar"/>
        </w:rPr>
        <w:t>、PM</w:t>
      </w:r>
      <w:r>
        <w:rPr>
          <w:rFonts w:hint="default" w:ascii="Times New Roman" w:hAnsi="Times New Roman" w:eastAsia="宋体" w:cs="Times New Roman"/>
          <w:color w:val="auto"/>
          <w:kern w:val="0"/>
          <w:sz w:val="15"/>
          <w:szCs w:val="15"/>
          <w:lang w:val="en-US" w:eastAsia="zh-CN" w:bidi="ar"/>
        </w:rPr>
        <w:t>2.5</w:t>
      </w:r>
      <w:r>
        <w:rPr>
          <w:rFonts w:hint="default" w:ascii="Times New Roman" w:hAnsi="Times New Roman" w:eastAsia="宋体" w:cs="Times New Roman"/>
          <w:color w:val="auto"/>
          <w:kern w:val="0"/>
          <w:sz w:val="24"/>
          <w:szCs w:val="24"/>
          <w:lang w:val="en-US" w:eastAsia="zh-CN" w:bidi="ar"/>
        </w:rPr>
        <w:t>、CO、O</w:t>
      </w:r>
      <w:r>
        <w:rPr>
          <w:rFonts w:hint="default" w:ascii="Times New Roman" w:hAnsi="Times New Roman" w:eastAsia="宋体" w:cs="Times New Roman"/>
          <w:color w:val="auto"/>
          <w:kern w:val="0"/>
          <w:sz w:val="15"/>
          <w:szCs w:val="15"/>
          <w:lang w:val="en-US" w:eastAsia="zh-CN" w:bidi="ar"/>
        </w:rPr>
        <w:t>3</w:t>
      </w:r>
      <w:r>
        <w:rPr>
          <w:rFonts w:hint="default" w:ascii="Times New Roman" w:hAnsi="Times New Roman" w:eastAsia="宋体" w:cs="Times New Roman"/>
          <w:color w:val="auto"/>
          <w:kern w:val="0"/>
          <w:sz w:val="24"/>
          <w:szCs w:val="24"/>
          <w:lang w:val="en-US" w:eastAsia="zh-CN" w:bidi="ar"/>
        </w:rPr>
        <w:t>各有365个有效数据，空气质量达标区判定结果见表4.2-1。</w:t>
      </w:r>
    </w:p>
    <w:p>
      <w:pPr>
        <w:pStyle w:val="17"/>
        <w:bidi w:val="0"/>
        <w:rPr>
          <w:rFonts w:hint="eastAsia" w:eastAsia="宋体"/>
          <w:b/>
          <w:bCs/>
          <w:lang w:eastAsia="zh-CN"/>
        </w:rPr>
      </w:pPr>
      <w:r>
        <w:rPr>
          <w:rFonts w:hint="default"/>
          <w:b/>
          <w:bCs/>
          <w:lang w:val="en-US" w:eastAsia="zh-CN"/>
        </w:rPr>
        <w:t>表4.2-1   区域空气质量现状评价结果一览表   单位：μg/m</w:t>
      </w:r>
      <w:r>
        <w:rPr>
          <w:rFonts w:hint="eastAsia"/>
          <w:b/>
          <w:bCs/>
          <w:lang w:val="en-US" w:eastAsia="zh-CN"/>
        </w:rPr>
        <w:t>³</w:t>
      </w:r>
    </w:p>
    <w:tbl>
      <w:tblPr>
        <w:tblStyle w:val="12"/>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846"/>
        <w:gridCol w:w="1335"/>
        <w:gridCol w:w="1312"/>
        <w:gridCol w:w="1315"/>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1369" w:type="dxa"/>
            <w:tcBorders>
              <w:tl2br w:val="nil"/>
              <w:tr2bl w:val="nil"/>
            </w:tcBorders>
            <w:noWrap w:val="0"/>
            <w:vAlign w:val="center"/>
          </w:tcPr>
          <w:p>
            <w:pPr>
              <w:pStyle w:val="17"/>
              <w:bidi w:val="0"/>
              <w:rPr>
                <w:rFonts w:hint="default"/>
                <w:b/>
                <w:bCs/>
                <w:lang w:val="en-US" w:eastAsia="zh-CN"/>
              </w:rPr>
            </w:pPr>
            <w:r>
              <w:rPr>
                <w:rFonts w:hint="default"/>
                <w:b/>
                <w:bCs/>
                <w:lang w:val="en-US" w:eastAsia="zh-CN"/>
              </w:rPr>
              <w:t>评价因子</w:t>
            </w:r>
          </w:p>
        </w:tc>
        <w:tc>
          <w:tcPr>
            <w:tcW w:w="1846" w:type="dxa"/>
            <w:tcBorders>
              <w:tl2br w:val="nil"/>
              <w:tr2bl w:val="nil"/>
            </w:tcBorders>
            <w:noWrap w:val="0"/>
            <w:vAlign w:val="center"/>
          </w:tcPr>
          <w:p>
            <w:pPr>
              <w:pStyle w:val="17"/>
              <w:bidi w:val="0"/>
              <w:rPr>
                <w:rFonts w:hint="default"/>
                <w:b/>
                <w:bCs/>
                <w:lang w:val="en-US" w:eastAsia="zh-CN"/>
              </w:rPr>
            </w:pPr>
            <w:r>
              <w:rPr>
                <w:rFonts w:hint="default"/>
                <w:b/>
                <w:bCs/>
                <w:lang w:val="en-US" w:eastAsia="zh-CN"/>
              </w:rPr>
              <w:t>平均时段</w:t>
            </w:r>
          </w:p>
        </w:tc>
        <w:tc>
          <w:tcPr>
            <w:tcW w:w="1335" w:type="dxa"/>
            <w:tcBorders>
              <w:tl2br w:val="nil"/>
              <w:tr2bl w:val="nil"/>
            </w:tcBorders>
            <w:noWrap w:val="0"/>
            <w:vAlign w:val="center"/>
          </w:tcPr>
          <w:p>
            <w:pPr>
              <w:pStyle w:val="17"/>
              <w:bidi w:val="0"/>
              <w:rPr>
                <w:rFonts w:hint="default"/>
                <w:b/>
                <w:bCs/>
                <w:lang w:val="en-US" w:eastAsia="zh-CN"/>
              </w:rPr>
            </w:pPr>
            <w:r>
              <w:rPr>
                <w:rFonts w:hint="default"/>
                <w:b/>
                <w:bCs/>
                <w:lang w:val="en-US" w:eastAsia="zh-CN"/>
              </w:rPr>
              <w:t>现状浓度</w:t>
            </w:r>
          </w:p>
        </w:tc>
        <w:tc>
          <w:tcPr>
            <w:tcW w:w="1312" w:type="dxa"/>
            <w:tcBorders>
              <w:tl2br w:val="nil"/>
              <w:tr2bl w:val="nil"/>
            </w:tcBorders>
            <w:noWrap w:val="0"/>
            <w:vAlign w:val="center"/>
          </w:tcPr>
          <w:p>
            <w:pPr>
              <w:pStyle w:val="17"/>
              <w:bidi w:val="0"/>
              <w:rPr>
                <w:rFonts w:hint="default"/>
                <w:b/>
                <w:bCs/>
                <w:lang w:val="en-US" w:eastAsia="zh-CN"/>
              </w:rPr>
            </w:pPr>
            <w:r>
              <w:rPr>
                <w:rFonts w:hint="default"/>
                <w:b/>
                <w:bCs/>
                <w:lang w:val="en-US" w:eastAsia="zh-CN"/>
              </w:rPr>
              <w:t>标准限值</w:t>
            </w:r>
          </w:p>
        </w:tc>
        <w:tc>
          <w:tcPr>
            <w:tcW w:w="1315" w:type="dxa"/>
            <w:tcBorders>
              <w:tl2br w:val="nil"/>
              <w:tr2bl w:val="nil"/>
            </w:tcBorders>
            <w:noWrap w:val="0"/>
            <w:vAlign w:val="center"/>
          </w:tcPr>
          <w:p>
            <w:pPr>
              <w:pStyle w:val="17"/>
              <w:bidi w:val="0"/>
              <w:rPr>
                <w:rFonts w:hint="default"/>
                <w:b/>
                <w:bCs/>
                <w:lang w:val="en-US" w:eastAsia="zh-CN"/>
              </w:rPr>
            </w:pPr>
            <w:r>
              <w:rPr>
                <w:rFonts w:hint="default"/>
                <w:b/>
                <w:bCs/>
                <w:lang w:val="en-US" w:eastAsia="zh-CN"/>
              </w:rPr>
              <w:t>占标率%</w:t>
            </w:r>
          </w:p>
        </w:tc>
        <w:tc>
          <w:tcPr>
            <w:tcW w:w="1351" w:type="dxa"/>
            <w:tcBorders>
              <w:tl2br w:val="nil"/>
              <w:tr2bl w:val="nil"/>
            </w:tcBorders>
            <w:noWrap w:val="0"/>
            <w:vAlign w:val="center"/>
          </w:tcPr>
          <w:p>
            <w:pPr>
              <w:pStyle w:val="17"/>
              <w:bidi w:val="0"/>
              <w:rPr>
                <w:rFonts w:hint="default"/>
                <w:b/>
                <w:bCs/>
                <w:lang w:val="en-US" w:eastAsia="zh-CN"/>
              </w:rPr>
            </w:pPr>
            <w:r>
              <w:rPr>
                <w:rFonts w:hint="default"/>
                <w:b/>
                <w:bCs/>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369" w:type="dxa"/>
            <w:vMerge w:val="restart"/>
            <w:tcBorders>
              <w:tl2br w:val="nil"/>
              <w:tr2bl w:val="nil"/>
            </w:tcBorders>
            <w:noWrap w:val="0"/>
            <w:vAlign w:val="center"/>
          </w:tcPr>
          <w:p>
            <w:pPr>
              <w:pStyle w:val="17"/>
              <w:bidi w:val="0"/>
              <w:rPr>
                <w:rFonts w:hint="default"/>
              </w:rPr>
            </w:pPr>
            <w:r>
              <w:rPr>
                <w:rFonts w:hint="default"/>
              </w:rPr>
              <w:t>SO</w:t>
            </w:r>
            <w:r>
              <w:rPr>
                <w:rFonts w:hint="default"/>
                <w:vertAlign w:val="subscript"/>
              </w:rPr>
              <w:t>2</w:t>
            </w:r>
          </w:p>
        </w:tc>
        <w:tc>
          <w:tcPr>
            <w:tcW w:w="1846" w:type="dxa"/>
            <w:tcBorders>
              <w:tl2br w:val="nil"/>
              <w:tr2bl w:val="nil"/>
            </w:tcBorders>
            <w:noWrap w:val="0"/>
            <w:vAlign w:val="center"/>
          </w:tcPr>
          <w:p>
            <w:pPr>
              <w:pStyle w:val="17"/>
              <w:bidi w:val="0"/>
              <w:rPr>
                <w:rFonts w:hint="default"/>
                <w:lang w:val="en-US" w:eastAsia="zh-CN"/>
              </w:rPr>
            </w:pPr>
            <w:r>
              <w:rPr>
                <w:rFonts w:hint="default"/>
                <w:lang w:val="en-US" w:eastAsia="zh-CN"/>
              </w:rPr>
              <w:t>年平均浓度</w:t>
            </w:r>
          </w:p>
        </w:tc>
        <w:tc>
          <w:tcPr>
            <w:tcW w:w="1335" w:type="dxa"/>
            <w:tcBorders>
              <w:tl2br w:val="nil"/>
              <w:tr2bl w:val="nil"/>
            </w:tcBorders>
            <w:noWrap w:val="0"/>
            <w:vAlign w:val="center"/>
          </w:tcPr>
          <w:p>
            <w:pPr>
              <w:pStyle w:val="17"/>
              <w:bidi w:val="0"/>
              <w:rPr>
                <w:rFonts w:hint="default"/>
                <w:lang w:val="en-US" w:eastAsia="zh-CN"/>
              </w:rPr>
            </w:pPr>
            <w:r>
              <w:rPr>
                <w:rFonts w:hint="default"/>
                <w:lang w:val="en-US" w:eastAsia="zh-CN"/>
              </w:rPr>
              <w:t>8</w:t>
            </w:r>
          </w:p>
        </w:tc>
        <w:tc>
          <w:tcPr>
            <w:tcW w:w="1312" w:type="dxa"/>
            <w:tcBorders>
              <w:tl2br w:val="nil"/>
              <w:tr2bl w:val="nil"/>
            </w:tcBorders>
            <w:noWrap w:val="0"/>
            <w:vAlign w:val="center"/>
          </w:tcPr>
          <w:p>
            <w:pPr>
              <w:pStyle w:val="17"/>
              <w:bidi w:val="0"/>
              <w:rPr>
                <w:rFonts w:hint="default"/>
                <w:lang w:val="en-US" w:eastAsia="zh-CN"/>
              </w:rPr>
            </w:pPr>
            <w:r>
              <w:rPr>
                <w:rFonts w:hint="default"/>
                <w:lang w:val="en-US" w:eastAsia="zh-CN"/>
              </w:rPr>
              <w:t>60</w:t>
            </w:r>
          </w:p>
        </w:tc>
        <w:tc>
          <w:tcPr>
            <w:tcW w:w="1315" w:type="dxa"/>
            <w:tcBorders>
              <w:tl2br w:val="nil"/>
              <w:tr2bl w:val="nil"/>
            </w:tcBorders>
            <w:noWrap w:val="0"/>
            <w:vAlign w:val="center"/>
          </w:tcPr>
          <w:p>
            <w:pPr>
              <w:pStyle w:val="17"/>
              <w:bidi w:val="0"/>
              <w:rPr>
                <w:rFonts w:hint="default"/>
                <w:lang w:val="en-US" w:eastAsia="zh-CN"/>
              </w:rPr>
            </w:pPr>
            <w:r>
              <w:rPr>
                <w:rFonts w:hint="default"/>
                <w:lang w:val="en-US" w:eastAsia="zh-CN"/>
              </w:rPr>
              <w:t>13.33</w:t>
            </w:r>
          </w:p>
        </w:tc>
        <w:tc>
          <w:tcPr>
            <w:tcW w:w="1351" w:type="dxa"/>
            <w:tcBorders>
              <w:tl2br w:val="nil"/>
              <w:tr2bl w:val="nil"/>
            </w:tcBorders>
            <w:noWrap w:val="0"/>
            <w:vAlign w:val="center"/>
          </w:tcPr>
          <w:p>
            <w:pPr>
              <w:pStyle w:val="17"/>
              <w:bidi w:val="0"/>
              <w:rPr>
                <w:rFonts w:hint="default"/>
                <w:lang w:val="en-US" w:eastAsia="zh-CN"/>
              </w:rPr>
            </w:pPr>
            <w:r>
              <w:rPr>
                <w:rFonts w:hint="default"/>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369" w:type="dxa"/>
            <w:vMerge w:val="continue"/>
            <w:tcBorders>
              <w:tl2br w:val="nil"/>
              <w:tr2bl w:val="nil"/>
            </w:tcBorders>
            <w:noWrap w:val="0"/>
            <w:vAlign w:val="center"/>
          </w:tcPr>
          <w:p>
            <w:pPr>
              <w:pStyle w:val="17"/>
              <w:bidi w:val="0"/>
              <w:rPr>
                <w:rFonts w:hint="default"/>
              </w:rPr>
            </w:pPr>
          </w:p>
        </w:tc>
        <w:tc>
          <w:tcPr>
            <w:tcW w:w="1846" w:type="dxa"/>
            <w:tcBorders>
              <w:tl2br w:val="nil"/>
              <w:tr2bl w:val="nil"/>
            </w:tcBorders>
            <w:noWrap w:val="0"/>
            <w:vAlign w:val="center"/>
          </w:tcPr>
          <w:p>
            <w:pPr>
              <w:pStyle w:val="17"/>
              <w:bidi w:val="0"/>
              <w:rPr>
                <w:rFonts w:hint="default"/>
              </w:rPr>
            </w:pPr>
            <w:r>
              <w:rPr>
                <w:rFonts w:hint="default"/>
                <w:lang w:val="en-US" w:eastAsia="zh-CN"/>
              </w:rPr>
              <w:t>第98百分位数日平均浓度</w:t>
            </w:r>
          </w:p>
        </w:tc>
        <w:tc>
          <w:tcPr>
            <w:tcW w:w="1335" w:type="dxa"/>
            <w:tcBorders>
              <w:tl2br w:val="nil"/>
              <w:tr2bl w:val="nil"/>
            </w:tcBorders>
            <w:noWrap w:val="0"/>
            <w:vAlign w:val="center"/>
          </w:tcPr>
          <w:p>
            <w:pPr>
              <w:pStyle w:val="17"/>
              <w:bidi w:val="0"/>
              <w:rPr>
                <w:rFonts w:hint="default"/>
                <w:lang w:val="en-US" w:eastAsia="zh-CN"/>
              </w:rPr>
            </w:pPr>
            <w:r>
              <w:rPr>
                <w:rFonts w:hint="default"/>
                <w:lang w:val="en-US" w:eastAsia="zh-CN"/>
              </w:rPr>
              <w:t>37</w:t>
            </w:r>
          </w:p>
        </w:tc>
        <w:tc>
          <w:tcPr>
            <w:tcW w:w="1312" w:type="dxa"/>
            <w:tcBorders>
              <w:tl2br w:val="nil"/>
              <w:tr2bl w:val="nil"/>
            </w:tcBorders>
            <w:noWrap w:val="0"/>
            <w:vAlign w:val="center"/>
          </w:tcPr>
          <w:p>
            <w:pPr>
              <w:pStyle w:val="17"/>
              <w:bidi w:val="0"/>
              <w:rPr>
                <w:rFonts w:hint="default"/>
                <w:lang w:val="en-US" w:eastAsia="zh-CN"/>
              </w:rPr>
            </w:pPr>
            <w:r>
              <w:rPr>
                <w:rFonts w:hint="default"/>
                <w:lang w:val="en-US" w:eastAsia="zh-CN"/>
              </w:rPr>
              <w:t>150</w:t>
            </w:r>
          </w:p>
        </w:tc>
        <w:tc>
          <w:tcPr>
            <w:tcW w:w="1315" w:type="dxa"/>
            <w:tcBorders>
              <w:tl2br w:val="nil"/>
              <w:tr2bl w:val="nil"/>
            </w:tcBorders>
            <w:noWrap w:val="0"/>
            <w:vAlign w:val="center"/>
          </w:tcPr>
          <w:p>
            <w:pPr>
              <w:pStyle w:val="17"/>
              <w:bidi w:val="0"/>
              <w:rPr>
                <w:rFonts w:hint="default"/>
                <w:lang w:val="en-US" w:eastAsia="zh-CN"/>
              </w:rPr>
            </w:pPr>
            <w:r>
              <w:rPr>
                <w:rFonts w:hint="default"/>
                <w:lang w:val="en-US" w:eastAsia="zh-CN"/>
              </w:rPr>
              <w:t>24.67</w:t>
            </w:r>
          </w:p>
        </w:tc>
        <w:tc>
          <w:tcPr>
            <w:tcW w:w="1351" w:type="dxa"/>
            <w:tcBorders>
              <w:tl2br w:val="nil"/>
              <w:tr2bl w:val="nil"/>
            </w:tcBorders>
            <w:noWrap w:val="0"/>
            <w:vAlign w:val="center"/>
          </w:tcPr>
          <w:p>
            <w:pPr>
              <w:pStyle w:val="17"/>
              <w:bidi w:val="0"/>
              <w:rPr>
                <w:rFonts w:hint="default"/>
                <w:lang w:val="en-US" w:eastAsia="zh-CN"/>
              </w:rPr>
            </w:pPr>
            <w:r>
              <w:rPr>
                <w:rFonts w:hint="default"/>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jc w:val="center"/>
        </w:trPr>
        <w:tc>
          <w:tcPr>
            <w:tcW w:w="1369" w:type="dxa"/>
            <w:vMerge w:val="restart"/>
            <w:tcBorders>
              <w:tl2br w:val="nil"/>
              <w:tr2bl w:val="nil"/>
            </w:tcBorders>
            <w:noWrap w:val="0"/>
            <w:vAlign w:val="center"/>
          </w:tcPr>
          <w:p>
            <w:pPr>
              <w:pStyle w:val="17"/>
              <w:bidi w:val="0"/>
              <w:rPr>
                <w:rFonts w:hint="default"/>
                <w:lang w:val="en-US" w:eastAsia="zh-CN"/>
              </w:rPr>
            </w:pPr>
            <w:r>
              <w:rPr>
                <w:rFonts w:hint="default"/>
              </w:rPr>
              <w:t>NO</w:t>
            </w:r>
            <w:r>
              <w:rPr>
                <w:rFonts w:hint="default"/>
                <w:vertAlign w:val="subscript"/>
              </w:rPr>
              <w:t>2</w:t>
            </w:r>
          </w:p>
        </w:tc>
        <w:tc>
          <w:tcPr>
            <w:tcW w:w="1846" w:type="dxa"/>
            <w:tcBorders>
              <w:tl2br w:val="nil"/>
              <w:tr2bl w:val="nil"/>
            </w:tcBorders>
            <w:noWrap w:val="0"/>
            <w:vAlign w:val="center"/>
          </w:tcPr>
          <w:p>
            <w:pPr>
              <w:pStyle w:val="17"/>
              <w:bidi w:val="0"/>
              <w:rPr>
                <w:rFonts w:hint="default"/>
                <w:lang w:val="en-US" w:eastAsia="zh-CN"/>
              </w:rPr>
            </w:pPr>
            <w:r>
              <w:rPr>
                <w:rFonts w:hint="default"/>
                <w:lang w:val="en-US" w:eastAsia="zh-CN"/>
              </w:rPr>
              <w:t>年平均浓度</w:t>
            </w:r>
          </w:p>
        </w:tc>
        <w:tc>
          <w:tcPr>
            <w:tcW w:w="1335" w:type="dxa"/>
            <w:tcBorders>
              <w:tl2br w:val="nil"/>
              <w:tr2bl w:val="nil"/>
            </w:tcBorders>
            <w:noWrap w:val="0"/>
            <w:vAlign w:val="center"/>
          </w:tcPr>
          <w:p>
            <w:pPr>
              <w:pStyle w:val="17"/>
              <w:bidi w:val="0"/>
              <w:rPr>
                <w:rFonts w:hint="default"/>
                <w:lang w:val="en-US" w:eastAsia="zh-CN"/>
              </w:rPr>
            </w:pPr>
            <w:r>
              <w:rPr>
                <w:rFonts w:hint="default"/>
                <w:lang w:val="en-US" w:eastAsia="zh-CN"/>
              </w:rPr>
              <w:t>15</w:t>
            </w:r>
          </w:p>
        </w:tc>
        <w:tc>
          <w:tcPr>
            <w:tcW w:w="1312" w:type="dxa"/>
            <w:tcBorders>
              <w:tl2br w:val="nil"/>
              <w:tr2bl w:val="nil"/>
            </w:tcBorders>
            <w:noWrap w:val="0"/>
            <w:vAlign w:val="center"/>
          </w:tcPr>
          <w:p>
            <w:pPr>
              <w:pStyle w:val="17"/>
              <w:bidi w:val="0"/>
              <w:rPr>
                <w:rFonts w:hint="default"/>
                <w:lang w:val="en-US" w:eastAsia="zh-CN"/>
              </w:rPr>
            </w:pPr>
            <w:r>
              <w:rPr>
                <w:rFonts w:hint="default"/>
                <w:lang w:val="en-US" w:eastAsia="zh-CN"/>
              </w:rPr>
              <w:t>40</w:t>
            </w:r>
          </w:p>
        </w:tc>
        <w:tc>
          <w:tcPr>
            <w:tcW w:w="1315" w:type="dxa"/>
            <w:tcBorders>
              <w:tl2br w:val="nil"/>
              <w:tr2bl w:val="nil"/>
            </w:tcBorders>
            <w:noWrap w:val="0"/>
            <w:vAlign w:val="center"/>
          </w:tcPr>
          <w:p>
            <w:pPr>
              <w:pStyle w:val="17"/>
              <w:bidi w:val="0"/>
              <w:rPr>
                <w:rFonts w:hint="default"/>
                <w:lang w:val="en-US" w:eastAsia="zh-CN"/>
              </w:rPr>
            </w:pPr>
            <w:r>
              <w:rPr>
                <w:rFonts w:hint="default"/>
                <w:lang w:val="en-US" w:eastAsia="zh-CN"/>
              </w:rPr>
              <w:t>37.50</w:t>
            </w:r>
          </w:p>
        </w:tc>
        <w:tc>
          <w:tcPr>
            <w:tcW w:w="1351" w:type="dxa"/>
            <w:tcBorders>
              <w:tl2br w:val="nil"/>
              <w:tr2bl w:val="nil"/>
            </w:tcBorders>
            <w:noWrap w:val="0"/>
            <w:vAlign w:val="center"/>
          </w:tcPr>
          <w:p>
            <w:pPr>
              <w:pStyle w:val="17"/>
              <w:bidi w:val="0"/>
              <w:rPr>
                <w:rFonts w:hint="default"/>
                <w:lang w:val="en-US" w:eastAsia="zh-CN"/>
              </w:rPr>
            </w:pPr>
            <w:r>
              <w:rPr>
                <w:rFonts w:hint="default"/>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369" w:type="dxa"/>
            <w:vMerge w:val="continue"/>
            <w:tcBorders>
              <w:tl2br w:val="nil"/>
              <w:tr2bl w:val="nil"/>
            </w:tcBorders>
            <w:noWrap w:val="0"/>
            <w:vAlign w:val="center"/>
          </w:tcPr>
          <w:p>
            <w:pPr>
              <w:pStyle w:val="17"/>
              <w:bidi w:val="0"/>
              <w:rPr>
                <w:rFonts w:hint="default"/>
              </w:rPr>
            </w:pPr>
          </w:p>
        </w:tc>
        <w:tc>
          <w:tcPr>
            <w:tcW w:w="1846" w:type="dxa"/>
            <w:tcBorders>
              <w:tl2br w:val="nil"/>
              <w:tr2bl w:val="nil"/>
            </w:tcBorders>
            <w:noWrap w:val="0"/>
            <w:vAlign w:val="center"/>
          </w:tcPr>
          <w:p>
            <w:pPr>
              <w:pStyle w:val="17"/>
              <w:bidi w:val="0"/>
              <w:rPr>
                <w:rFonts w:hint="default"/>
                <w:lang w:val="en-US" w:eastAsia="zh-CN"/>
              </w:rPr>
            </w:pPr>
            <w:r>
              <w:rPr>
                <w:rFonts w:hint="default"/>
                <w:lang w:val="en-US" w:eastAsia="zh-CN"/>
              </w:rPr>
              <w:t>第98百分位数日平均浓度</w:t>
            </w:r>
          </w:p>
        </w:tc>
        <w:tc>
          <w:tcPr>
            <w:tcW w:w="1335" w:type="dxa"/>
            <w:tcBorders>
              <w:tl2br w:val="nil"/>
              <w:tr2bl w:val="nil"/>
            </w:tcBorders>
            <w:noWrap w:val="0"/>
            <w:vAlign w:val="center"/>
          </w:tcPr>
          <w:p>
            <w:pPr>
              <w:pStyle w:val="17"/>
              <w:bidi w:val="0"/>
              <w:rPr>
                <w:rFonts w:hint="default"/>
                <w:lang w:val="en-US" w:eastAsia="zh-CN"/>
              </w:rPr>
            </w:pPr>
            <w:r>
              <w:rPr>
                <w:rFonts w:hint="default"/>
                <w:lang w:val="en-US" w:eastAsia="zh-CN"/>
              </w:rPr>
              <w:t>42</w:t>
            </w:r>
          </w:p>
        </w:tc>
        <w:tc>
          <w:tcPr>
            <w:tcW w:w="1312" w:type="dxa"/>
            <w:tcBorders>
              <w:tl2br w:val="nil"/>
              <w:tr2bl w:val="nil"/>
            </w:tcBorders>
            <w:noWrap w:val="0"/>
            <w:vAlign w:val="center"/>
          </w:tcPr>
          <w:p>
            <w:pPr>
              <w:pStyle w:val="17"/>
              <w:bidi w:val="0"/>
              <w:rPr>
                <w:rFonts w:hint="default"/>
                <w:lang w:val="en-US" w:eastAsia="zh-CN"/>
              </w:rPr>
            </w:pPr>
            <w:r>
              <w:rPr>
                <w:rFonts w:hint="default"/>
                <w:lang w:val="en-US" w:eastAsia="zh-CN"/>
              </w:rPr>
              <w:t>80</w:t>
            </w:r>
          </w:p>
        </w:tc>
        <w:tc>
          <w:tcPr>
            <w:tcW w:w="1315" w:type="dxa"/>
            <w:tcBorders>
              <w:tl2br w:val="nil"/>
              <w:tr2bl w:val="nil"/>
            </w:tcBorders>
            <w:noWrap w:val="0"/>
            <w:vAlign w:val="center"/>
          </w:tcPr>
          <w:p>
            <w:pPr>
              <w:pStyle w:val="17"/>
              <w:bidi w:val="0"/>
              <w:rPr>
                <w:rFonts w:hint="default"/>
                <w:lang w:val="en-US" w:eastAsia="zh-CN"/>
              </w:rPr>
            </w:pPr>
            <w:r>
              <w:rPr>
                <w:rFonts w:hint="default"/>
                <w:lang w:val="en-US" w:eastAsia="zh-CN"/>
              </w:rPr>
              <w:t>52.50</w:t>
            </w:r>
          </w:p>
        </w:tc>
        <w:tc>
          <w:tcPr>
            <w:tcW w:w="1351" w:type="dxa"/>
            <w:tcBorders>
              <w:tl2br w:val="nil"/>
              <w:tr2bl w:val="nil"/>
            </w:tcBorders>
            <w:noWrap w:val="0"/>
            <w:vAlign w:val="center"/>
          </w:tcPr>
          <w:p>
            <w:pPr>
              <w:pStyle w:val="17"/>
              <w:bidi w:val="0"/>
              <w:rPr>
                <w:rFonts w:hint="default"/>
                <w:lang w:val="en-US" w:eastAsia="zh-CN"/>
              </w:rPr>
            </w:pPr>
            <w:r>
              <w:rPr>
                <w:rFonts w:hint="default"/>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369" w:type="dxa"/>
            <w:vMerge w:val="restart"/>
            <w:tcBorders>
              <w:tl2br w:val="nil"/>
              <w:tr2bl w:val="nil"/>
            </w:tcBorders>
            <w:noWrap w:val="0"/>
            <w:vAlign w:val="center"/>
          </w:tcPr>
          <w:p>
            <w:pPr>
              <w:pStyle w:val="17"/>
              <w:bidi w:val="0"/>
              <w:rPr>
                <w:rFonts w:hint="default"/>
              </w:rPr>
            </w:pPr>
            <w:r>
              <w:rPr>
                <w:rFonts w:hint="default"/>
              </w:rPr>
              <w:t>PM</w:t>
            </w:r>
            <w:r>
              <w:rPr>
                <w:rFonts w:hint="default"/>
                <w:vertAlign w:val="subscript"/>
              </w:rPr>
              <w:t>10</w:t>
            </w:r>
          </w:p>
        </w:tc>
        <w:tc>
          <w:tcPr>
            <w:tcW w:w="1846" w:type="dxa"/>
            <w:tcBorders>
              <w:tl2br w:val="nil"/>
              <w:tr2bl w:val="nil"/>
            </w:tcBorders>
            <w:noWrap w:val="0"/>
            <w:vAlign w:val="center"/>
          </w:tcPr>
          <w:p>
            <w:pPr>
              <w:pStyle w:val="17"/>
              <w:bidi w:val="0"/>
              <w:rPr>
                <w:rFonts w:hint="default"/>
                <w:lang w:val="en-US" w:eastAsia="zh-CN"/>
              </w:rPr>
            </w:pPr>
            <w:r>
              <w:rPr>
                <w:rFonts w:hint="default"/>
                <w:lang w:val="en-US" w:eastAsia="zh-CN"/>
              </w:rPr>
              <w:t>年平均浓度</w:t>
            </w:r>
          </w:p>
        </w:tc>
        <w:tc>
          <w:tcPr>
            <w:tcW w:w="1335" w:type="dxa"/>
            <w:tcBorders>
              <w:tl2br w:val="nil"/>
              <w:tr2bl w:val="nil"/>
            </w:tcBorders>
            <w:noWrap w:val="0"/>
            <w:vAlign w:val="center"/>
          </w:tcPr>
          <w:p>
            <w:pPr>
              <w:pStyle w:val="17"/>
              <w:bidi w:val="0"/>
              <w:rPr>
                <w:rFonts w:hint="default"/>
                <w:lang w:val="en-US" w:eastAsia="zh-CN"/>
              </w:rPr>
            </w:pPr>
            <w:r>
              <w:rPr>
                <w:rFonts w:hint="default"/>
                <w:lang w:val="en-US" w:eastAsia="zh-CN"/>
              </w:rPr>
              <w:t>83</w:t>
            </w:r>
          </w:p>
        </w:tc>
        <w:tc>
          <w:tcPr>
            <w:tcW w:w="1312" w:type="dxa"/>
            <w:tcBorders>
              <w:tl2br w:val="nil"/>
              <w:tr2bl w:val="nil"/>
            </w:tcBorders>
            <w:noWrap w:val="0"/>
            <w:vAlign w:val="center"/>
          </w:tcPr>
          <w:p>
            <w:pPr>
              <w:pStyle w:val="17"/>
              <w:bidi w:val="0"/>
              <w:rPr>
                <w:rFonts w:hint="default"/>
                <w:lang w:val="en-US" w:eastAsia="zh-CN"/>
              </w:rPr>
            </w:pPr>
            <w:r>
              <w:rPr>
                <w:rFonts w:hint="default"/>
                <w:lang w:val="en-US" w:eastAsia="zh-CN"/>
              </w:rPr>
              <w:t>70</w:t>
            </w:r>
          </w:p>
        </w:tc>
        <w:tc>
          <w:tcPr>
            <w:tcW w:w="1315" w:type="dxa"/>
            <w:tcBorders>
              <w:tl2br w:val="nil"/>
              <w:tr2bl w:val="nil"/>
            </w:tcBorders>
            <w:noWrap w:val="0"/>
            <w:vAlign w:val="center"/>
          </w:tcPr>
          <w:p>
            <w:pPr>
              <w:pStyle w:val="17"/>
              <w:bidi w:val="0"/>
              <w:rPr>
                <w:rFonts w:hint="default"/>
                <w:lang w:val="en-US" w:eastAsia="zh-CN"/>
              </w:rPr>
            </w:pPr>
            <w:r>
              <w:rPr>
                <w:rFonts w:hint="default"/>
                <w:lang w:val="en-US" w:eastAsia="zh-CN"/>
              </w:rPr>
              <w:t>118.57</w:t>
            </w:r>
          </w:p>
        </w:tc>
        <w:tc>
          <w:tcPr>
            <w:tcW w:w="1351" w:type="dxa"/>
            <w:tcBorders>
              <w:tl2br w:val="nil"/>
              <w:tr2bl w:val="nil"/>
            </w:tcBorders>
            <w:noWrap w:val="0"/>
            <w:vAlign w:val="center"/>
          </w:tcPr>
          <w:p>
            <w:pPr>
              <w:pStyle w:val="17"/>
              <w:bidi w:val="0"/>
              <w:rPr>
                <w:rFonts w:hint="default"/>
                <w:lang w:val="en-US" w:eastAsia="zh-CN"/>
              </w:rPr>
            </w:pPr>
            <w:r>
              <w:rPr>
                <w:rFonts w:hint="default"/>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jc w:val="center"/>
        </w:trPr>
        <w:tc>
          <w:tcPr>
            <w:tcW w:w="1369" w:type="dxa"/>
            <w:vMerge w:val="continue"/>
            <w:tcBorders>
              <w:tl2br w:val="nil"/>
              <w:tr2bl w:val="nil"/>
            </w:tcBorders>
            <w:noWrap w:val="0"/>
            <w:vAlign w:val="center"/>
          </w:tcPr>
          <w:p>
            <w:pPr>
              <w:pStyle w:val="17"/>
              <w:bidi w:val="0"/>
              <w:rPr>
                <w:rFonts w:hint="default"/>
                <w:lang w:val="en-US" w:eastAsia="zh-CN"/>
              </w:rPr>
            </w:pPr>
          </w:p>
        </w:tc>
        <w:tc>
          <w:tcPr>
            <w:tcW w:w="1846" w:type="dxa"/>
            <w:tcBorders>
              <w:tl2br w:val="nil"/>
              <w:tr2bl w:val="nil"/>
            </w:tcBorders>
            <w:noWrap w:val="0"/>
            <w:vAlign w:val="center"/>
          </w:tcPr>
          <w:p>
            <w:pPr>
              <w:pStyle w:val="17"/>
              <w:bidi w:val="0"/>
              <w:rPr>
                <w:rFonts w:hint="default"/>
                <w:lang w:val="en-US" w:eastAsia="zh-CN"/>
              </w:rPr>
            </w:pPr>
            <w:r>
              <w:rPr>
                <w:rFonts w:hint="default"/>
                <w:lang w:val="en-US" w:eastAsia="zh-CN"/>
              </w:rPr>
              <w:t>第95百分位数日平均浓度</w:t>
            </w:r>
          </w:p>
        </w:tc>
        <w:tc>
          <w:tcPr>
            <w:tcW w:w="1335" w:type="dxa"/>
            <w:tcBorders>
              <w:tl2br w:val="nil"/>
              <w:tr2bl w:val="nil"/>
            </w:tcBorders>
            <w:noWrap w:val="0"/>
            <w:vAlign w:val="center"/>
          </w:tcPr>
          <w:p>
            <w:pPr>
              <w:pStyle w:val="17"/>
              <w:bidi w:val="0"/>
              <w:rPr>
                <w:rFonts w:hint="default"/>
                <w:lang w:val="en-US" w:eastAsia="zh-CN"/>
              </w:rPr>
            </w:pPr>
            <w:r>
              <w:rPr>
                <w:rFonts w:hint="default"/>
                <w:lang w:val="en-US" w:eastAsia="zh-CN"/>
              </w:rPr>
              <w:t>266</w:t>
            </w:r>
          </w:p>
        </w:tc>
        <w:tc>
          <w:tcPr>
            <w:tcW w:w="1312" w:type="dxa"/>
            <w:tcBorders>
              <w:tl2br w:val="nil"/>
              <w:tr2bl w:val="nil"/>
            </w:tcBorders>
            <w:noWrap w:val="0"/>
            <w:vAlign w:val="center"/>
          </w:tcPr>
          <w:p>
            <w:pPr>
              <w:pStyle w:val="17"/>
              <w:bidi w:val="0"/>
              <w:rPr>
                <w:rFonts w:hint="default"/>
                <w:lang w:val="en-US" w:eastAsia="zh-CN"/>
              </w:rPr>
            </w:pPr>
            <w:r>
              <w:rPr>
                <w:rFonts w:hint="default"/>
                <w:lang w:val="en-US" w:eastAsia="zh-CN"/>
              </w:rPr>
              <w:t>150</w:t>
            </w:r>
          </w:p>
        </w:tc>
        <w:tc>
          <w:tcPr>
            <w:tcW w:w="1315" w:type="dxa"/>
            <w:tcBorders>
              <w:tl2br w:val="nil"/>
              <w:tr2bl w:val="nil"/>
            </w:tcBorders>
            <w:noWrap w:val="0"/>
            <w:vAlign w:val="center"/>
          </w:tcPr>
          <w:p>
            <w:pPr>
              <w:pStyle w:val="17"/>
              <w:bidi w:val="0"/>
              <w:rPr>
                <w:rFonts w:hint="default"/>
                <w:lang w:val="en-US" w:eastAsia="zh-CN"/>
              </w:rPr>
            </w:pPr>
            <w:r>
              <w:rPr>
                <w:rFonts w:hint="default"/>
                <w:lang w:val="en-US" w:eastAsia="zh-CN"/>
              </w:rPr>
              <w:t>177.33</w:t>
            </w:r>
          </w:p>
        </w:tc>
        <w:tc>
          <w:tcPr>
            <w:tcW w:w="1351" w:type="dxa"/>
            <w:tcBorders>
              <w:tl2br w:val="nil"/>
              <w:tr2bl w:val="nil"/>
            </w:tcBorders>
            <w:noWrap w:val="0"/>
            <w:vAlign w:val="center"/>
          </w:tcPr>
          <w:p>
            <w:pPr>
              <w:pStyle w:val="17"/>
              <w:bidi w:val="0"/>
              <w:rPr>
                <w:rFonts w:hint="default"/>
                <w:lang w:val="en-US" w:eastAsia="zh-CN"/>
              </w:rPr>
            </w:pPr>
            <w:r>
              <w:rPr>
                <w:rFonts w:hint="default"/>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369" w:type="dxa"/>
            <w:vMerge w:val="restart"/>
            <w:tcBorders>
              <w:tl2br w:val="nil"/>
              <w:tr2bl w:val="nil"/>
            </w:tcBorders>
            <w:noWrap w:val="0"/>
            <w:vAlign w:val="center"/>
          </w:tcPr>
          <w:p>
            <w:pPr>
              <w:pStyle w:val="17"/>
              <w:bidi w:val="0"/>
              <w:rPr>
                <w:rFonts w:hint="default"/>
                <w:lang w:val="en-US" w:eastAsia="zh-CN"/>
              </w:rPr>
            </w:pPr>
            <w:r>
              <w:rPr>
                <w:rFonts w:hint="default"/>
              </w:rPr>
              <w:t>PM</w:t>
            </w:r>
            <w:r>
              <w:rPr>
                <w:rFonts w:hint="default"/>
                <w:vertAlign w:val="subscript"/>
                <w:lang w:val="en-US" w:eastAsia="zh-CN"/>
              </w:rPr>
              <w:t>2.5</w:t>
            </w:r>
          </w:p>
        </w:tc>
        <w:tc>
          <w:tcPr>
            <w:tcW w:w="1846" w:type="dxa"/>
            <w:tcBorders>
              <w:tl2br w:val="nil"/>
              <w:tr2bl w:val="nil"/>
            </w:tcBorders>
            <w:noWrap w:val="0"/>
            <w:vAlign w:val="center"/>
          </w:tcPr>
          <w:p>
            <w:pPr>
              <w:pStyle w:val="17"/>
              <w:bidi w:val="0"/>
              <w:rPr>
                <w:rFonts w:hint="default"/>
              </w:rPr>
            </w:pPr>
            <w:r>
              <w:rPr>
                <w:rFonts w:hint="default"/>
                <w:lang w:val="en-US" w:eastAsia="zh-CN"/>
              </w:rPr>
              <w:t>年平均浓度</w:t>
            </w:r>
          </w:p>
        </w:tc>
        <w:tc>
          <w:tcPr>
            <w:tcW w:w="1335" w:type="dxa"/>
            <w:tcBorders>
              <w:tl2br w:val="nil"/>
              <w:tr2bl w:val="nil"/>
            </w:tcBorders>
            <w:noWrap w:val="0"/>
            <w:vAlign w:val="center"/>
          </w:tcPr>
          <w:p>
            <w:pPr>
              <w:pStyle w:val="17"/>
              <w:bidi w:val="0"/>
              <w:rPr>
                <w:rFonts w:hint="default"/>
                <w:lang w:val="en-US" w:eastAsia="zh-CN"/>
              </w:rPr>
            </w:pPr>
            <w:r>
              <w:rPr>
                <w:rFonts w:hint="default"/>
                <w:lang w:val="en-US" w:eastAsia="zh-CN"/>
              </w:rPr>
              <w:t>48</w:t>
            </w:r>
          </w:p>
        </w:tc>
        <w:tc>
          <w:tcPr>
            <w:tcW w:w="1312" w:type="dxa"/>
            <w:tcBorders>
              <w:tl2br w:val="nil"/>
              <w:tr2bl w:val="nil"/>
            </w:tcBorders>
            <w:noWrap w:val="0"/>
            <w:vAlign w:val="center"/>
          </w:tcPr>
          <w:p>
            <w:pPr>
              <w:pStyle w:val="17"/>
              <w:bidi w:val="0"/>
              <w:rPr>
                <w:rFonts w:hint="default"/>
                <w:lang w:val="en-US" w:eastAsia="zh-CN"/>
              </w:rPr>
            </w:pPr>
            <w:r>
              <w:rPr>
                <w:rFonts w:hint="default"/>
                <w:lang w:val="en-US" w:eastAsia="zh-CN"/>
              </w:rPr>
              <w:t>35</w:t>
            </w:r>
          </w:p>
        </w:tc>
        <w:tc>
          <w:tcPr>
            <w:tcW w:w="1315" w:type="dxa"/>
            <w:tcBorders>
              <w:tl2br w:val="nil"/>
              <w:tr2bl w:val="nil"/>
            </w:tcBorders>
            <w:noWrap w:val="0"/>
            <w:vAlign w:val="center"/>
          </w:tcPr>
          <w:p>
            <w:pPr>
              <w:pStyle w:val="17"/>
              <w:bidi w:val="0"/>
              <w:rPr>
                <w:rFonts w:hint="default"/>
                <w:lang w:val="en-US" w:eastAsia="zh-CN"/>
              </w:rPr>
            </w:pPr>
            <w:r>
              <w:rPr>
                <w:rFonts w:hint="default"/>
                <w:lang w:val="en-US" w:eastAsia="zh-CN"/>
              </w:rPr>
              <w:t>137.14</w:t>
            </w:r>
          </w:p>
        </w:tc>
        <w:tc>
          <w:tcPr>
            <w:tcW w:w="1351" w:type="dxa"/>
            <w:tcBorders>
              <w:tl2br w:val="nil"/>
              <w:tr2bl w:val="nil"/>
            </w:tcBorders>
            <w:noWrap w:val="0"/>
            <w:vAlign w:val="center"/>
          </w:tcPr>
          <w:p>
            <w:pPr>
              <w:pStyle w:val="17"/>
              <w:bidi w:val="0"/>
              <w:rPr>
                <w:rFonts w:hint="default"/>
                <w:lang w:val="en-US" w:eastAsia="zh-CN"/>
              </w:rPr>
            </w:pPr>
            <w:r>
              <w:rPr>
                <w:rFonts w:hint="default"/>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369" w:type="dxa"/>
            <w:vMerge w:val="continue"/>
            <w:tcBorders>
              <w:tl2br w:val="nil"/>
              <w:tr2bl w:val="nil"/>
            </w:tcBorders>
            <w:noWrap w:val="0"/>
            <w:vAlign w:val="center"/>
          </w:tcPr>
          <w:p>
            <w:pPr>
              <w:pStyle w:val="17"/>
              <w:bidi w:val="0"/>
              <w:rPr>
                <w:rFonts w:hint="default"/>
              </w:rPr>
            </w:pPr>
          </w:p>
        </w:tc>
        <w:tc>
          <w:tcPr>
            <w:tcW w:w="1846" w:type="dxa"/>
            <w:tcBorders>
              <w:tl2br w:val="nil"/>
              <w:tr2bl w:val="nil"/>
            </w:tcBorders>
            <w:noWrap w:val="0"/>
            <w:vAlign w:val="center"/>
          </w:tcPr>
          <w:p>
            <w:pPr>
              <w:pStyle w:val="17"/>
              <w:bidi w:val="0"/>
              <w:rPr>
                <w:rFonts w:hint="default"/>
              </w:rPr>
            </w:pPr>
            <w:r>
              <w:rPr>
                <w:rFonts w:hint="default"/>
              </w:rPr>
              <w:t>第9</w:t>
            </w:r>
            <w:r>
              <w:rPr>
                <w:rFonts w:hint="default"/>
                <w:lang w:val="en-US" w:eastAsia="zh-CN"/>
              </w:rPr>
              <w:t>5</w:t>
            </w:r>
            <w:r>
              <w:rPr>
                <w:rFonts w:hint="default"/>
              </w:rPr>
              <w:t>百分位数日平均浓度</w:t>
            </w:r>
          </w:p>
        </w:tc>
        <w:tc>
          <w:tcPr>
            <w:tcW w:w="1335" w:type="dxa"/>
            <w:tcBorders>
              <w:tl2br w:val="nil"/>
              <w:tr2bl w:val="nil"/>
            </w:tcBorders>
            <w:noWrap w:val="0"/>
            <w:vAlign w:val="center"/>
          </w:tcPr>
          <w:p>
            <w:pPr>
              <w:pStyle w:val="17"/>
              <w:bidi w:val="0"/>
              <w:rPr>
                <w:rFonts w:hint="default"/>
                <w:lang w:val="en-US" w:eastAsia="zh-CN"/>
              </w:rPr>
            </w:pPr>
            <w:r>
              <w:rPr>
                <w:rFonts w:hint="default"/>
                <w:lang w:val="en-US" w:eastAsia="zh-CN"/>
              </w:rPr>
              <w:t>211</w:t>
            </w:r>
          </w:p>
        </w:tc>
        <w:tc>
          <w:tcPr>
            <w:tcW w:w="1312" w:type="dxa"/>
            <w:tcBorders>
              <w:tl2br w:val="nil"/>
              <w:tr2bl w:val="nil"/>
            </w:tcBorders>
            <w:noWrap w:val="0"/>
            <w:vAlign w:val="center"/>
          </w:tcPr>
          <w:p>
            <w:pPr>
              <w:pStyle w:val="17"/>
              <w:bidi w:val="0"/>
              <w:rPr>
                <w:rFonts w:hint="default"/>
                <w:lang w:val="en-US" w:eastAsia="zh-CN"/>
              </w:rPr>
            </w:pPr>
            <w:r>
              <w:rPr>
                <w:rFonts w:hint="default"/>
                <w:lang w:val="en-US" w:eastAsia="zh-CN"/>
              </w:rPr>
              <w:t>75</w:t>
            </w:r>
          </w:p>
        </w:tc>
        <w:tc>
          <w:tcPr>
            <w:tcW w:w="1315" w:type="dxa"/>
            <w:tcBorders>
              <w:tl2br w:val="nil"/>
              <w:tr2bl w:val="nil"/>
            </w:tcBorders>
            <w:noWrap w:val="0"/>
            <w:vAlign w:val="center"/>
          </w:tcPr>
          <w:p>
            <w:pPr>
              <w:pStyle w:val="17"/>
              <w:bidi w:val="0"/>
              <w:rPr>
                <w:rFonts w:hint="default"/>
                <w:lang w:val="en-US" w:eastAsia="zh-CN"/>
              </w:rPr>
            </w:pPr>
            <w:r>
              <w:rPr>
                <w:rFonts w:hint="default"/>
                <w:lang w:val="en-US" w:eastAsia="zh-CN"/>
              </w:rPr>
              <w:t>281.33</w:t>
            </w:r>
          </w:p>
        </w:tc>
        <w:tc>
          <w:tcPr>
            <w:tcW w:w="1351" w:type="dxa"/>
            <w:tcBorders>
              <w:tl2br w:val="nil"/>
              <w:tr2bl w:val="nil"/>
            </w:tcBorders>
            <w:noWrap w:val="0"/>
            <w:vAlign w:val="center"/>
          </w:tcPr>
          <w:p>
            <w:pPr>
              <w:pStyle w:val="17"/>
              <w:bidi w:val="0"/>
              <w:rPr>
                <w:rFonts w:hint="default"/>
                <w:lang w:val="en-US" w:eastAsia="zh-CN"/>
              </w:rPr>
            </w:pPr>
            <w:r>
              <w:rPr>
                <w:rFonts w:hint="default"/>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369" w:type="dxa"/>
            <w:tcBorders>
              <w:tl2br w:val="nil"/>
              <w:tr2bl w:val="nil"/>
            </w:tcBorders>
            <w:noWrap w:val="0"/>
            <w:vAlign w:val="center"/>
          </w:tcPr>
          <w:p>
            <w:pPr>
              <w:pStyle w:val="17"/>
              <w:bidi w:val="0"/>
              <w:rPr>
                <w:rFonts w:hint="default"/>
              </w:rPr>
            </w:pPr>
            <w:r>
              <w:rPr>
                <w:rFonts w:hint="default"/>
                <w:lang w:val="en-US" w:eastAsia="zh-CN"/>
              </w:rPr>
              <w:t>CO</w:t>
            </w:r>
          </w:p>
        </w:tc>
        <w:tc>
          <w:tcPr>
            <w:tcW w:w="1846" w:type="dxa"/>
            <w:tcBorders>
              <w:tl2br w:val="nil"/>
              <w:tr2bl w:val="nil"/>
            </w:tcBorders>
            <w:noWrap w:val="0"/>
            <w:vAlign w:val="center"/>
          </w:tcPr>
          <w:p>
            <w:pPr>
              <w:pStyle w:val="17"/>
              <w:bidi w:val="0"/>
              <w:rPr>
                <w:rFonts w:hint="default"/>
                <w:lang w:val="en-US" w:eastAsia="zh-CN"/>
              </w:rPr>
            </w:pPr>
            <w:r>
              <w:rPr>
                <w:rFonts w:hint="default"/>
                <w:lang w:val="en-US" w:eastAsia="zh-CN"/>
              </w:rPr>
              <w:t>第95百分位数日平均浓度</w:t>
            </w:r>
          </w:p>
        </w:tc>
        <w:tc>
          <w:tcPr>
            <w:tcW w:w="1335" w:type="dxa"/>
            <w:tcBorders>
              <w:tl2br w:val="nil"/>
              <w:tr2bl w:val="nil"/>
            </w:tcBorders>
            <w:noWrap w:val="0"/>
            <w:vAlign w:val="center"/>
          </w:tcPr>
          <w:p>
            <w:pPr>
              <w:pStyle w:val="17"/>
              <w:bidi w:val="0"/>
              <w:rPr>
                <w:rFonts w:hint="default"/>
                <w:lang w:val="en-US" w:eastAsia="zh-CN"/>
              </w:rPr>
            </w:pPr>
            <w:r>
              <w:rPr>
                <w:rFonts w:hint="default"/>
                <w:lang w:val="en-US" w:eastAsia="zh-CN"/>
              </w:rPr>
              <w:t>2400</w:t>
            </w:r>
          </w:p>
        </w:tc>
        <w:tc>
          <w:tcPr>
            <w:tcW w:w="1312" w:type="dxa"/>
            <w:tcBorders>
              <w:tl2br w:val="nil"/>
              <w:tr2bl w:val="nil"/>
            </w:tcBorders>
            <w:noWrap w:val="0"/>
            <w:vAlign w:val="center"/>
          </w:tcPr>
          <w:p>
            <w:pPr>
              <w:pStyle w:val="17"/>
              <w:bidi w:val="0"/>
              <w:rPr>
                <w:rFonts w:hint="default"/>
                <w:lang w:val="en-US" w:eastAsia="zh-CN"/>
              </w:rPr>
            </w:pPr>
            <w:r>
              <w:rPr>
                <w:rFonts w:hint="default"/>
                <w:lang w:val="en-US" w:eastAsia="zh-CN"/>
              </w:rPr>
              <w:t>4000</w:t>
            </w:r>
          </w:p>
        </w:tc>
        <w:tc>
          <w:tcPr>
            <w:tcW w:w="1315" w:type="dxa"/>
            <w:tcBorders>
              <w:tl2br w:val="nil"/>
              <w:tr2bl w:val="nil"/>
            </w:tcBorders>
            <w:noWrap w:val="0"/>
            <w:vAlign w:val="center"/>
          </w:tcPr>
          <w:p>
            <w:pPr>
              <w:pStyle w:val="17"/>
              <w:bidi w:val="0"/>
              <w:rPr>
                <w:rFonts w:hint="default"/>
                <w:lang w:val="en-US" w:eastAsia="zh-CN"/>
              </w:rPr>
            </w:pPr>
            <w:r>
              <w:rPr>
                <w:rFonts w:hint="default"/>
                <w:lang w:val="en-US" w:eastAsia="zh-CN"/>
              </w:rPr>
              <w:t>60</w:t>
            </w:r>
          </w:p>
        </w:tc>
        <w:tc>
          <w:tcPr>
            <w:tcW w:w="1351" w:type="dxa"/>
            <w:tcBorders>
              <w:tl2br w:val="nil"/>
              <w:tr2bl w:val="nil"/>
            </w:tcBorders>
            <w:noWrap w:val="0"/>
            <w:vAlign w:val="center"/>
          </w:tcPr>
          <w:p>
            <w:pPr>
              <w:pStyle w:val="17"/>
              <w:bidi w:val="0"/>
              <w:rPr>
                <w:rFonts w:hint="default"/>
                <w:lang w:val="en-US" w:eastAsia="zh-CN"/>
              </w:rPr>
            </w:pPr>
            <w:r>
              <w:rPr>
                <w:rFonts w:hint="default"/>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369" w:type="dxa"/>
            <w:tcBorders>
              <w:tl2br w:val="nil"/>
              <w:tr2bl w:val="nil"/>
            </w:tcBorders>
            <w:noWrap w:val="0"/>
            <w:vAlign w:val="center"/>
          </w:tcPr>
          <w:p>
            <w:pPr>
              <w:pStyle w:val="17"/>
              <w:bidi w:val="0"/>
              <w:rPr>
                <w:rFonts w:hint="default"/>
              </w:rPr>
            </w:pPr>
            <w:r>
              <w:rPr>
                <w:rFonts w:hint="default"/>
                <w:lang w:val="en-US" w:eastAsia="zh-CN"/>
              </w:rPr>
              <w:t>O</w:t>
            </w:r>
            <w:r>
              <w:rPr>
                <w:rFonts w:hint="default"/>
                <w:vertAlign w:val="subscript"/>
                <w:lang w:val="en-US" w:eastAsia="zh-CN"/>
              </w:rPr>
              <w:t>3</w:t>
            </w:r>
          </w:p>
        </w:tc>
        <w:tc>
          <w:tcPr>
            <w:tcW w:w="1846" w:type="dxa"/>
            <w:tcBorders>
              <w:tl2br w:val="nil"/>
              <w:tr2bl w:val="nil"/>
            </w:tcBorders>
            <w:noWrap w:val="0"/>
            <w:vAlign w:val="center"/>
          </w:tcPr>
          <w:p>
            <w:pPr>
              <w:pStyle w:val="17"/>
              <w:bidi w:val="0"/>
              <w:rPr>
                <w:rFonts w:hint="default"/>
                <w:lang w:val="en-US" w:eastAsia="zh-CN"/>
              </w:rPr>
            </w:pPr>
            <w:r>
              <w:rPr>
                <w:rFonts w:hint="default"/>
                <w:lang w:val="en-US" w:eastAsia="zh-CN"/>
              </w:rPr>
              <w:t>第90百分位数日平均浓度</w:t>
            </w:r>
          </w:p>
        </w:tc>
        <w:tc>
          <w:tcPr>
            <w:tcW w:w="1335" w:type="dxa"/>
            <w:tcBorders>
              <w:tl2br w:val="nil"/>
              <w:tr2bl w:val="nil"/>
            </w:tcBorders>
            <w:noWrap w:val="0"/>
            <w:vAlign w:val="center"/>
          </w:tcPr>
          <w:p>
            <w:pPr>
              <w:pStyle w:val="17"/>
              <w:bidi w:val="0"/>
              <w:rPr>
                <w:rFonts w:hint="default"/>
                <w:lang w:val="en-US" w:eastAsia="zh-CN"/>
              </w:rPr>
            </w:pPr>
            <w:r>
              <w:rPr>
                <w:rFonts w:hint="default"/>
                <w:lang w:val="en-US" w:eastAsia="zh-CN"/>
              </w:rPr>
              <w:t>122</w:t>
            </w:r>
          </w:p>
        </w:tc>
        <w:tc>
          <w:tcPr>
            <w:tcW w:w="1312" w:type="dxa"/>
            <w:tcBorders>
              <w:tl2br w:val="nil"/>
              <w:tr2bl w:val="nil"/>
            </w:tcBorders>
            <w:noWrap w:val="0"/>
            <w:vAlign w:val="center"/>
          </w:tcPr>
          <w:p>
            <w:pPr>
              <w:pStyle w:val="17"/>
              <w:bidi w:val="0"/>
              <w:rPr>
                <w:rFonts w:hint="default"/>
                <w:lang w:val="en-US" w:eastAsia="zh-CN"/>
              </w:rPr>
            </w:pPr>
            <w:r>
              <w:rPr>
                <w:rFonts w:hint="default"/>
                <w:lang w:val="en-US" w:eastAsia="zh-CN"/>
              </w:rPr>
              <w:t>160</w:t>
            </w:r>
          </w:p>
        </w:tc>
        <w:tc>
          <w:tcPr>
            <w:tcW w:w="1315" w:type="dxa"/>
            <w:tcBorders>
              <w:tl2br w:val="nil"/>
              <w:tr2bl w:val="nil"/>
            </w:tcBorders>
            <w:noWrap w:val="0"/>
            <w:vAlign w:val="center"/>
          </w:tcPr>
          <w:p>
            <w:pPr>
              <w:pStyle w:val="17"/>
              <w:bidi w:val="0"/>
              <w:rPr>
                <w:rFonts w:hint="default"/>
                <w:lang w:val="en-US" w:eastAsia="zh-CN"/>
              </w:rPr>
            </w:pPr>
            <w:r>
              <w:rPr>
                <w:rFonts w:hint="default"/>
                <w:lang w:val="en-US" w:eastAsia="zh-CN"/>
              </w:rPr>
              <w:t>76.25</w:t>
            </w:r>
          </w:p>
        </w:tc>
        <w:tc>
          <w:tcPr>
            <w:tcW w:w="1351" w:type="dxa"/>
            <w:tcBorders>
              <w:tl2br w:val="nil"/>
              <w:tr2bl w:val="nil"/>
            </w:tcBorders>
            <w:noWrap w:val="0"/>
            <w:vAlign w:val="center"/>
          </w:tcPr>
          <w:p>
            <w:pPr>
              <w:pStyle w:val="17"/>
              <w:bidi w:val="0"/>
              <w:rPr>
                <w:rFonts w:hint="default"/>
                <w:lang w:val="en-US" w:eastAsia="zh-CN"/>
              </w:rPr>
            </w:pPr>
            <w:r>
              <w:rPr>
                <w:rFonts w:hint="default"/>
                <w:lang w:val="en-US" w:eastAsia="zh-CN"/>
              </w:rPr>
              <w:t>达标</w:t>
            </w:r>
          </w:p>
        </w:tc>
      </w:tr>
    </w:tbl>
    <w:p>
      <w:pPr>
        <w:bidi w:val="0"/>
        <w:jc w:val="center"/>
        <w:rPr>
          <w:rFonts w:hint="default"/>
          <w:b/>
          <w:bCs/>
          <w:lang w:val="en-US" w:eastAsia="zh-CN"/>
        </w:rPr>
      </w:pPr>
      <w:r>
        <w:rPr>
          <w:rFonts w:hint="default" w:ascii="Times New Roman" w:hAnsi="Times New Roman" w:cs="Times New Roman"/>
          <w:color w:val="auto"/>
          <w:sz w:val="24"/>
          <w:szCs w:val="24"/>
          <w:highlight w:val="none"/>
        </w:rPr>
        <w:t>由监测结果表明：项目所在区域SO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sz w:val="24"/>
          <w:szCs w:val="24"/>
          <w:highlight w:val="none"/>
          <w:vertAlign w:val="baseline"/>
          <w:lang w:val="en-US" w:eastAsia="zh-CN"/>
        </w:rPr>
        <w:t>CO、O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vertAlign w:val="baseline"/>
          <w:lang w:val="en-US" w:eastAsia="zh-CN"/>
        </w:rPr>
        <w:t>的年均浓度和日均浓度均达标；</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年均浓度和日均浓度均超过《环境空气质量标准（GB3095-2012）的二级标准要求，因此，本项目所在区域为非达标区域。</w:t>
      </w:r>
    </w:p>
    <w:p>
      <w:pPr>
        <w:pStyle w:val="6"/>
        <w:bidi w:val="0"/>
        <w:rPr>
          <w:rFonts w:hint="default"/>
        </w:rPr>
      </w:pPr>
      <w:r>
        <w:rPr>
          <w:rFonts w:hint="default"/>
        </w:rPr>
        <w:t>4.</w:t>
      </w:r>
      <w:r>
        <w:rPr>
          <w:rFonts w:hint="eastAsia"/>
          <w:lang w:val="en-US" w:eastAsia="zh-CN"/>
        </w:rPr>
        <w:t>2</w:t>
      </w:r>
      <w:r>
        <w:rPr>
          <w:rFonts w:hint="default"/>
        </w:rPr>
        <w:t>.1.</w:t>
      </w:r>
      <w:r>
        <w:rPr>
          <w:rFonts w:hint="eastAsia"/>
          <w:lang w:val="en-US" w:eastAsia="zh-CN"/>
        </w:rPr>
        <w:t>2、</w:t>
      </w:r>
      <w:r>
        <w:rPr>
          <w:rFonts w:hint="default"/>
        </w:rPr>
        <w:t>其他污染物环境质量现状</w:t>
      </w:r>
    </w:p>
    <w:p>
      <w:pPr>
        <w:bidi w:val="0"/>
        <w:rPr>
          <w:rFonts w:hint="default"/>
        </w:rPr>
      </w:pPr>
      <w:r>
        <w:rPr>
          <w:rFonts w:hint="default"/>
        </w:rPr>
        <w:t>（1）监测情况</w:t>
      </w:r>
    </w:p>
    <w:p>
      <w:pPr>
        <w:bidi w:val="0"/>
        <w:rPr>
          <w:rFonts w:hint="default"/>
        </w:rPr>
      </w:pPr>
      <w:r>
        <w:rPr>
          <w:rFonts w:hint="default"/>
        </w:rPr>
        <w:t>根据《环境影响评价技术导则 大气环境》（HJ2.2-2018）要求，本次评价针对本项目涉及的其他污染物进行了补充监测。本次评价委托</w:t>
      </w:r>
      <w:r>
        <w:rPr>
          <w:rFonts w:hint="eastAsia"/>
          <w:lang w:val="en-US" w:eastAsia="zh-CN"/>
        </w:rPr>
        <w:t>新疆正则环宇检测科技有限公司</w:t>
      </w:r>
      <w:r>
        <w:rPr>
          <w:rFonts w:hint="default"/>
        </w:rPr>
        <w:t>进行采样分析。监测因子为</w:t>
      </w:r>
      <w:r>
        <w:rPr>
          <w:rFonts w:hint="default"/>
          <w:lang w:val="en-US" w:eastAsia="zh-CN"/>
        </w:rPr>
        <w:t>非甲烷总烃</w:t>
      </w:r>
      <w:r>
        <w:rPr>
          <w:rFonts w:hint="default"/>
        </w:rPr>
        <w:t>。项目监测布点图见图4.</w:t>
      </w:r>
      <w:r>
        <w:rPr>
          <w:rFonts w:hint="eastAsia"/>
          <w:lang w:val="en-US" w:eastAsia="zh-CN"/>
        </w:rPr>
        <w:t>2</w:t>
      </w:r>
      <w:r>
        <w:rPr>
          <w:rFonts w:hint="default"/>
        </w:rPr>
        <w:t>-</w:t>
      </w:r>
      <w:r>
        <w:rPr>
          <w:rFonts w:hint="eastAsia"/>
          <w:lang w:val="en-US" w:eastAsia="zh-CN"/>
        </w:rPr>
        <w:t>2</w:t>
      </w:r>
      <w:r>
        <w:rPr>
          <w:rFonts w:hint="default"/>
        </w:rPr>
        <w:t>。各监测点位置及其监测因子见表4.</w:t>
      </w:r>
      <w:r>
        <w:rPr>
          <w:rFonts w:hint="eastAsia"/>
          <w:lang w:val="en-US" w:eastAsia="zh-CN"/>
        </w:rPr>
        <w:t>2-</w:t>
      </w:r>
      <w:r>
        <w:rPr>
          <w:rFonts w:hint="default"/>
          <w:lang w:val="en-US"/>
        </w:rPr>
        <w:t>2</w:t>
      </w:r>
      <w:r>
        <w:rPr>
          <w:rFonts w:hint="default"/>
        </w:rPr>
        <w:t>。</w:t>
      </w:r>
    </w:p>
    <w:p>
      <w:pPr>
        <w:pStyle w:val="17"/>
        <w:bidi w:val="0"/>
        <w:rPr>
          <w:rFonts w:hint="default"/>
          <w:b/>
          <w:bCs/>
        </w:rPr>
      </w:pPr>
      <w:r>
        <w:rPr>
          <w:rFonts w:hint="default"/>
          <w:b/>
          <w:bCs/>
        </w:rPr>
        <w:t>表4.</w:t>
      </w:r>
      <w:r>
        <w:rPr>
          <w:rFonts w:hint="eastAsia"/>
          <w:b/>
          <w:bCs/>
          <w:lang w:val="en-US" w:eastAsia="zh-CN"/>
        </w:rPr>
        <w:t>2</w:t>
      </w:r>
      <w:r>
        <w:rPr>
          <w:rFonts w:hint="default"/>
          <w:b/>
          <w:bCs/>
        </w:rPr>
        <w:t xml:space="preserve">-2 </w:t>
      </w:r>
      <w:r>
        <w:rPr>
          <w:rFonts w:hint="eastAsia"/>
          <w:b/>
          <w:bCs/>
          <w:lang w:val="en-US" w:eastAsia="zh-CN"/>
        </w:rPr>
        <w:t xml:space="preserve"> </w:t>
      </w:r>
      <w:r>
        <w:rPr>
          <w:rFonts w:hint="default"/>
          <w:b/>
          <w:bCs/>
        </w:rPr>
        <w:t xml:space="preserve"> 环境空气监测点及监测因子一览表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20"/>
        <w:gridCol w:w="1189"/>
        <w:gridCol w:w="1919"/>
        <w:gridCol w:w="1881"/>
        <w:gridCol w:w="2354"/>
        <w:gridCol w:w="1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20" w:type="dxa"/>
            <w:tcBorders>
              <w:tl2br w:val="nil"/>
              <w:tr2bl w:val="nil"/>
            </w:tcBorders>
            <w:vAlign w:val="center"/>
          </w:tcPr>
          <w:p>
            <w:pPr>
              <w:pStyle w:val="17"/>
              <w:bidi w:val="0"/>
              <w:rPr>
                <w:rFonts w:hint="default"/>
                <w:b/>
                <w:bCs/>
              </w:rPr>
            </w:pPr>
            <w:r>
              <w:rPr>
                <w:rFonts w:hint="default"/>
                <w:b/>
                <w:bCs/>
              </w:rPr>
              <w:t>编号</w:t>
            </w:r>
          </w:p>
        </w:tc>
        <w:tc>
          <w:tcPr>
            <w:tcW w:w="1189" w:type="dxa"/>
            <w:tcBorders>
              <w:tl2br w:val="nil"/>
              <w:tr2bl w:val="nil"/>
            </w:tcBorders>
            <w:vAlign w:val="center"/>
          </w:tcPr>
          <w:p>
            <w:pPr>
              <w:pStyle w:val="17"/>
              <w:bidi w:val="0"/>
              <w:rPr>
                <w:rFonts w:hint="default"/>
                <w:b/>
                <w:bCs/>
              </w:rPr>
            </w:pPr>
            <w:r>
              <w:rPr>
                <w:rFonts w:hint="default"/>
                <w:b/>
                <w:bCs/>
              </w:rPr>
              <w:t>监测点名称</w:t>
            </w:r>
          </w:p>
        </w:tc>
        <w:tc>
          <w:tcPr>
            <w:tcW w:w="1919" w:type="dxa"/>
            <w:tcBorders>
              <w:tl2br w:val="nil"/>
              <w:tr2bl w:val="nil"/>
            </w:tcBorders>
            <w:vAlign w:val="center"/>
          </w:tcPr>
          <w:p>
            <w:pPr>
              <w:pStyle w:val="17"/>
              <w:bidi w:val="0"/>
              <w:rPr>
                <w:rFonts w:hint="default"/>
                <w:b/>
                <w:bCs/>
              </w:rPr>
            </w:pPr>
            <w:r>
              <w:rPr>
                <w:rFonts w:hint="default"/>
                <w:b/>
                <w:bCs/>
              </w:rPr>
              <w:t>相对厂址方位</w:t>
            </w:r>
          </w:p>
        </w:tc>
        <w:tc>
          <w:tcPr>
            <w:tcW w:w="1881" w:type="dxa"/>
            <w:tcBorders>
              <w:tl2br w:val="nil"/>
              <w:tr2bl w:val="nil"/>
            </w:tcBorders>
            <w:vAlign w:val="center"/>
          </w:tcPr>
          <w:p>
            <w:pPr>
              <w:pStyle w:val="17"/>
              <w:bidi w:val="0"/>
              <w:rPr>
                <w:rFonts w:hint="default"/>
                <w:b/>
                <w:bCs/>
              </w:rPr>
            </w:pPr>
            <w:r>
              <w:rPr>
                <w:rFonts w:hint="default"/>
                <w:b/>
                <w:bCs/>
              </w:rPr>
              <w:t>相对厂界距离（m）</w:t>
            </w:r>
          </w:p>
        </w:tc>
        <w:tc>
          <w:tcPr>
            <w:tcW w:w="2354" w:type="dxa"/>
            <w:tcBorders>
              <w:tl2br w:val="nil"/>
              <w:tr2bl w:val="nil"/>
            </w:tcBorders>
            <w:vAlign w:val="center"/>
          </w:tcPr>
          <w:p>
            <w:pPr>
              <w:pStyle w:val="17"/>
              <w:bidi w:val="0"/>
              <w:rPr>
                <w:rFonts w:hint="default"/>
                <w:b/>
                <w:bCs/>
              </w:rPr>
            </w:pPr>
            <w:r>
              <w:rPr>
                <w:rFonts w:hint="default"/>
                <w:b/>
                <w:bCs/>
              </w:rPr>
              <w:t>监测点位坐标</w:t>
            </w:r>
          </w:p>
        </w:tc>
        <w:tc>
          <w:tcPr>
            <w:tcW w:w="1208" w:type="dxa"/>
            <w:tcBorders>
              <w:tl2br w:val="nil"/>
              <w:tr2bl w:val="nil"/>
            </w:tcBorders>
            <w:vAlign w:val="center"/>
          </w:tcPr>
          <w:p>
            <w:pPr>
              <w:pStyle w:val="17"/>
              <w:bidi w:val="0"/>
              <w:rPr>
                <w:rFonts w:hint="default"/>
                <w:b/>
                <w:bCs/>
              </w:rPr>
            </w:pPr>
            <w:r>
              <w:rPr>
                <w:rFonts w:hint="default"/>
                <w:b/>
                <w:bCs/>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20" w:type="dxa"/>
            <w:tcBorders>
              <w:tl2br w:val="nil"/>
              <w:tr2bl w:val="nil"/>
            </w:tcBorders>
            <w:vAlign w:val="center"/>
          </w:tcPr>
          <w:p>
            <w:pPr>
              <w:pStyle w:val="17"/>
              <w:bidi w:val="0"/>
              <w:rPr>
                <w:rFonts w:hint="default"/>
              </w:rPr>
            </w:pPr>
            <w:r>
              <w:rPr>
                <w:rFonts w:hint="default"/>
              </w:rPr>
              <w:t>G1</w:t>
            </w:r>
          </w:p>
        </w:tc>
        <w:tc>
          <w:tcPr>
            <w:tcW w:w="1189" w:type="dxa"/>
            <w:tcBorders>
              <w:tl2br w:val="nil"/>
              <w:tr2bl w:val="nil"/>
            </w:tcBorders>
            <w:vAlign w:val="center"/>
          </w:tcPr>
          <w:p>
            <w:pPr>
              <w:pStyle w:val="17"/>
              <w:bidi w:val="0"/>
              <w:rPr>
                <w:rFonts w:hint="eastAsia" w:eastAsia="宋体"/>
                <w:lang w:val="en-US" w:eastAsia="zh-CN"/>
              </w:rPr>
            </w:pPr>
            <w:r>
              <w:rPr>
                <w:rFonts w:hint="default"/>
              </w:rPr>
              <w:t>厂址</w:t>
            </w:r>
            <w:r>
              <w:rPr>
                <w:rFonts w:hint="eastAsia"/>
                <w:lang w:val="en-US" w:eastAsia="zh-CN"/>
              </w:rPr>
              <w:t>上风向</w:t>
            </w:r>
          </w:p>
        </w:tc>
        <w:tc>
          <w:tcPr>
            <w:tcW w:w="1919" w:type="dxa"/>
            <w:tcBorders>
              <w:tl2br w:val="nil"/>
              <w:tr2bl w:val="nil"/>
            </w:tcBorders>
            <w:vAlign w:val="center"/>
          </w:tcPr>
          <w:p>
            <w:pPr>
              <w:pStyle w:val="17"/>
              <w:bidi w:val="0"/>
              <w:rPr>
                <w:rFonts w:hint="default" w:eastAsia="宋体"/>
                <w:lang w:val="en-US" w:eastAsia="zh-CN"/>
              </w:rPr>
            </w:pPr>
            <w:r>
              <w:rPr>
                <w:rFonts w:hint="eastAsia"/>
                <w:lang w:val="en-US" w:eastAsia="zh-CN"/>
              </w:rPr>
              <w:t>N</w:t>
            </w:r>
          </w:p>
        </w:tc>
        <w:tc>
          <w:tcPr>
            <w:tcW w:w="1881" w:type="dxa"/>
            <w:tcBorders>
              <w:tl2br w:val="nil"/>
              <w:tr2bl w:val="nil"/>
            </w:tcBorders>
            <w:vAlign w:val="center"/>
          </w:tcPr>
          <w:p>
            <w:pPr>
              <w:pStyle w:val="17"/>
              <w:bidi w:val="0"/>
              <w:rPr>
                <w:rFonts w:hint="default" w:eastAsia="宋体"/>
                <w:lang w:val="en-US" w:eastAsia="zh-CN"/>
              </w:rPr>
            </w:pPr>
            <w:r>
              <w:rPr>
                <w:rFonts w:hint="eastAsia"/>
                <w:lang w:val="en-US" w:eastAsia="zh-CN"/>
              </w:rPr>
              <w:t>20</w:t>
            </w:r>
          </w:p>
        </w:tc>
        <w:tc>
          <w:tcPr>
            <w:tcW w:w="2354" w:type="dxa"/>
            <w:tcBorders>
              <w:tl2br w:val="nil"/>
              <w:tr2bl w:val="nil"/>
            </w:tcBorders>
            <w:vAlign w:val="center"/>
          </w:tcPr>
          <w:p>
            <w:pPr>
              <w:pStyle w:val="17"/>
              <w:bidi w:val="0"/>
              <w:ind w:firstLine="0" w:firstLineChars="0"/>
              <w:rPr>
                <w:rFonts w:hint="eastAsia" w:eastAsia="宋体"/>
                <w:lang w:eastAsia="zh-CN"/>
              </w:rPr>
            </w:pPr>
            <w:r>
              <w:rPr>
                <w:rFonts w:hint="eastAsia"/>
                <w:lang w:val="en-US" w:eastAsia="zh-CN"/>
              </w:rPr>
              <w:t>N</w:t>
            </w:r>
            <w:r>
              <w:rPr>
                <w:rFonts w:hint="default"/>
              </w:rPr>
              <w:t>44° 0'</w:t>
            </w:r>
            <w:r>
              <w:rPr>
                <w:rFonts w:hint="eastAsia"/>
                <w:lang w:val="en-US" w:eastAsia="zh-CN"/>
              </w:rPr>
              <w:t>42.85</w:t>
            </w:r>
            <w:r>
              <w:rPr>
                <w:rFonts w:hint="default"/>
              </w:rPr>
              <w:t>"</w:t>
            </w:r>
            <w:r>
              <w:rPr>
                <w:rFonts w:hint="eastAsia"/>
                <w:lang w:eastAsia="zh-CN"/>
              </w:rPr>
              <w:t>、</w:t>
            </w:r>
            <w:r>
              <w:rPr>
                <w:rFonts w:hint="eastAsia"/>
                <w:lang w:val="en-US" w:eastAsia="zh-CN"/>
              </w:rPr>
              <w:t>E</w:t>
            </w:r>
            <w:r>
              <w:rPr>
                <w:rFonts w:hint="eastAsia"/>
                <w:lang w:eastAsia="zh-CN"/>
              </w:rPr>
              <w:t>89°20'5</w:t>
            </w:r>
            <w:r>
              <w:rPr>
                <w:rFonts w:hint="eastAsia"/>
                <w:lang w:val="en-US" w:eastAsia="zh-CN"/>
              </w:rPr>
              <w:t>3.68</w:t>
            </w:r>
            <w:r>
              <w:rPr>
                <w:rFonts w:hint="eastAsia"/>
                <w:lang w:eastAsia="zh-CN"/>
              </w:rPr>
              <w:t>"</w:t>
            </w:r>
          </w:p>
        </w:tc>
        <w:tc>
          <w:tcPr>
            <w:tcW w:w="1208" w:type="dxa"/>
            <w:vMerge w:val="restart"/>
            <w:tcBorders>
              <w:tl2br w:val="nil"/>
              <w:tr2bl w:val="nil"/>
            </w:tcBorders>
            <w:vAlign w:val="center"/>
          </w:tcPr>
          <w:p>
            <w:pPr>
              <w:pStyle w:val="17"/>
              <w:bidi w:val="0"/>
              <w:rPr>
                <w:rFonts w:hint="default" w:eastAsia="宋体"/>
                <w:lang w:val="en-US" w:eastAsia="zh-CN"/>
              </w:rPr>
            </w:pPr>
            <w:r>
              <w:rPr>
                <w:rFonts w:hint="default"/>
              </w:rPr>
              <w:t>NMHC</w:t>
            </w:r>
            <w:r>
              <w:rPr>
                <w:rFonts w:hint="eastAsia"/>
                <w:lang w:eastAsia="zh-CN"/>
              </w:rPr>
              <w:t>、</w:t>
            </w:r>
            <w:r>
              <w:rPr>
                <w:rFonts w:hint="eastAsia"/>
                <w:lang w:val="en-US" w:eastAsia="zh-CN"/>
              </w:rPr>
              <w:t>TSP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520" w:type="dxa"/>
            <w:tcBorders>
              <w:tl2br w:val="nil"/>
              <w:tr2bl w:val="nil"/>
            </w:tcBorders>
            <w:vAlign w:val="center"/>
          </w:tcPr>
          <w:p>
            <w:pPr>
              <w:pStyle w:val="17"/>
              <w:bidi w:val="0"/>
              <w:rPr>
                <w:rFonts w:hint="default"/>
              </w:rPr>
            </w:pPr>
            <w:r>
              <w:rPr>
                <w:rFonts w:hint="default"/>
              </w:rPr>
              <w:t>G2</w:t>
            </w:r>
          </w:p>
        </w:tc>
        <w:tc>
          <w:tcPr>
            <w:tcW w:w="1189" w:type="dxa"/>
            <w:tcBorders>
              <w:tl2br w:val="nil"/>
              <w:tr2bl w:val="nil"/>
            </w:tcBorders>
            <w:vAlign w:val="center"/>
          </w:tcPr>
          <w:p>
            <w:pPr>
              <w:pStyle w:val="17"/>
              <w:bidi w:val="0"/>
              <w:rPr>
                <w:rFonts w:hint="default"/>
              </w:rPr>
            </w:pPr>
            <w:r>
              <w:rPr>
                <w:rFonts w:hint="default"/>
              </w:rPr>
              <w:t>厂址下风向</w:t>
            </w:r>
          </w:p>
        </w:tc>
        <w:tc>
          <w:tcPr>
            <w:tcW w:w="1919" w:type="dxa"/>
            <w:tcBorders>
              <w:tl2br w:val="nil"/>
              <w:tr2bl w:val="nil"/>
            </w:tcBorders>
            <w:vAlign w:val="center"/>
          </w:tcPr>
          <w:p>
            <w:pPr>
              <w:pStyle w:val="17"/>
              <w:bidi w:val="0"/>
              <w:rPr>
                <w:rFonts w:hint="default" w:eastAsia="宋体"/>
                <w:lang w:val="en-US" w:eastAsia="zh-CN"/>
              </w:rPr>
            </w:pPr>
            <w:r>
              <w:rPr>
                <w:rFonts w:hint="eastAsia"/>
                <w:lang w:val="en-US" w:eastAsia="zh-CN"/>
              </w:rPr>
              <w:t>S</w:t>
            </w:r>
          </w:p>
        </w:tc>
        <w:tc>
          <w:tcPr>
            <w:tcW w:w="1881" w:type="dxa"/>
            <w:tcBorders>
              <w:tl2br w:val="nil"/>
              <w:tr2bl w:val="nil"/>
            </w:tcBorders>
            <w:vAlign w:val="center"/>
          </w:tcPr>
          <w:p>
            <w:pPr>
              <w:pStyle w:val="17"/>
              <w:bidi w:val="0"/>
              <w:rPr>
                <w:rFonts w:hint="default"/>
                <w:lang w:val="en-US" w:eastAsia="zh-CN"/>
              </w:rPr>
            </w:pPr>
            <w:r>
              <w:rPr>
                <w:rFonts w:hint="eastAsia"/>
                <w:lang w:val="en-US" w:eastAsia="zh-CN"/>
              </w:rPr>
              <w:t>20</w:t>
            </w:r>
          </w:p>
        </w:tc>
        <w:tc>
          <w:tcPr>
            <w:tcW w:w="2354" w:type="dxa"/>
            <w:tcBorders>
              <w:tl2br w:val="nil"/>
              <w:tr2bl w:val="nil"/>
            </w:tcBorders>
            <w:vAlign w:val="center"/>
          </w:tcPr>
          <w:p>
            <w:pPr>
              <w:pStyle w:val="17"/>
              <w:bidi w:val="0"/>
              <w:ind w:firstLine="0" w:firstLineChars="0"/>
              <w:rPr>
                <w:rFonts w:hint="eastAsia" w:eastAsia="宋体"/>
                <w:lang w:eastAsia="zh-CN"/>
              </w:rPr>
            </w:pPr>
            <w:r>
              <w:rPr>
                <w:rFonts w:hint="eastAsia"/>
                <w:lang w:val="en-US" w:eastAsia="zh-CN"/>
              </w:rPr>
              <w:t>N</w:t>
            </w:r>
            <w:r>
              <w:rPr>
                <w:rFonts w:hint="default"/>
              </w:rPr>
              <w:t>44° 0'4</w:t>
            </w:r>
            <w:r>
              <w:rPr>
                <w:rFonts w:hint="eastAsia"/>
                <w:lang w:val="en-US" w:eastAsia="zh-CN"/>
              </w:rPr>
              <w:t>5.86</w:t>
            </w:r>
            <w:r>
              <w:rPr>
                <w:rFonts w:hint="default"/>
              </w:rPr>
              <w:t>"</w:t>
            </w:r>
            <w:r>
              <w:rPr>
                <w:rFonts w:hint="eastAsia"/>
                <w:lang w:eastAsia="zh-CN"/>
              </w:rPr>
              <w:t>、</w:t>
            </w:r>
            <w:r>
              <w:rPr>
                <w:rFonts w:hint="eastAsia"/>
                <w:lang w:val="en-US" w:eastAsia="zh-CN"/>
              </w:rPr>
              <w:t>E</w:t>
            </w:r>
            <w:r>
              <w:rPr>
                <w:rFonts w:hint="eastAsia"/>
                <w:lang w:eastAsia="zh-CN"/>
              </w:rPr>
              <w:t>89°20'</w:t>
            </w:r>
            <w:r>
              <w:rPr>
                <w:rFonts w:hint="eastAsia"/>
                <w:lang w:val="en-US" w:eastAsia="zh-CN"/>
              </w:rPr>
              <w:t>49.12</w:t>
            </w:r>
            <w:r>
              <w:rPr>
                <w:rFonts w:hint="eastAsia"/>
                <w:lang w:eastAsia="zh-CN"/>
              </w:rPr>
              <w:t>"</w:t>
            </w:r>
          </w:p>
        </w:tc>
        <w:tc>
          <w:tcPr>
            <w:tcW w:w="1208" w:type="dxa"/>
            <w:vMerge w:val="continue"/>
            <w:tcBorders>
              <w:tl2br w:val="nil"/>
              <w:tr2bl w:val="nil"/>
            </w:tcBorders>
            <w:vAlign w:val="center"/>
          </w:tcPr>
          <w:p>
            <w:pPr>
              <w:pStyle w:val="17"/>
              <w:bidi w:val="0"/>
              <w:rPr>
                <w:rFonts w:hint="default"/>
              </w:rPr>
            </w:pPr>
          </w:p>
        </w:tc>
      </w:tr>
    </w:tbl>
    <w:p>
      <w:pPr>
        <w:bidi w:val="0"/>
        <w:rPr>
          <w:rFonts w:hint="default"/>
        </w:rPr>
      </w:pPr>
      <w:r>
        <w:rPr>
          <w:rFonts w:hint="default"/>
        </w:rPr>
        <w:t>（</w:t>
      </w:r>
      <w:r>
        <w:rPr>
          <w:rFonts w:hint="eastAsia"/>
          <w:lang w:val="en-US" w:eastAsia="zh-CN"/>
        </w:rPr>
        <w:t>2</w:t>
      </w:r>
      <w:r>
        <w:rPr>
          <w:rFonts w:hint="default"/>
        </w:rPr>
        <w:t>）监测时间</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lang w:val="en-US" w:eastAsia="zh-CN"/>
        </w:rPr>
        <w:t>本项目现场监测时间为</w:t>
      </w:r>
      <w:r>
        <w:rPr>
          <w:rFonts w:hint="eastAsia"/>
          <w:lang w:eastAsia="zh-CN"/>
        </w:rPr>
        <w:t>2021</w:t>
      </w:r>
      <w:r>
        <w:rPr>
          <w:rFonts w:hint="default"/>
        </w:rPr>
        <w:t>年</w:t>
      </w:r>
      <w:r>
        <w:rPr>
          <w:rFonts w:hint="eastAsia"/>
          <w:lang w:val="en-US" w:eastAsia="zh-CN"/>
        </w:rPr>
        <w:t>8</w:t>
      </w:r>
      <w:r>
        <w:rPr>
          <w:rFonts w:hint="default"/>
        </w:rPr>
        <w:t>月</w:t>
      </w:r>
      <w:r>
        <w:rPr>
          <w:rFonts w:hint="eastAsia"/>
          <w:lang w:val="en-US" w:eastAsia="zh-CN"/>
        </w:rPr>
        <w:t>6</w:t>
      </w:r>
      <w:r>
        <w:rPr>
          <w:rFonts w:hint="default"/>
        </w:rPr>
        <w:t>日—</w:t>
      </w:r>
      <w:r>
        <w:rPr>
          <w:rFonts w:hint="eastAsia"/>
          <w:lang w:val="en-US" w:eastAsia="zh-CN"/>
        </w:rPr>
        <w:t>8</w:t>
      </w:r>
      <w:r>
        <w:rPr>
          <w:rFonts w:hint="default"/>
        </w:rPr>
        <w:t>月</w:t>
      </w:r>
      <w:r>
        <w:rPr>
          <w:rFonts w:hint="eastAsia"/>
          <w:lang w:val="en-US" w:eastAsia="zh-CN"/>
        </w:rPr>
        <w:t>12</w:t>
      </w:r>
      <w:r>
        <w:rPr>
          <w:rFonts w:hint="default"/>
        </w:rPr>
        <w:t>日。特征污染物非甲烷总烃连续7天测小时值，每天4次采样，每次采样不少于45min。</w:t>
      </w:r>
      <w:r>
        <w:rPr>
          <w:rFonts w:hint="eastAsia" w:ascii="Times New Roman" w:hAnsi="Times New Roman" w:cs="Times New Roman"/>
          <w:color w:val="000000" w:themeColor="text1"/>
          <w:sz w:val="24"/>
          <w:szCs w:val="24"/>
          <w:lang w:val="en-US" w:eastAsia="zh-CN"/>
          <w14:textFill>
            <w14:solidFill>
              <w14:schemeClr w14:val="tx1"/>
            </w14:solidFill>
          </w14:textFill>
        </w:rPr>
        <w:t>TSP连续7天采样，每天采样时间不少于</w:t>
      </w:r>
      <w:r>
        <w:rPr>
          <w:rFonts w:hint="eastAsia" w:cs="Times New Roman"/>
          <w:color w:val="000000" w:themeColor="text1"/>
          <w:sz w:val="24"/>
          <w:szCs w:val="24"/>
          <w:lang w:val="en-US" w:eastAsia="zh-CN"/>
          <w14:textFill>
            <w14:solidFill>
              <w14:schemeClr w14:val="tx1"/>
            </w14:solidFill>
          </w14:textFill>
        </w:rPr>
        <w:t>20</w:t>
      </w:r>
      <w:r>
        <w:rPr>
          <w:rFonts w:hint="eastAsia" w:ascii="Times New Roman" w:hAnsi="Times New Roman" w:cs="Times New Roman"/>
          <w:color w:val="000000" w:themeColor="text1"/>
          <w:sz w:val="24"/>
          <w:szCs w:val="24"/>
          <w:lang w:val="en-US" w:eastAsia="zh-CN"/>
          <w14:textFill>
            <w14:solidFill>
              <w14:schemeClr w14:val="tx1"/>
            </w14:solidFill>
          </w14:textFill>
        </w:rPr>
        <w:t>h。</w:t>
      </w:r>
    </w:p>
    <w:p>
      <w:pPr>
        <w:bidi w:val="0"/>
        <w:rPr>
          <w:rFonts w:hint="default"/>
        </w:rPr>
      </w:pPr>
      <w:r>
        <w:rPr>
          <w:rFonts w:hint="default"/>
        </w:rPr>
        <w:t>（</w:t>
      </w:r>
      <w:r>
        <w:rPr>
          <w:rFonts w:hint="eastAsia"/>
          <w:lang w:val="en-US" w:eastAsia="zh-CN"/>
        </w:rPr>
        <w:t>3</w:t>
      </w:r>
      <w:r>
        <w:rPr>
          <w:rFonts w:hint="default"/>
        </w:rPr>
        <w:t>）评价标准</w:t>
      </w:r>
    </w:p>
    <w:p>
      <w:pPr>
        <w:bidi w:val="0"/>
        <w:rPr>
          <w:rFonts w:hint="default"/>
          <w:lang w:val="en-US"/>
        </w:rPr>
      </w:pPr>
      <w:r>
        <w:rPr>
          <w:rFonts w:hint="default"/>
        </w:rPr>
        <w:t>本项目所在地区属于环境空气质量二类功能区，非甲烷总烃参考执行《大气污染物综合排放标准详解》中一次浓度限值2mg/</w:t>
      </w:r>
      <w:r>
        <w:rPr>
          <w:rFonts w:hint="eastAsia"/>
          <w:lang w:eastAsia="zh-CN"/>
        </w:rPr>
        <w:t>m³</w:t>
      </w:r>
      <w:r>
        <w:rPr>
          <w:rFonts w:hint="default"/>
        </w:rPr>
        <w:t>。</w:t>
      </w:r>
      <w:r>
        <w:rPr>
          <w:rFonts w:hint="eastAsia" w:ascii="Times New Roman" w:hAnsi="Times New Roman" w:cs="Times New Roman"/>
          <w:color w:val="000000" w:themeColor="text1"/>
          <w:sz w:val="24"/>
          <w:szCs w:val="24"/>
          <w:lang w:val="en-US" w:eastAsia="zh-CN"/>
          <w14:textFill>
            <w14:solidFill>
              <w14:schemeClr w14:val="tx1"/>
            </w14:solidFill>
          </w14:textFill>
        </w:rPr>
        <w:t>TSP执行《环境空气质量标准》二类环境空气功能区24h平均浓度限值0.3mg/m³。</w:t>
      </w:r>
    </w:p>
    <w:p>
      <w:pPr>
        <w:bidi w:val="0"/>
        <w:rPr>
          <w:rFonts w:hint="default"/>
        </w:rPr>
      </w:pPr>
      <w:r>
        <w:rPr>
          <w:rFonts w:hint="default"/>
        </w:rPr>
        <w:t>（</w:t>
      </w:r>
      <w:r>
        <w:rPr>
          <w:rFonts w:hint="eastAsia"/>
          <w:lang w:val="en-US" w:eastAsia="zh-CN"/>
        </w:rPr>
        <w:t>4</w:t>
      </w:r>
      <w:r>
        <w:rPr>
          <w:rFonts w:hint="default"/>
        </w:rPr>
        <w:t>）监测分析方法</w:t>
      </w:r>
    </w:p>
    <w:p>
      <w:pPr>
        <w:spacing w:line="360" w:lineRule="auto"/>
        <w:ind w:firstLine="480" w:firstLineChars="200"/>
        <w:rPr>
          <w:rFonts w:hint="default"/>
          <w:lang w:val="en-US"/>
        </w:rPr>
      </w:pPr>
      <w:r>
        <w:rPr>
          <w:rFonts w:hint="default"/>
        </w:rPr>
        <w:t>监测及分析方法均按照国家环保局《环境监测技术规范》和《环境空气质量标准（GB3095-2012）》要求，参照《环境空气 总烃、甲烷和非甲烷总烃的测定直接进样-气相色谱法（</w:t>
      </w:r>
      <w:r>
        <w:rPr>
          <w:rFonts w:hint="default"/>
          <w:lang w:val="en-US"/>
        </w:rPr>
        <w:t>HJ 604-2017）</w:t>
      </w:r>
      <w:r>
        <w:rPr>
          <w:rFonts w:hint="default"/>
        </w:rPr>
        <w:t>》执行。</w:t>
      </w:r>
      <w:r>
        <w:rPr>
          <w:rFonts w:hint="eastAsia" w:ascii="Times New Roman" w:hAnsi="Times New Roman" w:cs="Times New Roman"/>
          <w:color w:val="000000" w:themeColor="text1"/>
          <w:sz w:val="24"/>
          <w:szCs w:val="24"/>
          <w:lang w:val="en-US" w:eastAsia="zh-CN"/>
          <w14:textFill>
            <w14:solidFill>
              <w14:schemeClr w14:val="tx1"/>
            </w14:solidFill>
          </w14:textFill>
        </w:rPr>
        <w:t>TSP</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参照《环境空气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总悬浮物的测定   重量法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（GB/T15432-1995及修改单）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w:t>
      </w:r>
    </w:p>
    <w:p>
      <w:pPr>
        <w:bidi w:val="0"/>
        <w:rPr>
          <w:rFonts w:hint="default"/>
        </w:rPr>
      </w:pPr>
      <w:r>
        <w:rPr>
          <w:rFonts w:hint="default"/>
        </w:rPr>
        <w:t>（</w:t>
      </w:r>
      <w:r>
        <w:rPr>
          <w:rFonts w:hint="eastAsia"/>
          <w:lang w:val="en-US" w:eastAsia="zh-CN"/>
        </w:rPr>
        <w:t>5</w:t>
      </w:r>
      <w:r>
        <w:rPr>
          <w:rFonts w:hint="default"/>
        </w:rPr>
        <w:t>）评价方法</w:t>
      </w:r>
    </w:p>
    <w:p>
      <w:pPr>
        <w:bidi w:val="0"/>
        <w:rPr>
          <w:rFonts w:hint="default"/>
        </w:rPr>
      </w:pPr>
      <w:r>
        <w:rPr>
          <w:rFonts w:hint="default"/>
        </w:rPr>
        <w:t>采用最大占标百分比，计算公式为：</w:t>
      </w:r>
    </w:p>
    <w:p>
      <w:pPr>
        <w:bidi w:val="0"/>
        <w:rPr>
          <w:rFonts w:hint="default"/>
        </w:rPr>
      </w:pPr>
      <w:r>
        <w:rPr>
          <w:rFonts w:hint="default"/>
        </w:rPr>
        <w:t xml:space="preserve">                     Pi=Ci/Coi×i   </w:t>
      </w:r>
    </w:p>
    <w:p>
      <w:pPr>
        <w:bidi w:val="0"/>
        <w:rPr>
          <w:rFonts w:hint="default"/>
        </w:rPr>
      </w:pPr>
      <w:r>
        <w:rPr>
          <w:rFonts w:hint="default"/>
        </w:rPr>
        <w:t>式中：Pi——第i个污染物的最大占标百分比（%）；</w:t>
      </w:r>
    </w:p>
    <w:p>
      <w:pPr>
        <w:bidi w:val="0"/>
        <w:rPr>
          <w:rFonts w:hint="default"/>
        </w:rPr>
      </w:pPr>
      <w:r>
        <w:rPr>
          <w:rFonts w:hint="default"/>
        </w:rPr>
        <w:t xml:space="preserve">      Ci——第i个污染物最大监测浓度（mg/</w:t>
      </w:r>
      <w:r>
        <w:rPr>
          <w:rFonts w:hint="eastAsia"/>
          <w:lang w:eastAsia="zh-CN"/>
        </w:rPr>
        <w:t>m³</w:t>
      </w:r>
      <w:r>
        <w:rPr>
          <w:rFonts w:hint="default"/>
        </w:rPr>
        <w:t>）；</w:t>
      </w:r>
    </w:p>
    <w:p>
      <w:pPr>
        <w:bidi w:val="0"/>
        <w:rPr>
          <w:rFonts w:hint="default"/>
        </w:rPr>
      </w:pPr>
      <w:r>
        <w:rPr>
          <w:rFonts w:hint="default"/>
        </w:rPr>
        <w:t xml:space="preserve">      Coi——第i个污染物的环境空气质量浓度标准（mg/</w:t>
      </w:r>
      <w:r>
        <w:rPr>
          <w:rFonts w:hint="eastAsia"/>
          <w:lang w:eastAsia="zh-CN"/>
        </w:rPr>
        <w:t>m³</w:t>
      </w:r>
      <w:r>
        <w:rPr>
          <w:rFonts w:hint="default"/>
        </w:rPr>
        <w:t>）。</w:t>
      </w:r>
    </w:p>
    <w:p>
      <w:pPr>
        <w:bidi w:val="0"/>
        <w:rPr>
          <w:rFonts w:hint="default"/>
        </w:rPr>
      </w:pPr>
      <w:r>
        <w:rPr>
          <w:rFonts w:hint="default"/>
        </w:rPr>
        <w:t>（</w:t>
      </w:r>
      <w:r>
        <w:rPr>
          <w:rFonts w:hint="eastAsia"/>
          <w:lang w:val="en-US" w:eastAsia="zh-CN"/>
        </w:rPr>
        <w:t>6</w:t>
      </w:r>
      <w:r>
        <w:rPr>
          <w:rFonts w:hint="default"/>
        </w:rPr>
        <w:t>）评价结果</w:t>
      </w:r>
    </w:p>
    <w:p>
      <w:pPr>
        <w:bidi w:val="0"/>
        <w:rPr>
          <w:rFonts w:hint="default"/>
          <w:lang w:val="en-US"/>
        </w:rPr>
      </w:pPr>
      <w:r>
        <w:rPr>
          <w:rFonts w:hint="default"/>
        </w:rPr>
        <w:t>环境空气质量现状监测统计结果见表4.</w:t>
      </w:r>
      <w:r>
        <w:rPr>
          <w:rFonts w:hint="eastAsia"/>
          <w:lang w:val="en-US" w:eastAsia="zh-CN"/>
        </w:rPr>
        <w:t>2</w:t>
      </w:r>
      <w:r>
        <w:rPr>
          <w:rFonts w:hint="default"/>
        </w:rPr>
        <w:t>-</w:t>
      </w:r>
      <w:r>
        <w:rPr>
          <w:rFonts w:hint="default"/>
          <w:lang w:val="en-US"/>
        </w:rPr>
        <w:t>3</w:t>
      </w:r>
      <w:r>
        <w:rPr>
          <w:rFonts w:hint="eastAsia"/>
          <w:lang w:val="en-US" w:eastAsia="zh-CN"/>
        </w:rPr>
        <w:t>、4.2-4</w:t>
      </w:r>
      <w:r>
        <w:rPr>
          <w:rFonts w:hint="default"/>
          <w:lang w:val="en-US"/>
        </w:rPr>
        <w:t>。</w:t>
      </w:r>
    </w:p>
    <w:p>
      <w:pPr>
        <w:pStyle w:val="17"/>
        <w:bidi w:val="0"/>
        <w:rPr>
          <w:rFonts w:hint="default"/>
          <w:b/>
          <w:bCs/>
        </w:rPr>
      </w:pPr>
      <w:r>
        <w:rPr>
          <w:rFonts w:hint="default"/>
          <w:b/>
          <w:bCs/>
        </w:rPr>
        <w:t>表4.</w:t>
      </w:r>
      <w:r>
        <w:rPr>
          <w:rFonts w:hint="eastAsia"/>
          <w:b/>
          <w:bCs/>
          <w:lang w:val="en-US" w:eastAsia="zh-CN"/>
        </w:rPr>
        <w:t>2</w:t>
      </w:r>
      <w:r>
        <w:rPr>
          <w:rFonts w:hint="default"/>
          <w:b/>
          <w:bCs/>
        </w:rPr>
        <w:t xml:space="preserve">-3  </w:t>
      </w:r>
      <w:r>
        <w:rPr>
          <w:rFonts w:hint="eastAsia"/>
          <w:b/>
          <w:bCs/>
          <w:lang w:val="en-US" w:eastAsia="zh-CN"/>
        </w:rPr>
        <w:t xml:space="preserve"> </w:t>
      </w:r>
      <w:r>
        <w:rPr>
          <w:rFonts w:hint="default"/>
          <w:b/>
          <w:bCs/>
        </w:rPr>
        <w:t>非甲烷总烃监测结果统计表（小时浓度）</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968"/>
        <w:gridCol w:w="3148"/>
        <w:gridCol w:w="25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restart"/>
            <w:tcBorders>
              <w:tl2br w:val="nil"/>
              <w:tr2bl w:val="nil"/>
            </w:tcBorders>
            <w:vAlign w:val="center"/>
          </w:tcPr>
          <w:p>
            <w:pPr>
              <w:pStyle w:val="17"/>
              <w:bidi w:val="0"/>
              <w:rPr>
                <w:rFonts w:hint="default"/>
                <w:b/>
                <w:bCs/>
              </w:rPr>
            </w:pPr>
            <w:r>
              <w:rPr>
                <w:rFonts w:hint="default"/>
                <w:b/>
                <w:bCs/>
              </w:rPr>
              <w:t>采样日期</w:t>
            </w:r>
          </w:p>
        </w:tc>
        <w:tc>
          <w:tcPr>
            <w:tcW w:w="1968" w:type="dxa"/>
            <w:vMerge w:val="restart"/>
            <w:tcBorders>
              <w:tl2br w:val="nil"/>
              <w:tr2bl w:val="nil"/>
            </w:tcBorders>
            <w:vAlign w:val="center"/>
          </w:tcPr>
          <w:p>
            <w:pPr>
              <w:pStyle w:val="17"/>
              <w:bidi w:val="0"/>
              <w:rPr>
                <w:rFonts w:hint="default"/>
                <w:b/>
                <w:bCs/>
              </w:rPr>
            </w:pPr>
            <w:r>
              <w:rPr>
                <w:rFonts w:hint="default"/>
                <w:b/>
                <w:bCs/>
              </w:rPr>
              <w:t>时段</w:t>
            </w:r>
          </w:p>
        </w:tc>
        <w:tc>
          <w:tcPr>
            <w:tcW w:w="5686" w:type="dxa"/>
            <w:gridSpan w:val="2"/>
            <w:tcBorders>
              <w:tl2br w:val="nil"/>
              <w:tr2bl w:val="nil"/>
            </w:tcBorders>
            <w:vAlign w:val="center"/>
          </w:tcPr>
          <w:p>
            <w:pPr>
              <w:pStyle w:val="17"/>
              <w:bidi w:val="0"/>
              <w:rPr>
                <w:rFonts w:hint="default"/>
                <w:b/>
                <w:bCs/>
              </w:rPr>
            </w:pPr>
            <w:r>
              <w:rPr>
                <w:rFonts w:hint="default"/>
                <w:b/>
                <w:bCs/>
              </w:rPr>
              <w:t>非甲烷总烃（mg/</w:t>
            </w:r>
            <w:r>
              <w:rPr>
                <w:rFonts w:hint="eastAsia"/>
                <w:b/>
                <w:bCs/>
                <w:lang w:eastAsia="zh-CN"/>
              </w:rPr>
              <w:t>m³</w:t>
            </w:r>
            <w:r>
              <w:rPr>
                <w:rFonts w:hint="default"/>
                <w:b/>
                <w:bCs/>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b/>
                <w:bCs/>
              </w:rPr>
            </w:pPr>
          </w:p>
        </w:tc>
        <w:tc>
          <w:tcPr>
            <w:tcW w:w="1968" w:type="dxa"/>
            <w:vMerge w:val="continue"/>
            <w:tcBorders>
              <w:tl2br w:val="nil"/>
              <w:tr2bl w:val="nil"/>
            </w:tcBorders>
            <w:vAlign w:val="center"/>
          </w:tcPr>
          <w:p>
            <w:pPr>
              <w:pStyle w:val="17"/>
              <w:bidi w:val="0"/>
              <w:rPr>
                <w:rFonts w:hint="default"/>
                <w:b/>
                <w:bCs/>
              </w:rPr>
            </w:pPr>
          </w:p>
        </w:tc>
        <w:tc>
          <w:tcPr>
            <w:tcW w:w="3148" w:type="dxa"/>
            <w:tcBorders>
              <w:tl2br w:val="nil"/>
              <w:tr2bl w:val="nil"/>
            </w:tcBorders>
            <w:vAlign w:val="center"/>
          </w:tcPr>
          <w:p>
            <w:pPr>
              <w:pStyle w:val="17"/>
              <w:bidi w:val="0"/>
              <w:rPr>
                <w:rFonts w:hint="eastAsia" w:eastAsia="宋体"/>
                <w:b/>
                <w:bCs/>
                <w:lang w:val="en-US" w:eastAsia="zh-CN"/>
              </w:rPr>
            </w:pPr>
            <w:r>
              <w:rPr>
                <w:rFonts w:hint="default"/>
                <w:b/>
                <w:bCs/>
              </w:rPr>
              <w:t>G1 厂址</w:t>
            </w:r>
            <w:r>
              <w:rPr>
                <w:rFonts w:hint="eastAsia"/>
                <w:b/>
                <w:bCs/>
                <w:lang w:val="en-US" w:eastAsia="zh-CN"/>
              </w:rPr>
              <w:t>上风向</w:t>
            </w:r>
          </w:p>
        </w:tc>
        <w:tc>
          <w:tcPr>
            <w:tcW w:w="2538" w:type="dxa"/>
            <w:tcBorders>
              <w:tl2br w:val="nil"/>
              <w:tr2bl w:val="nil"/>
            </w:tcBorders>
            <w:vAlign w:val="center"/>
          </w:tcPr>
          <w:p>
            <w:pPr>
              <w:pStyle w:val="17"/>
              <w:bidi w:val="0"/>
              <w:rPr>
                <w:rFonts w:hint="default"/>
                <w:b/>
                <w:bCs/>
              </w:rPr>
            </w:pPr>
            <w:r>
              <w:rPr>
                <w:rFonts w:hint="default"/>
                <w:b/>
                <w:bCs/>
              </w:rPr>
              <w:t>G2 厂址下风向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restart"/>
            <w:tcBorders>
              <w:tl2br w:val="nil"/>
              <w:tr2bl w:val="nil"/>
            </w:tcBorders>
            <w:vAlign w:val="center"/>
          </w:tcPr>
          <w:p>
            <w:pPr>
              <w:pStyle w:val="17"/>
              <w:bidi w:val="0"/>
              <w:rPr>
                <w:rFonts w:hint="default"/>
                <w:lang w:val="en-US" w:eastAsia="zh-CN"/>
              </w:rPr>
            </w:pPr>
            <w:r>
              <w:rPr>
                <w:rFonts w:hint="eastAsia"/>
                <w:lang w:val="en-US" w:eastAsia="zh-CN"/>
              </w:rPr>
              <w:t>2021.8.6</w:t>
            </w:r>
          </w:p>
        </w:tc>
        <w:tc>
          <w:tcPr>
            <w:tcW w:w="1968" w:type="dxa"/>
            <w:tcBorders>
              <w:tl2br w:val="nil"/>
              <w:tr2bl w:val="nil"/>
            </w:tcBorders>
            <w:vAlign w:val="center"/>
          </w:tcPr>
          <w:p>
            <w:pPr>
              <w:pStyle w:val="17"/>
              <w:bidi w:val="0"/>
              <w:rPr>
                <w:rFonts w:hint="default"/>
              </w:rPr>
            </w:pPr>
            <w:r>
              <w:rPr>
                <w:rFonts w:hint="default"/>
              </w:rPr>
              <w:t>02:00-03:00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0.22</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08:00-09:00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0.40</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14:00-15:00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0.35</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20:00-21:00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0.41</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restart"/>
            <w:tcBorders>
              <w:tl2br w:val="nil"/>
              <w:tr2bl w:val="nil"/>
            </w:tcBorders>
            <w:vAlign w:val="center"/>
          </w:tcPr>
          <w:p>
            <w:pPr>
              <w:pStyle w:val="17"/>
              <w:bidi w:val="0"/>
              <w:rPr>
                <w:rFonts w:hint="default"/>
                <w:lang w:val="en-US" w:eastAsia="zh-CN"/>
              </w:rPr>
            </w:pPr>
            <w:r>
              <w:rPr>
                <w:rFonts w:hint="eastAsia"/>
                <w:lang w:val="en-US" w:eastAsia="zh-CN"/>
              </w:rPr>
              <w:t>2021.8.7</w:t>
            </w:r>
          </w:p>
        </w:tc>
        <w:tc>
          <w:tcPr>
            <w:tcW w:w="1968" w:type="dxa"/>
            <w:tcBorders>
              <w:tl2br w:val="nil"/>
              <w:tr2bl w:val="nil"/>
            </w:tcBorders>
            <w:vAlign w:val="center"/>
          </w:tcPr>
          <w:p>
            <w:pPr>
              <w:pStyle w:val="17"/>
              <w:bidi w:val="0"/>
              <w:rPr>
                <w:rFonts w:hint="default"/>
              </w:rPr>
            </w:pPr>
            <w:r>
              <w:rPr>
                <w:rFonts w:hint="default"/>
              </w:rPr>
              <w:t>02:00-03:00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0.16</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08:00-09:00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0.33</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14:00-15:00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0.20</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20:00-21:00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0.30</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restart"/>
            <w:tcBorders>
              <w:tl2br w:val="nil"/>
              <w:tr2bl w:val="nil"/>
            </w:tcBorders>
            <w:vAlign w:val="center"/>
          </w:tcPr>
          <w:p>
            <w:pPr>
              <w:pStyle w:val="17"/>
              <w:bidi w:val="0"/>
              <w:rPr>
                <w:rFonts w:hint="default"/>
                <w:lang w:val="en-US" w:eastAsia="zh-CN"/>
              </w:rPr>
            </w:pPr>
            <w:r>
              <w:rPr>
                <w:rFonts w:hint="eastAsia"/>
                <w:lang w:val="en-US" w:eastAsia="zh-CN"/>
              </w:rPr>
              <w:t>2021.8.8</w:t>
            </w:r>
          </w:p>
        </w:tc>
        <w:tc>
          <w:tcPr>
            <w:tcW w:w="1968" w:type="dxa"/>
            <w:tcBorders>
              <w:tl2br w:val="nil"/>
              <w:tr2bl w:val="nil"/>
            </w:tcBorders>
            <w:vAlign w:val="center"/>
          </w:tcPr>
          <w:p>
            <w:pPr>
              <w:pStyle w:val="17"/>
              <w:bidi w:val="0"/>
              <w:rPr>
                <w:rFonts w:hint="default"/>
              </w:rPr>
            </w:pPr>
            <w:r>
              <w:rPr>
                <w:rFonts w:hint="default"/>
              </w:rPr>
              <w:t>02:00-03:00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0.50</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08:00-09:00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0.44</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14:00-15:00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0.42</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20:00-21:00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0.56</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restart"/>
            <w:tcBorders>
              <w:tl2br w:val="nil"/>
              <w:tr2bl w:val="nil"/>
            </w:tcBorders>
            <w:vAlign w:val="center"/>
          </w:tcPr>
          <w:p>
            <w:pPr>
              <w:pStyle w:val="17"/>
              <w:bidi w:val="0"/>
              <w:ind w:firstLine="0" w:firstLineChars="0"/>
              <w:rPr>
                <w:rFonts w:hint="default"/>
                <w:lang w:val="en-US" w:eastAsia="zh-CN"/>
              </w:rPr>
            </w:pPr>
            <w:r>
              <w:rPr>
                <w:rFonts w:hint="eastAsia"/>
                <w:lang w:val="en-US" w:eastAsia="zh-CN"/>
              </w:rPr>
              <w:t>2021.8.9</w:t>
            </w:r>
          </w:p>
        </w:tc>
        <w:tc>
          <w:tcPr>
            <w:tcW w:w="1968" w:type="dxa"/>
            <w:tcBorders>
              <w:tl2br w:val="nil"/>
              <w:tr2bl w:val="nil"/>
            </w:tcBorders>
            <w:vAlign w:val="center"/>
          </w:tcPr>
          <w:p>
            <w:pPr>
              <w:pStyle w:val="17"/>
              <w:bidi w:val="0"/>
              <w:rPr>
                <w:rFonts w:hint="default"/>
              </w:rPr>
            </w:pPr>
            <w:r>
              <w:rPr>
                <w:rFonts w:hint="default"/>
              </w:rPr>
              <w:t>02:00-03:00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0.54</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08:00-09:00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0.56</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14:00-15:00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0.51</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20:00-21:00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0.44</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restart"/>
            <w:tcBorders>
              <w:tl2br w:val="nil"/>
              <w:tr2bl w:val="nil"/>
            </w:tcBorders>
            <w:vAlign w:val="center"/>
          </w:tcPr>
          <w:p>
            <w:pPr>
              <w:pStyle w:val="17"/>
              <w:bidi w:val="0"/>
              <w:ind w:firstLine="0" w:firstLineChars="0"/>
              <w:rPr>
                <w:rFonts w:hint="default"/>
                <w:lang w:val="en-US" w:eastAsia="zh-CN"/>
              </w:rPr>
            </w:pPr>
            <w:r>
              <w:rPr>
                <w:rFonts w:hint="eastAsia"/>
                <w:lang w:val="en-US" w:eastAsia="zh-CN"/>
              </w:rPr>
              <w:t>2021.8.10</w:t>
            </w:r>
          </w:p>
        </w:tc>
        <w:tc>
          <w:tcPr>
            <w:tcW w:w="1968" w:type="dxa"/>
            <w:tcBorders>
              <w:tl2br w:val="nil"/>
              <w:tr2bl w:val="nil"/>
            </w:tcBorders>
            <w:vAlign w:val="center"/>
          </w:tcPr>
          <w:p>
            <w:pPr>
              <w:pStyle w:val="17"/>
              <w:bidi w:val="0"/>
              <w:rPr>
                <w:rFonts w:hint="default"/>
              </w:rPr>
            </w:pPr>
            <w:r>
              <w:rPr>
                <w:rFonts w:hint="default"/>
              </w:rPr>
              <w:t>02:00-03:00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0.49</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08:00-09:00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0.45</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14:00-15:00</w:t>
            </w:r>
          </w:p>
        </w:tc>
        <w:tc>
          <w:tcPr>
            <w:tcW w:w="3148"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0.43</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20:00-21:00</w:t>
            </w:r>
          </w:p>
        </w:tc>
        <w:tc>
          <w:tcPr>
            <w:tcW w:w="3148"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0.46</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restart"/>
            <w:tcBorders>
              <w:tl2br w:val="nil"/>
              <w:tr2bl w:val="nil"/>
            </w:tcBorders>
            <w:vAlign w:val="center"/>
          </w:tcPr>
          <w:p>
            <w:pPr>
              <w:pStyle w:val="17"/>
              <w:bidi w:val="0"/>
              <w:ind w:firstLine="0" w:firstLineChars="0"/>
              <w:rPr>
                <w:rFonts w:hint="default"/>
                <w:lang w:val="en-US" w:eastAsia="zh-CN"/>
              </w:rPr>
            </w:pPr>
            <w:r>
              <w:rPr>
                <w:rFonts w:hint="eastAsia"/>
                <w:lang w:val="en-US" w:eastAsia="zh-CN"/>
              </w:rPr>
              <w:t>2021.8.11</w:t>
            </w:r>
          </w:p>
        </w:tc>
        <w:tc>
          <w:tcPr>
            <w:tcW w:w="1968" w:type="dxa"/>
            <w:tcBorders>
              <w:tl2br w:val="nil"/>
              <w:tr2bl w:val="nil"/>
            </w:tcBorders>
            <w:vAlign w:val="center"/>
          </w:tcPr>
          <w:p>
            <w:pPr>
              <w:pStyle w:val="17"/>
              <w:bidi w:val="0"/>
              <w:rPr>
                <w:rFonts w:hint="default"/>
              </w:rPr>
            </w:pPr>
            <w:r>
              <w:rPr>
                <w:rFonts w:hint="default"/>
              </w:rPr>
              <w:t>02:00-03:00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0.59</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08:00-09:00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0.63</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14:00-15:00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0.64</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20:00-21:00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0.60</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restart"/>
            <w:tcBorders>
              <w:tl2br w:val="nil"/>
              <w:tr2bl w:val="nil"/>
            </w:tcBorders>
            <w:vAlign w:val="center"/>
          </w:tcPr>
          <w:p>
            <w:pPr>
              <w:pStyle w:val="17"/>
              <w:bidi w:val="0"/>
              <w:ind w:firstLine="0" w:firstLineChars="0"/>
              <w:rPr>
                <w:rFonts w:hint="default"/>
                <w:lang w:val="en-US"/>
              </w:rPr>
            </w:pPr>
            <w:r>
              <w:rPr>
                <w:rFonts w:hint="eastAsia"/>
                <w:lang w:val="en-US" w:eastAsia="zh-CN"/>
              </w:rPr>
              <w:t>2021.8.12</w:t>
            </w:r>
          </w:p>
        </w:tc>
        <w:tc>
          <w:tcPr>
            <w:tcW w:w="1968" w:type="dxa"/>
            <w:tcBorders>
              <w:tl2br w:val="nil"/>
              <w:tr2bl w:val="nil"/>
            </w:tcBorders>
            <w:vAlign w:val="center"/>
          </w:tcPr>
          <w:p>
            <w:pPr>
              <w:pStyle w:val="17"/>
              <w:bidi w:val="0"/>
              <w:rPr>
                <w:rFonts w:hint="default"/>
              </w:rPr>
            </w:pPr>
            <w:r>
              <w:rPr>
                <w:rFonts w:hint="default"/>
              </w:rPr>
              <w:t>02:00-03:00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0.59</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08:00-09:00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0.56</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14:00-15:00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0.55</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17" w:type="dxa"/>
            <w:vMerge w:val="continue"/>
            <w:tcBorders>
              <w:tl2br w:val="nil"/>
              <w:tr2bl w:val="nil"/>
            </w:tcBorders>
            <w:vAlign w:val="center"/>
          </w:tcPr>
          <w:p>
            <w:pPr>
              <w:pStyle w:val="17"/>
              <w:bidi w:val="0"/>
              <w:rPr>
                <w:rFonts w:hint="default"/>
              </w:rPr>
            </w:pPr>
          </w:p>
        </w:tc>
        <w:tc>
          <w:tcPr>
            <w:tcW w:w="1968" w:type="dxa"/>
            <w:tcBorders>
              <w:tl2br w:val="nil"/>
              <w:tr2bl w:val="nil"/>
            </w:tcBorders>
            <w:vAlign w:val="center"/>
          </w:tcPr>
          <w:p>
            <w:pPr>
              <w:pStyle w:val="17"/>
              <w:bidi w:val="0"/>
              <w:rPr>
                <w:rFonts w:hint="default"/>
              </w:rPr>
            </w:pPr>
            <w:r>
              <w:rPr>
                <w:rFonts w:hint="default"/>
              </w:rPr>
              <w:t>20:00-21:00</w:t>
            </w:r>
          </w:p>
        </w:tc>
        <w:tc>
          <w:tcPr>
            <w:tcW w:w="3148" w:type="dxa"/>
            <w:tcBorders>
              <w:tl2br w:val="nil"/>
              <w:tr2bl w:val="nil"/>
            </w:tcBorders>
            <w:vAlign w:val="center"/>
          </w:tcPr>
          <w:p>
            <w:pPr>
              <w:pStyle w:val="17"/>
              <w:bidi w:val="0"/>
              <w:rPr>
                <w:rFonts w:hint="default"/>
                <w:lang w:val="en-US" w:eastAsia="zh-CN"/>
              </w:rPr>
            </w:pPr>
            <w:r>
              <w:rPr>
                <w:rFonts w:hint="eastAsia"/>
                <w:lang w:val="en-US" w:eastAsia="zh-CN"/>
              </w:rPr>
              <w:t>0.58</w:t>
            </w:r>
          </w:p>
        </w:tc>
        <w:tc>
          <w:tcPr>
            <w:tcW w:w="2538" w:type="dxa"/>
            <w:tcBorders>
              <w:tl2br w:val="nil"/>
              <w:tr2bl w:val="nil"/>
            </w:tcBorders>
            <w:vAlign w:val="center"/>
          </w:tcPr>
          <w:p>
            <w:pPr>
              <w:pStyle w:val="17"/>
              <w:bidi w:val="0"/>
              <w:rPr>
                <w:rFonts w:hint="default"/>
                <w:lang w:val="en-US" w:eastAsia="zh-CN"/>
              </w:rPr>
            </w:pPr>
            <w:r>
              <w:rPr>
                <w:rFonts w:hint="eastAsia"/>
                <w:lang w:val="en-US" w:eastAsia="zh-CN"/>
              </w:rPr>
              <w:t>0.52</w:t>
            </w:r>
          </w:p>
        </w:tc>
      </w:tr>
    </w:tbl>
    <w:p>
      <w:pPr>
        <w:pStyle w:val="17"/>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表4.2-4   总悬浮颗粒物监测结果统计表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1986"/>
        <w:gridCol w:w="2830"/>
        <w:gridCol w:w="2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23" w:type="dxa"/>
            <w:vMerge w:val="restart"/>
            <w:vAlign w:val="center"/>
          </w:tcPr>
          <w:p>
            <w:pPr>
              <w:pStyle w:val="17"/>
              <w:bidi w:val="0"/>
              <w:ind w:left="0" w:leftChars="0" w:firstLine="0" w:firstLineChars="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采样日期</w:t>
            </w:r>
          </w:p>
        </w:tc>
        <w:tc>
          <w:tcPr>
            <w:tcW w:w="1986" w:type="dxa"/>
            <w:vMerge w:val="restart"/>
            <w:vAlign w:val="center"/>
          </w:tcPr>
          <w:p>
            <w:pPr>
              <w:pStyle w:val="17"/>
              <w:bidi w:val="0"/>
              <w:ind w:left="0" w:leftChars="0" w:firstLine="0" w:firstLineChars="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时段</w:t>
            </w:r>
          </w:p>
        </w:tc>
        <w:tc>
          <w:tcPr>
            <w:tcW w:w="5662" w:type="dxa"/>
            <w:gridSpan w:val="2"/>
            <w:vAlign w:val="center"/>
          </w:tcPr>
          <w:p>
            <w:pPr>
              <w:pStyle w:val="17"/>
              <w:bidi w:val="0"/>
              <w:rPr>
                <w:rFonts w:hint="eastAsia" w:eastAsia="宋体"/>
                <w:b/>
                <w:bCs/>
                <w:color w:val="000000" w:themeColor="text1"/>
                <w:lang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总悬浮颗粒物</w:t>
            </w:r>
            <w:r>
              <w:rPr>
                <w:rFonts w:hint="default"/>
                <w:b/>
                <w:bCs/>
                <w:color w:val="000000" w:themeColor="text1"/>
                <w14:textFill>
                  <w14:solidFill>
                    <w14:schemeClr w14:val="tx1"/>
                  </w14:solidFill>
                </w14:textFill>
              </w:rPr>
              <w:t>监测结果</w:t>
            </w: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mg/m³</w:t>
            </w:r>
            <w:r>
              <w:rPr>
                <w:rFonts w:hint="eastAsia"/>
                <w:b/>
                <w:bCs/>
                <w:color w:val="000000" w:themeColor="text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23" w:type="dxa"/>
            <w:vMerge w:val="continue"/>
            <w:tcBorders>
              <w:bottom w:val="single" w:color="auto" w:sz="12" w:space="0"/>
            </w:tcBorders>
            <w:vAlign w:val="center"/>
          </w:tcPr>
          <w:p>
            <w:pPr>
              <w:pStyle w:val="17"/>
              <w:bidi w:val="0"/>
              <w:rPr>
                <w:rFonts w:hint="default"/>
                <w:b/>
                <w:bCs/>
                <w:color w:val="000000" w:themeColor="text1"/>
                <w14:textFill>
                  <w14:solidFill>
                    <w14:schemeClr w14:val="tx1"/>
                  </w14:solidFill>
                </w14:textFill>
              </w:rPr>
            </w:pPr>
          </w:p>
        </w:tc>
        <w:tc>
          <w:tcPr>
            <w:tcW w:w="1986" w:type="dxa"/>
            <w:vMerge w:val="continue"/>
            <w:tcBorders>
              <w:bottom w:val="single" w:color="auto" w:sz="12" w:space="0"/>
            </w:tcBorders>
            <w:vAlign w:val="center"/>
          </w:tcPr>
          <w:p>
            <w:pPr>
              <w:pStyle w:val="17"/>
              <w:bidi w:val="0"/>
              <w:rPr>
                <w:rFonts w:hint="default"/>
                <w:b/>
                <w:bCs/>
                <w:color w:val="000000" w:themeColor="text1"/>
                <w14:textFill>
                  <w14:solidFill>
                    <w14:schemeClr w14:val="tx1"/>
                  </w14:solidFill>
                </w14:textFill>
              </w:rPr>
            </w:pPr>
          </w:p>
        </w:tc>
        <w:tc>
          <w:tcPr>
            <w:tcW w:w="2830" w:type="dxa"/>
            <w:tcBorders>
              <w:bottom w:val="single" w:color="auto" w:sz="12" w:space="0"/>
            </w:tcBorders>
            <w:vAlign w:val="center"/>
          </w:tcPr>
          <w:p>
            <w:pPr>
              <w:pStyle w:val="17"/>
              <w:bidi w:val="0"/>
              <w:ind w:firstLine="0" w:firstLineChars="0"/>
              <w:rPr>
                <w:rFonts w:hint="eastAsia"/>
                <w:b/>
                <w:bCs/>
                <w:color w:val="000000" w:themeColor="text1"/>
                <w:lang w:val="en-US" w:eastAsia="zh-CN"/>
                <w14:textFill>
                  <w14:solidFill>
                    <w14:schemeClr w14:val="tx1"/>
                  </w14:solidFill>
                </w14:textFill>
              </w:rPr>
            </w:pPr>
            <w:r>
              <w:rPr>
                <w:rFonts w:hint="default"/>
                <w:b/>
                <w:bCs/>
              </w:rPr>
              <w:t>G1 厂址</w:t>
            </w:r>
            <w:r>
              <w:rPr>
                <w:rFonts w:hint="eastAsia"/>
                <w:b/>
                <w:bCs/>
                <w:lang w:val="en-US" w:eastAsia="zh-CN"/>
              </w:rPr>
              <w:t>上风向</w:t>
            </w:r>
          </w:p>
        </w:tc>
        <w:tc>
          <w:tcPr>
            <w:tcW w:w="2832" w:type="dxa"/>
            <w:tcBorders>
              <w:bottom w:val="single" w:color="auto" w:sz="12" w:space="0"/>
            </w:tcBorders>
            <w:vAlign w:val="center"/>
          </w:tcPr>
          <w:p>
            <w:pPr>
              <w:pStyle w:val="17"/>
              <w:bidi w:val="0"/>
              <w:ind w:firstLine="0" w:firstLineChars="0"/>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default"/>
                <w:b/>
                <w:bCs/>
              </w:rPr>
              <w:t>G2 厂址下风向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23" w:type="dxa"/>
            <w:tcBorders>
              <w:top w:val="single" w:color="auto" w:sz="12" w:space="0"/>
              <w:tl2br w:val="nil"/>
              <w:tr2bl w:val="nil"/>
            </w:tcBorders>
            <w:vAlign w:val="center"/>
          </w:tcPr>
          <w:p>
            <w:pPr>
              <w:pStyle w:val="17"/>
              <w:bidi w:val="0"/>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2021.8.6</w:t>
            </w:r>
          </w:p>
        </w:tc>
        <w:tc>
          <w:tcPr>
            <w:tcW w:w="1986" w:type="dxa"/>
            <w:tcBorders>
              <w:top w:val="single" w:color="auto" w:sz="12" w:space="0"/>
              <w:tl2br w:val="nil"/>
              <w:tr2bl w:val="nil"/>
            </w:tcBorders>
            <w:vAlign w:val="center"/>
          </w:tcPr>
          <w:p>
            <w:pPr>
              <w:pStyle w:val="17"/>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00：00~24：00</w:t>
            </w:r>
          </w:p>
        </w:tc>
        <w:tc>
          <w:tcPr>
            <w:tcW w:w="2830" w:type="dxa"/>
            <w:tcBorders>
              <w:top w:val="single" w:color="auto" w:sz="12" w:space="0"/>
              <w:tl2br w:val="nil"/>
              <w:tr2bl w:val="nil"/>
            </w:tcBorders>
            <w:vAlign w:val="center"/>
          </w:tcPr>
          <w:p>
            <w:pPr>
              <w:pStyle w:val="1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0.07</w:t>
            </w:r>
          </w:p>
        </w:tc>
        <w:tc>
          <w:tcPr>
            <w:tcW w:w="2832" w:type="dxa"/>
            <w:tcBorders>
              <w:top w:val="single" w:color="auto" w:sz="12" w:space="0"/>
              <w:tl2br w:val="nil"/>
              <w:tr2bl w:val="nil"/>
            </w:tcBorders>
            <w:vAlign w:val="center"/>
          </w:tcPr>
          <w:p>
            <w:pPr>
              <w:pStyle w:val="17"/>
              <w:bidi w:val="0"/>
              <w:ind w:firstLine="0" w:firstLineChars="0"/>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bidi="ar-SA"/>
                <w14:textFill>
                  <w14:solidFill>
                    <w14:schemeClr w14:val="tx1"/>
                  </w14:solidFill>
                </w14:textFill>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23" w:type="dxa"/>
            <w:tcBorders>
              <w:tl2br w:val="nil"/>
              <w:tr2bl w:val="nil"/>
            </w:tcBorders>
            <w:vAlign w:val="center"/>
          </w:tcPr>
          <w:p>
            <w:pPr>
              <w:pStyle w:val="17"/>
              <w:bidi w:val="0"/>
              <w:rPr>
                <w:rFonts w:hint="default"/>
                <w:lang w:val="en-US" w:eastAsia="zh-CN"/>
              </w:rPr>
            </w:pPr>
            <w:r>
              <w:rPr>
                <w:rFonts w:hint="eastAsia"/>
                <w:lang w:val="en-US" w:eastAsia="zh-CN"/>
              </w:rPr>
              <w:t>2021.8.7</w:t>
            </w:r>
          </w:p>
        </w:tc>
        <w:tc>
          <w:tcPr>
            <w:tcW w:w="1986" w:type="dxa"/>
            <w:tcBorders>
              <w:tl2br w:val="nil"/>
              <w:tr2bl w:val="nil"/>
            </w:tcBorders>
            <w:vAlign w:val="center"/>
          </w:tcPr>
          <w:p>
            <w:pPr>
              <w:pStyle w:val="17"/>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00：00~24：00</w:t>
            </w:r>
          </w:p>
        </w:tc>
        <w:tc>
          <w:tcPr>
            <w:tcW w:w="2830" w:type="dxa"/>
            <w:tcBorders>
              <w:tl2br w:val="nil"/>
              <w:tr2bl w:val="nil"/>
            </w:tcBorders>
            <w:vAlign w:val="center"/>
          </w:tcPr>
          <w:p>
            <w:pPr>
              <w:pStyle w:val="17"/>
              <w:bidi w:val="0"/>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0.08</w:t>
            </w:r>
          </w:p>
        </w:tc>
        <w:tc>
          <w:tcPr>
            <w:tcW w:w="2832" w:type="dxa"/>
            <w:tcBorders>
              <w:tl2br w:val="nil"/>
              <w:tr2bl w:val="nil"/>
            </w:tcBorders>
            <w:vAlign w:val="center"/>
          </w:tcPr>
          <w:p>
            <w:pPr>
              <w:pStyle w:val="17"/>
              <w:bidi w:val="0"/>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23" w:type="dxa"/>
            <w:tcBorders>
              <w:tl2br w:val="nil"/>
              <w:tr2bl w:val="nil"/>
            </w:tcBorders>
            <w:vAlign w:val="center"/>
          </w:tcPr>
          <w:p>
            <w:pPr>
              <w:pStyle w:val="17"/>
              <w:bidi w:val="0"/>
              <w:rPr>
                <w:rFonts w:hint="default"/>
                <w:lang w:val="en-US" w:eastAsia="zh-CN"/>
              </w:rPr>
            </w:pPr>
            <w:r>
              <w:rPr>
                <w:rFonts w:hint="eastAsia"/>
                <w:lang w:val="en-US" w:eastAsia="zh-CN"/>
              </w:rPr>
              <w:t>2021.8.8</w:t>
            </w:r>
          </w:p>
        </w:tc>
        <w:tc>
          <w:tcPr>
            <w:tcW w:w="1986" w:type="dxa"/>
            <w:tcBorders>
              <w:tl2br w:val="nil"/>
              <w:tr2bl w:val="nil"/>
            </w:tcBorders>
            <w:vAlign w:val="center"/>
          </w:tcPr>
          <w:p>
            <w:pPr>
              <w:pStyle w:val="17"/>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00：00~24：00</w:t>
            </w:r>
          </w:p>
        </w:tc>
        <w:tc>
          <w:tcPr>
            <w:tcW w:w="2830" w:type="dxa"/>
            <w:tcBorders>
              <w:tl2br w:val="nil"/>
              <w:tr2bl w:val="nil"/>
            </w:tcBorders>
            <w:vAlign w:val="center"/>
          </w:tcPr>
          <w:p>
            <w:pPr>
              <w:pStyle w:val="1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0.09</w:t>
            </w:r>
          </w:p>
        </w:tc>
        <w:tc>
          <w:tcPr>
            <w:tcW w:w="2832" w:type="dxa"/>
            <w:tcBorders>
              <w:tl2br w:val="nil"/>
              <w:tr2bl w:val="nil"/>
            </w:tcBorders>
            <w:vAlign w:val="center"/>
          </w:tcPr>
          <w:p>
            <w:pPr>
              <w:pStyle w:val="17"/>
              <w:bidi w:val="0"/>
              <w:ind w:firstLine="0" w:firstLineChars="0"/>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bidi="ar-SA"/>
                <w14:textFill>
                  <w14:solidFill>
                    <w14:schemeClr w14:val="tx1"/>
                  </w14:solidFill>
                </w14:textFill>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23" w:type="dxa"/>
            <w:tcBorders>
              <w:tl2br w:val="nil"/>
              <w:tr2bl w:val="nil"/>
            </w:tcBorders>
            <w:vAlign w:val="center"/>
          </w:tcPr>
          <w:p>
            <w:pPr>
              <w:pStyle w:val="17"/>
              <w:bidi w:val="0"/>
              <w:rPr>
                <w:rFonts w:hint="default"/>
                <w:lang w:val="en-US" w:eastAsia="zh-CN"/>
              </w:rPr>
            </w:pPr>
            <w:r>
              <w:rPr>
                <w:rFonts w:hint="eastAsia"/>
                <w:lang w:val="en-US" w:eastAsia="zh-CN"/>
              </w:rPr>
              <w:t>2021.8.9</w:t>
            </w:r>
          </w:p>
        </w:tc>
        <w:tc>
          <w:tcPr>
            <w:tcW w:w="1986" w:type="dxa"/>
            <w:tcBorders>
              <w:tl2br w:val="nil"/>
              <w:tr2bl w:val="nil"/>
            </w:tcBorders>
            <w:vAlign w:val="center"/>
          </w:tcPr>
          <w:p>
            <w:pPr>
              <w:pStyle w:val="17"/>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00：00~24：00</w:t>
            </w:r>
          </w:p>
        </w:tc>
        <w:tc>
          <w:tcPr>
            <w:tcW w:w="2830" w:type="dxa"/>
            <w:tcBorders>
              <w:tl2br w:val="nil"/>
              <w:tr2bl w:val="nil"/>
            </w:tcBorders>
            <w:vAlign w:val="center"/>
          </w:tcPr>
          <w:p>
            <w:pPr>
              <w:pStyle w:val="1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0.15</w:t>
            </w:r>
          </w:p>
        </w:tc>
        <w:tc>
          <w:tcPr>
            <w:tcW w:w="2832" w:type="dxa"/>
            <w:tcBorders>
              <w:tl2br w:val="nil"/>
              <w:tr2bl w:val="nil"/>
            </w:tcBorders>
            <w:vAlign w:val="center"/>
          </w:tcPr>
          <w:p>
            <w:pPr>
              <w:pStyle w:val="17"/>
              <w:bidi w:val="0"/>
              <w:ind w:firstLine="0" w:firstLineChars="0"/>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bidi="ar-SA"/>
                <w14:textFill>
                  <w14:solidFill>
                    <w14:schemeClr w14:val="tx1"/>
                  </w14:solidFill>
                </w14:textFill>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23" w:type="dxa"/>
            <w:tcBorders>
              <w:tl2br w:val="nil"/>
              <w:tr2bl w:val="nil"/>
            </w:tcBorders>
            <w:vAlign w:val="center"/>
          </w:tcPr>
          <w:p>
            <w:pPr>
              <w:pStyle w:val="17"/>
              <w:bidi w:val="0"/>
              <w:rPr>
                <w:rFonts w:hint="default"/>
                <w:lang w:val="en-US" w:eastAsia="zh-CN"/>
              </w:rPr>
            </w:pPr>
            <w:r>
              <w:rPr>
                <w:rFonts w:hint="eastAsia"/>
                <w:lang w:val="en-US" w:eastAsia="zh-CN"/>
              </w:rPr>
              <w:t>2021.8.10</w:t>
            </w:r>
          </w:p>
        </w:tc>
        <w:tc>
          <w:tcPr>
            <w:tcW w:w="1986" w:type="dxa"/>
            <w:tcBorders>
              <w:tl2br w:val="nil"/>
              <w:tr2bl w:val="nil"/>
            </w:tcBorders>
            <w:vAlign w:val="center"/>
          </w:tcPr>
          <w:p>
            <w:pPr>
              <w:pStyle w:val="17"/>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00：00~24：00</w:t>
            </w:r>
          </w:p>
        </w:tc>
        <w:tc>
          <w:tcPr>
            <w:tcW w:w="2830" w:type="dxa"/>
            <w:tcBorders>
              <w:tl2br w:val="nil"/>
              <w:tr2bl w:val="nil"/>
            </w:tcBorders>
            <w:vAlign w:val="center"/>
          </w:tcPr>
          <w:p>
            <w:pPr>
              <w:pStyle w:val="1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0.13</w:t>
            </w:r>
          </w:p>
        </w:tc>
        <w:tc>
          <w:tcPr>
            <w:tcW w:w="2832" w:type="dxa"/>
            <w:tcBorders>
              <w:tl2br w:val="nil"/>
              <w:tr2bl w:val="nil"/>
            </w:tcBorders>
            <w:vAlign w:val="center"/>
          </w:tcPr>
          <w:p>
            <w:pPr>
              <w:pStyle w:val="17"/>
              <w:bidi w:val="0"/>
              <w:ind w:firstLine="0" w:firstLineChars="0"/>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bidi="ar-SA"/>
                <w14:textFill>
                  <w14:solidFill>
                    <w14:schemeClr w14:val="tx1"/>
                  </w14:solidFill>
                </w14:textFill>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23" w:type="dxa"/>
            <w:tcBorders>
              <w:tl2br w:val="nil"/>
              <w:tr2bl w:val="nil"/>
            </w:tcBorders>
            <w:vAlign w:val="center"/>
          </w:tcPr>
          <w:p>
            <w:pPr>
              <w:pStyle w:val="17"/>
              <w:bidi w:val="0"/>
              <w:rPr>
                <w:rFonts w:hint="default"/>
                <w:lang w:val="en-US" w:eastAsia="zh-CN"/>
              </w:rPr>
            </w:pPr>
            <w:r>
              <w:rPr>
                <w:rFonts w:hint="eastAsia"/>
                <w:lang w:val="en-US" w:eastAsia="zh-CN"/>
              </w:rPr>
              <w:t>2021.8.11</w:t>
            </w:r>
          </w:p>
        </w:tc>
        <w:tc>
          <w:tcPr>
            <w:tcW w:w="1986" w:type="dxa"/>
            <w:tcBorders>
              <w:tl2br w:val="nil"/>
              <w:tr2bl w:val="nil"/>
            </w:tcBorders>
            <w:vAlign w:val="center"/>
          </w:tcPr>
          <w:p>
            <w:pPr>
              <w:pStyle w:val="17"/>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00：00~24：00</w:t>
            </w:r>
          </w:p>
        </w:tc>
        <w:tc>
          <w:tcPr>
            <w:tcW w:w="2830" w:type="dxa"/>
            <w:tcBorders>
              <w:tl2br w:val="nil"/>
              <w:tr2bl w:val="nil"/>
            </w:tcBorders>
            <w:vAlign w:val="center"/>
          </w:tcPr>
          <w:p>
            <w:pPr>
              <w:pStyle w:val="1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w:t>
            </w:r>
          </w:p>
        </w:tc>
        <w:tc>
          <w:tcPr>
            <w:tcW w:w="2832" w:type="dxa"/>
            <w:tcBorders>
              <w:tl2br w:val="nil"/>
              <w:tr2bl w:val="nil"/>
            </w:tcBorders>
            <w:vAlign w:val="center"/>
          </w:tcPr>
          <w:p>
            <w:pPr>
              <w:pStyle w:val="17"/>
              <w:bidi w:val="0"/>
              <w:ind w:firstLine="0" w:firstLineChars="0"/>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bidi="ar-SA"/>
                <w14:textFill>
                  <w14:solidFill>
                    <w14:schemeClr w14:val="tx1"/>
                  </w14:solidFill>
                </w14:textFill>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1423" w:type="dxa"/>
            <w:tcBorders>
              <w:tl2br w:val="nil"/>
              <w:tr2bl w:val="nil"/>
            </w:tcBorders>
            <w:vAlign w:val="center"/>
          </w:tcPr>
          <w:p>
            <w:pPr>
              <w:pStyle w:val="17"/>
              <w:bidi w:val="0"/>
              <w:rPr>
                <w:rFonts w:hint="default"/>
                <w:lang w:val="en-US" w:eastAsia="zh-CN"/>
              </w:rPr>
            </w:pPr>
            <w:r>
              <w:rPr>
                <w:rFonts w:hint="eastAsia"/>
                <w:lang w:val="en-US" w:eastAsia="zh-CN"/>
              </w:rPr>
              <w:t>2021.8.12</w:t>
            </w:r>
          </w:p>
        </w:tc>
        <w:tc>
          <w:tcPr>
            <w:tcW w:w="1986" w:type="dxa"/>
            <w:tcBorders>
              <w:tl2br w:val="nil"/>
              <w:tr2bl w:val="nil"/>
            </w:tcBorders>
            <w:vAlign w:val="center"/>
          </w:tcPr>
          <w:p>
            <w:pPr>
              <w:pStyle w:val="17"/>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00：00~24：00</w:t>
            </w:r>
          </w:p>
        </w:tc>
        <w:tc>
          <w:tcPr>
            <w:tcW w:w="2830" w:type="dxa"/>
            <w:tcBorders>
              <w:tl2br w:val="nil"/>
              <w:tr2bl w:val="nil"/>
            </w:tcBorders>
            <w:vAlign w:val="center"/>
          </w:tcPr>
          <w:p>
            <w:pPr>
              <w:pStyle w:val="17"/>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0.10</w:t>
            </w:r>
          </w:p>
        </w:tc>
        <w:tc>
          <w:tcPr>
            <w:tcW w:w="2832" w:type="dxa"/>
            <w:tcBorders>
              <w:tl2br w:val="nil"/>
              <w:tr2bl w:val="nil"/>
            </w:tcBorders>
            <w:vAlign w:val="center"/>
          </w:tcPr>
          <w:p>
            <w:pPr>
              <w:pStyle w:val="17"/>
              <w:bidi w:val="0"/>
              <w:ind w:firstLine="0" w:firstLineChars="0"/>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bidi="ar-SA"/>
                <w14:textFill>
                  <w14:solidFill>
                    <w14:schemeClr w14:val="tx1"/>
                  </w14:solidFill>
                </w14:textFill>
              </w:rPr>
              <w:t>0.08</w:t>
            </w:r>
          </w:p>
        </w:tc>
      </w:tr>
    </w:tbl>
    <w:p>
      <w:pPr>
        <w:bidi w:val="0"/>
        <w:rPr>
          <w:rFonts w:hint="default"/>
        </w:rPr>
      </w:pPr>
      <w:r>
        <w:rPr>
          <w:rFonts w:hint="default"/>
        </w:rPr>
        <w:t>根据现状监测数据和《环境影响评价技术导则 大气环境》（HJ/T2.2-2018）对监测数据统计分析要求，其环境空气质量监测点各项污染物的评价结果见表4.</w:t>
      </w:r>
      <w:r>
        <w:rPr>
          <w:rFonts w:hint="eastAsia"/>
          <w:lang w:val="en-US" w:eastAsia="zh-CN"/>
        </w:rPr>
        <w:t>2</w:t>
      </w:r>
      <w:r>
        <w:rPr>
          <w:rFonts w:hint="default"/>
        </w:rPr>
        <w:t>-</w:t>
      </w:r>
      <w:r>
        <w:rPr>
          <w:rFonts w:hint="eastAsia"/>
          <w:lang w:val="en-US" w:eastAsia="zh-CN"/>
        </w:rPr>
        <w:t>5</w:t>
      </w:r>
      <w:r>
        <w:rPr>
          <w:rFonts w:hint="default"/>
        </w:rPr>
        <w:t>。</w:t>
      </w:r>
    </w:p>
    <w:p>
      <w:pPr>
        <w:pStyle w:val="17"/>
        <w:bidi w:val="0"/>
        <w:rPr>
          <w:rFonts w:hint="default"/>
          <w:b/>
          <w:bCs/>
        </w:rPr>
      </w:pPr>
      <w:r>
        <w:rPr>
          <w:rFonts w:hint="default"/>
          <w:b/>
          <w:bCs/>
        </w:rPr>
        <w:t>表4.</w:t>
      </w:r>
      <w:r>
        <w:rPr>
          <w:rFonts w:hint="eastAsia"/>
          <w:b/>
          <w:bCs/>
          <w:lang w:val="en-US" w:eastAsia="zh-CN"/>
        </w:rPr>
        <w:t>2</w:t>
      </w:r>
      <w:r>
        <w:rPr>
          <w:rFonts w:hint="default"/>
          <w:b/>
          <w:bCs/>
        </w:rPr>
        <w:t>-</w:t>
      </w:r>
      <w:r>
        <w:rPr>
          <w:rFonts w:hint="eastAsia"/>
          <w:b/>
          <w:bCs/>
          <w:lang w:val="en-US" w:eastAsia="zh-CN"/>
        </w:rPr>
        <w:t>5</w:t>
      </w:r>
      <w:r>
        <w:rPr>
          <w:rFonts w:hint="default"/>
          <w:b/>
          <w:bCs/>
        </w:rPr>
        <w:t xml:space="preserve">    环境空气质量统计分析表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90"/>
        <w:gridCol w:w="1136"/>
        <w:gridCol w:w="712"/>
        <w:gridCol w:w="1016"/>
        <w:gridCol w:w="1281"/>
        <w:gridCol w:w="941"/>
        <w:gridCol w:w="703"/>
        <w:gridCol w:w="7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35" w:type="dxa"/>
            <w:vMerge w:val="restart"/>
            <w:tcBorders>
              <w:tl2br w:val="nil"/>
              <w:tr2bl w:val="nil"/>
            </w:tcBorders>
            <w:vAlign w:val="center"/>
          </w:tcPr>
          <w:p>
            <w:pPr>
              <w:pStyle w:val="17"/>
              <w:bidi w:val="0"/>
              <w:rPr>
                <w:rFonts w:hint="default"/>
                <w:b/>
                <w:bCs/>
              </w:rPr>
            </w:pPr>
            <w:r>
              <w:rPr>
                <w:rFonts w:hint="default"/>
                <w:b/>
                <w:bCs/>
              </w:rPr>
              <w:t>监测点名称</w:t>
            </w:r>
          </w:p>
        </w:tc>
        <w:tc>
          <w:tcPr>
            <w:tcW w:w="1790" w:type="dxa"/>
            <w:vMerge w:val="restart"/>
            <w:tcBorders>
              <w:tl2br w:val="nil"/>
              <w:tr2bl w:val="nil"/>
            </w:tcBorders>
            <w:vAlign w:val="center"/>
          </w:tcPr>
          <w:p>
            <w:pPr>
              <w:pStyle w:val="17"/>
              <w:bidi w:val="0"/>
              <w:rPr>
                <w:rFonts w:hint="default"/>
                <w:b/>
                <w:bCs/>
              </w:rPr>
            </w:pPr>
            <w:r>
              <w:rPr>
                <w:rFonts w:hint="default"/>
                <w:b/>
                <w:bCs/>
              </w:rPr>
              <w:t>监测点坐标</w:t>
            </w:r>
          </w:p>
        </w:tc>
        <w:tc>
          <w:tcPr>
            <w:tcW w:w="1136" w:type="dxa"/>
            <w:vMerge w:val="restart"/>
            <w:tcBorders>
              <w:tl2br w:val="nil"/>
              <w:tr2bl w:val="nil"/>
            </w:tcBorders>
            <w:vAlign w:val="center"/>
          </w:tcPr>
          <w:p>
            <w:pPr>
              <w:pStyle w:val="17"/>
              <w:bidi w:val="0"/>
              <w:rPr>
                <w:rFonts w:hint="default"/>
                <w:b/>
                <w:bCs/>
              </w:rPr>
            </w:pPr>
            <w:r>
              <w:rPr>
                <w:rFonts w:hint="default"/>
                <w:b/>
                <w:bCs/>
              </w:rPr>
              <w:t>污染物</w:t>
            </w:r>
          </w:p>
        </w:tc>
        <w:tc>
          <w:tcPr>
            <w:tcW w:w="712" w:type="dxa"/>
            <w:vMerge w:val="restart"/>
            <w:tcBorders>
              <w:tl2br w:val="nil"/>
              <w:tr2bl w:val="nil"/>
            </w:tcBorders>
            <w:vAlign w:val="center"/>
          </w:tcPr>
          <w:p>
            <w:pPr>
              <w:pStyle w:val="17"/>
              <w:bidi w:val="0"/>
              <w:rPr>
                <w:rFonts w:hint="default"/>
                <w:b/>
                <w:bCs/>
              </w:rPr>
            </w:pPr>
            <w:r>
              <w:rPr>
                <w:rFonts w:hint="default"/>
                <w:b/>
                <w:bCs/>
              </w:rPr>
              <w:t>平均时间</w:t>
            </w:r>
          </w:p>
        </w:tc>
        <w:tc>
          <w:tcPr>
            <w:tcW w:w="1016" w:type="dxa"/>
            <w:vMerge w:val="restart"/>
            <w:tcBorders>
              <w:tl2br w:val="nil"/>
              <w:tr2bl w:val="nil"/>
            </w:tcBorders>
            <w:vAlign w:val="center"/>
          </w:tcPr>
          <w:p>
            <w:pPr>
              <w:pStyle w:val="17"/>
              <w:bidi w:val="0"/>
              <w:rPr>
                <w:rFonts w:hint="eastAsia"/>
                <w:b/>
                <w:bCs/>
                <w:lang w:eastAsia="zh-CN"/>
              </w:rPr>
            </w:pPr>
            <w:r>
              <w:rPr>
                <w:rFonts w:hint="default"/>
                <w:b/>
                <w:bCs/>
              </w:rPr>
              <w:t>评价标准mg/</w:t>
            </w:r>
            <w:r>
              <w:rPr>
                <w:rFonts w:hint="eastAsia"/>
                <w:b/>
                <w:bCs/>
                <w:lang w:eastAsia="zh-CN"/>
              </w:rPr>
              <w:t>m³</w:t>
            </w:r>
          </w:p>
        </w:tc>
        <w:tc>
          <w:tcPr>
            <w:tcW w:w="1281" w:type="dxa"/>
            <w:vMerge w:val="restart"/>
            <w:tcBorders>
              <w:tl2br w:val="nil"/>
              <w:tr2bl w:val="nil"/>
            </w:tcBorders>
            <w:vAlign w:val="center"/>
          </w:tcPr>
          <w:p>
            <w:pPr>
              <w:pStyle w:val="17"/>
              <w:bidi w:val="0"/>
              <w:rPr>
                <w:rFonts w:hint="eastAsia"/>
                <w:b/>
                <w:bCs/>
                <w:lang w:eastAsia="zh-CN"/>
              </w:rPr>
            </w:pPr>
            <w:r>
              <w:rPr>
                <w:rFonts w:hint="default"/>
                <w:b/>
                <w:bCs/>
              </w:rPr>
              <w:t>监测浓度范围mg/</w:t>
            </w:r>
            <w:r>
              <w:rPr>
                <w:rFonts w:hint="eastAsia"/>
                <w:b/>
                <w:bCs/>
                <w:lang w:eastAsia="zh-CN"/>
              </w:rPr>
              <w:t>m³</w:t>
            </w:r>
          </w:p>
        </w:tc>
        <w:tc>
          <w:tcPr>
            <w:tcW w:w="941" w:type="dxa"/>
            <w:vMerge w:val="restart"/>
            <w:tcBorders>
              <w:tl2br w:val="nil"/>
              <w:tr2bl w:val="nil"/>
            </w:tcBorders>
            <w:vAlign w:val="center"/>
          </w:tcPr>
          <w:p>
            <w:pPr>
              <w:pStyle w:val="17"/>
              <w:bidi w:val="0"/>
              <w:rPr>
                <w:rFonts w:hint="default"/>
                <w:b/>
                <w:bCs/>
              </w:rPr>
            </w:pPr>
            <w:r>
              <w:rPr>
                <w:rFonts w:hint="default"/>
                <w:b/>
                <w:bCs/>
              </w:rPr>
              <w:t>最大浓度占标率%</w:t>
            </w:r>
          </w:p>
        </w:tc>
        <w:tc>
          <w:tcPr>
            <w:tcW w:w="703" w:type="dxa"/>
            <w:vMerge w:val="restart"/>
            <w:tcBorders>
              <w:tl2br w:val="nil"/>
              <w:tr2bl w:val="nil"/>
            </w:tcBorders>
            <w:vAlign w:val="center"/>
          </w:tcPr>
          <w:p>
            <w:pPr>
              <w:pStyle w:val="17"/>
              <w:bidi w:val="0"/>
              <w:rPr>
                <w:rFonts w:hint="default"/>
                <w:b/>
                <w:bCs/>
              </w:rPr>
            </w:pPr>
            <w:r>
              <w:rPr>
                <w:rFonts w:hint="default"/>
                <w:b/>
                <w:bCs/>
              </w:rPr>
              <w:t>超标率%</w:t>
            </w:r>
          </w:p>
        </w:tc>
        <w:tc>
          <w:tcPr>
            <w:tcW w:w="757" w:type="dxa"/>
            <w:vMerge w:val="restart"/>
            <w:tcBorders>
              <w:tl2br w:val="nil"/>
              <w:tr2bl w:val="nil"/>
            </w:tcBorders>
            <w:vAlign w:val="center"/>
          </w:tcPr>
          <w:p>
            <w:pPr>
              <w:pStyle w:val="17"/>
              <w:bidi w:val="0"/>
              <w:rPr>
                <w:rFonts w:hint="default"/>
                <w:b/>
                <w:bCs/>
              </w:rPr>
            </w:pPr>
            <w:r>
              <w:rPr>
                <w:rFonts w:hint="default"/>
                <w:b/>
                <w:bCs/>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35" w:type="dxa"/>
            <w:vMerge w:val="continue"/>
            <w:tcBorders>
              <w:tl2br w:val="nil"/>
              <w:tr2bl w:val="nil"/>
            </w:tcBorders>
            <w:vAlign w:val="center"/>
          </w:tcPr>
          <w:p>
            <w:pPr>
              <w:pStyle w:val="17"/>
              <w:bidi w:val="0"/>
              <w:rPr>
                <w:rFonts w:hint="default"/>
                <w:b/>
                <w:bCs/>
              </w:rPr>
            </w:pPr>
          </w:p>
        </w:tc>
        <w:tc>
          <w:tcPr>
            <w:tcW w:w="1790" w:type="dxa"/>
            <w:vMerge w:val="continue"/>
            <w:tcBorders>
              <w:tl2br w:val="nil"/>
              <w:tr2bl w:val="nil"/>
            </w:tcBorders>
            <w:vAlign w:val="center"/>
          </w:tcPr>
          <w:p>
            <w:pPr>
              <w:pStyle w:val="17"/>
              <w:bidi w:val="0"/>
              <w:rPr>
                <w:rFonts w:hint="default"/>
                <w:b/>
                <w:bCs/>
              </w:rPr>
            </w:pPr>
          </w:p>
        </w:tc>
        <w:tc>
          <w:tcPr>
            <w:tcW w:w="1136" w:type="dxa"/>
            <w:vMerge w:val="continue"/>
            <w:tcBorders>
              <w:tl2br w:val="nil"/>
              <w:tr2bl w:val="nil"/>
            </w:tcBorders>
            <w:vAlign w:val="center"/>
          </w:tcPr>
          <w:p>
            <w:pPr>
              <w:pStyle w:val="17"/>
              <w:bidi w:val="0"/>
              <w:rPr>
                <w:rFonts w:hint="default"/>
                <w:b/>
                <w:bCs/>
              </w:rPr>
            </w:pPr>
          </w:p>
        </w:tc>
        <w:tc>
          <w:tcPr>
            <w:tcW w:w="712" w:type="dxa"/>
            <w:vMerge w:val="continue"/>
            <w:tcBorders>
              <w:tl2br w:val="nil"/>
              <w:tr2bl w:val="nil"/>
            </w:tcBorders>
            <w:vAlign w:val="center"/>
          </w:tcPr>
          <w:p>
            <w:pPr>
              <w:pStyle w:val="17"/>
              <w:bidi w:val="0"/>
              <w:rPr>
                <w:rFonts w:hint="default"/>
                <w:b/>
                <w:bCs/>
              </w:rPr>
            </w:pPr>
          </w:p>
        </w:tc>
        <w:tc>
          <w:tcPr>
            <w:tcW w:w="1016" w:type="dxa"/>
            <w:vMerge w:val="continue"/>
            <w:tcBorders>
              <w:tl2br w:val="nil"/>
              <w:tr2bl w:val="nil"/>
            </w:tcBorders>
            <w:vAlign w:val="center"/>
          </w:tcPr>
          <w:p>
            <w:pPr>
              <w:pStyle w:val="17"/>
              <w:bidi w:val="0"/>
              <w:rPr>
                <w:rFonts w:hint="default"/>
                <w:b/>
                <w:bCs/>
              </w:rPr>
            </w:pPr>
          </w:p>
        </w:tc>
        <w:tc>
          <w:tcPr>
            <w:tcW w:w="1281" w:type="dxa"/>
            <w:vMerge w:val="continue"/>
            <w:tcBorders>
              <w:tl2br w:val="nil"/>
              <w:tr2bl w:val="nil"/>
            </w:tcBorders>
            <w:vAlign w:val="center"/>
          </w:tcPr>
          <w:p>
            <w:pPr>
              <w:pStyle w:val="17"/>
              <w:bidi w:val="0"/>
              <w:rPr>
                <w:rFonts w:hint="default"/>
                <w:b/>
                <w:bCs/>
              </w:rPr>
            </w:pPr>
          </w:p>
        </w:tc>
        <w:tc>
          <w:tcPr>
            <w:tcW w:w="941" w:type="dxa"/>
            <w:vMerge w:val="continue"/>
            <w:tcBorders>
              <w:tl2br w:val="nil"/>
              <w:tr2bl w:val="nil"/>
            </w:tcBorders>
            <w:vAlign w:val="center"/>
          </w:tcPr>
          <w:p>
            <w:pPr>
              <w:pStyle w:val="17"/>
              <w:bidi w:val="0"/>
              <w:rPr>
                <w:rFonts w:hint="default"/>
                <w:b/>
                <w:bCs/>
              </w:rPr>
            </w:pPr>
          </w:p>
        </w:tc>
        <w:tc>
          <w:tcPr>
            <w:tcW w:w="703" w:type="dxa"/>
            <w:vMerge w:val="continue"/>
            <w:tcBorders>
              <w:tl2br w:val="nil"/>
              <w:tr2bl w:val="nil"/>
            </w:tcBorders>
            <w:vAlign w:val="center"/>
          </w:tcPr>
          <w:p>
            <w:pPr>
              <w:pStyle w:val="17"/>
              <w:bidi w:val="0"/>
              <w:rPr>
                <w:rFonts w:hint="default"/>
                <w:b/>
                <w:bCs/>
              </w:rPr>
            </w:pPr>
          </w:p>
        </w:tc>
        <w:tc>
          <w:tcPr>
            <w:tcW w:w="757" w:type="dxa"/>
            <w:vMerge w:val="continue"/>
            <w:tcBorders>
              <w:tl2br w:val="nil"/>
              <w:tr2bl w:val="nil"/>
            </w:tcBorders>
            <w:vAlign w:val="center"/>
          </w:tcPr>
          <w:p>
            <w:pPr>
              <w:pStyle w:val="17"/>
              <w:bidi w:val="0"/>
              <w:rPr>
                <w:rFonts w:hint="default"/>
                <w:b/>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jc w:val="center"/>
        </w:trPr>
        <w:tc>
          <w:tcPr>
            <w:tcW w:w="735" w:type="dxa"/>
            <w:vMerge w:val="restart"/>
            <w:tcBorders>
              <w:tl2br w:val="nil"/>
              <w:tr2bl w:val="nil"/>
            </w:tcBorders>
            <w:vAlign w:val="center"/>
          </w:tcPr>
          <w:p>
            <w:pPr>
              <w:pStyle w:val="17"/>
              <w:bidi w:val="0"/>
              <w:rPr>
                <w:rFonts w:hint="default"/>
              </w:rPr>
            </w:pPr>
            <w:r>
              <w:rPr>
                <w:rFonts w:hint="default"/>
              </w:rPr>
              <w:t>G1</w:t>
            </w:r>
          </w:p>
        </w:tc>
        <w:tc>
          <w:tcPr>
            <w:tcW w:w="1790" w:type="dxa"/>
            <w:vMerge w:val="restart"/>
            <w:tcBorders>
              <w:tl2br w:val="nil"/>
              <w:tr2bl w:val="nil"/>
            </w:tcBorders>
            <w:vAlign w:val="center"/>
          </w:tcPr>
          <w:p>
            <w:pPr>
              <w:pStyle w:val="17"/>
              <w:bidi w:val="0"/>
              <w:ind w:firstLine="0" w:firstLineChars="0"/>
              <w:rPr>
                <w:rFonts w:hint="eastAsia"/>
                <w:lang w:eastAsia="zh-CN"/>
              </w:rPr>
            </w:pPr>
            <w:r>
              <w:rPr>
                <w:rFonts w:hint="eastAsia"/>
                <w:lang w:val="en-US" w:eastAsia="zh-CN"/>
              </w:rPr>
              <w:t>N</w:t>
            </w:r>
            <w:r>
              <w:rPr>
                <w:rFonts w:hint="default"/>
              </w:rPr>
              <w:t>44° 0'</w:t>
            </w:r>
            <w:r>
              <w:rPr>
                <w:rFonts w:hint="eastAsia"/>
                <w:lang w:val="en-US" w:eastAsia="zh-CN"/>
              </w:rPr>
              <w:t>42.85</w:t>
            </w:r>
            <w:r>
              <w:rPr>
                <w:rFonts w:hint="default"/>
              </w:rPr>
              <w:t>"</w:t>
            </w:r>
            <w:r>
              <w:rPr>
                <w:rFonts w:hint="eastAsia"/>
                <w:lang w:eastAsia="zh-CN"/>
              </w:rPr>
              <w:t>、</w:t>
            </w:r>
            <w:r>
              <w:rPr>
                <w:rFonts w:hint="eastAsia"/>
                <w:lang w:val="en-US" w:eastAsia="zh-CN"/>
              </w:rPr>
              <w:t>E</w:t>
            </w:r>
            <w:r>
              <w:rPr>
                <w:rFonts w:hint="eastAsia"/>
                <w:lang w:eastAsia="zh-CN"/>
              </w:rPr>
              <w:t>89°20'5</w:t>
            </w:r>
            <w:r>
              <w:rPr>
                <w:rFonts w:hint="eastAsia"/>
                <w:lang w:val="en-US" w:eastAsia="zh-CN"/>
              </w:rPr>
              <w:t>3.68</w:t>
            </w:r>
            <w:r>
              <w:rPr>
                <w:rFonts w:hint="eastAsia"/>
                <w:lang w:eastAsia="zh-CN"/>
              </w:rPr>
              <w:t>"</w:t>
            </w:r>
          </w:p>
        </w:tc>
        <w:tc>
          <w:tcPr>
            <w:tcW w:w="1136" w:type="dxa"/>
            <w:tcBorders>
              <w:tl2br w:val="nil"/>
              <w:tr2bl w:val="nil"/>
            </w:tcBorders>
            <w:vAlign w:val="center"/>
          </w:tcPr>
          <w:p>
            <w:pPr>
              <w:pStyle w:val="17"/>
              <w:bidi w:val="0"/>
              <w:rPr>
                <w:rFonts w:hint="default"/>
              </w:rPr>
            </w:pPr>
            <w:r>
              <w:rPr>
                <w:rFonts w:hint="default"/>
              </w:rPr>
              <w:t>NMHC</w:t>
            </w:r>
          </w:p>
        </w:tc>
        <w:tc>
          <w:tcPr>
            <w:tcW w:w="712" w:type="dxa"/>
            <w:tcBorders>
              <w:tl2br w:val="nil"/>
              <w:tr2bl w:val="nil"/>
            </w:tcBorders>
            <w:vAlign w:val="center"/>
          </w:tcPr>
          <w:p>
            <w:pPr>
              <w:pStyle w:val="17"/>
              <w:bidi w:val="0"/>
              <w:rPr>
                <w:rFonts w:hint="default"/>
              </w:rPr>
            </w:pPr>
            <w:r>
              <w:rPr>
                <w:rFonts w:hint="default"/>
              </w:rPr>
              <w:t>1h</w:t>
            </w:r>
          </w:p>
        </w:tc>
        <w:tc>
          <w:tcPr>
            <w:tcW w:w="1016" w:type="dxa"/>
            <w:tcBorders>
              <w:tl2br w:val="nil"/>
              <w:tr2bl w:val="nil"/>
            </w:tcBorders>
            <w:vAlign w:val="center"/>
          </w:tcPr>
          <w:p>
            <w:pPr>
              <w:pStyle w:val="17"/>
              <w:bidi w:val="0"/>
              <w:rPr>
                <w:rFonts w:hint="default"/>
              </w:rPr>
            </w:pPr>
            <w:r>
              <w:rPr>
                <w:rFonts w:hint="default"/>
              </w:rPr>
              <w:t>2</w:t>
            </w:r>
          </w:p>
        </w:tc>
        <w:tc>
          <w:tcPr>
            <w:tcW w:w="1281" w:type="dxa"/>
            <w:tcBorders>
              <w:tl2br w:val="nil"/>
              <w:tr2bl w:val="nil"/>
            </w:tcBorders>
            <w:vAlign w:val="center"/>
          </w:tcPr>
          <w:p>
            <w:pPr>
              <w:pStyle w:val="17"/>
              <w:bidi w:val="0"/>
              <w:rPr>
                <w:rFonts w:hint="default"/>
                <w:lang w:val="en-US" w:eastAsia="zh-CN"/>
              </w:rPr>
            </w:pPr>
            <w:r>
              <w:rPr>
                <w:rFonts w:hint="eastAsia"/>
                <w:lang w:val="en-US" w:eastAsia="zh-CN"/>
              </w:rPr>
              <w:t>0.16~0.64</w:t>
            </w:r>
          </w:p>
        </w:tc>
        <w:tc>
          <w:tcPr>
            <w:tcW w:w="941" w:type="dxa"/>
            <w:tcBorders>
              <w:tl2br w:val="nil"/>
              <w:tr2bl w:val="nil"/>
            </w:tcBorders>
            <w:vAlign w:val="center"/>
          </w:tcPr>
          <w:p>
            <w:pPr>
              <w:pStyle w:val="17"/>
              <w:bidi w:val="0"/>
              <w:rPr>
                <w:rFonts w:hint="default"/>
                <w:lang w:val="en-US" w:eastAsia="zh-CN"/>
              </w:rPr>
            </w:pPr>
            <w:r>
              <w:rPr>
                <w:rFonts w:hint="eastAsia"/>
                <w:lang w:val="en-US" w:eastAsia="zh-CN"/>
              </w:rPr>
              <w:t>32.0</w:t>
            </w:r>
          </w:p>
        </w:tc>
        <w:tc>
          <w:tcPr>
            <w:tcW w:w="703" w:type="dxa"/>
            <w:tcBorders>
              <w:tl2br w:val="nil"/>
              <w:tr2bl w:val="nil"/>
            </w:tcBorders>
            <w:vAlign w:val="center"/>
          </w:tcPr>
          <w:p>
            <w:pPr>
              <w:pStyle w:val="17"/>
              <w:bidi w:val="0"/>
              <w:rPr>
                <w:rFonts w:hint="default"/>
                <w:lang w:val="en-US" w:eastAsia="zh-CN"/>
              </w:rPr>
            </w:pPr>
            <w:r>
              <w:rPr>
                <w:rFonts w:hint="eastAsia"/>
                <w:lang w:val="en-US" w:eastAsia="zh-CN"/>
              </w:rPr>
              <w:t>0</w:t>
            </w:r>
          </w:p>
        </w:tc>
        <w:tc>
          <w:tcPr>
            <w:tcW w:w="757" w:type="dxa"/>
            <w:tcBorders>
              <w:tl2br w:val="nil"/>
              <w:tr2bl w:val="nil"/>
            </w:tcBorders>
            <w:vAlign w:val="center"/>
          </w:tcPr>
          <w:p>
            <w:pPr>
              <w:pStyle w:val="17"/>
              <w:bidi w:val="0"/>
              <w:rPr>
                <w:rFonts w:hint="default"/>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jc w:val="center"/>
        </w:trPr>
        <w:tc>
          <w:tcPr>
            <w:tcW w:w="735" w:type="dxa"/>
            <w:vMerge w:val="continue"/>
            <w:tcBorders>
              <w:tl2br w:val="nil"/>
              <w:tr2bl w:val="nil"/>
            </w:tcBorders>
            <w:vAlign w:val="center"/>
          </w:tcPr>
          <w:p>
            <w:pPr>
              <w:pStyle w:val="17"/>
              <w:bidi w:val="0"/>
              <w:rPr>
                <w:rFonts w:hint="default"/>
              </w:rPr>
            </w:pPr>
          </w:p>
        </w:tc>
        <w:tc>
          <w:tcPr>
            <w:tcW w:w="1790" w:type="dxa"/>
            <w:vMerge w:val="continue"/>
            <w:tcBorders>
              <w:tl2br w:val="nil"/>
              <w:tr2bl w:val="nil"/>
            </w:tcBorders>
            <w:vAlign w:val="center"/>
          </w:tcPr>
          <w:p>
            <w:pPr>
              <w:pStyle w:val="17"/>
              <w:bidi w:val="0"/>
              <w:ind w:firstLine="0" w:firstLineChars="0"/>
              <w:rPr>
                <w:rFonts w:hint="eastAsia"/>
                <w:lang w:val="en-US" w:eastAsia="zh-CN"/>
              </w:rPr>
            </w:pPr>
          </w:p>
        </w:tc>
        <w:tc>
          <w:tcPr>
            <w:tcW w:w="1136" w:type="dxa"/>
            <w:tcBorders>
              <w:tl2br w:val="nil"/>
              <w:tr2bl w:val="nil"/>
            </w:tcBorders>
            <w:vAlign w:val="center"/>
          </w:tcPr>
          <w:p>
            <w:pPr>
              <w:pStyle w:val="17"/>
              <w:bidi w:val="0"/>
              <w:rPr>
                <w:rFonts w:hint="default" w:eastAsia="宋体"/>
                <w:lang w:val="en-US" w:eastAsia="zh-CN"/>
              </w:rPr>
            </w:pPr>
            <w:r>
              <w:rPr>
                <w:rFonts w:hint="eastAsia"/>
                <w:lang w:val="en-US" w:eastAsia="zh-CN"/>
              </w:rPr>
              <w:t>TSP</w:t>
            </w:r>
          </w:p>
        </w:tc>
        <w:tc>
          <w:tcPr>
            <w:tcW w:w="712" w:type="dxa"/>
            <w:tcBorders>
              <w:tl2br w:val="nil"/>
              <w:tr2bl w:val="nil"/>
            </w:tcBorders>
            <w:vAlign w:val="center"/>
          </w:tcPr>
          <w:p>
            <w:pPr>
              <w:pStyle w:val="17"/>
              <w:bidi w:val="0"/>
              <w:rPr>
                <w:rFonts w:hint="default" w:eastAsia="宋体"/>
                <w:lang w:val="en-US" w:eastAsia="zh-CN"/>
              </w:rPr>
            </w:pPr>
            <w:r>
              <w:rPr>
                <w:rFonts w:hint="eastAsia"/>
                <w:lang w:val="en-US" w:eastAsia="zh-CN"/>
              </w:rPr>
              <w:t>24h</w:t>
            </w:r>
          </w:p>
        </w:tc>
        <w:tc>
          <w:tcPr>
            <w:tcW w:w="1016" w:type="dxa"/>
            <w:tcBorders>
              <w:tl2br w:val="nil"/>
              <w:tr2bl w:val="nil"/>
            </w:tcBorders>
            <w:vAlign w:val="center"/>
          </w:tcPr>
          <w:p>
            <w:pPr>
              <w:pStyle w:val="17"/>
              <w:bidi w:val="0"/>
              <w:rPr>
                <w:rFonts w:hint="default" w:eastAsia="宋体"/>
                <w:lang w:val="en-US" w:eastAsia="zh-CN"/>
              </w:rPr>
            </w:pPr>
            <w:r>
              <w:rPr>
                <w:rFonts w:hint="eastAsia"/>
                <w:lang w:val="en-US" w:eastAsia="zh-CN"/>
              </w:rPr>
              <w:t>0.3</w:t>
            </w:r>
          </w:p>
        </w:tc>
        <w:tc>
          <w:tcPr>
            <w:tcW w:w="1281" w:type="dxa"/>
            <w:tcBorders>
              <w:tl2br w:val="nil"/>
              <w:tr2bl w:val="nil"/>
            </w:tcBorders>
            <w:vAlign w:val="center"/>
          </w:tcPr>
          <w:p>
            <w:pPr>
              <w:pStyle w:val="17"/>
              <w:bidi w:val="0"/>
              <w:rPr>
                <w:rFonts w:hint="default"/>
                <w:lang w:val="en-US" w:eastAsia="zh-CN"/>
              </w:rPr>
            </w:pPr>
            <w:r>
              <w:rPr>
                <w:rFonts w:hint="eastAsia"/>
                <w:lang w:val="en-US" w:eastAsia="zh-CN"/>
              </w:rPr>
              <w:t>0.07~0.15</w:t>
            </w:r>
          </w:p>
        </w:tc>
        <w:tc>
          <w:tcPr>
            <w:tcW w:w="941" w:type="dxa"/>
            <w:tcBorders>
              <w:tl2br w:val="nil"/>
              <w:tr2bl w:val="nil"/>
            </w:tcBorders>
            <w:vAlign w:val="center"/>
          </w:tcPr>
          <w:p>
            <w:pPr>
              <w:pStyle w:val="17"/>
              <w:bidi w:val="0"/>
              <w:rPr>
                <w:rFonts w:hint="default"/>
                <w:lang w:val="en-US" w:eastAsia="zh-CN"/>
              </w:rPr>
            </w:pPr>
            <w:r>
              <w:rPr>
                <w:rFonts w:hint="eastAsia"/>
                <w:lang w:val="en-US" w:eastAsia="zh-CN"/>
              </w:rPr>
              <w:t>50.0</w:t>
            </w:r>
          </w:p>
        </w:tc>
        <w:tc>
          <w:tcPr>
            <w:tcW w:w="703" w:type="dxa"/>
            <w:tcBorders>
              <w:tl2br w:val="nil"/>
              <w:tr2bl w:val="nil"/>
            </w:tcBorders>
            <w:vAlign w:val="center"/>
          </w:tcPr>
          <w:p>
            <w:pPr>
              <w:pStyle w:val="17"/>
              <w:bidi w:val="0"/>
              <w:rPr>
                <w:rFonts w:hint="default"/>
                <w:lang w:val="en-US" w:eastAsia="zh-CN"/>
              </w:rPr>
            </w:pPr>
            <w:r>
              <w:rPr>
                <w:rFonts w:hint="eastAsia"/>
                <w:lang w:val="en-US" w:eastAsia="zh-CN"/>
              </w:rPr>
              <w:t>0</w:t>
            </w:r>
          </w:p>
        </w:tc>
        <w:tc>
          <w:tcPr>
            <w:tcW w:w="757" w:type="dxa"/>
            <w:tcBorders>
              <w:tl2br w:val="nil"/>
              <w:tr2bl w:val="nil"/>
            </w:tcBorders>
            <w:vAlign w:val="center"/>
          </w:tcPr>
          <w:p>
            <w:pPr>
              <w:pStyle w:val="17"/>
              <w:bidi w:val="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35" w:type="dxa"/>
            <w:vMerge w:val="restart"/>
            <w:tcBorders>
              <w:tl2br w:val="nil"/>
              <w:tr2bl w:val="nil"/>
            </w:tcBorders>
            <w:vAlign w:val="center"/>
          </w:tcPr>
          <w:p>
            <w:pPr>
              <w:pStyle w:val="17"/>
              <w:bidi w:val="0"/>
              <w:rPr>
                <w:rFonts w:hint="default"/>
              </w:rPr>
            </w:pPr>
            <w:r>
              <w:rPr>
                <w:rFonts w:hint="default"/>
              </w:rPr>
              <w:t>G2</w:t>
            </w:r>
          </w:p>
        </w:tc>
        <w:tc>
          <w:tcPr>
            <w:tcW w:w="1790" w:type="dxa"/>
            <w:vMerge w:val="restart"/>
            <w:tcBorders>
              <w:tl2br w:val="nil"/>
              <w:tr2bl w:val="nil"/>
            </w:tcBorders>
            <w:vAlign w:val="center"/>
          </w:tcPr>
          <w:p>
            <w:pPr>
              <w:pStyle w:val="17"/>
              <w:bidi w:val="0"/>
              <w:ind w:firstLine="0" w:firstLineChars="0"/>
              <w:rPr>
                <w:rFonts w:hint="default"/>
              </w:rPr>
            </w:pPr>
            <w:r>
              <w:rPr>
                <w:rFonts w:hint="eastAsia"/>
                <w:lang w:val="en-US" w:eastAsia="zh-CN"/>
              </w:rPr>
              <w:t>N</w:t>
            </w:r>
            <w:r>
              <w:rPr>
                <w:rFonts w:hint="default"/>
              </w:rPr>
              <w:t>44° 0'4</w:t>
            </w:r>
            <w:r>
              <w:rPr>
                <w:rFonts w:hint="eastAsia"/>
                <w:lang w:val="en-US" w:eastAsia="zh-CN"/>
              </w:rPr>
              <w:t>5.86</w:t>
            </w:r>
            <w:r>
              <w:rPr>
                <w:rFonts w:hint="default"/>
              </w:rPr>
              <w:t>"</w:t>
            </w:r>
            <w:r>
              <w:rPr>
                <w:rFonts w:hint="eastAsia"/>
                <w:lang w:eastAsia="zh-CN"/>
              </w:rPr>
              <w:t>、</w:t>
            </w:r>
            <w:r>
              <w:rPr>
                <w:rFonts w:hint="eastAsia"/>
                <w:lang w:val="en-US" w:eastAsia="zh-CN"/>
              </w:rPr>
              <w:t>E</w:t>
            </w:r>
            <w:r>
              <w:rPr>
                <w:rFonts w:hint="eastAsia"/>
                <w:lang w:eastAsia="zh-CN"/>
              </w:rPr>
              <w:t>89°20'</w:t>
            </w:r>
            <w:r>
              <w:rPr>
                <w:rFonts w:hint="eastAsia"/>
                <w:lang w:val="en-US" w:eastAsia="zh-CN"/>
              </w:rPr>
              <w:t>49.12</w:t>
            </w:r>
            <w:r>
              <w:rPr>
                <w:rFonts w:hint="eastAsia"/>
                <w:lang w:eastAsia="zh-CN"/>
              </w:rPr>
              <w:t>"</w:t>
            </w:r>
          </w:p>
        </w:tc>
        <w:tc>
          <w:tcPr>
            <w:tcW w:w="1136" w:type="dxa"/>
            <w:tcBorders>
              <w:tl2br w:val="nil"/>
              <w:tr2bl w:val="nil"/>
            </w:tcBorders>
            <w:vAlign w:val="center"/>
          </w:tcPr>
          <w:p>
            <w:pPr>
              <w:pStyle w:val="17"/>
              <w:bidi w:val="0"/>
              <w:rPr>
                <w:rFonts w:hint="default"/>
              </w:rPr>
            </w:pPr>
            <w:r>
              <w:rPr>
                <w:rFonts w:hint="default"/>
              </w:rPr>
              <w:t>NMHC</w:t>
            </w:r>
          </w:p>
        </w:tc>
        <w:tc>
          <w:tcPr>
            <w:tcW w:w="712" w:type="dxa"/>
            <w:tcBorders>
              <w:tl2br w:val="nil"/>
              <w:tr2bl w:val="nil"/>
            </w:tcBorders>
            <w:vAlign w:val="center"/>
          </w:tcPr>
          <w:p>
            <w:pPr>
              <w:pStyle w:val="17"/>
              <w:bidi w:val="0"/>
              <w:rPr>
                <w:rFonts w:hint="default"/>
              </w:rPr>
            </w:pPr>
            <w:r>
              <w:rPr>
                <w:rFonts w:hint="default"/>
              </w:rPr>
              <w:t>1h</w:t>
            </w:r>
          </w:p>
        </w:tc>
        <w:tc>
          <w:tcPr>
            <w:tcW w:w="1016" w:type="dxa"/>
            <w:tcBorders>
              <w:tl2br w:val="nil"/>
              <w:tr2bl w:val="nil"/>
            </w:tcBorders>
            <w:vAlign w:val="center"/>
          </w:tcPr>
          <w:p>
            <w:pPr>
              <w:pStyle w:val="17"/>
              <w:bidi w:val="0"/>
              <w:rPr>
                <w:rFonts w:hint="default"/>
              </w:rPr>
            </w:pPr>
            <w:r>
              <w:rPr>
                <w:rFonts w:hint="default"/>
              </w:rPr>
              <w:t>2</w:t>
            </w:r>
          </w:p>
        </w:tc>
        <w:tc>
          <w:tcPr>
            <w:tcW w:w="1281" w:type="dxa"/>
            <w:tcBorders>
              <w:tl2br w:val="nil"/>
              <w:tr2bl w:val="nil"/>
            </w:tcBorders>
            <w:vAlign w:val="center"/>
          </w:tcPr>
          <w:p>
            <w:pPr>
              <w:pStyle w:val="17"/>
              <w:bidi w:val="0"/>
              <w:rPr>
                <w:rFonts w:hint="default"/>
                <w:lang w:val="en-US" w:eastAsia="zh-CN"/>
              </w:rPr>
            </w:pPr>
            <w:r>
              <w:rPr>
                <w:rFonts w:hint="eastAsia"/>
                <w:lang w:val="en-US" w:eastAsia="zh-CN"/>
              </w:rPr>
              <w:t>0.34~0.74</w:t>
            </w:r>
          </w:p>
        </w:tc>
        <w:tc>
          <w:tcPr>
            <w:tcW w:w="941" w:type="dxa"/>
            <w:tcBorders>
              <w:tl2br w:val="nil"/>
              <w:tr2bl w:val="nil"/>
            </w:tcBorders>
            <w:vAlign w:val="center"/>
          </w:tcPr>
          <w:p>
            <w:pPr>
              <w:pStyle w:val="17"/>
              <w:bidi w:val="0"/>
              <w:rPr>
                <w:rFonts w:hint="default"/>
                <w:lang w:val="en-US" w:eastAsia="zh-CN"/>
              </w:rPr>
            </w:pPr>
            <w:r>
              <w:rPr>
                <w:rFonts w:hint="eastAsia"/>
                <w:lang w:val="en-US" w:eastAsia="zh-CN"/>
              </w:rPr>
              <w:t>37.0</w:t>
            </w:r>
          </w:p>
        </w:tc>
        <w:tc>
          <w:tcPr>
            <w:tcW w:w="703" w:type="dxa"/>
            <w:tcBorders>
              <w:tl2br w:val="nil"/>
              <w:tr2bl w:val="nil"/>
            </w:tcBorders>
            <w:vAlign w:val="center"/>
          </w:tcPr>
          <w:p>
            <w:pPr>
              <w:pStyle w:val="17"/>
              <w:bidi w:val="0"/>
              <w:rPr>
                <w:rFonts w:hint="default"/>
                <w:lang w:val="en-US" w:eastAsia="zh-CN"/>
              </w:rPr>
            </w:pPr>
            <w:r>
              <w:rPr>
                <w:rFonts w:hint="eastAsia"/>
                <w:lang w:val="en-US" w:eastAsia="zh-CN"/>
              </w:rPr>
              <w:t>0</w:t>
            </w:r>
          </w:p>
        </w:tc>
        <w:tc>
          <w:tcPr>
            <w:tcW w:w="757" w:type="dxa"/>
            <w:tcBorders>
              <w:tl2br w:val="nil"/>
              <w:tr2bl w:val="nil"/>
            </w:tcBorders>
            <w:vAlign w:val="center"/>
          </w:tcPr>
          <w:p>
            <w:pPr>
              <w:pStyle w:val="17"/>
              <w:bidi w:val="0"/>
              <w:rPr>
                <w:rFonts w:hint="eastAsia" w:eastAsia="宋体"/>
                <w:lang w:val="en-US" w:eastAsia="zh-CN"/>
              </w:rPr>
            </w:pPr>
            <w:r>
              <w:rPr>
                <w:rFonts w:hint="eastAsia"/>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35" w:type="dxa"/>
            <w:vMerge w:val="continue"/>
            <w:tcBorders>
              <w:tl2br w:val="nil"/>
              <w:tr2bl w:val="nil"/>
            </w:tcBorders>
            <w:vAlign w:val="center"/>
          </w:tcPr>
          <w:p>
            <w:pPr>
              <w:pStyle w:val="17"/>
              <w:bidi w:val="0"/>
              <w:rPr>
                <w:rFonts w:hint="default"/>
              </w:rPr>
            </w:pPr>
          </w:p>
        </w:tc>
        <w:tc>
          <w:tcPr>
            <w:tcW w:w="1790" w:type="dxa"/>
            <w:vMerge w:val="continue"/>
            <w:tcBorders>
              <w:tl2br w:val="nil"/>
              <w:tr2bl w:val="nil"/>
            </w:tcBorders>
            <w:vAlign w:val="center"/>
          </w:tcPr>
          <w:p>
            <w:pPr>
              <w:pStyle w:val="17"/>
              <w:bidi w:val="0"/>
              <w:ind w:firstLine="0" w:firstLineChars="0"/>
              <w:rPr>
                <w:rFonts w:hint="eastAsia"/>
                <w:lang w:val="en-US" w:eastAsia="zh-CN"/>
              </w:rPr>
            </w:pPr>
          </w:p>
        </w:tc>
        <w:tc>
          <w:tcPr>
            <w:tcW w:w="1136" w:type="dxa"/>
            <w:tcBorders>
              <w:tl2br w:val="nil"/>
              <w:tr2bl w:val="nil"/>
            </w:tcBorders>
            <w:vAlign w:val="center"/>
          </w:tcPr>
          <w:p>
            <w:pPr>
              <w:pStyle w:val="17"/>
              <w:bidi w:val="0"/>
              <w:rPr>
                <w:rFonts w:hint="default"/>
              </w:rPr>
            </w:pPr>
            <w:r>
              <w:rPr>
                <w:rFonts w:hint="eastAsia"/>
                <w:lang w:val="en-US" w:eastAsia="zh-CN"/>
              </w:rPr>
              <w:t>TSP</w:t>
            </w:r>
          </w:p>
        </w:tc>
        <w:tc>
          <w:tcPr>
            <w:tcW w:w="712" w:type="dxa"/>
            <w:tcBorders>
              <w:tl2br w:val="nil"/>
              <w:tr2bl w:val="nil"/>
            </w:tcBorders>
            <w:vAlign w:val="center"/>
          </w:tcPr>
          <w:p>
            <w:pPr>
              <w:pStyle w:val="17"/>
              <w:bidi w:val="0"/>
              <w:rPr>
                <w:rFonts w:hint="default"/>
              </w:rPr>
            </w:pPr>
            <w:r>
              <w:rPr>
                <w:rFonts w:hint="eastAsia"/>
                <w:lang w:val="en-US" w:eastAsia="zh-CN"/>
              </w:rPr>
              <w:t>24h</w:t>
            </w:r>
          </w:p>
        </w:tc>
        <w:tc>
          <w:tcPr>
            <w:tcW w:w="1016" w:type="dxa"/>
            <w:tcBorders>
              <w:tl2br w:val="nil"/>
              <w:tr2bl w:val="nil"/>
            </w:tcBorders>
            <w:vAlign w:val="center"/>
          </w:tcPr>
          <w:p>
            <w:pPr>
              <w:pStyle w:val="17"/>
              <w:bidi w:val="0"/>
              <w:rPr>
                <w:rFonts w:hint="default" w:eastAsia="宋体"/>
                <w:lang w:val="en-US" w:eastAsia="zh-CN"/>
              </w:rPr>
            </w:pPr>
            <w:r>
              <w:rPr>
                <w:rFonts w:hint="eastAsia"/>
                <w:lang w:val="en-US" w:eastAsia="zh-CN"/>
              </w:rPr>
              <w:t>0.3</w:t>
            </w:r>
          </w:p>
        </w:tc>
        <w:tc>
          <w:tcPr>
            <w:tcW w:w="1281" w:type="dxa"/>
            <w:tcBorders>
              <w:tl2br w:val="nil"/>
              <w:tr2bl w:val="nil"/>
            </w:tcBorders>
            <w:vAlign w:val="center"/>
          </w:tcPr>
          <w:p>
            <w:pPr>
              <w:pStyle w:val="17"/>
              <w:bidi w:val="0"/>
              <w:rPr>
                <w:rFonts w:hint="default"/>
                <w:lang w:val="en-US" w:eastAsia="zh-CN"/>
              </w:rPr>
            </w:pPr>
            <w:r>
              <w:rPr>
                <w:rFonts w:hint="eastAsia"/>
                <w:lang w:val="en-US" w:eastAsia="zh-CN"/>
              </w:rPr>
              <w:t>0.06~0.22</w:t>
            </w:r>
          </w:p>
        </w:tc>
        <w:tc>
          <w:tcPr>
            <w:tcW w:w="941" w:type="dxa"/>
            <w:tcBorders>
              <w:tl2br w:val="nil"/>
              <w:tr2bl w:val="nil"/>
            </w:tcBorders>
            <w:vAlign w:val="center"/>
          </w:tcPr>
          <w:p>
            <w:pPr>
              <w:pStyle w:val="17"/>
              <w:bidi w:val="0"/>
              <w:rPr>
                <w:rFonts w:hint="default"/>
                <w:lang w:val="en-US" w:eastAsia="zh-CN"/>
              </w:rPr>
            </w:pPr>
            <w:r>
              <w:rPr>
                <w:rFonts w:hint="eastAsia"/>
                <w:lang w:val="en-US" w:eastAsia="zh-CN"/>
              </w:rPr>
              <w:t>73.3</w:t>
            </w:r>
          </w:p>
        </w:tc>
        <w:tc>
          <w:tcPr>
            <w:tcW w:w="703" w:type="dxa"/>
            <w:tcBorders>
              <w:tl2br w:val="nil"/>
              <w:tr2bl w:val="nil"/>
            </w:tcBorders>
            <w:vAlign w:val="center"/>
          </w:tcPr>
          <w:p>
            <w:pPr>
              <w:pStyle w:val="17"/>
              <w:bidi w:val="0"/>
              <w:rPr>
                <w:rFonts w:hint="default"/>
                <w:lang w:val="en-US" w:eastAsia="zh-CN"/>
              </w:rPr>
            </w:pPr>
            <w:r>
              <w:rPr>
                <w:rFonts w:hint="eastAsia"/>
                <w:lang w:val="en-US" w:eastAsia="zh-CN"/>
              </w:rPr>
              <w:t>0</w:t>
            </w:r>
          </w:p>
        </w:tc>
        <w:tc>
          <w:tcPr>
            <w:tcW w:w="757" w:type="dxa"/>
            <w:tcBorders>
              <w:tl2br w:val="nil"/>
              <w:tr2bl w:val="nil"/>
            </w:tcBorders>
            <w:vAlign w:val="center"/>
          </w:tcPr>
          <w:p>
            <w:pPr>
              <w:pStyle w:val="17"/>
              <w:bidi w:val="0"/>
              <w:rPr>
                <w:rFonts w:hint="eastAsia"/>
                <w:lang w:val="en-US" w:eastAsia="zh-CN"/>
              </w:rPr>
            </w:pPr>
          </w:p>
        </w:tc>
      </w:tr>
    </w:tbl>
    <w:p>
      <w:pPr>
        <w:bidi w:val="0"/>
        <w:rPr>
          <w:rFonts w:hint="default" w:eastAsia="宋体"/>
          <w:lang w:val="en-US" w:eastAsia="zh-CN"/>
        </w:rPr>
      </w:pPr>
      <w:r>
        <w:rPr>
          <w:rFonts w:hint="default"/>
        </w:rPr>
        <w:t>现状监测结果表明，评价区内各监测点环境空气中非甲烷总烃满足《大气污染物综合排放标准详解》推荐限值</w:t>
      </w:r>
      <w:r>
        <w:rPr>
          <w:rFonts w:hint="eastAsia"/>
          <w:lang w:eastAsia="zh-CN"/>
        </w:rPr>
        <w:t>，</w:t>
      </w:r>
      <w:r>
        <w:rPr>
          <w:rFonts w:hint="eastAsia"/>
          <w:lang w:val="en-US" w:eastAsia="zh-CN"/>
        </w:rPr>
        <w:t>TSP各监测点浓度满足</w:t>
      </w:r>
      <w:r>
        <w:rPr>
          <w:rFonts w:hint="eastAsia" w:ascii="Times New Roman" w:hAnsi="Times New Roman" w:cs="Times New Roman"/>
          <w:color w:val="000000" w:themeColor="text1"/>
          <w:sz w:val="24"/>
          <w:szCs w:val="24"/>
          <w:lang w:val="en-US" w:eastAsia="zh-CN"/>
          <w14:textFill>
            <w14:solidFill>
              <w14:schemeClr w14:val="tx1"/>
            </w14:solidFill>
          </w14:textFill>
        </w:rPr>
        <w:t>《环境空气质量标准》二类环境空气功能区24h平均浓度限值。</w:t>
      </w:r>
    </w:p>
    <w:p>
      <w:pPr>
        <w:pStyle w:val="5"/>
        <w:bidi w:val="0"/>
        <w:rPr>
          <w:rFonts w:hint="default"/>
        </w:rPr>
      </w:pPr>
      <w:r>
        <w:rPr>
          <w:rFonts w:hint="default"/>
        </w:rPr>
        <w:t>4.</w:t>
      </w:r>
      <w:r>
        <w:rPr>
          <w:rFonts w:hint="eastAsia"/>
          <w:lang w:val="en-US" w:eastAsia="zh-CN"/>
        </w:rPr>
        <w:t>2</w:t>
      </w:r>
      <w:r>
        <w:rPr>
          <w:rFonts w:hint="default"/>
        </w:rPr>
        <w:t>.2</w:t>
      </w:r>
      <w:r>
        <w:rPr>
          <w:rFonts w:hint="eastAsia"/>
          <w:lang w:eastAsia="zh-CN"/>
        </w:rPr>
        <w:t>、</w:t>
      </w:r>
      <w:r>
        <w:rPr>
          <w:rFonts w:hint="default"/>
        </w:rPr>
        <w:t>地下水质量现状监测与评价</w:t>
      </w:r>
    </w:p>
    <w:p>
      <w:pPr>
        <w:bidi w:val="0"/>
        <w:rPr>
          <w:rFonts w:hint="default"/>
          <w:lang w:val="en-US" w:eastAsia="zh-CN"/>
        </w:rPr>
      </w:pPr>
      <w:r>
        <w:rPr>
          <w:rFonts w:hint="default"/>
        </w:rPr>
        <w:t>根据项目区水文地质条件、地下水流场分布及采样条件等，结合地下水评价工作要求，</w:t>
      </w:r>
      <w:r>
        <w:rPr>
          <w:rFonts w:hint="default"/>
          <w:lang w:val="en-US" w:eastAsia="zh-CN"/>
        </w:rPr>
        <w:t>本次评价，在项目所在区域</w:t>
      </w:r>
      <w:r>
        <w:rPr>
          <w:rFonts w:hint="eastAsia"/>
          <w:lang w:val="en-US" w:eastAsia="zh-CN"/>
        </w:rPr>
        <w:t>及区域</w:t>
      </w:r>
      <w:r>
        <w:rPr>
          <w:rFonts w:hint="default"/>
          <w:lang w:val="en-US" w:eastAsia="zh-CN"/>
        </w:rPr>
        <w:t>上下游</w:t>
      </w:r>
      <w:r>
        <w:rPr>
          <w:rFonts w:hint="default"/>
        </w:rPr>
        <w:t>共设置</w:t>
      </w:r>
      <w:r>
        <w:rPr>
          <w:rFonts w:hint="default"/>
          <w:lang w:val="en-US"/>
        </w:rPr>
        <w:t>3</w:t>
      </w:r>
      <w:r>
        <w:rPr>
          <w:rFonts w:hint="default"/>
        </w:rPr>
        <w:t>个地下水现状监测点</w:t>
      </w:r>
      <w:r>
        <w:rPr>
          <w:rFonts w:hint="default"/>
          <w:lang w:eastAsia="zh-CN"/>
        </w:rPr>
        <w:t>。</w:t>
      </w:r>
    </w:p>
    <w:p>
      <w:pPr>
        <w:bidi w:val="0"/>
        <w:rPr>
          <w:rFonts w:hint="default"/>
        </w:rPr>
      </w:pPr>
      <w:r>
        <w:rPr>
          <w:rFonts w:hint="default"/>
        </w:rPr>
        <w:t>（1）水质监测点</w:t>
      </w:r>
    </w:p>
    <w:p>
      <w:pPr>
        <w:bidi w:val="0"/>
        <w:rPr>
          <w:rFonts w:hint="default"/>
        </w:rPr>
      </w:pPr>
      <w:r>
        <w:rPr>
          <w:rFonts w:hint="eastAsia"/>
          <w:lang w:val="en-US" w:eastAsia="zh-CN"/>
        </w:rPr>
        <w:t>由新疆正则环宇检测科技有限公司</w:t>
      </w:r>
      <w:r>
        <w:rPr>
          <w:rFonts w:hint="default"/>
        </w:rPr>
        <w:t>于</w:t>
      </w:r>
      <w:r>
        <w:rPr>
          <w:rFonts w:hint="eastAsia"/>
          <w:lang w:eastAsia="zh-CN"/>
        </w:rPr>
        <w:t>2021</w:t>
      </w:r>
      <w:r>
        <w:rPr>
          <w:rFonts w:hint="default"/>
        </w:rPr>
        <w:t>年</w:t>
      </w:r>
      <w:r>
        <w:rPr>
          <w:rFonts w:hint="eastAsia"/>
          <w:lang w:val="en-US" w:eastAsia="zh-CN"/>
        </w:rPr>
        <w:t>8</w:t>
      </w:r>
      <w:r>
        <w:rPr>
          <w:rFonts w:hint="default"/>
        </w:rPr>
        <w:t>月</w:t>
      </w:r>
      <w:r>
        <w:rPr>
          <w:rFonts w:hint="eastAsia"/>
          <w:lang w:val="en-US" w:eastAsia="zh-CN"/>
        </w:rPr>
        <w:t>7</w:t>
      </w:r>
      <w:r>
        <w:rPr>
          <w:rFonts w:hint="default"/>
        </w:rPr>
        <w:t>日</w:t>
      </w:r>
      <w:r>
        <w:rPr>
          <w:rFonts w:hint="eastAsia"/>
          <w:lang w:val="en-US" w:eastAsia="zh-CN"/>
        </w:rPr>
        <w:t>的监测数据</w:t>
      </w:r>
      <w:r>
        <w:rPr>
          <w:rFonts w:hint="default"/>
          <w:lang w:val="en-US" w:eastAsia="zh-CN"/>
        </w:rPr>
        <w:t>，</w:t>
      </w:r>
      <w:r>
        <w:rPr>
          <w:rFonts w:hint="default"/>
          <w:lang w:val="en-US"/>
        </w:rPr>
        <w:t>3</w:t>
      </w:r>
      <w:r>
        <w:rPr>
          <w:rFonts w:hint="default"/>
        </w:rPr>
        <w:t>个地下水现状监测点与项目的位置关系见表4.</w:t>
      </w:r>
      <w:r>
        <w:rPr>
          <w:rFonts w:hint="eastAsia"/>
          <w:lang w:val="en-US" w:eastAsia="zh-CN"/>
        </w:rPr>
        <w:t>2</w:t>
      </w:r>
      <w:r>
        <w:rPr>
          <w:rFonts w:hint="default"/>
        </w:rPr>
        <w:t>-</w:t>
      </w:r>
      <w:r>
        <w:rPr>
          <w:rFonts w:hint="eastAsia"/>
          <w:lang w:val="en-US" w:eastAsia="zh-CN"/>
        </w:rPr>
        <w:t>6</w:t>
      </w:r>
      <w:r>
        <w:rPr>
          <w:rFonts w:hint="default"/>
        </w:rPr>
        <w:t>，监测点位具体位置见图4.</w:t>
      </w:r>
      <w:r>
        <w:rPr>
          <w:rFonts w:hint="eastAsia"/>
          <w:lang w:val="en-US" w:eastAsia="zh-CN"/>
        </w:rPr>
        <w:t>2</w:t>
      </w:r>
      <w:r>
        <w:rPr>
          <w:rFonts w:hint="default"/>
        </w:rPr>
        <w:t>-</w:t>
      </w:r>
      <w:r>
        <w:rPr>
          <w:rFonts w:hint="eastAsia"/>
          <w:lang w:val="en-US" w:eastAsia="zh-CN"/>
        </w:rPr>
        <w:t>2</w:t>
      </w:r>
      <w:r>
        <w:rPr>
          <w:rFonts w:hint="default"/>
        </w:rPr>
        <w:t>。</w:t>
      </w:r>
    </w:p>
    <w:p>
      <w:pPr>
        <w:pStyle w:val="17"/>
        <w:bidi w:val="0"/>
        <w:rPr>
          <w:rFonts w:hint="default"/>
          <w:b/>
          <w:bCs/>
        </w:rPr>
      </w:pPr>
      <w:r>
        <w:rPr>
          <w:rFonts w:hint="default"/>
          <w:b/>
          <w:bCs/>
        </w:rPr>
        <w:t>表4.</w:t>
      </w:r>
      <w:r>
        <w:rPr>
          <w:rFonts w:hint="eastAsia"/>
          <w:b/>
          <w:bCs/>
          <w:lang w:val="en-US" w:eastAsia="zh-CN"/>
        </w:rPr>
        <w:t>2</w:t>
      </w:r>
      <w:r>
        <w:rPr>
          <w:rFonts w:hint="default"/>
          <w:b/>
          <w:bCs/>
        </w:rPr>
        <w:t>-</w:t>
      </w:r>
      <w:r>
        <w:rPr>
          <w:rFonts w:hint="eastAsia"/>
          <w:b/>
          <w:bCs/>
          <w:lang w:val="en-US" w:eastAsia="zh-CN"/>
        </w:rPr>
        <w:t>6</w:t>
      </w:r>
      <w:r>
        <w:rPr>
          <w:rFonts w:hint="default"/>
          <w:b/>
          <w:bCs/>
        </w:rPr>
        <w:t xml:space="preserve"> </w:t>
      </w:r>
      <w:r>
        <w:rPr>
          <w:rFonts w:hint="eastAsia"/>
          <w:b/>
          <w:bCs/>
          <w:lang w:val="en-US" w:eastAsia="zh-CN"/>
        </w:rPr>
        <w:t xml:space="preserve"> </w:t>
      </w:r>
      <w:r>
        <w:rPr>
          <w:rFonts w:hint="default"/>
          <w:b/>
          <w:bCs/>
        </w:rPr>
        <w:t xml:space="preserve"> 地下水环境质量监测点</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3178"/>
        <w:gridCol w:w="3226"/>
        <w:gridCol w:w="13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02" w:type="dxa"/>
            <w:tcBorders>
              <w:tl2br w:val="nil"/>
              <w:tr2bl w:val="nil"/>
            </w:tcBorders>
            <w:vAlign w:val="center"/>
          </w:tcPr>
          <w:p>
            <w:pPr>
              <w:pStyle w:val="17"/>
              <w:bidi w:val="0"/>
              <w:rPr>
                <w:rFonts w:hint="default"/>
                <w:b/>
                <w:bCs/>
              </w:rPr>
            </w:pPr>
            <w:r>
              <w:rPr>
                <w:rFonts w:hint="default"/>
                <w:b/>
                <w:bCs/>
              </w:rPr>
              <w:t>监测点位</w:t>
            </w:r>
          </w:p>
        </w:tc>
        <w:tc>
          <w:tcPr>
            <w:tcW w:w="3178" w:type="dxa"/>
            <w:tcBorders>
              <w:tl2br w:val="nil"/>
              <w:tr2bl w:val="nil"/>
            </w:tcBorders>
            <w:vAlign w:val="center"/>
          </w:tcPr>
          <w:p>
            <w:pPr>
              <w:pStyle w:val="17"/>
              <w:bidi w:val="0"/>
              <w:rPr>
                <w:rFonts w:hint="eastAsia" w:eastAsia="宋体"/>
                <w:b/>
                <w:bCs/>
                <w:lang w:eastAsia="zh-CN"/>
              </w:rPr>
            </w:pPr>
            <w:r>
              <w:rPr>
                <w:rFonts w:hint="eastAsia"/>
                <w:b/>
                <w:bCs/>
                <w:lang w:val="en-US" w:eastAsia="zh-CN"/>
              </w:rPr>
              <w:t>位置</w:t>
            </w:r>
          </w:p>
        </w:tc>
        <w:tc>
          <w:tcPr>
            <w:tcW w:w="3226" w:type="dxa"/>
            <w:tcBorders>
              <w:tl2br w:val="nil"/>
              <w:tr2bl w:val="nil"/>
            </w:tcBorders>
            <w:vAlign w:val="center"/>
          </w:tcPr>
          <w:p>
            <w:pPr>
              <w:pStyle w:val="17"/>
              <w:bidi w:val="0"/>
              <w:rPr>
                <w:rFonts w:hint="default"/>
                <w:b/>
                <w:bCs/>
              </w:rPr>
            </w:pPr>
            <w:r>
              <w:rPr>
                <w:rFonts w:hint="default"/>
                <w:b/>
                <w:bCs/>
              </w:rPr>
              <w:t>与项目位置关系</w:t>
            </w:r>
          </w:p>
        </w:tc>
        <w:tc>
          <w:tcPr>
            <w:tcW w:w="1365" w:type="dxa"/>
            <w:tcBorders>
              <w:tl2br w:val="nil"/>
              <w:tr2bl w:val="nil"/>
            </w:tcBorders>
            <w:vAlign w:val="center"/>
          </w:tcPr>
          <w:p>
            <w:pPr>
              <w:pStyle w:val="17"/>
              <w:bidi w:val="0"/>
              <w:rPr>
                <w:rFonts w:hint="default"/>
                <w:b/>
                <w:bCs/>
                <w:lang w:val="en-US" w:eastAsia="zh-CN"/>
              </w:rPr>
            </w:pPr>
            <w:r>
              <w:rPr>
                <w:rFonts w:hint="eastAsia"/>
                <w:b/>
                <w:bCs/>
                <w:lang w:val="en-US" w:eastAsia="zh-CN"/>
              </w:rPr>
              <w:t>井深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02" w:type="dxa"/>
            <w:tcBorders>
              <w:tl2br w:val="nil"/>
              <w:tr2bl w:val="nil"/>
            </w:tcBorders>
            <w:vAlign w:val="center"/>
          </w:tcPr>
          <w:p>
            <w:pPr>
              <w:pStyle w:val="17"/>
              <w:bidi w:val="0"/>
              <w:rPr>
                <w:rFonts w:hint="default"/>
              </w:rPr>
            </w:pPr>
            <w:r>
              <w:rPr>
                <w:rFonts w:hint="default"/>
              </w:rPr>
              <w:t>DXS-1</w:t>
            </w:r>
          </w:p>
        </w:tc>
        <w:tc>
          <w:tcPr>
            <w:tcW w:w="3178" w:type="dxa"/>
            <w:tcBorders>
              <w:tl2br w:val="nil"/>
              <w:tr2bl w:val="nil"/>
            </w:tcBorders>
            <w:vAlign w:val="center"/>
          </w:tcPr>
          <w:p>
            <w:pPr>
              <w:pStyle w:val="17"/>
              <w:bidi w:val="0"/>
              <w:rPr>
                <w:rFonts w:hint="default" w:eastAsia="宋体"/>
                <w:lang w:val="en-US" w:eastAsia="zh-CN"/>
              </w:rPr>
            </w:pPr>
            <w:r>
              <w:rPr>
                <w:rFonts w:hint="eastAsia"/>
                <w:lang w:val="en-US" w:eastAsia="zh-CN"/>
              </w:rPr>
              <w:t>叶家湖上村</w:t>
            </w:r>
          </w:p>
        </w:tc>
        <w:tc>
          <w:tcPr>
            <w:tcW w:w="3226" w:type="dxa"/>
            <w:tcBorders>
              <w:tl2br w:val="nil"/>
              <w:tr2bl w:val="nil"/>
            </w:tcBorders>
            <w:vAlign w:val="center"/>
          </w:tcPr>
          <w:p>
            <w:pPr>
              <w:pStyle w:val="17"/>
              <w:bidi w:val="0"/>
              <w:rPr>
                <w:rFonts w:hint="default"/>
              </w:rPr>
            </w:pPr>
            <w:r>
              <w:rPr>
                <w:rFonts w:hint="default"/>
              </w:rPr>
              <w:t>项目区北侧</w:t>
            </w:r>
            <w:r>
              <w:rPr>
                <w:rFonts w:hint="eastAsia"/>
                <w:lang w:val="en-US" w:eastAsia="zh-CN"/>
              </w:rPr>
              <w:t>4.13</w:t>
            </w:r>
            <w:r>
              <w:rPr>
                <w:rFonts w:hint="default"/>
              </w:rPr>
              <w:t>km，上游</w:t>
            </w:r>
          </w:p>
        </w:tc>
        <w:tc>
          <w:tcPr>
            <w:tcW w:w="1365" w:type="dxa"/>
            <w:tcBorders>
              <w:tl2br w:val="nil"/>
              <w:tr2bl w:val="nil"/>
            </w:tcBorders>
            <w:vAlign w:val="center"/>
          </w:tcPr>
          <w:p>
            <w:pPr>
              <w:pStyle w:val="17"/>
              <w:bidi w:val="0"/>
              <w:rPr>
                <w:rFonts w:hint="default"/>
                <w:lang w:val="en-US" w:eastAsia="zh-CN"/>
              </w:rPr>
            </w:pPr>
            <w:r>
              <w:rPr>
                <w:rFonts w:hint="eastAsia"/>
                <w:lang w:val="en-US" w:eastAsia="zh-CN"/>
              </w:rPr>
              <w:t>＞50m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02" w:type="dxa"/>
            <w:tcBorders>
              <w:tl2br w:val="nil"/>
              <w:tr2bl w:val="nil"/>
            </w:tcBorders>
            <w:vAlign w:val="center"/>
          </w:tcPr>
          <w:p>
            <w:pPr>
              <w:pStyle w:val="17"/>
              <w:bidi w:val="0"/>
              <w:rPr>
                <w:rFonts w:hint="default"/>
              </w:rPr>
            </w:pPr>
            <w:r>
              <w:rPr>
                <w:rFonts w:hint="default"/>
              </w:rPr>
              <w:t>DXS-2</w:t>
            </w:r>
          </w:p>
        </w:tc>
        <w:tc>
          <w:tcPr>
            <w:tcW w:w="3178" w:type="dxa"/>
            <w:tcBorders>
              <w:tl2br w:val="nil"/>
              <w:tr2bl w:val="nil"/>
            </w:tcBorders>
            <w:vAlign w:val="center"/>
          </w:tcPr>
          <w:p>
            <w:pPr>
              <w:pStyle w:val="17"/>
              <w:bidi w:val="0"/>
              <w:rPr>
                <w:rFonts w:hint="default" w:eastAsia="宋体"/>
                <w:lang w:val="en-US" w:eastAsia="zh-CN"/>
              </w:rPr>
            </w:pPr>
            <w:r>
              <w:rPr>
                <w:rFonts w:hint="eastAsia"/>
                <w:lang w:val="en-US" w:eastAsia="zh-CN"/>
              </w:rPr>
              <w:t>叶家湖村公路</w:t>
            </w:r>
          </w:p>
        </w:tc>
        <w:tc>
          <w:tcPr>
            <w:tcW w:w="3226" w:type="dxa"/>
            <w:tcBorders>
              <w:tl2br w:val="nil"/>
              <w:tr2bl w:val="nil"/>
            </w:tcBorders>
            <w:vAlign w:val="center"/>
          </w:tcPr>
          <w:p>
            <w:pPr>
              <w:pStyle w:val="17"/>
              <w:bidi w:val="0"/>
              <w:rPr>
                <w:rFonts w:hint="eastAsia"/>
                <w:lang w:val="en-US" w:eastAsia="zh-CN"/>
              </w:rPr>
            </w:pPr>
            <w:r>
              <w:rPr>
                <w:rFonts w:hint="default"/>
              </w:rPr>
              <w:t>项目区西侧</w:t>
            </w:r>
            <w:r>
              <w:rPr>
                <w:rFonts w:hint="eastAsia"/>
                <w:lang w:val="en-US" w:eastAsia="zh-CN"/>
              </w:rPr>
              <w:t>0.43</w:t>
            </w:r>
            <w:r>
              <w:rPr>
                <w:rFonts w:hint="default"/>
              </w:rPr>
              <w:t>km，</w:t>
            </w:r>
            <w:r>
              <w:rPr>
                <w:rFonts w:hint="eastAsia"/>
                <w:lang w:val="en-US" w:eastAsia="zh-CN"/>
              </w:rPr>
              <w:t>项目区</w:t>
            </w:r>
          </w:p>
        </w:tc>
        <w:tc>
          <w:tcPr>
            <w:tcW w:w="1365" w:type="dxa"/>
            <w:tcBorders>
              <w:tl2br w:val="nil"/>
              <w:tr2bl w:val="nil"/>
            </w:tcBorders>
            <w:vAlign w:val="center"/>
          </w:tcPr>
          <w:p>
            <w:pPr>
              <w:pStyle w:val="17"/>
              <w:bidi w:val="0"/>
              <w:rPr>
                <w:rFonts w:hint="default"/>
              </w:rPr>
            </w:pPr>
            <w:r>
              <w:rPr>
                <w:rFonts w:hint="eastAsia"/>
                <w:lang w:val="en-US" w:eastAsia="zh-CN"/>
              </w:rPr>
              <w:t>＞50m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02" w:type="dxa"/>
            <w:tcBorders>
              <w:tl2br w:val="nil"/>
              <w:tr2bl w:val="nil"/>
            </w:tcBorders>
            <w:vAlign w:val="center"/>
          </w:tcPr>
          <w:p>
            <w:pPr>
              <w:pStyle w:val="17"/>
              <w:bidi w:val="0"/>
              <w:rPr>
                <w:rFonts w:hint="default"/>
              </w:rPr>
            </w:pPr>
            <w:r>
              <w:rPr>
                <w:rFonts w:hint="default"/>
              </w:rPr>
              <w:t>DXS-3</w:t>
            </w:r>
          </w:p>
        </w:tc>
        <w:tc>
          <w:tcPr>
            <w:tcW w:w="3178" w:type="dxa"/>
            <w:tcBorders>
              <w:tl2br w:val="nil"/>
              <w:tr2bl w:val="nil"/>
            </w:tcBorders>
            <w:vAlign w:val="center"/>
          </w:tcPr>
          <w:p>
            <w:pPr>
              <w:pStyle w:val="17"/>
              <w:bidi w:val="0"/>
              <w:rPr>
                <w:rFonts w:hint="default" w:eastAsia="宋体"/>
                <w:lang w:val="en-US" w:eastAsia="zh-CN"/>
              </w:rPr>
            </w:pPr>
            <w:r>
              <w:rPr>
                <w:rFonts w:hint="eastAsia"/>
                <w:lang w:val="en-US" w:eastAsia="zh-CN"/>
              </w:rPr>
              <w:t>叶家湖下村</w:t>
            </w:r>
          </w:p>
        </w:tc>
        <w:tc>
          <w:tcPr>
            <w:tcW w:w="3226" w:type="dxa"/>
            <w:tcBorders>
              <w:tl2br w:val="nil"/>
              <w:tr2bl w:val="nil"/>
            </w:tcBorders>
            <w:vAlign w:val="center"/>
          </w:tcPr>
          <w:p>
            <w:pPr>
              <w:pStyle w:val="17"/>
              <w:bidi w:val="0"/>
              <w:rPr>
                <w:rFonts w:hint="default"/>
              </w:rPr>
            </w:pPr>
            <w:r>
              <w:rPr>
                <w:rFonts w:hint="default"/>
              </w:rPr>
              <w:t>项目区东南侧1.85km，下游</w:t>
            </w:r>
          </w:p>
        </w:tc>
        <w:tc>
          <w:tcPr>
            <w:tcW w:w="1365" w:type="dxa"/>
            <w:tcBorders>
              <w:tl2br w:val="nil"/>
              <w:tr2bl w:val="nil"/>
            </w:tcBorders>
            <w:vAlign w:val="center"/>
          </w:tcPr>
          <w:p>
            <w:pPr>
              <w:pStyle w:val="17"/>
              <w:bidi w:val="0"/>
              <w:rPr>
                <w:rFonts w:hint="default"/>
              </w:rPr>
            </w:pPr>
            <w:r>
              <w:rPr>
                <w:rFonts w:hint="eastAsia"/>
                <w:lang w:val="en-US" w:eastAsia="zh-CN"/>
              </w:rPr>
              <w:t>＞50m</w:t>
            </w:r>
          </w:p>
        </w:tc>
      </w:tr>
    </w:tbl>
    <w:p>
      <w:pPr>
        <w:bidi w:val="0"/>
        <w:rPr>
          <w:rFonts w:hint="default"/>
        </w:rPr>
      </w:pPr>
      <w:r>
        <w:rPr>
          <w:rFonts w:hint="default"/>
        </w:rPr>
        <w:t>（2）监测因子：</w:t>
      </w:r>
    </w:p>
    <w:p>
      <w:pPr>
        <w:bidi w:val="0"/>
        <w:rPr>
          <w:rFonts w:hint="default"/>
        </w:rPr>
      </w:pPr>
      <w:r>
        <w:rPr>
          <w:rFonts w:hint="default"/>
        </w:rPr>
        <w:t>pH、总硬度、溶解性总固体、</w:t>
      </w:r>
      <w:r>
        <w:rPr>
          <w:rFonts w:hint="default"/>
          <w:lang w:val="en-US"/>
        </w:rPr>
        <w:t>耗氧量、</w:t>
      </w:r>
      <w:r>
        <w:rPr>
          <w:rFonts w:hint="default"/>
        </w:rPr>
        <w:t>氟化物</w:t>
      </w:r>
      <w:r>
        <w:rPr>
          <w:rFonts w:hint="eastAsia"/>
          <w:lang w:val="en-US" w:eastAsia="zh-CN"/>
        </w:rPr>
        <w:t>等</w:t>
      </w:r>
      <w:r>
        <w:rPr>
          <w:rFonts w:hint="default"/>
        </w:rPr>
        <w:t>共计2</w:t>
      </w:r>
      <w:r>
        <w:rPr>
          <w:rFonts w:hint="default"/>
          <w:lang w:val="en-US"/>
        </w:rPr>
        <w:t>2</w:t>
      </w:r>
      <w:r>
        <w:rPr>
          <w:rFonts w:hint="default"/>
        </w:rPr>
        <w:t>项。</w:t>
      </w:r>
    </w:p>
    <w:p>
      <w:pPr>
        <w:bidi w:val="0"/>
        <w:rPr>
          <w:rFonts w:hint="default"/>
        </w:rPr>
      </w:pPr>
      <w:r>
        <w:rPr>
          <w:rFonts w:hint="default"/>
        </w:rPr>
        <w:t>（3）监测时间和频次</w:t>
      </w:r>
    </w:p>
    <w:p>
      <w:pPr>
        <w:bidi w:val="0"/>
        <w:rPr>
          <w:rFonts w:hint="default"/>
        </w:rPr>
      </w:pPr>
      <w:r>
        <w:rPr>
          <w:rFonts w:hint="eastAsia"/>
          <w:lang w:eastAsia="zh-CN"/>
        </w:rPr>
        <w:t>2021</w:t>
      </w:r>
      <w:r>
        <w:rPr>
          <w:rFonts w:hint="default"/>
        </w:rPr>
        <w:t>年</w:t>
      </w:r>
      <w:r>
        <w:rPr>
          <w:rFonts w:hint="eastAsia"/>
          <w:lang w:val="en-US" w:eastAsia="zh-CN"/>
        </w:rPr>
        <w:t>8</w:t>
      </w:r>
      <w:r>
        <w:rPr>
          <w:rFonts w:hint="default"/>
        </w:rPr>
        <w:t>月</w:t>
      </w:r>
      <w:r>
        <w:rPr>
          <w:rFonts w:hint="eastAsia"/>
          <w:lang w:val="en-US" w:eastAsia="zh-CN"/>
        </w:rPr>
        <w:t>7</w:t>
      </w:r>
      <w:r>
        <w:rPr>
          <w:rFonts w:hint="default"/>
        </w:rPr>
        <w:t>日，监测1次。</w:t>
      </w:r>
    </w:p>
    <w:p>
      <w:pPr>
        <w:bidi w:val="0"/>
        <w:rPr>
          <w:rFonts w:hint="default"/>
        </w:rPr>
      </w:pPr>
      <w:r>
        <w:rPr>
          <w:rFonts w:hint="default"/>
        </w:rPr>
        <w:t>（4）监测分析方法</w:t>
      </w:r>
    </w:p>
    <w:p>
      <w:pPr>
        <w:bidi w:val="0"/>
        <w:rPr>
          <w:rFonts w:hint="default"/>
        </w:rPr>
      </w:pPr>
      <w:r>
        <w:rPr>
          <w:rFonts w:hint="default"/>
        </w:rPr>
        <w:t>按《地下水环境监测技术规范》（HJ/T164-2004）和《生活饮用水标准检验方法》（GB/T5750-2006）采样和分析进行检测。</w:t>
      </w:r>
    </w:p>
    <w:p>
      <w:pPr>
        <w:bidi w:val="0"/>
        <w:rPr>
          <w:rFonts w:hint="default"/>
        </w:rPr>
      </w:pPr>
      <w:r>
        <w:rPr>
          <w:rFonts w:hint="default"/>
        </w:rPr>
        <w:t>（5）评价方法</w:t>
      </w:r>
    </w:p>
    <w:p>
      <w:pPr>
        <w:bidi w:val="0"/>
        <w:rPr>
          <w:rFonts w:hint="default"/>
        </w:rPr>
      </w:pPr>
      <w:r>
        <w:rPr>
          <w:rFonts w:hint="default"/>
        </w:rPr>
        <w:t>评价方法采用单因子污染指数法，其计算方式为：</w:t>
      </w:r>
    </w:p>
    <w:p>
      <w:pPr>
        <w:bidi w:val="0"/>
        <w:rPr>
          <w:rFonts w:hint="default"/>
        </w:rPr>
      </w:pPr>
      <w:r>
        <w:rPr>
          <w:rFonts w:hint="default"/>
          <w:lang w:val="en-US"/>
        </w:rPr>
        <w:drawing>
          <wp:inline distT="0" distB="0" distL="114300" distR="114300">
            <wp:extent cx="533400" cy="381000"/>
            <wp:effectExtent l="0" t="0" r="0"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8" cstate="print"/>
                    <a:stretch>
                      <a:fillRect/>
                    </a:stretch>
                  </pic:blipFill>
                  <pic:spPr>
                    <a:xfrm>
                      <a:off x="0" y="0"/>
                      <a:ext cx="533400" cy="381000"/>
                    </a:xfrm>
                    <a:prstGeom prst="rect">
                      <a:avLst/>
                    </a:prstGeom>
                    <a:noFill/>
                    <a:ln>
                      <a:noFill/>
                    </a:ln>
                  </pic:spPr>
                </pic:pic>
              </a:graphicData>
            </a:graphic>
          </wp:inline>
        </w:drawing>
      </w:r>
    </w:p>
    <w:p>
      <w:pPr>
        <w:bidi w:val="0"/>
        <w:rPr>
          <w:rFonts w:hint="default"/>
        </w:rPr>
      </w:pPr>
      <w:r>
        <w:rPr>
          <w:rFonts w:hint="default"/>
        </w:rPr>
        <w:t>式中：Pi——i评价因子标准指数；</w:t>
      </w:r>
    </w:p>
    <w:p>
      <w:pPr>
        <w:bidi w:val="0"/>
        <w:rPr>
          <w:rFonts w:hint="default"/>
        </w:rPr>
      </w:pPr>
      <w:r>
        <w:rPr>
          <w:rFonts w:hint="default"/>
        </w:rPr>
        <w:t>Ci——i评价因子监测浓度，mg/L；</w:t>
      </w:r>
    </w:p>
    <w:p>
      <w:pPr>
        <w:bidi w:val="0"/>
        <w:rPr>
          <w:rFonts w:hint="default"/>
        </w:rPr>
      </w:pPr>
      <w:r>
        <w:rPr>
          <w:rFonts w:hint="default"/>
        </w:rPr>
        <w:t>Coi——i评价因子评价标准，mg/L。</w:t>
      </w:r>
    </w:p>
    <w:p>
      <w:pPr>
        <w:bidi w:val="0"/>
        <w:rPr>
          <w:rFonts w:hint="default"/>
        </w:rPr>
      </w:pPr>
      <w:r>
        <w:rPr>
          <w:rFonts w:hint="default"/>
        </w:rPr>
        <w:t>对于pH值，评价公式为：</w:t>
      </w:r>
    </w:p>
    <w:p>
      <w:pPr>
        <w:bidi w:val="0"/>
        <w:rPr>
          <w:rFonts w:hint="default"/>
        </w:rPr>
      </w:pPr>
      <w:r>
        <w:rPr>
          <w:rFonts w:hint="default"/>
          <w:lang w:val="en-US"/>
        </w:rPr>
        <w:drawing>
          <wp:inline distT="0" distB="0" distL="114300" distR="114300">
            <wp:extent cx="1913255" cy="254000"/>
            <wp:effectExtent l="0" t="0" r="10795" b="13970"/>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39" cstate="print"/>
                    <a:stretch>
                      <a:fillRect/>
                    </a:stretch>
                  </pic:blipFill>
                  <pic:spPr>
                    <a:xfrm>
                      <a:off x="0" y="0"/>
                      <a:ext cx="1913255" cy="254000"/>
                    </a:xfrm>
                    <a:prstGeom prst="rect">
                      <a:avLst/>
                    </a:prstGeom>
                    <a:noFill/>
                    <a:ln>
                      <a:noFill/>
                    </a:ln>
                  </pic:spPr>
                </pic:pic>
              </a:graphicData>
            </a:graphic>
          </wp:inline>
        </w:drawing>
      </w:r>
      <w:r>
        <w:rPr>
          <w:rFonts w:hint="default"/>
        </w:rPr>
        <w:t>（pHi≤7.0）</w:t>
      </w:r>
    </w:p>
    <w:p>
      <w:pPr>
        <w:bidi w:val="0"/>
        <w:rPr>
          <w:rFonts w:hint="default"/>
        </w:rPr>
      </w:pPr>
      <w:r>
        <w:rPr>
          <w:rFonts w:hint="default"/>
          <w:lang w:val="en-US"/>
        </w:rPr>
        <w:drawing>
          <wp:inline distT="0" distB="0" distL="114300" distR="114300">
            <wp:extent cx="1913255" cy="254000"/>
            <wp:effectExtent l="0" t="0" r="10795" b="1397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40" cstate="print"/>
                    <a:stretch>
                      <a:fillRect/>
                    </a:stretch>
                  </pic:blipFill>
                  <pic:spPr>
                    <a:xfrm>
                      <a:off x="0" y="0"/>
                      <a:ext cx="1913255" cy="254000"/>
                    </a:xfrm>
                    <a:prstGeom prst="rect">
                      <a:avLst/>
                    </a:prstGeom>
                    <a:noFill/>
                    <a:ln>
                      <a:noFill/>
                    </a:ln>
                  </pic:spPr>
                </pic:pic>
              </a:graphicData>
            </a:graphic>
          </wp:inline>
        </w:drawing>
      </w:r>
      <w:r>
        <w:rPr>
          <w:rFonts w:hint="default"/>
        </w:rPr>
        <w:t>（pHi＞7.0）</w:t>
      </w:r>
    </w:p>
    <w:p>
      <w:pPr>
        <w:bidi w:val="0"/>
        <w:rPr>
          <w:rFonts w:hint="default"/>
        </w:rPr>
      </w:pPr>
      <w:r>
        <w:rPr>
          <w:rFonts w:hint="default"/>
        </w:rPr>
        <w:t>式中：PpH,i——i监测点的pH评价指数；</w:t>
      </w:r>
    </w:p>
    <w:p>
      <w:pPr>
        <w:bidi w:val="0"/>
        <w:rPr>
          <w:rFonts w:hint="default"/>
          <w:lang w:val="en-US" w:eastAsia="zh-CN"/>
        </w:rPr>
      </w:pPr>
      <w:r>
        <w:rPr>
          <w:rFonts w:hint="default"/>
        </w:rPr>
        <w:t>pHi——i监测点的水样pH监测值</w:t>
      </w:r>
      <w:r>
        <w:rPr>
          <w:rFonts w:hint="eastAsia"/>
          <w:lang w:eastAsia="zh-CN"/>
        </w:rPr>
        <w:t>，</w:t>
      </w:r>
      <w:r>
        <w:rPr>
          <w:rFonts w:hint="eastAsia"/>
          <w:lang w:val="en-US" w:eastAsia="zh-CN"/>
        </w:rPr>
        <w:t>无量纲；</w:t>
      </w:r>
    </w:p>
    <w:p>
      <w:pPr>
        <w:bidi w:val="0"/>
        <w:rPr>
          <w:rFonts w:hint="default"/>
        </w:rPr>
      </w:pPr>
      <w:r>
        <w:rPr>
          <w:rFonts w:hint="default"/>
        </w:rPr>
        <w:t>pHsd——评价标准值的下限值</w:t>
      </w:r>
      <w:r>
        <w:rPr>
          <w:rFonts w:hint="eastAsia"/>
          <w:lang w:eastAsia="zh-CN"/>
        </w:rPr>
        <w:t>，</w:t>
      </w:r>
      <w:r>
        <w:rPr>
          <w:rFonts w:hint="eastAsia"/>
          <w:lang w:val="en-US" w:eastAsia="zh-CN"/>
        </w:rPr>
        <w:t>无量纲；</w:t>
      </w:r>
    </w:p>
    <w:p>
      <w:pPr>
        <w:bidi w:val="0"/>
        <w:rPr>
          <w:rFonts w:hint="default"/>
        </w:rPr>
      </w:pPr>
      <w:r>
        <w:rPr>
          <w:rFonts w:hint="default"/>
        </w:rPr>
        <w:t>pHsμ——评价标准值的上限值</w:t>
      </w:r>
      <w:r>
        <w:rPr>
          <w:rFonts w:hint="eastAsia"/>
          <w:lang w:eastAsia="zh-CN"/>
        </w:rPr>
        <w:t>，</w:t>
      </w:r>
      <w:r>
        <w:rPr>
          <w:rFonts w:hint="eastAsia"/>
          <w:lang w:val="en-US" w:eastAsia="zh-CN"/>
        </w:rPr>
        <w:t>无量纲</w:t>
      </w:r>
      <w:r>
        <w:rPr>
          <w:rFonts w:hint="default"/>
        </w:rPr>
        <w:t>。</w:t>
      </w:r>
    </w:p>
    <w:p>
      <w:pPr>
        <w:bidi w:val="0"/>
        <w:rPr>
          <w:rFonts w:hint="default"/>
        </w:rPr>
      </w:pPr>
      <w:r>
        <w:rPr>
          <w:rFonts w:hint="default"/>
        </w:rPr>
        <w:t>（6）评价标准</w:t>
      </w:r>
    </w:p>
    <w:p>
      <w:pPr>
        <w:bidi w:val="0"/>
        <w:rPr>
          <w:rFonts w:hint="default"/>
        </w:rPr>
      </w:pPr>
      <w:r>
        <w:rPr>
          <w:rFonts w:hint="default"/>
        </w:rPr>
        <w:t>《地下水质量标准》（GB/T14848-2017）Ⅲ类标准。</w:t>
      </w:r>
    </w:p>
    <w:p>
      <w:pPr>
        <w:bidi w:val="0"/>
        <w:rPr>
          <w:rFonts w:hint="default"/>
        </w:rPr>
      </w:pPr>
      <w:r>
        <w:rPr>
          <w:rFonts w:hint="default"/>
        </w:rPr>
        <w:t>（7）监测结果与评价</w:t>
      </w:r>
    </w:p>
    <w:p>
      <w:pPr>
        <w:bidi w:val="0"/>
        <w:rPr>
          <w:rFonts w:hint="default"/>
        </w:rPr>
      </w:pPr>
      <w:r>
        <w:rPr>
          <w:rFonts w:hint="default"/>
        </w:rPr>
        <w:t>地下水监测结果见表4.</w:t>
      </w:r>
      <w:r>
        <w:rPr>
          <w:rFonts w:hint="eastAsia"/>
          <w:lang w:val="en-US" w:eastAsia="zh-CN"/>
        </w:rPr>
        <w:t>2</w:t>
      </w:r>
      <w:r>
        <w:rPr>
          <w:rFonts w:hint="default"/>
        </w:rPr>
        <w:t>-</w:t>
      </w:r>
      <w:r>
        <w:rPr>
          <w:rFonts w:hint="eastAsia"/>
          <w:lang w:val="en-US" w:eastAsia="zh-CN"/>
        </w:rPr>
        <w:t>7</w:t>
      </w:r>
      <w:r>
        <w:rPr>
          <w:rFonts w:hint="default"/>
        </w:rPr>
        <w:t>，统计分析结果见表4.</w:t>
      </w:r>
      <w:r>
        <w:rPr>
          <w:rFonts w:hint="eastAsia"/>
          <w:lang w:val="en-US" w:eastAsia="zh-CN"/>
        </w:rPr>
        <w:t>2</w:t>
      </w:r>
      <w:r>
        <w:rPr>
          <w:rFonts w:hint="default"/>
        </w:rPr>
        <w:t>-</w:t>
      </w:r>
      <w:r>
        <w:rPr>
          <w:rFonts w:hint="eastAsia"/>
          <w:lang w:val="en-US" w:eastAsia="zh-CN"/>
        </w:rPr>
        <w:t>8</w:t>
      </w:r>
      <w:r>
        <w:rPr>
          <w:rFonts w:hint="default"/>
        </w:rPr>
        <w:t>。</w:t>
      </w:r>
    </w:p>
    <w:p>
      <w:pPr>
        <w:pStyle w:val="17"/>
        <w:bidi w:val="0"/>
        <w:rPr>
          <w:rFonts w:hint="default"/>
          <w:b/>
          <w:bCs/>
        </w:rPr>
      </w:pPr>
      <w:r>
        <w:rPr>
          <w:rFonts w:hint="default"/>
          <w:b/>
          <w:bCs/>
        </w:rPr>
        <w:t>表4.</w:t>
      </w:r>
      <w:r>
        <w:rPr>
          <w:rFonts w:hint="eastAsia"/>
          <w:b/>
          <w:bCs/>
          <w:lang w:val="en-US" w:eastAsia="zh-CN"/>
        </w:rPr>
        <w:t>2</w:t>
      </w:r>
      <w:r>
        <w:rPr>
          <w:rFonts w:hint="default"/>
          <w:b/>
          <w:bCs/>
        </w:rPr>
        <w:t>-</w:t>
      </w:r>
      <w:r>
        <w:rPr>
          <w:rFonts w:hint="eastAsia"/>
          <w:b/>
          <w:bCs/>
          <w:lang w:val="en-US" w:eastAsia="zh-CN"/>
        </w:rPr>
        <w:t>7</w:t>
      </w:r>
      <w:r>
        <w:rPr>
          <w:rFonts w:hint="default"/>
          <w:b/>
          <w:bCs/>
        </w:rPr>
        <w:t xml:space="preserve"> </w:t>
      </w:r>
      <w:r>
        <w:rPr>
          <w:rFonts w:hint="eastAsia"/>
          <w:b/>
          <w:bCs/>
          <w:lang w:val="en-US" w:eastAsia="zh-CN"/>
        </w:rPr>
        <w:t xml:space="preserve"> </w:t>
      </w:r>
      <w:r>
        <w:rPr>
          <w:rFonts w:hint="default"/>
          <w:b/>
          <w:bCs/>
        </w:rPr>
        <w:t xml:space="preserve"> 地下水水质监测结果</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24"/>
        <w:gridCol w:w="1274"/>
        <w:gridCol w:w="1435"/>
        <w:gridCol w:w="1513"/>
        <w:gridCol w:w="1547"/>
        <w:gridCol w:w="13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default"/>
                <w:b/>
                <w:bCs/>
              </w:rPr>
            </w:pPr>
            <w:r>
              <w:rPr>
                <w:rFonts w:hint="default"/>
                <w:b/>
                <w:bCs/>
              </w:rPr>
              <w:t>监测项目</w:t>
            </w:r>
          </w:p>
        </w:tc>
        <w:tc>
          <w:tcPr>
            <w:tcW w:w="1274" w:type="dxa"/>
            <w:tcBorders>
              <w:tl2br w:val="nil"/>
              <w:tr2bl w:val="nil"/>
            </w:tcBorders>
            <w:vAlign w:val="center"/>
          </w:tcPr>
          <w:p>
            <w:pPr>
              <w:pStyle w:val="17"/>
              <w:bidi w:val="0"/>
              <w:rPr>
                <w:rFonts w:hint="default"/>
                <w:b/>
                <w:bCs/>
              </w:rPr>
            </w:pPr>
            <w:r>
              <w:rPr>
                <w:rFonts w:hint="default"/>
                <w:b/>
                <w:bCs/>
              </w:rPr>
              <w:t>单位</w:t>
            </w:r>
          </w:p>
        </w:tc>
        <w:tc>
          <w:tcPr>
            <w:tcW w:w="1435" w:type="dxa"/>
            <w:tcBorders>
              <w:tl2br w:val="nil"/>
              <w:tr2bl w:val="nil"/>
            </w:tcBorders>
            <w:vAlign w:val="center"/>
          </w:tcPr>
          <w:p>
            <w:pPr>
              <w:pStyle w:val="17"/>
              <w:bidi w:val="0"/>
              <w:rPr>
                <w:rFonts w:hint="default"/>
                <w:b/>
                <w:bCs/>
              </w:rPr>
            </w:pPr>
            <w:r>
              <w:rPr>
                <w:rFonts w:hint="default"/>
                <w:b/>
                <w:bCs/>
              </w:rPr>
              <w:t>DXS-1</w:t>
            </w:r>
          </w:p>
        </w:tc>
        <w:tc>
          <w:tcPr>
            <w:tcW w:w="1513" w:type="dxa"/>
            <w:tcBorders>
              <w:tl2br w:val="nil"/>
              <w:tr2bl w:val="nil"/>
            </w:tcBorders>
            <w:vAlign w:val="center"/>
          </w:tcPr>
          <w:p>
            <w:pPr>
              <w:pStyle w:val="17"/>
              <w:bidi w:val="0"/>
              <w:rPr>
                <w:rFonts w:hint="default"/>
                <w:b/>
                <w:bCs/>
              </w:rPr>
            </w:pPr>
            <w:r>
              <w:rPr>
                <w:rFonts w:hint="default"/>
                <w:b/>
                <w:bCs/>
              </w:rPr>
              <w:t>DXS-2</w:t>
            </w:r>
          </w:p>
        </w:tc>
        <w:tc>
          <w:tcPr>
            <w:tcW w:w="1547" w:type="dxa"/>
            <w:tcBorders>
              <w:tl2br w:val="nil"/>
              <w:tr2bl w:val="nil"/>
            </w:tcBorders>
            <w:vAlign w:val="center"/>
          </w:tcPr>
          <w:p>
            <w:pPr>
              <w:pStyle w:val="17"/>
              <w:bidi w:val="0"/>
              <w:rPr>
                <w:rFonts w:hint="default"/>
                <w:b/>
                <w:bCs/>
              </w:rPr>
            </w:pPr>
            <w:r>
              <w:rPr>
                <w:rFonts w:hint="default"/>
                <w:b/>
                <w:bCs/>
              </w:rPr>
              <w:t>DXS-3</w:t>
            </w:r>
          </w:p>
        </w:tc>
        <w:tc>
          <w:tcPr>
            <w:tcW w:w="1378" w:type="dxa"/>
            <w:tcBorders>
              <w:tl2br w:val="nil"/>
              <w:tr2bl w:val="nil"/>
            </w:tcBorders>
            <w:vAlign w:val="center"/>
          </w:tcPr>
          <w:p>
            <w:pPr>
              <w:pStyle w:val="17"/>
              <w:bidi w:val="0"/>
              <w:rPr>
                <w:rFonts w:hint="default"/>
                <w:b/>
                <w:bCs/>
              </w:rPr>
            </w:pPr>
            <w:r>
              <w:rPr>
                <w:rFonts w:hint="default"/>
                <w:b/>
                <w:bCs/>
              </w:rPr>
              <w:t>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default" w:eastAsia="宋体"/>
                <w:lang w:val="en-US" w:eastAsia="zh-CN"/>
              </w:rPr>
            </w:pPr>
            <w:r>
              <w:rPr>
                <w:rFonts w:hint="eastAsia"/>
                <w:lang w:val="en-US" w:eastAsia="zh-CN"/>
              </w:rPr>
              <w:t>pH值</w:t>
            </w:r>
          </w:p>
        </w:tc>
        <w:tc>
          <w:tcPr>
            <w:tcW w:w="1274" w:type="dxa"/>
            <w:tcBorders>
              <w:tl2br w:val="nil"/>
              <w:tr2bl w:val="nil"/>
            </w:tcBorders>
            <w:vAlign w:val="center"/>
          </w:tcPr>
          <w:p>
            <w:pPr>
              <w:pStyle w:val="17"/>
              <w:bidi w:val="0"/>
              <w:rPr>
                <w:rFonts w:hint="default"/>
              </w:rPr>
            </w:pPr>
            <w:r>
              <w:rPr>
                <w:rFonts w:hint="default"/>
              </w:rPr>
              <w:t>无量纲</w:t>
            </w:r>
          </w:p>
        </w:tc>
        <w:tc>
          <w:tcPr>
            <w:tcW w:w="1435" w:type="dxa"/>
            <w:tcBorders>
              <w:tl2br w:val="nil"/>
              <w:tr2bl w:val="nil"/>
            </w:tcBorders>
            <w:vAlign w:val="center"/>
          </w:tcPr>
          <w:p>
            <w:pPr>
              <w:pStyle w:val="17"/>
              <w:bidi w:val="0"/>
              <w:rPr>
                <w:rFonts w:hint="default"/>
                <w:lang w:val="en-US" w:eastAsia="zh-CN"/>
              </w:rPr>
            </w:pPr>
            <w:r>
              <w:rPr>
                <w:rFonts w:hint="eastAsia"/>
                <w:lang w:val="en-US" w:eastAsia="zh-CN"/>
              </w:rPr>
              <w:t>7.89</w:t>
            </w:r>
          </w:p>
        </w:tc>
        <w:tc>
          <w:tcPr>
            <w:tcW w:w="1513" w:type="dxa"/>
            <w:tcBorders>
              <w:tl2br w:val="nil"/>
              <w:tr2bl w:val="nil"/>
            </w:tcBorders>
            <w:vAlign w:val="center"/>
          </w:tcPr>
          <w:p>
            <w:pPr>
              <w:pStyle w:val="17"/>
              <w:bidi w:val="0"/>
              <w:rPr>
                <w:rFonts w:hint="default"/>
                <w:lang w:val="en-US" w:eastAsia="zh-CN"/>
              </w:rPr>
            </w:pPr>
            <w:r>
              <w:rPr>
                <w:rFonts w:hint="eastAsia"/>
                <w:lang w:val="en-US" w:eastAsia="zh-CN"/>
              </w:rPr>
              <w:t>8.07</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7.91</w:t>
            </w:r>
          </w:p>
        </w:tc>
        <w:tc>
          <w:tcPr>
            <w:tcW w:w="1378" w:type="dxa"/>
            <w:tcBorders>
              <w:tl2br w:val="nil"/>
              <w:tr2bl w:val="nil"/>
            </w:tcBorders>
            <w:vAlign w:val="center"/>
          </w:tcPr>
          <w:p>
            <w:pPr>
              <w:pStyle w:val="17"/>
              <w:bidi w:val="0"/>
              <w:rPr>
                <w:rFonts w:hint="default"/>
              </w:rPr>
            </w:pPr>
            <w:r>
              <w:rPr>
                <w:rFonts w:hint="default"/>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eastAsia" w:eastAsia="宋体"/>
                <w:lang w:val="en-US" w:eastAsia="zh-CN"/>
              </w:rPr>
            </w:pPr>
            <w:r>
              <w:rPr>
                <w:rFonts w:hint="eastAsia"/>
                <w:lang w:val="en-US" w:eastAsia="zh-CN"/>
              </w:rPr>
              <w:t>总硬度</w:t>
            </w:r>
          </w:p>
        </w:tc>
        <w:tc>
          <w:tcPr>
            <w:tcW w:w="1274" w:type="dxa"/>
            <w:vMerge w:val="restart"/>
            <w:tcBorders>
              <w:tl2br w:val="nil"/>
              <w:tr2bl w:val="nil"/>
            </w:tcBorders>
            <w:vAlign w:val="center"/>
          </w:tcPr>
          <w:p>
            <w:pPr>
              <w:pStyle w:val="17"/>
              <w:bidi w:val="0"/>
              <w:rPr>
                <w:rFonts w:hint="default"/>
              </w:rPr>
            </w:pPr>
            <w:r>
              <w:rPr>
                <w:rFonts w:hint="default"/>
              </w:rPr>
              <w:t>mg/L</w:t>
            </w:r>
          </w:p>
        </w:tc>
        <w:tc>
          <w:tcPr>
            <w:tcW w:w="1435" w:type="dxa"/>
            <w:tcBorders>
              <w:tl2br w:val="nil"/>
              <w:tr2bl w:val="nil"/>
            </w:tcBorders>
            <w:vAlign w:val="center"/>
          </w:tcPr>
          <w:p>
            <w:pPr>
              <w:pStyle w:val="17"/>
              <w:bidi w:val="0"/>
              <w:rPr>
                <w:rFonts w:hint="default"/>
                <w:lang w:val="en-US" w:eastAsia="zh-CN"/>
              </w:rPr>
            </w:pPr>
            <w:r>
              <w:rPr>
                <w:rFonts w:hint="eastAsia"/>
                <w:lang w:val="en-US" w:eastAsia="zh-CN"/>
              </w:rPr>
              <w:t>302</w:t>
            </w:r>
          </w:p>
        </w:tc>
        <w:tc>
          <w:tcPr>
            <w:tcW w:w="1513" w:type="dxa"/>
            <w:tcBorders>
              <w:tl2br w:val="nil"/>
              <w:tr2bl w:val="nil"/>
            </w:tcBorders>
            <w:vAlign w:val="center"/>
          </w:tcPr>
          <w:p>
            <w:pPr>
              <w:pStyle w:val="17"/>
              <w:bidi w:val="0"/>
              <w:rPr>
                <w:rFonts w:hint="default"/>
                <w:lang w:val="en-US" w:eastAsia="zh-CN"/>
              </w:rPr>
            </w:pPr>
            <w:r>
              <w:rPr>
                <w:rFonts w:hint="eastAsia"/>
                <w:lang w:val="en-US" w:eastAsia="zh-CN"/>
              </w:rPr>
              <w:t>139</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154</w:t>
            </w:r>
          </w:p>
        </w:tc>
        <w:tc>
          <w:tcPr>
            <w:tcW w:w="1378" w:type="dxa"/>
            <w:tcBorders>
              <w:tl2br w:val="nil"/>
              <w:tr2bl w:val="nil"/>
            </w:tcBorders>
            <w:vAlign w:val="center"/>
          </w:tcPr>
          <w:p>
            <w:pPr>
              <w:pStyle w:val="17"/>
              <w:bidi w:val="0"/>
              <w:rPr>
                <w:rFonts w:hint="default"/>
              </w:rPr>
            </w:pPr>
            <w:r>
              <w:rPr>
                <w:rFonts w:hint="default"/>
              </w:rPr>
              <w:t>≤</w:t>
            </w:r>
            <w:r>
              <w:rPr>
                <w:rFonts w:hint="eastAsia"/>
                <w:lang w:val="en-US" w:eastAsia="zh-CN"/>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default" w:eastAsia="宋体"/>
                <w:lang w:val="en-US" w:eastAsia="zh-CN"/>
              </w:rPr>
            </w:pPr>
            <w:r>
              <w:rPr>
                <w:rFonts w:hint="eastAsia"/>
                <w:lang w:val="en-US" w:eastAsia="zh-CN"/>
              </w:rPr>
              <w:t>溶解性总固体</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lang w:val="en-US" w:eastAsia="zh-CN"/>
              </w:rPr>
            </w:pPr>
            <w:r>
              <w:rPr>
                <w:rFonts w:hint="eastAsia"/>
                <w:lang w:val="en-US" w:eastAsia="zh-CN"/>
              </w:rPr>
              <w:t>511</w:t>
            </w:r>
          </w:p>
        </w:tc>
        <w:tc>
          <w:tcPr>
            <w:tcW w:w="1513" w:type="dxa"/>
            <w:tcBorders>
              <w:tl2br w:val="nil"/>
              <w:tr2bl w:val="nil"/>
            </w:tcBorders>
            <w:vAlign w:val="center"/>
          </w:tcPr>
          <w:p>
            <w:pPr>
              <w:pStyle w:val="17"/>
              <w:bidi w:val="0"/>
              <w:rPr>
                <w:rFonts w:hint="default"/>
                <w:lang w:val="en-US" w:eastAsia="zh-CN"/>
              </w:rPr>
            </w:pPr>
            <w:r>
              <w:rPr>
                <w:rFonts w:hint="eastAsia"/>
                <w:lang w:val="en-US" w:eastAsia="zh-CN"/>
              </w:rPr>
              <w:t>202</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290</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eastAsia" w:eastAsia="宋体"/>
                <w:lang w:val="en-US" w:eastAsia="zh-CN"/>
              </w:rPr>
            </w:pPr>
            <w:r>
              <w:rPr>
                <w:rFonts w:hint="eastAsia"/>
                <w:lang w:val="en-US" w:eastAsia="zh-CN"/>
              </w:rPr>
              <w:t>硫酸盐</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lang w:val="en-US" w:eastAsia="zh-CN"/>
              </w:rPr>
            </w:pPr>
            <w:r>
              <w:rPr>
                <w:rFonts w:hint="eastAsia"/>
                <w:lang w:val="en-US" w:eastAsia="zh-CN"/>
              </w:rPr>
              <w:t>130</w:t>
            </w:r>
          </w:p>
        </w:tc>
        <w:tc>
          <w:tcPr>
            <w:tcW w:w="1513" w:type="dxa"/>
            <w:tcBorders>
              <w:tl2br w:val="nil"/>
              <w:tr2bl w:val="nil"/>
            </w:tcBorders>
            <w:vAlign w:val="center"/>
          </w:tcPr>
          <w:p>
            <w:pPr>
              <w:pStyle w:val="17"/>
              <w:bidi w:val="0"/>
              <w:rPr>
                <w:rFonts w:hint="default"/>
                <w:lang w:val="en-US" w:eastAsia="zh-CN"/>
              </w:rPr>
            </w:pPr>
            <w:r>
              <w:rPr>
                <w:rFonts w:hint="eastAsia"/>
                <w:lang w:val="en-US" w:eastAsia="zh-CN"/>
              </w:rPr>
              <w:t>36.6</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29.3</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eastAsia" w:eastAsia="宋体"/>
                <w:lang w:val="en-US" w:eastAsia="zh-CN"/>
              </w:rPr>
            </w:pPr>
            <w:r>
              <w:rPr>
                <w:rFonts w:hint="eastAsia"/>
                <w:lang w:val="en-US" w:eastAsia="zh-CN"/>
              </w:rPr>
              <w:t>氯化物</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lang w:val="en-US" w:eastAsia="zh-CN"/>
              </w:rPr>
            </w:pPr>
            <w:r>
              <w:rPr>
                <w:rFonts w:hint="eastAsia"/>
                <w:lang w:val="en-US" w:eastAsia="zh-CN"/>
              </w:rPr>
              <w:t>52.0</w:t>
            </w:r>
          </w:p>
        </w:tc>
        <w:tc>
          <w:tcPr>
            <w:tcW w:w="1513" w:type="dxa"/>
            <w:tcBorders>
              <w:tl2br w:val="nil"/>
              <w:tr2bl w:val="nil"/>
            </w:tcBorders>
            <w:vAlign w:val="center"/>
          </w:tcPr>
          <w:p>
            <w:pPr>
              <w:pStyle w:val="17"/>
              <w:bidi w:val="0"/>
              <w:rPr>
                <w:rFonts w:hint="default"/>
                <w:lang w:val="en-US" w:eastAsia="zh-CN"/>
              </w:rPr>
            </w:pPr>
            <w:r>
              <w:rPr>
                <w:rFonts w:hint="eastAsia"/>
                <w:lang w:val="en-US" w:eastAsia="zh-CN"/>
              </w:rPr>
              <w:t>10.8</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11.5</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eastAsia" w:eastAsia="宋体"/>
                <w:lang w:val="en-US" w:eastAsia="zh-CN"/>
              </w:rPr>
            </w:pPr>
            <w:r>
              <w:rPr>
                <w:rFonts w:hint="eastAsia"/>
                <w:lang w:val="en-US" w:eastAsia="zh-CN"/>
              </w:rPr>
              <w:t>氨氮</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lang w:val="en-US" w:eastAsia="zh-CN"/>
              </w:rPr>
            </w:pPr>
            <w:r>
              <w:rPr>
                <w:rFonts w:hint="eastAsia"/>
                <w:lang w:val="en-US" w:eastAsia="zh-CN"/>
              </w:rPr>
              <w:t>＜0.025</w:t>
            </w:r>
          </w:p>
        </w:tc>
        <w:tc>
          <w:tcPr>
            <w:tcW w:w="1513" w:type="dxa"/>
            <w:tcBorders>
              <w:tl2br w:val="nil"/>
              <w:tr2bl w:val="nil"/>
            </w:tcBorders>
            <w:vAlign w:val="center"/>
          </w:tcPr>
          <w:p>
            <w:pPr>
              <w:pStyle w:val="17"/>
              <w:bidi w:val="0"/>
              <w:rPr>
                <w:rFonts w:hint="default"/>
                <w:lang w:val="en-US" w:eastAsia="zh-CN"/>
              </w:rPr>
            </w:pPr>
            <w:r>
              <w:rPr>
                <w:rFonts w:hint="eastAsia"/>
                <w:lang w:val="en-US" w:eastAsia="zh-CN"/>
              </w:rPr>
              <w:t>＜0.025</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0.028</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default" w:eastAsia="宋体"/>
                <w:lang w:val="en-US" w:eastAsia="zh-CN"/>
              </w:rPr>
            </w:pPr>
            <w:r>
              <w:rPr>
                <w:rFonts w:hint="eastAsia"/>
                <w:lang w:val="en-US" w:eastAsia="zh-CN"/>
              </w:rPr>
              <w:t>五日生化需氧量</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lang w:val="en-US" w:eastAsia="zh-CN"/>
              </w:rPr>
            </w:pPr>
            <w:r>
              <w:rPr>
                <w:rFonts w:hint="eastAsia"/>
                <w:lang w:val="en-US" w:eastAsia="zh-CN"/>
              </w:rPr>
              <w:t>＜0.5</w:t>
            </w:r>
          </w:p>
        </w:tc>
        <w:tc>
          <w:tcPr>
            <w:tcW w:w="1513" w:type="dxa"/>
            <w:tcBorders>
              <w:tl2br w:val="nil"/>
              <w:tr2bl w:val="nil"/>
            </w:tcBorders>
            <w:vAlign w:val="center"/>
          </w:tcPr>
          <w:p>
            <w:pPr>
              <w:pStyle w:val="17"/>
              <w:bidi w:val="0"/>
              <w:rPr>
                <w:rFonts w:hint="default"/>
                <w:lang w:val="en-US" w:eastAsia="zh-CN"/>
              </w:rPr>
            </w:pPr>
            <w:r>
              <w:rPr>
                <w:rFonts w:hint="eastAsia"/>
                <w:lang w:val="en-US" w:eastAsia="zh-CN"/>
              </w:rPr>
              <w:t>＜0.5</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＜0.5</w:t>
            </w:r>
          </w:p>
        </w:tc>
        <w:tc>
          <w:tcPr>
            <w:tcW w:w="1378" w:type="dxa"/>
            <w:tcBorders>
              <w:tl2br w:val="nil"/>
              <w:tr2bl w:val="nil"/>
            </w:tcBorders>
            <w:vAlign w:val="center"/>
          </w:tcPr>
          <w:p>
            <w:pPr>
              <w:pStyle w:val="17"/>
              <w:bidi w:val="0"/>
              <w:rPr>
                <w:rFonts w:hint="eastAsia" w:eastAsia="宋体"/>
                <w:lang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default" w:eastAsia="宋体"/>
                <w:lang w:val="en-US" w:eastAsia="zh-CN"/>
              </w:rPr>
            </w:pPr>
            <w:r>
              <w:rPr>
                <w:rFonts w:hint="eastAsia"/>
                <w:lang w:val="en-US" w:eastAsia="zh-CN"/>
              </w:rPr>
              <w:t>耗氧量</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lang w:val="en-US" w:eastAsia="zh-CN"/>
              </w:rPr>
            </w:pPr>
            <w:r>
              <w:rPr>
                <w:rFonts w:hint="eastAsia"/>
                <w:lang w:val="en-US" w:eastAsia="zh-CN"/>
              </w:rPr>
              <w:t>0.82</w:t>
            </w:r>
          </w:p>
        </w:tc>
        <w:tc>
          <w:tcPr>
            <w:tcW w:w="1513" w:type="dxa"/>
            <w:tcBorders>
              <w:tl2br w:val="nil"/>
              <w:tr2bl w:val="nil"/>
            </w:tcBorders>
            <w:vAlign w:val="center"/>
          </w:tcPr>
          <w:p>
            <w:pPr>
              <w:pStyle w:val="17"/>
              <w:bidi w:val="0"/>
              <w:rPr>
                <w:rFonts w:hint="default" w:eastAsia="宋体"/>
                <w:lang w:val="en-US" w:eastAsia="zh-CN"/>
              </w:rPr>
            </w:pPr>
            <w:r>
              <w:rPr>
                <w:rFonts w:hint="eastAsia"/>
                <w:lang w:val="en-US" w:eastAsia="zh-CN"/>
              </w:rPr>
              <w:t>0.87</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0.86</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eastAsia" w:eastAsia="宋体"/>
                <w:lang w:val="en-US" w:eastAsia="zh-CN"/>
              </w:rPr>
            </w:pPr>
            <w:r>
              <w:rPr>
                <w:rFonts w:hint="eastAsia"/>
                <w:lang w:val="en-US" w:eastAsia="zh-CN"/>
              </w:rPr>
              <w:t>硝酸盐</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lang w:val="en-US" w:eastAsia="zh-CN"/>
              </w:rPr>
            </w:pPr>
            <w:r>
              <w:rPr>
                <w:rFonts w:hint="eastAsia"/>
                <w:lang w:val="en-US" w:eastAsia="zh-CN"/>
              </w:rPr>
              <w:t>4.07</w:t>
            </w:r>
          </w:p>
        </w:tc>
        <w:tc>
          <w:tcPr>
            <w:tcW w:w="1513" w:type="dxa"/>
            <w:tcBorders>
              <w:tl2br w:val="nil"/>
              <w:tr2bl w:val="nil"/>
            </w:tcBorders>
            <w:vAlign w:val="center"/>
          </w:tcPr>
          <w:p>
            <w:pPr>
              <w:pStyle w:val="17"/>
              <w:bidi w:val="0"/>
              <w:rPr>
                <w:rFonts w:hint="default"/>
                <w:lang w:val="en-US" w:eastAsia="zh-CN"/>
              </w:rPr>
            </w:pPr>
            <w:r>
              <w:rPr>
                <w:rFonts w:hint="eastAsia"/>
                <w:lang w:val="en-US" w:eastAsia="zh-CN"/>
              </w:rPr>
              <w:t>0.737</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0.774</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default" w:eastAsia="宋体"/>
                <w:lang w:val="en-US" w:eastAsia="zh-CN"/>
              </w:rPr>
            </w:pPr>
            <w:r>
              <w:rPr>
                <w:rFonts w:hint="eastAsia"/>
                <w:lang w:val="en-US" w:eastAsia="zh-CN"/>
              </w:rPr>
              <w:t>亚硝酸盐</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lang w:val="en-US" w:eastAsia="zh-CN"/>
              </w:rPr>
            </w:pPr>
            <w:r>
              <w:rPr>
                <w:rFonts w:hint="eastAsia"/>
                <w:lang w:val="en-US" w:eastAsia="zh-CN"/>
              </w:rPr>
              <w:t>＜0.001</w:t>
            </w:r>
          </w:p>
        </w:tc>
        <w:tc>
          <w:tcPr>
            <w:tcW w:w="1513" w:type="dxa"/>
            <w:tcBorders>
              <w:tl2br w:val="nil"/>
              <w:tr2bl w:val="nil"/>
            </w:tcBorders>
            <w:vAlign w:val="center"/>
          </w:tcPr>
          <w:p>
            <w:pPr>
              <w:pStyle w:val="17"/>
              <w:bidi w:val="0"/>
              <w:rPr>
                <w:rFonts w:hint="default"/>
                <w:lang w:val="en-US" w:eastAsia="zh-CN"/>
              </w:rPr>
            </w:pPr>
            <w:r>
              <w:rPr>
                <w:rFonts w:hint="eastAsia"/>
                <w:lang w:val="en-US" w:eastAsia="zh-CN"/>
              </w:rPr>
              <w:t>0.001</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0.001</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eastAsia" w:eastAsia="宋体"/>
                <w:lang w:val="en-US" w:eastAsia="zh-CN"/>
              </w:rPr>
            </w:pPr>
            <w:r>
              <w:rPr>
                <w:rFonts w:hint="eastAsia"/>
                <w:lang w:val="en-US" w:eastAsia="zh-CN"/>
              </w:rPr>
              <w:t>挥发酚类</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lang w:val="en-US" w:eastAsia="zh-CN"/>
              </w:rPr>
            </w:pPr>
            <w:r>
              <w:rPr>
                <w:rFonts w:hint="eastAsia"/>
                <w:lang w:val="en-US" w:eastAsia="zh-CN"/>
              </w:rPr>
              <w:t>＜0.002</w:t>
            </w:r>
          </w:p>
        </w:tc>
        <w:tc>
          <w:tcPr>
            <w:tcW w:w="1513" w:type="dxa"/>
            <w:tcBorders>
              <w:tl2br w:val="nil"/>
              <w:tr2bl w:val="nil"/>
            </w:tcBorders>
            <w:vAlign w:val="center"/>
          </w:tcPr>
          <w:p>
            <w:pPr>
              <w:pStyle w:val="17"/>
              <w:bidi w:val="0"/>
              <w:rPr>
                <w:rFonts w:hint="default"/>
                <w:lang w:val="en-US"/>
              </w:rPr>
            </w:pPr>
            <w:r>
              <w:rPr>
                <w:rFonts w:hint="eastAsia"/>
                <w:lang w:val="en-US" w:eastAsia="zh-CN"/>
              </w:rPr>
              <w:t>＜0.002</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＜0.002</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eastAsia" w:eastAsia="宋体"/>
                <w:lang w:val="en-US" w:eastAsia="zh-CN"/>
              </w:rPr>
            </w:pPr>
            <w:r>
              <w:rPr>
                <w:rFonts w:hint="eastAsia"/>
                <w:lang w:val="en-US" w:eastAsia="zh-CN"/>
              </w:rPr>
              <w:t>氰化物</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lang w:val="en-US" w:eastAsia="zh-CN"/>
              </w:rPr>
            </w:pPr>
            <w:r>
              <w:rPr>
                <w:rFonts w:hint="eastAsia"/>
                <w:lang w:val="en-US" w:eastAsia="zh-CN"/>
              </w:rPr>
              <w:t>＜0.002</w:t>
            </w:r>
          </w:p>
        </w:tc>
        <w:tc>
          <w:tcPr>
            <w:tcW w:w="1513" w:type="dxa"/>
            <w:tcBorders>
              <w:tl2br w:val="nil"/>
              <w:tr2bl w:val="nil"/>
            </w:tcBorders>
            <w:vAlign w:val="center"/>
          </w:tcPr>
          <w:p>
            <w:pPr>
              <w:pStyle w:val="17"/>
              <w:bidi w:val="0"/>
              <w:rPr>
                <w:rFonts w:hint="default"/>
                <w:lang w:val="en-US"/>
              </w:rPr>
            </w:pPr>
            <w:r>
              <w:rPr>
                <w:rFonts w:hint="eastAsia"/>
                <w:lang w:val="en-US" w:eastAsia="zh-CN"/>
              </w:rPr>
              <w:t>＜0.002</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＜0.002</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default" w:eastAsia="宋体"/>
                <w:lang w:val="en-US" w:eastAsia="zh-CN"/>
              </w:rPr>
            </w:pPr>
            <w:r>
              <w:rPr>
                <w:rFonts w:hint="eastAsia"/>
                <w:lang w:val="en-US" w:eastAsia="zh-CN"/>
              </w:rPr>
              <w:t>氟化物</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eastAsia="宋体"/>
                <w:lang w:val="en-US" w:eastAsia="zh-CN"/>
              </w:rPr>
            </w:pPr>
            <w:r>
              <w:rPr>
                <w:rFonts w:hint="eastAsia"/>
                <w:lang w:val="en-US" w:eastAsia="zh-CN"/>
              </w:rPr>
              <w:t>0.185</w:t>
            </w:r>
          </w:p>
        </w:tc>
        <w:tc>
          <w:tcPr>
            <w:tcW w:w="1513" w:type="dxa"/>
            <w:tcBorders>
              <w:tl2br w:val="nil"/>
              <w:tr2bl w:val="nil"/>
            </w:tcBorders>
            <w:vAlign w:val="center"/>
          </w:tcPr>
          <w:p>
            <w:pPr>
              <w:pStyle w:val="17"/>
              <w:bidi w:val="0"/>
              <w:rPr>
                <w:rFonts w:hint="default" w:eastAsia="宋体"/>
                <w:lang w:val="en-US" w:eastAsia="zh-CN"/>
              </w:rPr>
            </w:pPr>
            <w:r>
              <w:rPr>
                <w:rFonts w:hint="eastAsia"/>
                <w:lang w:val="en-US" w:eastAsia="zh-CN"/>
              </w:rPr>
              <w:t>0.257</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0.217</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eastAsia" w:eastAsia="宋体"/>
                <w:lang w:val="en-US" w:eastAsia="zh-CN"/>
              </w:rPr>
            </w:pPr>
            <w:r>
              <w:rPr>
                <w:rFonts w:hint="eastAsia"/>
                <w:lang w:val="en-US" w:eastAsia="zh-CN"/>
              </w:rPr>
              <w:t>铅</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eastAsia="宋体"/>
                <w:lang w:val="en-US" w:eastAsia="zh-CN"/>
              </w:rPr>
            </w:pPr>
            <w:r>
              <w:rPr>
                <w:rFonts w:hint="eastAsia"/>
                <w:lang w:val="en-US" w:eastAsia="zh-CN"/>
              </w:rPr>
              <w:t>＜0.0025</w:t>
            </w:r>
          </w:p>
        </w:tc>
        <w:tc>
          <w:tcPr>
            <w:tcW w:w="1513" w:type="dxa"/>
            <w:tcBorders>
              <w:tl2br w:val="nil"/>
              <w:tr2bl w:val="nil"/>
            </w:tcBorders>
            <w:vAlign w:val="center"/>
          </w:tcPr>
          <w:p>
            <w:pPr>
              <w:pStyle w:val="17"/>
              <w:bidi w:val="0"/>
              <w:rPr>
                <w:rFonts w:hint="default"/>
                <w:lang w:val="en-US"/>
              </w:rPr>
            </w:pPr>
            <w:r>
              <w:rPr>
                <w:rFonts w:hint="eastAsia"/>
                <w:lang w:val="en-US" w:eastAsia="zh-CN"/>
              </w:rPr>
              <w:t>＜0.0025</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＜0.0025</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eastAsia" w:eastAsia="宋体"/>
                <w:lang w:val="en-US" w:eastAsia="zh-CN"/>
              </w:rPr>
            </w:pPr>
            <w:r>
              <w:rPr>
                <w:rFonts w:hint="eastAsia"/>
                <w:lang w:val="en-US" w:eastAsia="zh-CN"/>
              </w:rPr>
              <w:t>砷</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eastAsia="宋体"/>
                <w:lang w:val="en-US" w:eastAsia="zh-CN"/>
              </w:rPr>
            </w:pPr>
            <w:r>
              <w:rPr>
                <w:rFonts w:hint="eastAsia"/>
                <w:lang w:val="en-US" w:eastAsia="zh-CN"/>
              </w:rPr>
              <w:t>＜0.001</w:t>
            </w:r>
          </w:p>
        </w:tc>
        <w:tc>
          <w:tcPr>
            <w:tcW w:w="1513" w:type="dxa"/>
            <w:tcBorders>
              <w:tl2br w:val="nil"/>
              <w:tr2bl w:val="nil"/>
            </w:tcBorders>
            <w:vAlign w:val="center"/>
          </w:tcPr>
          <w:p>
            <w:pPr>
              <w:pStyle w:val="17"/>
              <w:bidi w:val="0"/>
              <w:rPr>
                <w:rFonts w:hint="default" w:eastAsia="宋体"/>
                <w:lang w:val="en-US" w:eastAsia="zh-CN"/>
              </w:rPr>
            </w:pPr>
            <w:r>
              <w:rPr>
                <w:rFonts w:hint="eastAsia"/>
                <w:lang w:val="en-US" w:eastAsia="zh-CN"/>
              </w:rPr>
              <w:t>0.001</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0.001</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eastAsia" w:eastAsia="宋体"/>
                <w:lang w:val="en-US" w:eastAsia="zh-CN"/>
              </w:rPr>
            </w:pPr>
            <w:r>
              <w:rPr>
                <w:rFonts w:hint="eastAsia"/>
                <w:lang w:val="en-US" w:eastAsia="zh-CN"/>
              </w:rPr>
              <w:t>镉</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eastAsia="宋体"/>
                <w:lang w:val="en-US" w:eastAsia="zh-CN"/>
              </w:rPr>
            </w:pPr>
            <w:r>
              <w:rPr>
                <w:rFonts w:hint="eastAsia"/>
                <w:lang w:val="en-US" w:eastAsia="zh-CN"/>
              </w:rPr>
              <w:t>＜0.0005</w:t>
            </w:r>
          </w:p>
        </w:tc>
        <w:tc>
          <w:tcPr>
            <w:tcW w:w="1513" w:type="dxa"/>
            <w:tcBorders>
              <w:tl2br w:val="nil"/>
              <w:tr2bl w:val="nil"/>
            </w:tcBorders>
            <w:vAlign w:val="center"/>
          </w:tcPr>
          <w:p>
            <w:pPr>
              <w:pStyle w:val="17"/>
              <w:bidi w:val="0"/>
              <w:rPr>
                <w:rFonts w:hint="default"/>
                <w:lang w:val="en-US"/>
              </w:rPr>
            </w:pPr>
            <w:r>
              <w:rPr>
                <w:rFonts w:hint="eastAsia"/>
                <w:lang w:val="en-US" w:eastAsia="zh-CN"/>
              </w:rPr>
              <w:t>＜0.0005</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＜0.0005</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eastAsia" w:eastAsia="宋体"/>
                <w:lang w:val="en-US" w:eastAsia="zh-CN"/>
              </w:rPr>
            </w:pPr>
            <w:r>
              <w:rPr>
                <w:rFonts w:hint="eastAsia"/>
                <w:lang w:val="en-US" w:eastAsia="zh-CN"/>
              </w:rPr>
              <w:t>汞</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lang w:val="en-US"/>
              </w:rPr>
            </w:pPr>
            <w:r>
              <w:rPr>
                <w:rFonts w:hint="eastAsia"/>
                <w:lang w:val="en-US" w:eastAsia="zh-CN"/>
              </w:rPr>
              <w:t>＜0.0001</w:t>
            </w:r>
          </w:p>
        </w:tc>
        <w:tc>
          <w:tcPr>
            <w:tcW w:w="1513" w:type="dxa"/>
            <w:tcBorders>
              <w:tl2br w:val="nil"/>
              <w:tr2bl w:val="nil"/>
            </w:tcBorders>
            <w:vAlign w:val="center"/>
          </w:tcPr>
          <w:p>
            <w:pPr>
              <w:pStyle w:val="17"/>
              <w:bidi w:val="0"/>
              <w:rPr>
                <w:rFonts w:hint="default"/>
                <w:lang w:val="en-US"/>
              </w:rPr>
            </w:pPr>
            <w:r>
              <w:rPr>
                <w:rFonts w:hint="eastAsia"/>
                <w:lang w:val="en-US" w:eastAsia="zh-CN"/>
              </w:rPr>
              <w:t>＜0.0001</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＜0.0001</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eastAsia" w:eastAsia="宋体"/>
                <w:lang w:val="en-US" w:eastAsia="zh-CN"/>
              </w:rPr>
            </w:pPr>
            <w:r>
              <w:rPr>
                <w:rFonts w:hint="eastAsia"/>
                <w:lang w:val="en-US" w:eastAsia="zh-CN"/>
              </w:rPr>
              <w:t>锰</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lang w:val="en-US"/>
              </w:rPr>
            </w:pPr>
            <w:r>
              <w:rPr>
                <w:rFonts w:hint="eastAsia"/>
                <w:lang w:val="en-US" w:eastAsia="zh-CN"/>
              </w:rPr>
              <w:t>＜0.025</w:t>
            </w:r>
          </w:p>
        </w:tc>
        <w:tc>
          <w:tcPr>
            <w:tcW w:w="1513" w:type="dxa"/>
            <w:tcBorders>
              <w:tl2br w:val="nil"/>
              <w:tr2bl w:val="nil"/>
            </w:tcBorders>
            <w:vAlign w:val="center"/>
          </w:tcPr>
          <w:p>
            <w:pPr>
              <w:pStyle w:val="17"/>
              <w:bidi w:val="0"/>
              <w:rPr>
                <w:rFonts w:hint="default"/>
                <w:lang w:val="en-US"/>
              </w:rPr>
            </w:pPr>
            <w:r>
              <w:rPr>
                <w:rFonts w:hint="eastAsia"/>
                <w:lang w:val="en-US" w:eastAsia="zh-CN"/>
              </w:rPr>
              <w:t>＜0.025</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＜0.025</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eastAsia" w:eastAsia="宋体"/>
                <w:lang w:val="en-US" w:eastAsia="zh-CN"/>
              </w:rPr>
            </w:pPr>
            <w:r>
              <w:rPr>
                <w:rFonts w:hint="eastAsia"/>
                <w:lang w:val="en-US" w:eastAsia="zh-CN"/>
              </w:rPr>
              <w:t>铁</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lang w:val="en-US"/>
              </w:rPr>
            </w:pPr>
            <w:r>
              <w:rPr>
                <w:rFonts w:hint="eastAsia"/>
                <w:lang w:val="en-US" w:eastAsia="zh-CN"/>
              </w:rPr>
              <w:t>＜0.025</w:t>
            </w:r>
          </w:p>
        </w:tc>
        <w:tc>
          <w:tcPr>
            <w:tcW w:w="1513" w:type="dxa"/>
            <w:tcBorders>
              <w:tl2br w:val="nil"/>
              <w:tr2bl w:val="nil"/>
            </w:tcBorders>
            <w:vAlign w:val="center"/>
          </w:tcPr>
          <w:p>
            <w:pPr>
              <w:pStyle w:val="17"/>
              <w:bidi w:val="0"/>
              <w:rPr>
                <w:rFonts w:hint="default"/>
                <w:lang w:val="en-US"/>
              </w:rPr>
            </w:pPr>
            <w:r>
              <w:rPr>
                <w:rFonts w:hint="eastAsia"/>
                <w:lang w:val="en-US" w:eastAsia="zh-CN"/>
              </w:rPr>
              <w:t>＜0.025</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＜0.025</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eastAsia" w:eastAsia="宋体"/>
                <w:lang w:val="en-US" w:eastAsia="zh-CN"/>
              </w:rPr>
            </w:pPr>
            <w:r>
              <w:rPr>
                <w:rFonts w:hint="eastAsia"/>
                <w:lang w:val="en-US" w:eastAsia="zh-CN"/>
              </w:rPr>
              <w:t>六价铬</w:t>
            </w:r>
          </w:p>
        </w:tc>
        <w:tc>
          <w:tcPr>
            <w:tcW w:w="1274" w:type="dxa"/>
            <w:vMerge w:val="continue"/>
            <w:tcBorders>
              <w:tl2br w:val="nil"/>
              <w:tr2bl w:val="nil"/>
            </w:tcBorders>
            <w:vAlign w:val="center"/>
          </w:tcPr>
          <w:p>
            <w:pPr>
              <w:pStyle w:val="17"/>
              <w:bidi w:val="0"/>
              <w:rPr>
                <w:rFonts w:hint="default"/>
              </w:rPr>
            </w:pPr>
          </w:p>
        </w:tc>
        <w:tc>
          <w:tcPr>
            <w:tcW w:w="1435" w:type="dxa"/>
            <w:tcBorders>
              <w:tl2br w:val="nil"/>
              <w:tr2bl w:val="nil"/>
            </w:tcBorders>
            <w:vAlign w:val="center"/>
          </w:tcPr>
          <w:p>
            <w:pPr>
              <w:pStyle w:val="17"/>
              <w:bidi w:val="0"/>
              <w:rPr>
                <w:rFonts w:hint="default"/>
                <w:lang w:val="en-US" w:eastAsia="zh-CN"/>
              </w:rPr>
            </w:pPr>
            <w:r>
              <w:rPr>
                <w:rFonts w:hint="eastAsia"/>
                <w:lang w:val="en-US" w:eastAsia="zh-CN"/>
              </w:rPr>
              <w:t>＜0.004</w:t>
            </w:r>
          </w:p>
        </w:tc>
        <w:tc>
          <w:tcPr>
            <w:tcW w:w="1513" w:type="dxa"/>
            <w:tcBorders>
              <w:tl2br w:val="nil"/>
              <w:tr2bl w:val="nil"/>
            </w:tcBorders>
            <w:vAlign w:val="center"/>
          </w:tcPr>
          <w:p>
            <w:pPr>
              <w:pStyle w:val="17"/>
              <w:bidi w:val="0"/>
              <w:rPr>
                <w:rFonts w:hint="default"/>
                <w:lang w:val="en-US" w:eastAsia="zh-CN"/>
              </w:rPr>
            </w:pPr>
            <w:r>
              <w:rPr>
                <w:rFonts w:hint="eastAsia"/>
                <w:lang w:val="en-US" w:eastAsia="zh-CN"/>
              </w:rPr>
              <w:t>＜0.004</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＜0.004</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eastAsia" w:eastAsia="宋体"/>
                <w:lang w:val="en-US" w:eastAsia="zh-CN"/>
              </w:rPr>
            </w:pPr>
            <w:r>
              <w:rPr>
                <w:rFonts w:hint="eastAsia"/>
                <w:lang w:val="en-US" w:eastAsia="zh-CN"/>
              </w:rPr>
              <w:t>总大肠菌群</w:t>
            </w:r>
          </w:p>
        </w:tc>
        <w:tc>
          <w:tcPr>
            <w:tcW w:w="1274" w:type="dxa"/>
            <w:tcBorders>
              <w:tl2br w:val="nil"/>
              <w:tr2bl w:val="nil"/>
            </w:tcBorders>
            <w:vAlign w:val="center"/>
          </w:tcPr>
          <w:p>
            <w:pPr>
              <w:pStyle w:val="17"/>
              <w:bidi w:val="0"/>
              <w:rPr>
                <w:rFonts w:hint="default"/>
              </w:rPr>
            </w:pPr>
            <w:r>
              <w:rPr>
                <w:rFonts w:hint="eastAsia"/>
                <w:lang w:val="en-US" w:eastAsia="zh-CN"/>
              </w:rPr>
              <w:t>MPN</w:t>
            </w:r>
            <w:r>
              <w:rPr>
                <w:rFonts w:hint="default"/>
              </w:rPr>
              <w:t>/</w:t>
            </w:r>
            <w:r>
              <w:rPr>
                <w:rFonts w:hint="eastAsia"/>
                <w:lang w:val="en-US" w:eastAsia="zh-CN"/>
              </w:rPr>
              <w:t>100m</w:t>
            </w:r>
            <w:r>
              <w:rPr>
                <w:rFonts w:hint="default"/>
              </w:rPr>
              <w:t>L</w:t>
            </w:r>
          </w:p>
        </w:tc>
        <w:tc>
          <w:tcPr>
            <w:tcW w:w="1435" w:type="dxa"/>
            <w:tcBorders>
              <w:tl2br w:val="nil"/>
              <w:tr2bl w:val="nil"/>
            </w:tcBorders>
            <w:vAlign w:val="center"/>
          </w:tcPr>
          <w:p>
            <w:pPr>
              <w:pStyle w:val="17"/>
              <w:bidi w:val="0"/>
              <w:rPr>
                <w:rFonts w:hint="default"/>
                <w:lang w:val="en-US" w:eastAsia="zh-CN"/>
              </w:rPr>
            </w:pPr>
            <w:r>
              <w:rPr>
                <w:rFonts w:hint="eastAsia"/>
                <w:lang w:val="en-US" w:eastAsia="zh-CN"/>
              </w:rPr>
              <w:t>未检出</w:t>
            </w:r>
          </w:p>
        </w:tc>
        <w:tc>
          <w:tcPr>
            <w:tcW w:w="1513" w:type="dxa"/>
            <w:tcBorders>
              <w:tl2br w:val="nil"/>
              <w:tr2bl w:val="nil"/>
            </w:tcBorders>
            <w:vAlign w:val="center"/>
          </w:tcPr>
          <w:p>
            <w:pPr>
              <w:pStyle w:val="17"/>
              <w:bidi w:val="0"/>
              <w:rPr>
                <w:rFonts w:hint="eastAsia" w:eastAsia="宋体"/>
                <w:lang w:val="en-US" w:eastAsia="zh-CN"/>
              </w:rPr>
            </w:pPr>
            <w:r>
              <w:rPr>
                <w:rFonts w:hint="eastAsia"/>
                <w:lang w:val="en-US" w:eastAsia="zh-CN"/>
              </w:rPr>
              <w:t>未检出</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未检出</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default" w:eastAsia="宋体"/>
                <w:lang w:val="en-US" w:eastAsia="zh-CN"/>
              </w:rPr>
            </w:pPr>
            <w:r>
              <w:rPr>
                <w:rFonts w:hint="eastAsia"/>
                <w:lang w:val="en-US" w:eastAsia="zh-CN"/>
              </w:rPr>
              <w:t>化学需氧量</w:t>
            </w:r>
          </w:p>
        </w:tc>
        <w:tc>
          <w:tcPr>
            <w:tcW w:w="1274" w:type="dxa"/>
            <w:tcBorders>
              <w:tl2br w:val="nil"/>
              <w:tr2bl w:val="nil"/>
            </w:tcBorders>
            <w:vAlign w:val="center"/>
          </w:tcPr>
          <w:p>
            <w:pPr>
              <w:pStyle w:val="17"/>
              <w:bidi w:val="0"/>
              <w:rPr>
                <w:rFonts w:hint="default" w:eastAsia="宋体"/>
                <w:lang w:val="en-US" w:eastAsia="zh-CN"/>
              </w:rPr>
            </w:pPr>
            <w:r>
              <w:rPr>
                <w:rFonts w:hint="eastAsia"/>
                <w:lang w:val="en-US" w:eastAsia="zh-CN"/>
              </w:rPr>
              <w:t>mg/L</w:t>
            </w:r>
          </w:p>
        </w:tc>
        <w:tc>
          <w:tcPr>
            <w:tcW w:w="1435" w:type="dxa"/>
            <w:tcBorders>
              <w:tl2br w:val="nil"/>
              <w:tr2bl w:val="nil"/>
            </w:tcBorders>
            <w:vAlign w:val="center"/>
          </w:tcPr>
          <w:p>
            <w:pPr>
              <w:pStyle w:val="17"/>
              <w:bidi w:val="0"/>
              <w:rPr>
                <w:rFonts w:hint="default"/>
                <w:lang w:val="en-US" w:eastAsia="zh-CN"/>
              </w:rPr>
            </w:pPr>
            <w:r>
              <w:rPr>
                <w:rFonts w:hint="eastAsia"/>
                <w:lang w:val="en-US" w:eastAsia="zh-CN"/>
              </w:rPr>
              <w:t>＜4</w:t>
            </w:r>
          </w:p>
        </w:tc>
        <w:tc>
          <w:tcPr>
            <w:tcW w:w="1513" w:type="dxa"/>
            <w:tcBorders>
              <w:tl2br w:val="nil"/>
              <w:tr2bl w:val="nil"/>
            </w:tcBorders>
            <w:vAlign w:val="center"/>
          </w:tcPr>
          <w:p>
            <w:pPr>
              <w:pStyle w:val="17"/>
              <w:bidi w:val="0"/>
              <w:rPr>
                <w:rFonts w:hint="default"/>
                <w:lang w:val="en-US"/>
              </w:rPr>
            </w:pPr>
            <w:r>
              <w:rPr>
                <w:rFonts w:hint="eastAsia"/>
                <w:lang w:val="en-US" w:eastAsia="zh-CN"/>
              </w:rPr>
              <w:t>＜4</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＜4</w:t>
            </w:r>
          </w:p>
        </w:tc>
        <w:tc>
          <w:tcPr>
            <w:tcW w:w="1378" w:type="dxa"/>
            <w:tcBorders>
              <w:tl2br w:val="nil"/>
              <w:tr2bl w:val="nil"/>
            </w:tcBorders>
            <w:vAlign w:val="center"/>
          </w:tcPr>
          <w:p>
            <w:pPr>
              <w:pStyle w:val="17"/>
              <w:bidi w:val="0"/>
              <w:rPr>
                <w:rFonts w:hint="eastAsia" w:eastAsia="宋体"/>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924" w:type="dxa"/>
            <w:tcBorders>
              <w:tl2br w:val="nil"/>
              <w:tr2bl w:val="nil"/>
            </w:tcBorders>
            <w:vAlign w:val="center"/>
          </w:tcPr>
          <w:p>
            <w:pPr>
              <w:pStyle w:val="17"/>
              <w:bidi w:val="0"/>
              <w:rPr>
                <w:rFonts w:hint="default"/>
                <w:lang w:val="en-US" w:eastAsia="zh-CN"/>
              </w:rPr>
            </w:pPr>
            <w:r>
              <w:rPr>
                <w:rFonts w:hint="eastAsia"/>
                <w:lang w:val="en-US" w:eastAsia="zh-CN"/>
              </w:rPr>
              <w:t>细菌总数</w:t>
            </w:r>
          </w:p>
        </w:tc>
        <w:tc>
          <w:tcPr>
            <w:tcW w:w="1274" w:type="dxa"/>
            <w:tcBorders>
              <w:tl2br w:val="nil"/>
              <w:tr2bl w:val="nil"/>
            </w:tcBorders>
            <w:vAlign w:val="center"/>
          </w:tcPr>
          <w:p>
            <w:pPr>
              <w:pStyle w:val="17"/>
              <w:bidi w:val="0"/>
              <w:rPr>
                <w:rFonts w:hint="default"/>
                <w:lang w:val="en-US" w:eastAsia="zh-CN"/>
              </w:rPr>
            </w:pPr>
            <w:r>
              <w:rPr>
                <w:rFonts w:hint="eastAsia"/>
                <w:lang w:val="en-US" w:eastAsia="zh-CN"/>
              </w:rPr>
              <w:t>CFU/ml</w:t>
            </w:r>
          </w:p>
        </w:tc>
        <w:tc>
          <w:tcPr>
            <w:tcW w:w="1435" w:type="dxa"/>
            <w:tcBorders>
              <w:tl2br w:val="nil"/>
              <w:tr2bl w:val="nil"/>
            </w:tcBorders>
            <w:vAlign w:val="center"/>
          </w:tcPr>
          <w:p>
            <w:pPr>
              <w:pStyle w:val="17"/>
              <w:bidi w:val="0"/>
              <w:rPr>
                <w:rFonts w:hint="default"/>
                <w:lang w:val="en-US" w:eastAsia="zh-CN"/>
              </w:rPr>
            </w:pPr>
            <w:r>
              <w:rPr>
                <w:rFonts w:hint="eastAsia"/>
                <w:lang w:val="en-US" w:eastAsia="zh-CN"/>
              </w:rPr>
              <w:t>1</w:t>
            </w:r>
          </w:p>
        </w:tc>
        <w:tc>
          <w:tcPr>
            <w:tcW w:w="1513" w:type="dxa"/>
            <w:tcBorders>
              <w:tl2br w:val="nil"/>
              <w:tr2bl w:val="nil"/>
            </w:tcBorders>
            <w:vAlign w:val="center"/>
          </w:tcPr>
          <w:p>
            <w:pPr>
              <w:pStyle w:val="17"/>
              <w:bidi w:val="0"/>
              <w:rPr>
                <w:rFonts w:hint="eastAsia" w:eastAsia="宋体"/>
                <w:lang w:val="en-US" w:eastAsia="zh-CN"/>
              </w:rPr>
            </w:pPr>
            <w:r>
              <w:rPr>
                <w:rFonts w:hint="eastAsia"/>
                <w:lang w:val="en-US" w:eastAsia="zh-CN"/>
              </w:rPr>
              <w:t>2</w:t>
            </w:r>
          </w:p>
        </w:tc>
        <w:tc>
          <w:tcPr>
            <w:tcW w:w="1547" w:type="dxa"/>
            <w:tcBorders>
              <w:tl2br w:val="nil"/>
              <w:tr2bl w:val="nil"/>
            </w:tcBorders>
            <w:vAlign w:val="center"/>
          </w:tcPr>
          <w:p>
            <w:pPr>
              <w:pStyle w:val="17"/>
              <w:bidi w:val="0"/>
              <w:ind w:firstLine="0" w:firstLineChars="0"/>
              <w:rPr>
                <w:rFonts w:hint="default" w:ascii="Times New Roman" w:hAnsi="Times New Roman" w:eastAsia="宋体" w:cs="Times New Roman"/>
                <w:sz w:val="21"/>
                <w:szCs w:val="21"/>
                <w:lang w:val="en-US" w:eastAsia="zh-CN" w:bidi="ar-SA"/>
              </w:rPr>
            </w:pPr>
            <w:r>
              <w:rPr>
                <w:rFonts w:hint="eastAsia"/>
                <w:lang w:val="en-US" w:eastAsia="zh-CN"/>
              </w:rPr>
              <w:t>8</w:t>
            </w:r>
          </w:p>
        </w:tc>
        <w:tc>
          <w:tcPr>
            <w:tcW w:w="1378" w:type="dxa"/>
            <w:tcBorders>
              <w:tl2br w:val="nil"/>
              <w:tr2bl w:val="nil"/>
            </w:tcBorders>
            <w:vAlign w:val="center"/>
          </w:tcPr>
          <w:p>
            <w:pPr>
              <w:pStyle w:val="17"/>
              <w:bidi w:val="0"/>
              <w:rPr>
                <w:rFonts w:hint="default" w:eastAsia="宋体"/>
                <w:lang w:val="en-US" w:eastAsia="zh-CN"/>
              </w:rPr>
            </w:pPr>
            <w:r>
              <w:rPr>
                <w:rFonts w:hint="default"/>
              </w:rPr>
              <w:t>≤</w:t>
            </w:r>
            <w:r>
              <w:rPr>
                <w:rFonts w:hint="eastAsia"/>
                <w:lang w:val="en-US" w:eastAsia="zh-CN"/>
              </w:rPr>
              <w:t>100</w:t>
            </w:r>
          </w:p>
        </w:tc>
      </w:tr>
    </w:tbl>
    <w:p>
      <w:pPr>
        <w:pStyle w:val="17"/>
        <w:bidi w:val="0"/>
        <w:rPr>
          <w:rFonts w:hint="default"/>
          <w:b/>
          <w:bCs/>
        </w:rPr>
      </w:pPr>
      <w:r>
        <w:rPr>
          <w:rFonts w:hint="default"/>
          <w:b/>
          <w:bCs/>
        </w:rPr>
        <w:t>表4.</w:t>
      </w:r>
      <w:r>
        <w:rPr>
          <w:rFonts w:hint="eastAsia"/>
          <w:b/>
          <w:bCs/>
          <w:lang w:val="en-US" w:eastAsia="zh-CN"/>
        </w:rPr>
        <w:t>2</w:t>
      </w:r>
      <w:r>
        <w:rPr>
          <w:rFonts w:hint="default"/>
          <w:b/>
          <w:bCs/>
        </w:rPr>
        <w:t>-</w:t>
      </w:r>
      <w:r>
        <w:rPr>
          <w:rFonts w:hint="eastAsia"/>
          <w:b/>
          <w:bCs/>
          <w:lang w:val="en-US" w:eastAsia="zh-CN"/>
        </w:rPr>
        <w:t>8</w:t>
      </w:r>
      <w:r>
        <w:rPr>
          <w:rFonts w:hint="default"/>
          <w:b/>
          <w:bCs/>
        </w:rPr>
        <w:t xml:space="preserve"> </w:t>
      </w:r>
      <w:r>
        <w:rPr>
          <w:rFonts w:hint="eastAsia"/>
          <w:b/>
          <w:bCs/>
          <w:lang w:val="en-US" w:eastAsia="zh-CN"/>
        </w:rPr>
        <w:t xml:space="preserve"> </w:t>
      </w:r>
      <w:r>
        <w:rPr>
          <w:rFonts w:hint="default"/>
          <w:b/>
          <w:bCs/>
        </w:rPr>
        <w:t xml:space="preserve"> 地下水水质评价结果（标准指数Pi）</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14"/>
        <w:gridCol w:w="2152"/>
        <w:gridCol w:w="2152"/>
        <w:gridCol w:w="21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rPr>
                <w:rFonts w:hint="default"/>
                <w:b/>
                <w:bCs/>
              </w:rPr>
            </w:pPr>
            <w:r>
              <w:rPr>
                <w:rFonts w:hint="default"/>
                <w:b/>
                <w:bCs/>
              </w:rPr>
              <w:t>监测项目</w:t>
            </w:r>
          </w:p>
        </w:tc>
        <w:tc>
          <w:tcPr>
            <w:tcW w:w="2152" w:type="dxa"/>
            <w:tcBorders>
              <w:tl2br w:val="nil"/>
              <w:tr2bl w:val="nil"/>
            </w:tcBorders>
            <w:vAlign w:val="center"/>
          </w:tcPr>
          <w:p>
            <w:pPr>
              <w:pStyle w:val="17"/>
              <w:bidi w:val="0"/>
              <w:rPr>
                <w:rFonts w:hint="default"/>
                <w:b/>
                <w:bCs/>
              </w:rPr>
            </w:pPr>
            <w:r>
              <w:rPr>
                <w:rFonts w:hint="default"/>
                <w:b/>
                <w:bCs/>
              </w:rPr>
              <w:t>DXS-1</w:t>
            </w:r>
          </w:p>
        </w:tc>
        <w:tc>
          <w:tcPr>
            <w:tcW w:w="2152" w:type="dxa"/>
            <w:tcBorders>
              <w:tl2br w:val="nil"/>
              <w:tr2bl w:val="nil"/>
            </w:tcBorders>
            <w:vAlign w:val="center"/>
          </w:tcPr>
          <w:p>
            <w:pPr>
              <w:pStyle w:val="17"/>
              <w:bidi w:val="0"/>
              <w:rPr>
                <w:rFonts w:hint="default"/>
                <w:b/>
                <w:bCs/>
              </w:rPr>
            </w:pPr>
            <w:r>
              <w:rPr>
                <w:rFonts w:hint="default"/>
                <w:b/>
                <w:bCs/>
              </w:rPr>
              <w:t>DXS-2</w:t>
            </w:r>
          </w:p>
        </w:tc>
        <w:tc>
          <w:tcPr>
            <w:tcW w:w="2153" w:type="dxa"/>
            <w:tcBorders>
              <w:tl2br w:val="nil"/>
              <w:tr2bl w:val="nil"/>
            </w:tcBorders>
            <w:vAlign w:val="center"/>
          </w:tcPr>
          <w:p>
            <w:pPr>
              <w:pStyle w:val="17"/>
              <w:bidi w:val="0"/>
              <w:rPr>
                <w:rFonts w:hint="default"/>
                <w:b/>
                <w:bCs/>
              </w:rPr>
            </w:pPr>
            <w:r>
              <w:rPr>
                <w:rFonts w:hint="default"/>
                <w:b/>
                <w:bCs/>
              </w:rPr>
              <w:t>DXS-3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pH值</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0.59</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0.71</w:t>
            </w:r>
          </w:p>
        </w:tc>
        <w:tc>
          <w:tcPr>
            <w:tcW w:w="2153" w:type="dxa"/>
            <w:tcBorders>
              <w:tl2br w:val="nil"/>
              <w:tr2bl w:val="nil"/>
            </w:tcBorders>
            <w:vAlign w:val="center"/>
          </w:tcPr>
          <w:p>
            <w:pPr>
              <w:pStyle w:val="17"/>
              <w:bidi w:val="0"/>
              <w:rPr>
                <w:rFonts w:hint="default"/>
                <w:lang w:val="en-US" w:eastAsia="zh-CN"/>
              </w:rPr>
            </w:pPr>
            <w:r>
              <w:rPr>
                <w:rFonts w:hint="eastAsia"/>
                <w:lang w:val="en-US" w:eastAsia="zh-CN"/>
              </w:rPr>
              <w:t>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总硬度</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0.67</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0.31</w:t>
            </w:r>
          </w:p>
        </w:tc>
        <w:tc>
          <w:tcPr>
            <w:tcW w:w="2153" w:type="dxa"/>
            <w:tcBorders>
              <w:tl2br w:val="nil"/>
              <w:tr2bl w:val="nil"/>
            </w:tcBorders>
            <w:vAlign w:val="center"/>
          </w:tcPr>
          <w:p>
            <w:pPr>
              <w:pStyle w:val="17"/>
              <w:bidi w:val="0"/>
              <w:rPr>
                <w:rFonts w:hint="default"/>
                <w:lang w:val="en-US" w:eastAsia="zh-CN"/>
              </w:rPr>
            </w:pPr>
            <w:r>
              <w:rPr>
                <w:rFonts w:hint="eastAsia"/>
                <w:lang w:val="en-US" w:eastAsia="zh-CN"/>
              </w:rPr>
              <w:t>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溶解性总固体</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0.51</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0.20</w:t>
            </w:r>
          </w:p>
        </w:tc>
        <w:tc>
          <w:tcPr>
            <w:tcW w:w="2153" w:type="dxa"/>
            <w:tcBorders>
              <w:tl2br w:val="nil"/>
              <w:tr2bl w:val="nil"/>
            </w:tcBorders>
            <w:vAlign w:val="center"/>
          </w:tcPr>
          <w:p>
            <w:pPr>
              <w:pStyle w:val="17"/>
              <w:bidi w:val="0"/>
              <w:rPr>
                <w:rFonts w:hint="default"/>
                <w:lang w:val="en-US" w:eastAsia="zh-CN"/>
              </w:rPr>
            </w:pPr>
            <w:r>
              <w:rPr>
                <w:rFonts w:hint="eastAsia"/>
                <w:lang w:val="en-US" w:eastAsia="zh-CN"/>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硫酸盐</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0.52</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0.15</w:t>
            </w:r>
          </w:p>
        </w:tc>
        <w:tc>
          <w:tcPr>
            <w:tcW w:w="2153" w:type="dxa"/>
            <w:tcBorders>
              <w:tl2br w:val="nil"/>
              <w:tr2bl w:val="nil"/>
            </w:tcBorders>
            <w:vAlign w:val="center"/>
          </w:tcPr>
          <w:p>
            <w:pPr>
              <w:pStyle w:val="17"/>
              <w:bidi w:val="0"/>
              <w:rPr>
                <w:rFonts w:hint="default"/>
                <w:lang w:val="en-US" w:eastAsia="zh-CN"/>
              </w:rPr>
            </w:pPr>
            <w:r>
              <w:rPr>
                <w:rFonts w:hint="eastAsia"/>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氯化物</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0.21</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0.04</w:t>
            </w:r>
          </w:p>
        </w:tc>
        <w:tc>
          <w:tcPr>
            <w:tcW w:w="2153" w:type="dxa"/>
            <w:tcBorders>
              <w:tl2br w:val="nil"/>
              <w:tr2bl w:val="nil"/>
            </w:tcBorders>
            <w:vAlign w:val="center"/>
          </w:tcPr>
          <w:p>
            <w:pPr>
              <w:pStyle w:val="17"/>
              <w:bidi w:val="0"/>
              <w:rPr>
                <w:rFonts w:hint="default"/>
                <w:lang w:val="en-US" w:eastAsia="zh-CN"/>
              </w:rPr>
            </w:pPr>
            <w:r>
              <w:rPr>
                <w:rFonts w:hint="eastAsia"/>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氨氮</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2153" w:type="dxa"/>
            <w:tcBorders>
              <w:tl2br w:val="nil"/>
              <w:tr2bl w:val="nil"/>
            </w:tcBorders>
            <w:vAlign w:val="center"/>
          </w:tcPr>
          <w:p>
            <w:pPr>
              <w:pStyle w:val="17"/>
              <w:bidi w:val="0"/>
              <w:rPr>
                <w:rFonts w:hint="default"/>
                <w:lang w:val="en-US" w:eastAsia="zh-CN"/>
              </w:rPr>
            </w:pPr>
            <w:r>
              <w:rPr>
                <w:rFonts w:hint="eastAsia"/>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五日生化需氧量</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2153" w:type="dxa"/>
            <w:tcBorders>
              <w:tl2br w:val="nil"/>
              <w:tr2bl w:val="nil"/>
            </w:tcBorders>
            <w:vAlign w:val="center"/>
          </w:tcPr>
          <w:p>
            <w:pPr>
              <w:pStyle w:val="17"/>
              <w:bidi w:val="0"/>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耗氧量</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0.27</w:t>
            </w:r>
          </w:p>
        </w:tc>
        <w:tc>
          <w:tcPr>
            <w:tcW w:w="2152" w:type="dxa"/>
            <w:tcBorders>
              <w:tl2br w:val="nil"/>
              <w:tr2bl w:val="nil"/>
            </w:tcBorders>
            <w:vAlign w:val="center"/>
          </w:tcPr>
          <w:p>
            <w:pPr>
              <w:pStyle w:val="17"/>
              <w:bidi w:val="0"/>
              <w:rPr>
                <w:rFonts w:hint="default" w:eastAsia="宋体"/>
                <w:lang w:val="en-US" w:eastAsia="zh-CN"/>
              </w:rPr>
            </w:pPr>
            <w:r>
              <w:rPr>
                <w:rFonts w:hint="eastAsia"/>
                <w:lang w:val="en-US" w:eastAsia="zh-CN"/>
              </w:rPr>
              <w:t>0.29</w:t>
            </w:r>
          </w:p>
        </w:tc>
        <w:tc>
          <w:tcPr>
            <w:tcW w:w="2153" w:type="dxa"/>
            <w:tcBorders>
              <w:tl2br w:val="nil"/>
              <w:tr2bl w:val="nil"/>
            </w:tcBorders>
            <w:vAlign w:val="center"/>
          </w:tcPr>
          <w:p>
            <w:pPr>
              <w:pStyle w:val="17"/>
              <w:bidi w:val="0"/>
              <w:rPr>
                <w:rFonts w:hint="default" w:eastAsia="宋体"/>
                <w:lang w:val="en-US" w:eastAsia="zh-CN"/>
              </w:rPr>
            </w:pPr>
            <w:r>
              <w:rPr>
                <w:rFonts w:hint="eastAsia"/>
                <w:lang w:val="en-US" w:eastAsia="zh-CN"/>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硝酸盐</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0.20</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0.04</w:t>
            </w:r>
          </w:p>
        </w:tc>
        <w:tc>
          <w:tcPr>
            <w:tcW w:w="2153" w:type="dxa"/>
            <w:tcBorders>
              <w:tl2br w:val="nil"/>
              <w:tr2bl w:val="nil"/>
            </w:tcBorders>
            <w:vAlign w:val="center"/>
          </w:tcPr>
          <w:p>
            <w:pPr>
              <w:pStyle w:val="17"/>
              <w:bidi w:val="0"/>
              <w:rPr>
                <w:rFonts w:hint="default"/>
                <w:lang w:val="en-US" w:eastAsia="zh-CN"/>
              </w:rPr>
            </w:pPr>
            <w:r>
              <w:rPr>
                <w:rFonts w:hint="eastAsia"/>
                <w:lang w:val="en-US" w:eastAsia="zh-CN"/>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亚硝酸盐</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0.001</w:t>
            </w:r>
          </w:p>
        </w:tc>
        <w:tc>
          <w:tcPr>
            <w:tcW w:w="2153" w:type="dxa"/>
            <w:tcBorders>
              <w:tl2br w:val="nil"/>
              <w:tr2bl w:val="nil"/>
            </w:tcBorders>
            <w:vAlign w:val="center"/>
          </w:tcPr>
          <w:p>
            <w:pPr>
              <w:pStyle w:val="17"/>
              <w:bidi w:val="0"/>
              <w:rPr>
                <w:rFonts w:hint="default"/>
                <w:lang w:val="en-US" w:eastAsia="zh-CN"/>
              </w:rPr>
            </w:pPr>
            <w:r>
              <w:rPr>
                <w:rFonts w:hint="eastAsia"/>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挥发酚类</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3" w:type="dxa"/>
            <w:tcBorders>
              <w:tl2br w:val="nil"/>
              <w:tr2bl w:val="nil"/>
            </w:tcBorders>
            <w:vAlign w:val="center"/>
          </w:tcPr>
          <w:p>
            <w:pPr>
              <w:pStyle w:val="17"/>
              <w:bidi w:val="0"/>
              <w:rPr>
                <w:rFonts w:hint="default"/>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氰化物</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3" w:type="dxa"/>
            <w:tcBorders>
              <w:tl2br w:val="nil"/>
              <w:tr2bl w:val="nil"/>
            </w:tcBorders>
            <w:vAlign w:val="center"/>
          </w:tcPr>
          <w:p>
            <w:pPr>
              <w:pStyle w:val="17"/>
              <w:bidi w:val="0"/>
              <w:rPr>
                <w:rFonts w:hint="default"/>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氟化物</w:t>
            </w:r>
          </w:p>
        </w:tc>
        <w:tc>
          <w:tcPr>
            <w:tcW w:w="2152" w:type="dxa"/>
            <w:tcBorders>
              <w:tl2br w:val="nil"/>
              <w:tr2bl w:val="nil"/>
            </w:tcBorders>
            <w:vAlign w:val="center"/>
          </w:tcPr>
          <w:p>
            <w:pPr>
              <w:pStyle w:val="17"/>
              <w:bidi w:val="0"/>
              <w:rPr>
                <w:rFonts w:hint="default" w:eastAsia="宋体"/>
                <w:lang w:val="en-US" w:eastAsia="zh-CN"/>
              </w:rPr>
            </w:pPr>
            <w:r>
              <w:rPr>
                <w:rFonts w:hint="eastAsia"/>
                <w:lang w:val="en-US" w:eastAsia="zh-CN"/>
              </w:rPr>
              <w:t>0.19</w:t>
            </w:r>
          </w:p>
        </w:tc>
        <w:tc>
          <w:tcPr>
            <w:tcW w:w="2152" w:type="dxa"/>
            <w:tcBorders>
              <w:tl2br w:val="nil"/>
              <w:tr2bl w:val="nil"/>
            </w:tcBorders>
            <w:vAlign w:val="center"/>
          </w:tcPr>
          <w:p>
            <w:pPr>
              <w:pStyle w:val="17"/>
              <w:bidi w:val="0"/>
              <w:rPr>
                <w:rFonts w:hint="default"/>
                <w:lang w:val="en-US"/>
              </w:rPr>
            </w:pPr>
            <w:r>
              <w:rPr>
                <w:rFonts w:hint="eastAsia"/>
                <w:lang w:val="en-US" w:eastAsia="zh-CN"/>
              </w:rPr>
              <w:t>0.26</w:t>
            </w:r>
          </w:p>
        </w:tc>
        <w:tc>
          <w:tcPr>
            <w:tcW w:w="2153" w:type="dxa"/>
            <w:tcBorders>
              <w:tl2br w:val="nil"/>
              <w:tr2bl w:val="nil"/>
            </w:tcBorders>
            <w:vAlign w:val="center"/>
          </w:tcPr>
          <w:p>
            <w:pPr>
              <w:pStyle w:val="17"/>
              <w:bidi w:val="0"/>
              <w:rPr>
                <w:rFonts w:hint="default"/>
                <w:lang w:val="en-US"/>
              </w:rPr>
            </w:pPr>
            <w:r>
              <w:rPr>
                <w:rFonts w:hint="eastAsia"/>
                <w:lang w:val="en-US" w:eastAsia="zh-CN"/>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铅</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3" w:type="dxa"/>
            <w:tcBorders>
              <w:tl2br w:val="nil"/>
              <w:tr2bl w:val="nil"/>
            </w:tcBorders>
            <w:vAlign w:val="center"/>
          </w:tcPr>
          <w:p>
            <w:pPr>
              <w:pStyle w:val="17"/>
              <w:bidi w:val="0"/>
              <w:rPr>
                <w:rFonts w:hint="default"/>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砷</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2" w:type="dxa"/>
            <w:tcBorders>
              <w:tl2br w:val="nil"/>
              <w:tr2bl w:val="nil"/>
            </w:tcBorders>
            <w:vAlign w:val="center"/>
          </w:tcPr>
          <w:p>
            <w:pPr>
              <w:pStyle w:val="17"/>
              <w:bidi w:val="0"/>
              <w:rPr>
                <w:rFonts w:hint="default"/>
                <w:lang w:val="en-US"/>
              </w:rPr>
            </w:pPr>
            <w:r>
              <w:rPr>
                <w:rFonts w:hint="eastAsia"/>
                <w:lang w:val="en-US" w:eastAsia="zh-CN"/>
              </w:rPr>
              <w:t>0.001</w:t>
            </w:r>
          </w:p>
        </w:tc>
        <w:tc>
          <w:tcPr>
            <w:tcW w:w="2153" w:type="dxa"/>
            <w:tcBorders>
              <w:tl2br w:val="nil"/>
              <w:tr2bl w:val="nil"/>
            </w:tcBorders>
            <w:vAlign w:val="center"/>
          </w:tcPr>
          <w:p>
            <w:pPr>
              <w:pStyle w:val="17"/>
              <w:bidi w:val="0"/>
              <w:rPr>
                <w:rFonts w:hint="default"/>
                <w:lang w:val="en-US"/>
              </w:rPr>
            </w:pPr>
            <w:r>
              <w:rPr>
                <w:rFonts w:hint="eastAsia"/>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镉</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3" w:type="dxa"/>
            <w:tcBorders>
              <w:tl2br w:val="nil"/>
              <w:tr2bl w:val="nil"/>
            </w:tcBorders>
            <w:vAlign w:val="center"/>
          </w:tcPr>
          <w:p>
            <w:pPr>
              <w:pStyle w:val="17"/>
              <w:bidi w:val="0"/>
              <w:rPr>
                <w:rFonts w:hint="default"/>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汞</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3" w:type="dxa"/>
            <w:tcBorders>
              <w:tl2br w:val="nil"/>
              <w:tr2bl w:val="nil"/>
            </w:tcBorders>
            <w:vAlign w:val="center"/>
          </w:tcPr>
          <w:p>
            <w:pPr>
              <w:pStyle w:val="17"/>
              <w:bidi w:val="0"/>
              <w:rPr>
                <w:rFonts w:hint="default"/>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锰</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3" w:type="dxa"/>
            <w:tcBorders>
              <w:tl2br w:val="nil"/>
              <w:tr2bl w:val="nil"/>
            </w:tcBorders>
            <w:vAlign w:val="center"/>
          </w:tcPr>
          <w:p>
            <w:pPr>
              <w:pStyle w:val="17"/>
              <w:bidi w:val="0"/>
              <w:rPr>
                <w:rFonts w:hint="default"/>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铁</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3" w:type="dxa"/>
            <w:tcBorders>
              <w:tl2br w:val="nil"/>
              <w:tr2bl w:val="nil"/>
            </w:tcBorders>
            <w:vAlign w:val="center"/>
          </w:tcPr>
          <w:p>
            <w:pPr>
              <w:pStyle w:val="17"/>
              <w:bidi w:val="0"/>
              <w:rPr>
                <w:rFonts w:hint="default"/>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六价铬</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2153" w:type="dxa"/>
            <w:tcBorders>
              <w:tl2br w:val="nil"/>
              <w:tr2bl w:val="nil"/>
            </w:tcBorders>
            <w:vAlign w:val="center"/>
          </w:tcPr>
          <w:p>
            <w:pPr>
              <w:pStyle w:val="17"/>
              <w:bidi w:val="0"/>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总大肠菌群</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3" w:type="dxa"/>
            <w:tcBorders>
              <w:tl2br w:val="nil"/>
              <w:tr2bl w:val="nil"/>
            </w:tcBorders>
            <w:vAlign w:val="center"/>
          </w:tcPr>
          <w:p>
            <w:pPr>
              <w:pStyle w:val="17"/>
              <w:bidi w:val="0"/>
              <w:rPr>
                <w:rFonts w:hint="default"/>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default"/>
              </w:rPr>
            </w:pPr>
            <w:r>
              <w:rPr>
                <w:rFonts w:hint="eastAsia"/>
                <w:lang w:val="en-US" w:eastAsia="zh-CN"/>
              </w:rPr>
              <w:t>化学需氧量</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2" w:type="dxa"/>
            <w:tcBorders>
              <w:tl2br w:val="nil"/>
              <w:tr2bl w:val="nil"/>
            </w:tcBorders>
            <w:vAlign w:val="center"/>
          </w:tcPr>
          <w:p>
            <w:pPr>
              <w:pStyle w:val="17"/>
              <w:bidi w:val="0"/>
              <w:rPr>
                <w:rFonts w:hint="default"/>
              </w:rPr>
            </w:pPr>
            <w:r>
              <w:rPr>
                <w:rFonts w:hint="eastAsia"/>
                <w:lang w:val="en-US" w:eastAsia="zh-CN"/>
              </w:rPr>
              <w:t>/</w:t>
            </w:r>
          </w:p>
        </w:tc>
        <w:tc>
          <w:tcPr>
            <w:tcW w:w="2153" w:type="dxa"/>
            <w:tcBorders>
              <w:tl2br w:val="nil"/>
              <w:tr2bl w:val="nil"/>
            </w:tcBorders>
            <w:vAlign w:val="center"/>
          </w:tcPr>
          <w:p>
            <w:pPr>
              <w:pStyle w:val="17"/>
              <w:bidi w:val="0"/>
              <w:rPr>
                <w:rFonts w:hint="default"/>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614" w:type="dxa"/>
            <w:tcBorders>
              <w:tl2br w:val="nil"/>
              <w:tr2bl w:val="nil"/>
            </w:tcBorders>
            <w:vAlign w:val="center"/>
          </w:tcPr>
          <w:p>
            <w:pPr>
              <w:pStyle w:val="17"/>
              <w:bidi w:val="0"/>
              <w:ind w:firstLine="0" w:firstLineChars="0"/>
              <w:rPr>
                <w:rFonts w:hint="eastAsia"/>
                <w:lang w:val="en-US" w:eastAsia="zh-CN"/>
              </w:rPr>
            </w:pPr>
            <w:r>
              <w:rPr>
                <w:rFonts w:hint="eastAsia"/>
                <w:lang w:val="en-US" w:eastAsia="zh-CN"/>
              </w:rPr>
              <w:t>细菌总数</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0.01</w:t>
            </w:r>
          </w:p>
        </w:tc>
        <w:tc>
          <w:tcPr>
            <w:tcW w:w="2152" w:type="dxa"/>
            <w:tcBorders>
              <w:tl2br w:val="nil"/>
              <w:tr2bl w:val="nil"/>
            </w:tcBorders>
            <w:vAlign w:val="center"/>
          </w:tcPr>
          <w:p>
            <w:pPr>
              <w:pStyle w:val="17"/>
              <w:bidi w:val="0"/>
              <w:rPr>
                <w:rFonts w:hint="default"/>
                <w:lang w:val="en-US" w:eastAsia="zh-CN"/>
              </w:rPr>
            </w:pPr>
            <w:r>
              <w:rPr>
                <w:rFonts w:hint="eastAsia"/>
                <w:lang w:val="en-US" w:eastAsia="zh-CN"/>
              </w:rPr>
              <w:t>0.02</w:t>
            </w:r>
          </w:p>
        </w:tc>
        <w:tc>
          <w:tcPr>
            <w:tcW w:w="2153" w:type="dxa"/>
            <w:tcBorders>
              <w:tl2br w:val="nil"/>
              <w:tr2bl w:val="nil"/>
            </w:tcBorders>
            <w:vAlign w:val="center"/>
          </w:tcPr>
          <w:p>
            <w:pPr>
              <w:pStyle w:val="17"/>
              <w:bidi w:val="0"/>
              <w:rPr>
                <w:rFonts w:hint="default"/>
                <w:lang w:val="en-US" w:eastAsia="zh-CN"/>
              </w:rPr>
            </w:pPr>
            <w:r>
              <w:rPr>
                <w:rFonts w:hint="eastAsia"/>
                <w:lang w:val="en-US" w:eastAsia="zh-CN"/>
              </w:rPr>
              <w:t>0.08</w:t>
            </w:r>
          </w:p>
        </w:tc>
      </w:tr>
    </w:tbl>
    <w:p>
      <w:pPr>
        <w:bidi w:val="0"/>
        <w:rPr>
          <w:rFonts w:hint="default"/>
        </w:rPr>
      </w:pPr>
      <w:r>
        <w:rPr>
          <w:rFonts w:hint="default"/>
        </w:rPr>
        <w:t>从监测结果来看，</w:t>
      </w:r>
      <w:bookmarkStart w:id="192" w:name="OLE_LINK81"/>
      <w:r>
        <w:rPr>
          <w:rFonts w:hint="default"/>
        </w:rPr>
        <w:t>区域地下水环境质量总体能够达到《地下水质量标准》（GB/T14848-2017）中Ⅲ类标准。</w:t>
      </w:r>
      <w:bookmarkEnd w:id="192"/>
    </w:p>
    <w:p>
      <w:pPr>
        <w:pStyle w:val="5"/>
        <w:bidi w:val="0"/>
        <w:rPr>
          <w:rFonts w:hint="default"/>
        </w:rPr>
      </w:pPr>
      <w:r>
        <w:rPr>
          <w:rFonts w:hint="default"/>
        </w:rPr>
        <w:t>4.3.3</w:t>
      </w:r>
      <w:r>
        <w:rPr>
          <w:rFonts w:hint="eastAsia"/>
          <w:lang w:eastAsia="zh-CN"/>
        </w:rPr>
        <w:t>、</w:t>
      </w:r>
      <w:r>
        <w:rPr>
          <w:rFonts w:hint="default"/>
        </w:rPr>
        <w:t>声环境质量现状监测</w:t>
      </w:r>
      <w:bookmarkStart w:id="193" w:name="OLE_LINK181"/>
      <w:bookmarkStart w:id="194" w:name="OLE_LINK180"/>
      <w:bookmarkStart w:id="195" w:name="OLE_LINK182"/>
      <w:r>
        <w:rPr>
          <w:rFonts w:hint="default"/>
        </w:rPr>
        <w:t>与评价</w:t>
      </w:r>
      <w:bookmarkEnd w:id="193"/>
      <w:bookmarkEnd w:id="194"/>
      <w:bookmarkEnd w:id="195"/>
    </w:p>
    <w:p>
      <w:pPr>
        <w:pStyle w:val="6"/>
        <w:bidi w:val="0"/>
        <w:rPr>
          <w:rFonts w:hint="default"/>
        </w:rPr>
      </w:pPr>
      <w:bookmarkStart w:id="196" w:name="_Toc11289911"/>
      <w:r>
        <w:rPr>
          <w:rFonts w:hint="default"/>
        </w:rPr>
        <w:t>4.3.3.1</w:t>
      </w:r>
      <w:r>
        <w:rPr>
          <w:rFonts w:hint="eastAsia"/>
          <w:lang w:eastAsia="zh-CN"/>
        </w:rPr>
        <w:t>、</w:t>
      </w:r>
      <w:r>
        <w:rPr>
          <w:rFonts w:hint="default"/>
        </w:rPr>
        <w:t>声环境质量现状监测</w:t>
      </w:r>
    </w:p>
    <w:p>
      <w:pPr>
        <w:bidi w:val="0"/>
        <w:rPr>
          <w:rFonts w:hint="default"/>
        </w:rPr>
      </w:pPr>
      <w:r>
        <w:rPr>
          <w:rFonts w:hint="default"/>
        </w:rPr>
        <w:t>（1）监测点位及监测因子</w:t>
      </w:r>
    </w:p>
    <w:p>
      <w:pPr>
        <w:bidi w:val="0"/>
        <w:rPr>
          <w:rFonts w:hint="default" w:eastAsia="宋体"/>
          <w:lang w:val="en-US" w:eastAsia="zh-CN"/>
        </w:rPr>
      </w:pPr>
      <w:r>
        <w:rPr>
          <w:rFonts w:hint="default"/>
        </w:rPr>
        <w:t>根据本项目厂址平面布置，在项目厂址东、西、南、北厂界各布设1个监测点，共计4个监测点。</w:t>
      </w:r>
      <w:r>
        <w:rPr>
          <w:rFonts w:hint="eastAsia"/>
          <w:lang w:val="en-US" w:eastAsia="zh-CN"/>
        </w:rPr>
        <w:t>监测点位图见图4.2-2。</w:t>
      </w:r>
    </w:p>
    <w:p>
      <w:pPr>
        <w:bidi w:val="0"/>
        <w:rPr>
          <w:rFonts w:hint="default"/>
        </w:rPr>
      </w:pPr>
      <w:r>
        <w:rPr>
          <w:rFonts w:hint="default"/>
        </w:rPr>
        <w:t>（2）监测因子</w:t>
      </w:r>
    </w:p>
    <w:p>
      <w:pPr>
        <w:bidi w:val="0"/>
        <w:rPr>
          <w:rFonts w:hint="default"/>
        </w:rPr>
      </w:pPr>
      <w:r>
        <w:rPr>
          <w:rFonts w:hint="default"/>
        </w:rPr>
        <w:t>等效连续A声级(Leq)。</w:t>
      </w:r>
    </w:p>
    <w:p>
      <w:pPr>
        <w:bidi w:val="0"/>
        <w:rPr>
          <w:rFonts w:hint="default"/>
        </w:rPr>
      </w:pPr>
      <w:r>
        <w:rPr>
          <w:rFonts w:hint="default"/>
        </w:rPr>
        <w:t>（3）监测时间及频率</w:t>
      </w:r>
    </w:p>
    <w:p>
      <w:pPr>
        <w:bidi w:val="0"/>
        <w:rPr>
          <w:rFonts w:hint="default"/>
        </w:rPr>
      </w:pPr>
      <w:r>
        <w:rPr>
          <w:rFonts w:hint="default"/>
        </w:rPr>
        <w:t>根据《工业企业厂界环境噪声排放标准》（GB12348-2008）的要求，</w:t>
      </w:r>
      <w:r>
        <w:rPr>
          <w:rFonts w:hint="eastAsia"/>
          <w:lang w:val="en-US" w:eastAsia="zh-CN"/>
        </w:rPr>
        <w:t>新疆正则环宇检测科技有限公司</w:t>
      </w:r>
      <w:r>
        <w:rPr>
          <w:rFonts w:hint="default"/>
        </w:rPr>
        <w:t>于</w:t>
      </w:r>
      <w:r>
        <w:rPr>
          <w:rFonts w:hint="eastAsia"/>
          <w:lang w:eastAsia="zh-CN"/>
        </w:rPr>
        <w:t>2021</w:t>
      </w:r>
      <w:r>
        <w:rPr>
          <w:rFonts w:hint="default"/>
        </w:rPr>
        <w:t>年</w:t>
      </w:r>
      <w:r>
        <w:rPr>
          <w:rFonts w:hint="eastAsia"/>
          <w:lang w:val="en-US" w:eastAsia="zh-CN"/>
        </w:rPr>
        <w:t>8</w:t>
      </w:r>
      <w:r>
        <w:rPr>
          <w:rFonts w:hint="default"/>
        </w:rPr>
        <w:t>月</w:t>
      </w:r>
      <w:r>
        <w:rPr>
          <w:rFonts w:hint="eastAsia"/>
          <w:lang w:val="en-US" w:eastAsia="zh-CN"/>
        </w:rPr>
        <w:t>6</w:t>
      </w:r>
      <w:r>
        <w:rPr>
          <w:rFonts w:hint="default"/>
        </w:rPr>
        <w:t>日</w:t>
      </w:r>
      <w:r>
        <w:rPr>
          <w:rFonts w:hint="default"/>
          <w:lang w:val="en-US" w:eastAsia="zh-CN"/>
        </w:rPr>
        <w:t>，</w:t>
      </w:r>
      <w:r>
        <w:rPr>
          <w:rFonts w:hint="default"/>
        </w:rPr>
        <w:t>对厂界进行监测，监测时段为6:00～22:00，夜间监测时段为22:00～次日06:00。</w:t>
      </w:r>
    </w:p>
    <w:p>
      <w:pPr>
        <w:bidi w:val="0"/>
        <w:rPr>
          <w:rFonts w:hint="default"/>
        </w:rPr>
      </w:pPr>
      <w:r>
        <w:rPr>
          <w:rFonts w:hint="default"/>
        </w:rPr>
        <w:t>（4）监测方法</w:t>
      </w:r>
    </w:p>
    <w:p>
      <w:pPr>
        <w:bidi w:val="0"/>
        <w:rPr>
          <w:rFonts w:hint="default"/>
        </w:rPr>
      </w:pPr>
      <w:r>
        <w:rPr>
          <w:rFonts w:hint="default"/>
        </w:rPr>
        <w:t>按照《声环境质量标准》（GB3096-2008）中的规定进行。</w:t>
      </w:r>
    </w:p>
    <w:p>
      <w:pPr>
        <w:pStyle w:val="6"/>
        <w:bidi w:val="0"/>
        <w:rPr>
          <w:rFonts w:hint="default"/>
        </w:rPr>
      </w:pPr>
      <w:r>
        <w:rPr>
          <w:rFonts w:hint="default"/>
        </w:rPr>
        <w:t>4.3.3.2</w:t>
      </w:r>
      <w:r>
        <w:rPr>
          <w:rFonts w:hint="eastAsia"/>
          <w:lang w:eastAsia="zh-CN"/>
        </w:rPr>
        <w:t>、</w:t>
      </w:r>
      <w:r>
        <w:rPr>
          <w:rFonts w:hint="default"/>
        </w:rPr>
        <w:t>声环境质量现状评价</w:t>
      </w:r>
    </w:p>
    <w:p>
      <w:pPr>
        <w:bidi w:val="0"/>
        <w:rPr>
          <w:rFonts w:hint="default"/>
        </w:rPr>
      </w:pPr>
      <w:r>
        <w:rPr>
          <w:rFonts w:hint="default"/>
        </w:rPr>
        <w:t>本项目各噪声监测点声环境现状监测及评价结果见表4.</w:t>
      </w:r>
      <w:r>
        <w:rPr>
          <w:rFonts w:hint="eastAsia"/>
          <w:lang w:val="en-US" w:eastAsia="zh-CN"/>
        </w:rPr>
        <w:t>2</w:t>
      </w:r>
      <w:r>
        <w:rPr>
          <w:rFonts w:hint="default"/>
        </w:rPr>
        <w:t>-</w:t>
      </w:r>
      <w:r>
        <w:rPr>
          <w:rFonts w:hint="eastAsia"/>
          <w:lang w:val="en-US" w:eastAsia="zh-CN"/>
        </w:rPr>
        <w:t>9</w:t>
      </w:r>
      <w:r>
        <w:rPr>
          <w:rFonts w:hint="default"/>
        </w:rPr>
        <w:t>。</w:t>
      </w:r>
    </w:p>
    <w:p>
      <w:pPr>
        <w:pStyle w:val="17"/>
        <w:bidi w:val="0"/>
        <w:rPr>
          <w:rFonts w:hint="default"/>
          <w:b/>
          <w:bCs/>
        </w:rPr>
      </w:pPr>
      <w:r>
        <w:rPr>
          <w:rFonts w:hint="default"/>
          <w:b/>
          <w:bCs/>
        </w:rPr>
        <w:t>表4.</w:t>
      </w:r>
      <w:r>
        <w:rPr>
          <w:rFonts w:hint="eastAsia"/>
          <w:b/>
          <w:bCs/>
          <w:lang w:val="en-US" w:eastAsia="zh-CN"/>
        </w:rPr>
        <w:t>2</w:t>
      </w:r>
      <w:r>
        <w:rPr>
          <w:rFonts w:hint="default"/>
          <w:b/>
          <w:bCs/>
        </w:rPr>
        <w:t>-</w:t>
      </w:r>
      <w:r>
        <w:rPr>
          <w:rFonts w:hint="eastAsia"/>
          <w:b/>
          <w:bCs/>
          <w:lang w:val="en-US" w:eastAsia="zh-CN"/>
        </w:rPr>
        <w:t>9</w:t>
      </w:r>
      <w:r>
        <w:rPr>
          <w:rFonts w:hint="default"/>
          <w:b/>
          <w:bCs/>
        </w:rPr>
        <w:t xml:space="preserve"> </w:t>
      </w:r>
      <w:r>
        <w:rPr>
          <w:rFonts w:hint="eastAsia"/>
          <w:b/>
          <w:bCs/>
          <w:lang w:val="en-US" w:eastAsia="zh-CN"/>
        </w:rPr>
        <w:t xml:space="preserve"> </w:t>
      </w:r>
      <w:r>
        <w:rPr>
          <w:rFonts w:hint="default"/>
          <w:b/>
          <w:bCs/>
        </w:rPr>
        <w:t xml:space="preserve"> 声环境现状监测及评价结果  </w:t>
      </w:r>
      <w:r>
        <w:rPr>
          <w:rFonts w:hint="eastAsia"/>
          <w:b/>
          <w:bCs/>
          <w:lang w:val="en-US" w:eastAsia="zh-CN"/>
        </w:rPr>
        <w:t xml:space="preserve"> </w:t>
      </w:r>
      <w:r>
        <w:rPr>
          <w:rFonts w:hint="default"/>
          <w:b/>
          <w:bCs/>
        </w:rPr>
        <w:t>单位：dB(A)</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93"/>
        <w:gridCol w:w="1292"/>
        <w:gridCol w:w="1292"/>
        <w:gridCol w:w="1302"/>
        <w:gridCol w:w="1295"/>
        <w:gridCol w:w="1295"/>
        <w:gridCol w:w="13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4" w:hRule="atLeast"/>
          <w:jc w:val="center"/>
        </w:trPr>
        <w:tc>
          <w:tcPr>
            <w:tcW w:w="1293" w:type="dxa"/>
            <w:vMerge w:val="restart"/>
            <w:tcBorders>
              <w:tl2br w:val="nil"/>
              <w:tr2bl w:val="nil"/>
            </w:tcBorders>
            <w:vAlign w:val="center"/>
          </w:tcPr>
          <w:p>
            <w:pPr>
              <w:pStyle w:val="17"/>
              <w:bidi w:val="0"/>
              <w:rPr>
                <w:rFonts w:hint="default"/>
                <w:b/>
                <w:bCs/>
              </w:rPr>
            </w:pPr>
            <w:r>
              <w:rPr>
                <w:rFonts w:hint="default"/>
                <w:b/>
                <w:bCs/>
              </w:rPr>
              <w:t>监测点位</w:t>
            </w:r>
          </w:p>
        </w:tc>
        <w:tc>
          <w:tcPr>
            <w:tcW w:w="3886" w:type="dxa"/>
            <w:gridSpan w:val="3"/>
            <w:tcBorders>
              <w:tl2br w:val="nil"/>
              <w:tr2bl w:val="nil"/>
            </w:tcBorders>
            <w:vAlign w:val="center"/>
          </w:tcPr>
          <w:p>
            <w:pPr>
              <w:pStyle w:val="17"/>
              <w:bidi w:val="0"/>
              <w:rPr>
                <w:rFonts w:hint="default"/>
                <w:b/>
                <w:bCs/>
              </w:rPr>
            </w:pPr>
            <w:r>
              <w:rPr>
                <w:rFonts w:hint="default"/>
                <w:b/>
                <w:bCs/>
              </w:rPr>
              <w:t>昼间</w:t>
            </w:r>
          </w:p>
        </w:tc>
        <w:tc>
          <w:tcPr>
            <w:tcW w:w="3892" w:type="dxa"/>
            <w:gridSpan w:val="3"/>
            <w:tcBorders>
              <w:tl2br w:val="nil"/>
              <w:tr2bl w:val="nil"/>
            </w:tcBorders>
            <w:vAlign w:val="center"/>
          </w:tcPr>
          <w:p>
            <w:pPr>
              <w:pStyle w:val="17"/>
              <w:bidi w:val="0"/>
              <w:rPr>
                <w:rFonts w:hint="default"/>
                <w:b/>
                <w:bCs/>
              </w:rPr>
            </w:pPr>
            <w:r>
              <w:rPr>
                <w:rFonts w:hint="default"/>
                <w:b/>
                <w:bCs/>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61" w:hRule="atLeast"/>
          <w:jc w:val="center"/>
        </w:trPr>
        <w:tc>
          <w:tcPr>
            <w:tcW w:w="1293" w:type="dxa"/>
            <w:vMerge w:val="continue"/>
            <w:tcBorders>
              <w:tl2br w:val="nil"/>
              <w:tr2bl w:val="nil"/>
            </w:tcBorders>
            <w:vAlign w:val="center"/>
          </w:tcPr>
          <w:p>
            <w:pPr>
              <w:pStyle w:val="17"/>
              <w:bidi w:val="0"/>
              <w:rPr>
                <w:rFonts w:hint="default"/>
                <w:b/>
                <w:bCs/>
              </w:rPr>
            </w:pPr>
          </w:p>
        </w:tc>
        <w:tc>
          <w:tcPr>
            <w:tcW w:w="1292" w:type="dxa"/>
            <w:tcBorders>
              <w:tl2br w:val="nil"/>
              <w:tr2bl w:val="nil"/>
            </w:tcBorders>
            <w:vAlign w:val="center"/>
          </w:tcPr>
          <w:p>
            <w:pPr>
              <w:pStyle w:val="17"/>
              <w:bidi w:val="0"/>
              <w:rPr>
                <w:rFonts w:hint="default"/>
                <w:b/>
                <w:bCs/>
              </w:rPr>
            </w:pPr>
            <w:r>
              <w:rPr>
                <w:rFonts w:hint="default"/>
                <w:b/>
                <w:bCs/>
              </w:rPr>
              <w:t>监测值</w:t>
            </w:r>
          </w:p>
        </w:tc>
        <w:tc>
          <w:tcPr>
            <w:tcW w:w="1292" w:type="dxa"/>
            <w:tcBorders>
              <w:tl2br w:val="nil"/>
              <w:tr2bl w:val="nil"/>
            </w:tcBorders>
            <w:vAlign w:val="center"/>
          </w:tcPr>
          <w:p>
            <w:pPr>
              <w:pStyle w:val="17"/>
              <w:bidi w:val="0"/>
              <w:rPr>
                <w:rFonts w:hint="default"/>
                <w:b/>
                <w:bCs/>
              </w:rPr>
            </w:pPr>
            <w:r>
              <w:rPr>
                <w:rFonts w:hint="default"/>
                <w:b/>
                <w:bCs/>
              </w:rPr>
              <w:t>标准值</w:t>
            </w:r>
          </w:p>
        </w:tc>
        <w:tc>
          <w:tcPr>
            <w:tcW w:w="1302" w:type="dxa"/>
            <w:tcBorders>
              <w:tl2br w:val="nil"/>
              <w:tr2bl w:val="nil"/>
            </w:tcBorders>
            <w:vAlign w:val="center"/>
          </w:tcPr>
          <w:p>
            <w:pPr>
              <w:pStyle w:val="17"/>
              <w:bidi w:val="0"/>
              <w:rPr>
                <w:rFonts w:hint="default"/>
                <w:b/>
                <w:bCs/>
              </w:rPr>
            </w:pPr>
            <w:r>
              <w:rPr>
                <w:rFonts w:hint="default"/>
                <w:b/>
                <w:bCs/>
              </w:rPr>
              <w:t>评价结果</w:t>
            </w:r>
          </w:p>
        </w:tc>
        <w:tc>
          <w:tcPr>
            <w:tcW w:w="1295" w:type="dxa"/>
            <w:tcBorders>
              <w:tl2br w:val="nil"/>
              <w:tr2bl w:val="nil"/>
            </w:tcBorders>
            <w:vAlign w:val="center"/>
          </w:tcPr>
          <w:p>
            <w:pPr>
              <w:pStyle w:val="17"/>
              <w:bidi w:val="0"/>
              <w:rPr>
                <w:rFonts w:hint="default"/>
                <w:b/>
                <w:bCs/>
              </w:rPr>
            </w:pPr>
            <w:r>
              <w:rPr>
                <w:rFonts w:hint="default"/>
                <w:b/>
                <w:bCs/>
              </w:rPr>
              <w:t>监测值</w:t>
            </w:r>
          </w:p>
        </w:tc>
        <w:tc>
          <w:tcPr>
            <w:tcW w:w="1295" w:type="dxa"/>
            <w:tcBorders>
              <w:tl2br w:val="nil"/>
              <w:tr2bl w:val="nil"/>
            </w:tcBorders>
            <w:vAlign w:val="center"/>
          </w:tcPr>
          <w:p>
            <w:pPr>
              <w:pStyle w:val="17"/>
              <w:bidi w:val="0"/>
              <w:rPr>
                <w:rFonts w:hint="default"/>
                <w:b/>
                <w:bCs/>
              </w:rPr>
            </w:pPr>
            <w:r>
              <w:rPr>
                <w:rFonts w:hint="default"/>
                <w:b/>
                <w:bCs/>
              </w:rPr>
              <w:t>标准值</w:t>
            </w:r>
          </w:p>
        </w:tc>
        <w:tc>
          <w:tcPr>
            <w:tcW w:w="1302" w:type="dxa"/>
            <w:tcBorders>
              <w:tl2br w:val="nil"/>
              <w:tr2bl w:val="nil"/>
            </w:tcBorders>
            <w:vAlign w:val="center"/>
          </w:tcPr>
          <w:p>
            <w:pPr>
              <w:pStyle w:val="17"/>
              <w:bidi w:val="0"/>
              <w:rPr>
                <w:rFonts w:hint="default"/>
                <w:b/>
                <w:bCs/>
              </w:rPr>
            </w:pPr>
            <w:r>
              <w:rPr>
                <w:rFonts w:hint="default"/>
                <w:b/>
                <w:bCs/>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78" w:hRule="atLeast"/>
          <w:jc w:val="center"/>
        </w:trPr>
        <w:tc>
          <w:tcPr>
            <w:tcW w:w="1293" w:type="dxa"/>
            <w:tcBorders>
              <w:tl2br w:val="nil"/>
              <w:tr2bl w:val="nil"/>
            </w:tcBorders>
            <w:vAlign w:val="center"/>
          </w:tcPr>
          <w:p>
            <w:pPr>
              <w:pStyle w:val="17"/>
              <w:bidi w:val="0"/>
              <w:rPr>
                <w:rFonts w:hint="default"/>
              </w:rPr>
            </w:pPr>
            <w:r>
              <w:rPr>
                <w:rFonts w:hint="default"/>
              </w:rPr>
              <w:t>东厂界</w:t>
            </w:r>
          </w:p>
        </w:tc>
        <w:tc>
          <w:tcPr>
            <w:tcW w:w="1292" w:type="dxa"/>
            <w:tcBorders>
              <w:tl2br w:val="nil"/>
              <w:tr2bl w:val="nil"/>
            </w:tcBorders>
            <w:vAlign w:val="center"/>
          </w:tcPr>
          <w:p>
            <w:pPr>
              <w:pStyle w:val="17"/>
              <w:bidi w:val="0"/>
              <w:rPr>
                <w:rFonts w:hint="default"/>
                <w:lang w:val="en-US" w:eastAsia="zh-CN"/>
              </w:rPr>
            </w:pPr>
            <w:r>
              <w:rPr>
                <w:rFonts w:hint="eastAsia"/>
                <w:lang w:val="en-US" w:eastAsia="zh-CN"/>
              </w:rPr>
              <w:t>45.9</w:t>
            </w:r>
          </w:p>
        </w:tc>
        <w:tc>
          <w:tcPr>
            <w:tcW w:w="1292"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60</w:t>
            </w:r>
          </w:p>
        </w:tc>
        <w:tc>
          <w:tcPr>
            <w:tcW w:w="1302" w:type="dxa"/>
            <w:tcBorders>
              <w:tl2br w:val="nil"/>
              <w:tr2bl w:val="nil"/>
            </w:tcBorders>
            <w:vAlign w:val="center"/>
          </w:tcPr>
          <w:p>
            <w:pPr>
              <w:pStyle w:val="17"/>
              <w:bidi w:val="0"/>
              <w:rPr>
                <w:rFonts w:hint="default"/>
              </w:rPr>
            </w:pPr>
            <w:r>
              <w:rPr>
                <w:rFonts w:hint="default"/>
              </w:rPr>
              <w:t>达标</w:t>
            </w:r>
          </w:p>
        </w:tc>
        <w:tc>
          <w:tcPr>
            <w:tcW w:w="1295" w:type="dxa"/>
            <w:tcBorders>
              <w:tl2br w:val="nil"/>
              <w:tr2bl w:val="nil"/>
            </w:tcBorders>
            <w:vAlign w:val="center"/>
          </w:tcPr>
          <w:p>
            <w:pPr>
              <w:pStyle w:val="17"/>
              <w:bidi w:val="0"/>
              <w:rPr>
                <w:rFonts w:hint="default"/>
                <w:lang w:val="en-US" w:eastAsia="zh-CN"/>
              </w:rPr>
            </w:pPr>
            <w:r>
              <w:rPr>
                <w:rFonts w:hint="eastAsia"/>
                <w:lang w:val="en-US" w:eastAsia="zh-CN"/>
              </w:rPr>
              <w:t>35.9</w:t>
            </w:r>
          </w:p>
        </w:tc>
        <w:tc>
          <w:tcPr>
            <w:tcW w:w="1295"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50</w:t>
            </w:r>
          </w:p>
        </w:tc>
        <w:tc>
          <w:tcPr>
            <w:tcW w:w="1302" w:type="dxa"/>
            <w:tcBorders>
              <w:tl2br w:val="nil"/>
              <w:tr2bl w:val="nil"/>
            </w:tcBorders>
            <w:vAlign w:val="center"/>
          </w:tcPr>
          <w:p>
            <w:pPr>
              <w:pStyle w:val="17"/>
              <w:bidi w:val="0"/>
              <w:rPr>
                <w:rFonts w:hint="default"/>
              </w:rPr>
            </w:pPr>
            <w:r>
              <w:rPr>
                <w:rFonts w:hint="default"/>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27" w:hRule="atLeast"/>
          <w:jc w:val="center"/>
        </w:trPr>
        <w:tc>
          <w:tcPr>
            <w:tcW w:w="1293" w:type="dxa"/>
            <w:tcBorders>
              <w:tl2br w:val="nil"/>
              <w:tr2bl w:val="nil"/>
            </w:tcBorders>
            <w:vAlign w:val="center"/>
          </w:tcPr>
          <w:p>
            <w:pPr>
              <w:pStyle w:val="17"/>
              <w:bidi w:val="0"/>
              <w:rPr>
                <w:rFonts w:hint="default"/>
              </w:rPr>
            </w:pPr>
            <w:r>
              <w:rPr>
                <w:rFonts w:hint="default"/>
              </w:rPr>
              <w:t>南厂界</w:t>
            </w:r>
          </w:p>
        </w:tc>
        <w:tc>
          <w:tcPr>
            <w:tcW w:w="1292" w:type="dxa"/>
            <w:tcBorders>
              <w:tl2br w:val="nil"/>
              <w:tr2bl w:val="nil"/>
            </w:tcBorders>
            <w:vAlign w:val="center"/>
          </w:tcPr>
          <w:p>
            <w:pPr>
              <w:pStyle w:val="17"/>
              <w:bidi w:val="0"/>
              <w:rPr>
                <w:rFonts w:hint="default"/>
                <w:lang w:val="en-US" w:eastAsia="zh-CN"/>
              </w:rPr>
            </w:pPr>
            <w:r>
              <w:rPr>
                <w:rFonts w:hint="eastAsia"/>
                <w:lang w:val="en-US" w:eastAsia="zh-CN"/>
              </w:rPr>
              <w:t>47.6</w:t>
            </w:r>
          </w:p>
        </w:tc>
        <w:tc>
          <w:tcPr>
            <w:tcW w:w="1292" w:type="dxa"/>
            <w:vMerge w:val="continue"/>
            <w:tcBorders>
              <w:tl2br w:val="nil"/>
              <w:tr2bl w:val="nil"/>
            </w:tcBorders>
            <w:vAlign w:val="center"/>
          </w:tcPr>
          <w:p>
            <w:pPr>
              <w:pStyle w:val="17"/>
              <w:bidi w:val="0"/>
              <w:rPr>
                <w:rFonts w:hint="default"/>
              </w:rPr>
            </w:pPr>
          </w:p>
        </w:tc>
        <w:tc>
          <w:tcPr>
            <w:tcW w:w="1302" w:type="dxa"/>
            <w:tcBorders>
              <w:tl2br w:val="nil"/>
              <w:tr2bl w:val="nil"/>
            </w:tcBorders>
            <w:vAlign w:val="center"/>
          </w:tcPr>
          <w:p>
            <w:pPr>
              <w:pStyle w:val="17"/>
              <w:bidi w:val="0"/>
              <w:rPr>
                <w:rFonts w:hint="default"/>
              </w:rPr>
            </w:pPr>
            <w:r>
              <w:rPr>
                <w:rFonts w:hint="default"/>
              </w:rPr>
              <w:t>达标</w:t>
            </w:r>
          </w:p>
        </w:tc>
        <w:tc>
          <w:tcPr>
            <w:tcW w:w="1295" w:type="dxa"/>
            <w:tcBorders>
              <w:tl2br w:val="nil"/>
              <w:tr2bl w:val="nil"/>
            </w:tcBorders>
            <w:vAlign w:val="center"/>
          </w:tcPr>
          <w:p>
            <w:pPr>
              <w:pStyle w:val="17"/>
              <w:bidi w:val="0"/>
              <w:rPr>
                <w:rFonts w:hint="default"/>
                <w:lang w:val="en-US" w:eastAsia="zh-CN"/>
              </w:rPr>
            </w:pPr>
            <w:r>
              <w:rPr>
                <w:rFonts w:hint="eastAsia"/>
                <w:lang w:val="en-US" w:eastAsia="zh-CN"/>
              </w:rPr>
              <w:t>36.6</w:t>
            </w:r>
          </w:p>
        </w:tc>
        <w:tc>
          <w:tcPr>
            <w:tcW w:w="1295" w:type="dxa"/>
            <w:vMerge w:val="continue"/>
            <w:tcBorders>
              <w:tl2br w:val="nil"/>
              <w:tr2bl w:val="nil"/>
            </w:tcBorders>
            <w:vAlign w:val="center"/>
          </w:tcPr>
          <w:p>
            <w:pPr>
              <w:pStyle w:val="17"/>
              <w:bidi w:val="0"/>
              <w:rPr>
                <w:rFonts w:hint="default"/>
              </w:rPr>
            </w:pPr>
          </w:p>
        </w:tc>
        <w:tc>
          <w:tcPr>
            <w:tcW w:w="1302" w:type="dxa"/>
            <w:tcBorders>
              <w:tl2br w:val="nil"/>
              <w:tr2bl w:val="nil"/>
            </w:tcBorders>
            <w:vAlign w:val="center"/>
          </w:tcPr>
          <w:p>
            <w:pPr>
              <w:pStyle w:val="17"/>
              <w:bidi w:val="0"/>
              <w:rPr>
                <w:rFonts w:hint="default"/>
              </w:rPr>
            </w:pPr>
            <w:r>
              <w:rPr>
                <w:rFonts w:hint="default"/>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1293" w:type="dxa"/>
            <w:tcBorders>
              <w:tl2br w:val="nil"/>
              <w:tr2bl w:val="nil"/>
            </w:tcBorders>
            <w:vAlign w:val="center"/>
          </w:tcPr>
          <w:p>
            <w:pPr>
              <w:pStyle w:val="17"/>
              <w:bidi w:val="0"/>
              <w:rPr>
                <w:rFonts w:hint="default"/>
              </w:rPr>
            </w:pPr>
            <w:r>
              <w:rPr>
                <w:rFonts w:hint="default"/>
              </w:rPr>
              <w:t>西厂界</w:t>
            </w:r>
          </w:p>
        </w:tc>
        <w:tc>
          <w:tcPr>
            <w:tcW w:w="1292" w:type="dxa"/>
            <w:tcBorders>
              <w:tl2br w:val="nil"/>
              <w:tr2bl w:val="nil"/>
            </w:tcBorders>
            <w:vAlign w:val="center"/>
          </w:tcPr>
          <w:p>
            <w:pPr>
              <w:pStyle w:val="17"/>
              <w:bidi w:val="0"/>
              <w:rPr>
                <w:rFonts w:hint="default"/>
                <w:lang w:val="en-US" w:eastAsia="zh-CN"/>
              </w:rPr>
            </w:pPr>
            <w:r>
              <w:rPr>
                <w:rFonts w:hint="eastAsia"/>
                <w:lang w:val="en-US" w:eastAsia="zh-CN"/>
              </w:rPr>
              <w:t>45.7</w:t>
            </w:r>
          </w:p>
        </w:tc>
        <w:tc>
          <w:tcPr>
            <w:tcW w:w="1292" w:type="dxa"/>
            <w:vMerge w:val="continue"/>
            <w:tcBorders>
              <w:tl2br w:val="nil"/>
              <w:tr2bl w:val="nil"/>
            </w:tcBorders>
            <w:vAlign w:val="center"/>
          </w:tcPr>
          <w:p>
            <w:pPr>
              <w:pStyle w:val="17"/>
              <w:bidi w:val="0"/>
              <w:rPr>
                <w:rFonts w:hint="default"/>
              </w:rPr>
            </w:pPr>
          </w:p>
        </w:tc>
        <w:tc>
          <w:tcPr>
            <w:tcW w:w="1302" w:type="dxa"/>
            <w:tcBorders>
              <w:tl2br w:val="nil"/>
              <w:tr2bl w:val="nil"/>
            </w:tcBorders>
            <w:vAlign w:val="center"/>
          </w:tcPr>
          <w:p>
            <w:pPr>
              <w:pStyle w:val="17"/>
              <w:bidi w:val="0"/>
              <w:rPr>
                <w:rFonts w:hint="default"/>
              </w:rPr>
            </w:pPr>
            <w:r>
              <w:rPr>
                <w:rFonts w:hint="default"/>
              </w:rPr>
              <w:t>达标</w:t>
            </w:r>
          </w:p>
        </w:tc>
        <w:tc>
          <w:tcPr>
            <w:tcW w:w="1295" w:type="dxa"/>
            <w:tcBorders>
              <w:tl2br w:val="nil"/>
              <w:tr2bl w:val="nil"/>
            </w:tcBorders>
            <w:vAlign w:val="center"/>
          </w:tcPr>
          <w:p>
            <w:pPr>
              <w:pStyle w:val="17"/>
              <w:bidi w:val="0"/>
              <w:rPr>
                <w:rFonts w:hint="default"/>
                <w:lang w:val="en-US" w:eastAsia="zh-CN"/>
              </w:rPr>
            </w:pPr>
            <w:r>
              <w:rPr>
                <w:rFonts w:hint="eastAsia"/>
                <w:lang w:val="en-US" w:eastAsia="zh-CN"/>
              </w:rPr>
              <w:t>34.8</w:t>
            </w:r>
          </w:p>
        </w:tc>
        <w:tc>
          <w:tcPr>
            <w:tcW w:w="1295" w:type="dxa"/>
            <w:vMerge w:val="continue"/>
            <w:tcBorders>
              <w:tl2br w:val="nil"/>
              <w:tr2bl w:val="nil"/>
            </w:tcBorders>
            <w:vAlign w:val="center"/>
          </w:tcPr>
          <w:p>
            <w:pPr>
              <w:pStyle w:val="17"/>
              <w:bidi w:val="0"/>
              <w:rPr>
                <w:rFonts w:hint="default"/>
              </w:rPr>
            </w:pPr>
          </w:p>
        </w:tc>
        <w:tc>
          <w:tcPr>
            <w:tcW w:w="1302" w:type="dxa"/>
            <w:tcBorders>
              <w:tl2br w:val="nil"/>
              <w:tr2bl w:val="nil"/>
            </w:tcBorders>
            <w:vAlign w:val="center"/>
          </w:tcPr>
          <w:p>
            <w:pPr>
              <w:pStyle w:val="17"/>
              <w:bidi w:val="0"/>
              <w:rPr>
                <w:rFonts w:hint="default"/>
              </w:rPr>
            </w:pPr>
            <w:r>
              <w:rPr>
                <w:rFonts w:hint="default"/>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37" w:hRule="atLeast"/>
          <w:jc w:val="center"/>
        </w:trPr>
        <w:tc>
          <w:tcPr>
            <w:tcW w:w="1293" w:type="dxa"/>
            <w:tcBorders>
              <w:tl2br w:val="nil"/>
              <w:tr2bl w:val="nil"/>
            </w:tcBorders>
            <w:vAlign w:val="center"/>
          </w:tcPr>
          <w:p>
            <w:pPr>
              <w:pStyle w:val="17"/>
              <w:bidi w:val="0"/>
              <w:rPr>
                <w:rFonts w:hint="default"/>
              </w:rPr>
            </w:pPr>
            <w:r>
              <w:rPr>
                <w:rFonts w:hint="default"/>
              </w:rPr>
              <w:t>北厂界</w:t>
            </w:r>
          </w:p>
        </w:tc>
        <w:tc>
          <w:tcPr>
            <w:tcW w:w="1292" w:type="dxa"/>
            <w:tcBorders>
              <w:tl2br w:val="nil"/>
              <w:tr2bl w:val="nil"/>
            </w:tcBorders>
            <w:vAlign w:val="center"/>
          </w:tcPr>
          <w:p>
            <w:pPr>
              <w:pStyle w:val="17"/>
              <w:bidi w:val="0"/>
              <w:rPr>
                <w:rFonts w:hint="default"/>
                <w:lang w:val="en-US" w:eastAsia="zh-CN"/>
              </w:rPr>
            </w:pPr>
            <w:r>
              <w:rPr>
                <w:rFonts w:hint="eastAsia"/>
                <w:lang w:val="en-US" w:eastAsia="zh-CN"/>
              </w:rPr>
              <w:t>47.2</w:t>
            </w:r>
          </w:p>
        </w:tc>
        <w:tc>
          <w:tcPr>
            <w:tcW w:w="1292" w:type="dxa"/>
            <w:vMerge w:val="continue"/>
            <w:tcBorders>
              <w:tl2br w:val="nil"/>
              <w:tr2bl w:val="nil"/>
            </w:tcBorders>
            <w:vAlign w:val="center"/>
          </w:tcPr>
          <w:p>
            <w:pPr>
              <w:pStyle w:val="17"/>
              <w:bidi w:val="0"/>
              <w:rPr>
                <w:rFonts w:hint="default"/>
              </w:rPr>
            </w:pPr>
          </w:p>
        </w:tc>
        <w:tc>
          <w:tcPr>
            <w:tcW w:w="1302" w:type="dxa"/>
            <w:tcBorders>
              <w:tl2br w:val="nil"/>
              <w:tr2bl w:val="nil"/>
            </w:tcBorders>
            <w:vAlign w:val="center"/>
          </w:tcPr>
          <w:p>
            <w:pPr>
              <w:pStyle w:val="17"/>
              <w:bidi w:val="0"/>
              <w:rPr>
                <w:rFonts w:hint="default"/>
              </w:rPr>
            </w:pPr>
            <w:r>
              <w:rPr>
                <w:rFonts w:hint="default"/>
              </w:rPr>
              <w:t>达标</w:t>
            </w:r>
          </w:p>
        </w:tc>
        <w:tc>
          <w:tcPr>
            <w:tcW w:w="1295" w:type="dxa"/>
            <w:tcBorders>
              <w:tl2br w:val="nil"/>
              <w:tr2bl w:val="nil"/>
            </w:tcBorders>
            <w:vAlign w:val="center"/>
          </w:tcPr>
          <w:p>
            <w:pPr>
              <w:pStyle w:val="17"/>
              <w:bidi w:val="0"/>
              <w:rPr>
                <w:rFonts w:hint="default"/>
                <w:lang w:val="en-US" w:eastAsia="zh-CN"/>
              </w:rPr>
            </w:pPr>
            <w:r>
              <w:rPr>
                <w:rFonts w:hint="eastAsia"/>
                <w:lang w:val="en-US" w:eastAsia="zh-CN"/>
              </w:rPr>
              <w:t>36.0</w:t>
            </w:r>
          </w:p>
        </w:tc>
        <w:tc>
          <w:tcPr>
            <w:tcW w:w="1295" w:type="dxa"/>
            <w:vMerge w:val="continue"/>
            <w:tcBorders>
              <w:tl2br w:val="nil"/>
              <w:tr2bl w:val="nil"/>
            </w:tcBorders>
            <w:vAlign w:val="center"/>
          </w:tcPr>
          <w:p>
            <w:pPr>
              <w:pStyle w:val="17"/>
              <w:bidi w:val="0"/>
              <w:rPr>
                <w:rFonts w:hint="default"/>
              </w:rPr>
            </w:pPr>
          </w:p>
        </w:tc>
        <w:tc>
          <w:tcPr>
            <w:tcW w:w="1302" w:type="dxa"/>
            <w:tcBorders>
              <w:tl2br w:val="nil"/>
              <w:tr2bl w:val="nil"/>
            </w:tcBorders>
            <w:vAlign w:val="center"/>
          </w:tcPr>
          <w:p>
            <w:pPr>
              <w:pStyle w:val="17"/>
              <w:bidi w:val="0"/>
              <w:rPr>
                <w:rFonts w:hint="default"/>
              </w:rPr>
            </w:pPr>
            <w:r>
              <w:rPr>
                <w:rFonts w:hint="default"/>
              </w:rPr>
              <w:t>达标</w:t>
            </w:r>
          </w:p>
        </w:tc>
      </w:tr>
    </w:tbl>
    <w:p>
      <w:pPr>
        <w:bidi w:val="0"/>
        <w:rPr>
          <w:rFonts w:hint="default"/>
        </w:rPr>
      </w:pPr>
      <w:r>
        <w:rPr>
          <w:rFonts w:hint="default"/>
        </w:rPr>
        <w:t>本项目四周厂界噪声监测值昼间为</w:t>
      </w:r>
      <w:r>
        <w:rPr>
          <w:rFonts w:hint="eastAsia"/>
          <w:lang w:val="en-US" w:eastAsia="zh-CN"/>
        </w:rPr>
        <w:t>45.9</w:t>
      </w:r>
      <w:r>
        <w:rPr>
          <w:rFonts w:hint="default"/>
          <w:lang w:val="en-US"/>
        </w:rPr>
        <w:t>dB(A)</w:t>
      </w:r>
      <w:r>
        <w:rPr>
          <w:rFonts w:hint="default"/>
        </w:rPr>
        <w:t>～</w:t>
      </w:r>
      <w:r>
        <w:rPr>
          <w:rFonts w:hint="eastAsia"/>
          <w:lang w:val="en-US" w:eastAsia="zh-CN"/>
        </w:rPr>
        <w:t>47.6</w:t>
      </w:r>
      <w:r>
        <w:rPr>
          <w:rFonts w:hint="default"/>
          <w:lang w:val="en-US"/>
        </w:rPr>
        <w:t>dB(A)，</w:t>
      </w:r>
      <w:r>
        <w:rPr>
          <w:rFonts w:hint="default"/>
        </w:rPr>
        <w:t>夜间为</w:t>
      </w:r>
      <w:r>
        <w:rPr>
          <w:rFonts w:hint="eastAsia"/>
          <w:lang w:val="en-US" w:eastAsia="zh-CN"/>
        </w:rPr>
        <w:t>34.8</w:t>
      </w:r>
      <w:r>
        <w:rPr>
          <w:rFonts w:hint="default"/>
          <w:lang w:val="en-US"/>
        </w:rPr>
        <w:t>dB(A)</w:t>
      </w:r>
      <w:r>
        <w:rPr>
          <w:rFonts w:hint="default"/>
        </w:rPr>
        <w:t>～</w:t>
      </w:r>
      <w:r>
        <w:rPr>
          <w:rFonts w:hint="eastAsia"/>
          <w:lang w:val="en-US" w:eastAsia="zh-CN"/>
        </w:rPr>
        <w:t>36.6</w:t>
      </w:r>
      <w:r>
        <w:rPr>
          <w:rFonts w:hint="default"/>
          <w:lang w:val="en-US"/>
        </w:rPr>
        <w:t>dB(A)，</w:t>
      </w:r>
      <w:r>
        <w:rPr>
          <w:rFonts w:hint="default"/>
        </w:rPr>
        <w:t>均满足《声环境质量标准》</w:t>
      </w:r>
      <w:r>
        <w:rPr>
          <w:rFonts w:hint="default"/>
          <w:lang w:val="en-US"/>
        </w:rPr>
        <w:t>（GB3096-2008）</w:t>
      </w:r>
      <w:r>
        <w:rPr>
          <w:rFonts w:hint="default"/>
        </w:rPr>
        <w:t>中</w:t>
      </w:r>
      <w:r>
        <w:rPr>
          <w:rFonts w:hint="eastAsia"/>
          <w:lang w:val="en-US" w:eastAsia="zh-CN"/>
        </w:rPr>
        <w:t>2</w:t>
      </w:r>
      <w:r>
        <w:rPr>
          <w:rFonts w:hint="default"/>
        </w:rPr>
        <w:t>类区标准要求。</w:t>
      </w:r>
    </w:p>
    <w:p>
      <w:pPr>
        <w:pStyle w:val="5"/>
        <w:bidi w:val="0"/>
        <w:rPr>
          <w:rFonts w:hint="default"/>
          <w:lang w:val="en-US" w:eastAsia="zh-CN"/>
        </w:rPr>
      </w:pPr>
      <w:r>
        <w:rPr>
          <w:rFonts w:hint="eastAsia"/>
          <w:lang w:val="en-US" w:eastAsia="zh-CN"/>
        </w:rPr>
        <w:t>4.2.4、</w:t>
      </w:r>
      <w:r>
        <w:t>区域土壤环境现状</w:t>
      </w:r>
    </w:p>
    <w:p>
      <w:pPr>
        <w:ind w:left="240" w:leftChars="100" w:firstLine="480"/>
        <w:rPr>
          <w:color w:val="000000" w:themeColor="text1"/>
          <w14:textFill>
            <w14:solidFill>
              <w14:schemeClr w14:val="tx1"/>
            </w14:solidFill>
          </w14:textFill>
        </w:rPr>
      </w:pPr>
      <w:r>
        <w:rPr>
          <w:color w:val="000000" w:themeColor="text1"/>
          <w14:textFill>
            <w14:solidFill>
              <w14:schemeClr w14:val="tx1"/>
            </w14:solidFill>
          </w14:textFill>
        </w:rPr>
        <w:t>本次环评土壤环境现状监测委托</w:t>
      </w:r>
      <w:r>
        <w:rPr>
          <w:rFonts w:hint="eastAsia"/>
          <w:color w:val="000000" w:themeColor="text1"/>
          <w:lang w:eastAsia="zh-CN"/>
          <w14:textFill>
            <w14:solidFill>
              <w14:schemeClr w14:val="tx1"/>
            </w14:solidFill>
          </w14:textFill>
        </w:rPr>
        <w:t>新疆正则环宇检测科技有限公司</w:t>
      </w:r>
      <w:r>
        <w:rPr>
          <w:color w:val="000000" w:themeColor="text1"/>
          <w14:textFill>
            <w14:solidFill>
              <w14:schemeClr w14:val="tx1"/>
            </w14:solidFill>
          </w14:textFill>
        </w:rPr>
        <w:t>进行，</w:t>
      </w:r>
      <w:r>
        <w:rPr>
          <w:rFonts w:hint="eastAsia"/>
          <w:color w:val="000000" w:themeColor="text1"/>
          <w14:textFill>
            <w14:solidFill>
              <w14:schemeClr w14:val="tx1"/>
            </w14:solidFill>
          </w14:textFill>
        </w:rPr>
        <w:t>监测日期为202</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日</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（1）监测点位布设</w:t>
      </w:r>
    </w:p>
    <w:p>
      <w:pPr>
        <w:ind w:firstLine="480"/>
        <w:rPr>
          <w:rFonts w:hint="default" w:eastAsia="宋体"/>
          <w:snapToGrid w:val="0"/>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根据项目区实际勘察情况。参考</w:t>
      </w:r>
      <w:r>
        <w:rPr>
          <w:rFonts w:hint="eastAsia"/>
          <w:snapToGrid w:val="0"/>
          <w:color w:val="000000" w:themeColor="text1"/>
          <w14:textFill>
            <w14:solidFill>
              <w14:schemeClr w14:val="tx1"/>
            </w14:solidFill>
          </w14:textFill>
        </w:rPr>
        <w:t>《环境影响评价技术导则   土壤环境（试行）》（HJ964-2018）对现状监测的要求，土壤监测点位布设情况如表4.2-</w:t>
      </w:r>
      <w:r>
        <w:rPr>
          <w:rFonts w:hint="eastAsia"/>
          <w:snapToGrid w:val="0"/>
          <w:color w:val="000000" w:themeColor="text1"/>
          <w:lang w:val="en-US" w:eastAsia="zh-CN"/>
          <w14:textFill>
            <w14:solidFill>
              <w14:schemeClr w14:val="tx1"/>
            </w14:solidFill>
          </w14:textFill>
        </w:rPr>
        <w:t>10</w:t>
      </w:r>
      <w:r>
        <w:rPr>
          <w:rFonts w:hint="eastAsia"/>
          <w:snapToGrid w:val="0"/>
          <w:color w:val="000000" w:themeColor="text1"/>
          <w14:textFill>
            <w14:solidFill>
              <w14:schemeClr w14:val="tx1"/>
            </w14:solidFill>
          </w14:textFill>
        </w:rPr>
        <w:t>。</w:t>
      </w:r>
      <w:r>
        <w:rPr>
          <w:rFonts w:hint="eastAsia"/>
          <w:snapToGrid w:val="0"/>
          <w:color w:val="000000" w:themeColor="text1"/>
          <w:lang w:val="en-US" w:eastAsia="zh-CN"/>
          <w14:textFill>
            <w14:solidFill>
              <w14:schemeClr w14:val="tx1"/>
            </w14:solidFill>
          </w14:textFill>
        </w:rPr>
        <w:t>监测点位图见图4.2-2。</w:t>
      </w:r>
    </w:p>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14:textFill>
            <w14:solidFill>
              <w14:schemeClr w14:val="tx1"/>
            </w14:solidFill>
          </w14:textFill>
        </w:rPr>
        <w:t>4.2-</w:t>
      </w:r>
      <w:r>
        <w:rPr>
          <w:rFonts w:hint="eastAsia"/>
          <w:b/>
          <w:bCs/>
          <w:color w:val="000000" w:themeColor="text1"/>
          <w:lang w:val="en-US" w:eastAsia="zh-CN"/>
          <w14:textFill>
            <w14:solidFill>
              <w14:schemeClr w14:val="tx1"/>
            </w14:solidFill>
          </w14:textFill>
        </w:rPr>
        <w:t>10</w:t>
      </w:r>
      <w:r>
        <w:rPr>
          <w:b/>
          <w:bCs/>
          <w:color w:val="000000" w:themeColor="text1"/>
          <w14:textFill>
            <w14:solidFill>
              <w14:schemeClr w14:val="tx1"/>
            </w14:solidFill>
          </w14:textFill>
        </w:rPr>
        <w:t xml:space="preserve">   土壤环境质量现状监测一览表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4"/>
        <w:gridCol w:w="612"/>
        <w:gridCol w:w="1306"/>
        <w:gridCol w:w="901"/>
        <w:gridCol w:w="1062"/>
        <w:gridCol w:w="2743"/>
        <w:gridCol w:w="18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4" w:type="dxa"/>
            <w:tcBorders>
              <w:bottom w:val="single" w:color="auto"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1918" w:type="dxa"/>
            <w:gridSpan w:val="2"/>
            <w:tcBorders>
              <w:bottom w:val="single" w:color="auto"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位置</w:t>
            </w:r>
          </w:p>
        </w:tc>
        <w:tc>
          <w:tcPr>
            <w:tcW w:w="1963" w:type="dxa"/>
            <w:gridSpan w:val="2"/>
            <w:tcBorders>
              <w:bottom w:val="single" w:color="auto"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监测点位</w:t>
            </w:r>
          </w:p>
        </w:tc>
        <w:tc>
          <w:tcPr>
            <w:tcW w:w="2743" w:type="dxa"/>
            <w:tcBorders>
              <w:bottom w:val="single" w:color="auto"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监测项目</w:t>
            </w:r>
          </w:p>
        </w:tc>
        <w:tc>
          <w:tcPr>
            <w:tcW w:w="1893" w:type="dxa"/>
            <w:tcBorders>
              <w:bottom w:val="single" w:color="auto"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分析方法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4" w:type="dxa"/>
            <w:vMerge w:val="restart"/>
            <w:tcBorders>
              <w:top w:val="single" w:color="auto" w:sz="12" w:space="0"/>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612" w:type="dxa"/>
            <w:tcBorders>
              <w:top w:val="single" w:color="auto" w:sz="12" w:space="0"/>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占地范围内</w:t>
            </w:r>
          </w:p>
        </w:tc>
        <w:tc>
          <w:tcPr>
            <w:tcW w:w="1306" w:type="dxa"/>
            <w:tcBorders>
              <w:top w:val="single" w:color="auto" w:sz="12" w:space="0"/>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项目区中部</w:t>
            </w:r>
          </w:p>
        </w:tc>
        <w:tc>
          <w:tcPr>
            <w:tcW w:w="901" w:type="dxa"/>
            <w:tcBorders>
              <w:top w:val="single" w:color="auto" w:sz="12" w:space="0"/>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1#表层样点</w:t>
            </w:r>
          </w:p>
        </w:tc>
        <w:tc>
          <w:tcPr>
            <w:tcW w:w="1062" w:type="dxa"/>
            <w:tcBorders>
              <w:top w:val="single" w:color="auto" w:sz="12" w:space="0"/>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m</w:t>
            </w:r>
          </w:p>
        </w:tc>
        <w:tc>
          <w:tcPr>
            <w:tcW w:w="2743" w:type="dxa"/>
            <w:tcBorders>
              <w:top w:val="single" w:color="auto" w:sz="12" w:space="0"/>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p</w:t>
            </w:r>
            <w:r>
              <w:rPr>
                <w:color w:val="000000" w:themeColor="text1"/>
                <w14:textFill>
                  <w14:solidFill>
                    <w14:schemeClr w14:val="tx1"/>
                  </w14:solidFill>
                </w14:textFill>
              </w:rPr>
              <w:t>H、砷、镉、铬(六价)、铜、铅、汞、镍、四氯化碳、氯仿、氯甲烷、1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1二氯乙烷、1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2-二氯乙烷、1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1-二氯乙烯、顺-1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2-二氯乙烯、反-1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2-二氯乙烯、二氯甲烷、1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2-二氯丙烷、1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2-四氯乙烷、1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2-四氯乙烷、四氯乙烯、1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1-三氯乙烷、1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2-三氯乙烷、三氯乙烯、1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3-三氯丙烷、氯乙烯、苯、氯苯、1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2-二氯苯、1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4二氯苯、乙苯、苯乙烯、甲苯、间二甲苯+对二甲苯、邻二甲苯、硝基苯、苯胺、2-氯酚、苯并[a]蒽、苯并[a]芘、苯并[b]荧蒽、苯并[k]荧蒽、䓛、二苯并[a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h]蒽、茚并[1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3-cd]芘，共</w:t>
            </w:r>
            <w:r>
              <w:rPr>
                <w:rFonts w:hint="eastAsia"/>
                <w:color w:val="000000" w:themeColor="text1"/>
                <w14:textFill>
                  <w14:solidFill>
                    <w14:schemeClr w14:val="tx1"/>
                  </w14:solidFill>
                </w14:textFill>
              </w:rPr>
              <w:t>45</w:t>
            </w:r>
            <w:r>
              <w:rPr>
                <w:color w:val="000000" w:themeColor="text1"/>
                <w14:textFill>
                  <w14:solidFill>
                    <w14:schemeClr w14:val="tx1"/>
                  </w14:solidFill>
                </w14:textFill>
              </w:rPr>
              <w:t>项。</w:t>
            </w:r>
          </w:p>
        </w:tc>
        <w:tc>
          <w:tcPr>
            <w:tcW w:w="1893" w:type="dxa"/>
            <w:vMerge w:val="restart"/>
            <w:tcBorders>
              <w:top w:val="single" w:color="auto" w:sz="12" w:space="0"/>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参照《土壤环境质量  建设用地土壤污染风险管控标准（试行）》（GB36600-2018）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4" w:type="dxa"/>
            <w:vMerge w:val="continue"/>
            <w:tcBorders>
              <w:tl2br w:val="nil"/>
              <w:tr2bl w:val="nil"/>
            </w:tcBorders>
            <w:vAlign w:val="center"/>
          </w:tcPr>
          <w:p>
            <w:pPr>
              <w:pStyle w:val="32"/>
              <w:rPr>
                <w:color w:val="000000" w:themeColor="text1"/>
                <w14:textFill>
                  <w14:solidFill>
                    <w14:schemeClr w14:val="tx1"/>
                  </w14:solidFill>
                </w14:textFill>
              </w:rPr>
            </w:pPr>
          </w:p>
        </w:tc>
        <w:tc>
          <w:tcPr>
            <w:tcW w:w="612" w:type="dxa"/>
            <w:vMerge w:val="restart"/>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占地范围内</w:t>
            </w:r>
          </w:p>
        </w:tc>
        <w:tc>
          <w:tcPr>
            <w:tcW w:w="2207" w:type="dxa"/>
            <w:gridSpan w:val="2"/>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项目区</w:t>
            </w:r>
            <w:r>
              <w:rPr>
                <w:rFonts w:hint="eastAsia"/>
                <w:color w:val="000000" w:themeColor="text1"/>
                <w:lang w:val="en-US" w:eastAsia="zh-CN"/>
                <w14:textFill>
                  <w14:solidFill>
                    <w14:schemeClr w14:val="tx1"/>
                  </w14:solidFill>
                </w14:textFill>
              </w:rPr>
              <w:t>内东北侧设置一个表层样点（2#）</w:t>
            </w:r>
          </w:p>
        </w:tc>
        <w:tc>
          <w:tcPr>
            <w:tcW w:w="1062"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0~0.2m</w:t>
            </w:r>
          </w:p>
        </w:tc>
        <w:tc>
          <w:tcPr>
            <w:tcW w:w="274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PH、砷、镉、铬(六价)、铜、铅、汞、镍</w:t>
            </w:r>
          </w:p>
        </w:tc>
        <w:tc>
          <w:tcPr>
            <w:tcW w:w="1893" w:type="dxa"/>
            <w:vMerge w:val="continue"/>
            <w:tcBorders>
              <w:tl2br w:val="nil"/>
              <w:tr2bl w:val="nil"/>
            </w:tcBorders>
            <w:vAlign w:val="center"/>
          </w:tcPr>
          <w:p>
            <w:pPr>
              <w:pStyle w:val="32"/>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54" w:type="dxa"/>
            <w:vMerge w:val="continue"/>
            <w:tcBorders>
              <w:tl2br w:val="nil"/>
              <w:tr2bl w:val="nil"/>
            </w:tcBorders>
            <w:vAlign w:val="center"/>
          </w:tcPr>
          <w:p>
            <w:pPr>
              <w:pStyle w:val="32"/>
              <w:rPr>
                <w:color w:val="000000" w:themeColor="text1"/>
                <w14:textFill>
                  <w14:solidFill>
                    <w14:schemeClr w14:val="tx1"/>
                  </w14:solidFill>
                </w14:textFill>
              </w:rPr>
            </w:pPr>
          </w:p>
        </w:tc>
        <w:tc>
          <w:tcPr>
            <w:tcW w:w="612" w:type="dxa"/>
            <w:vMerge w:val="continue"/>
            <w:tcBorders>
              <w:tl2br w:val="nil"/>
              <w:tr2bl w:val="nil"/>
            </w:tcBorders>
            <w:vAlign w:val="center"/>
          </w:tcPr>
          <w:p>
            <w:pPr>
              <w:pStyle w:val="32"/>
              <w:rPr>
                <w:color w:val="000000" w:themeColor="text1"/>
                <w14:textFill>
                  <w14:solidFill>
                    <w14:schemeClr w14:val="tx1"/>
                  </w14:solidFill>
                </w14:textFill>
              </w:rPr>
            </w:pPr>
          </w:p>
        </w:tc>
        <w:tc>
          <w:tcPr>
            <w:tcW w:w="2207" w:type="dxa"/>
            <w:gridSpan w:val="2"/>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项目区南侧荒地设置一个表层样点（3#）</w:t>
            </w:r>
          </w:p>
        </w:tc>
        <w:tc>
          <w:tcPr>
            <w:tcW w:w="1062"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0~0.2m</w:t>
            </w:r>
          </w:p>
        </w:tc>
        <w:tc>
          <w:tcPr>
            <w:tcW w:w="274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PH、砷、镉、铬(六价)、铜、铅、汞、镍</w:t>
            </w:r>
            <w:r>
              <w:rPr>
                <w:rFonts w:hint="eastAsia"/>
                <w:color w:val="000000" w:themeColor="text1"/>
                <w14:textFill>
                  <w14:solidFill>
                    <w14:schemeClr w14:val="tx1"/>
                  </w14:solidFill>
                </w14:textFill>
              </w:rPr>
              <w:t>、锌</w:t>
            </w:r>
          </w:p>
        </w:tc>
        <w:tc>
          <w:tcPr>
            <w:tcW w:w="1893" w:type="dxa"/>
            <w:vMerge w:val="continue"/>
            <w:tcBorders>
              <w:tl2br w:val="nil"/>
              <w:tr2bl w:val="nil"/>
            </w:tcBorders>
            <w:vAlign w:val="center"/>
          </w:tcPr>
          <w:p>
            <w:pPr>
              <w:pStyle w:val="32"/>
              <w:rPr>
                <w:color w:val="000000" w:themeColor="text1"/>
                <w14:textFill>
                  <w14:solidFill>
                    <w14:schemeClr w14:val="tx1"/>
                  </w14:solidFill>
                </w14:textFill>
              </w:rPr>
            </w:pPr>
          </w:p>
        </w:tc>
      </w:tr>
    </w:tbl>
    <w:p>
      <w:pPr>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（2）评价标准</w:t>
      </w:r>
    </w:p>
    <w:p>
      <w:pPr>
        <w:ind w:firstLine="480"/>
        <w:rPr>
          <w:snapToGrid w:val="0"/>
          <w:color w:val="000000" w:themeColor="text1"/>
          <w14:textFill>
            <w14:solidFill>
              <w14:schemeClr w14:val="tx1"/>
            </w14:solidFill>
          </w14:textFill>
        </w:rPr>
      </w:pPr>
      <w:r>
        <w:rPr>
          <w:rFonts w:hint="eastAsia"/>
          <w:color w:val="000000" w:themeColor="text1"/>
          <w14:textFill>
            <w14:solidFill>
              <w14:schemeClr w14:val="tx1"/>
            </w14:solidFill>
          </w14:textFill>
        </w:rPr>
        <w:t>项目区内各项污染因子</w:t>
      </w:r>
      <w:r>
        <w:rPr>
          <w:snapToGrid w:val="0"/>
          <w:color w:val="000000" w:themeColor="text1"/>
          <w14:textFill>
            <w14:solidFill>
              <w14:schemeClr w14:val="tx1"/>
            </w14:solidFill>
          </w14:textFill>
        </w:rPr>
        <w:t>执行《土壤环境质量 建设用地土壤污染风险管控标准》（GB36600-2018）中第二类</w:t>
      </w:r>
      <w:r>
        <w:rPr>
          <w:rFonts w:hint="eastAsia"/>
          <w:snapToGrid w:val="0"/>
          <w:color w:val="000000" w:themeColor="text1"/>
          <w:lang w:val="en-US" w:eastAsia="zh-CN"/>
          <w14:textFill>
            <w14:solidFill>
              <w14:schemeClr w14:val="tx1"/>
            </w14:solidFill>
          </w14:textFill>
        </w:rPr>
        <w:t>建设</w:t>
      </w:r>
      <w:r>
        <w:rPr>
          <w:snapToGrid w:val="0"/>
          <w:color w:val="000000" w:themeColor="text1"/>
          <w14:textFill>
            <w14:solidFill>
              <w14:schemeClr w14:val="tx1"/>
            </w14:solidFill>
          </w14:textFill>
        </w:rPr>
        <w:t>用地筛选值。</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（3）评价方法</w:t>
      </w:r>
    </w:p>
    <w:p>
      <w:pPr>
        <w:ind w:firstLine="48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对各项因子的评价，采用单因子标准指数法。计算公式为：</w:t>
      </w:r>
    </w:p>
    <w:p>
      <w:pPr>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Si，j=Ci，j/Csi</w:t>
      </w:r>
    </w:p>
    <w:p>
      <w:pPr>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式中：Si，j：单项土壤参数i在j点的标准指数；</w:t>
      </w:r>
    </w:p>
    <w:p>
      <w:pPr>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 xml:space="preserve">      Ci，j：土壤参数i在j点的监测浓度，mg/L；</w:t>
      </w:r>
    </w:p>
    <w:p>
      <w:pPr>
        <w:ind w:firstLine="48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 xml:space="preserve">      Csi：土壤参数i的土壤环境质量标准，mg/L</w:t>
      </w:r>
    </w:p>
    <w:p>
      <w:pPr>
        <w:ind w:firstLine="480"/>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（4）</w:t>
      </w:r>
      <w:r>
        <w:rPr>
          <w:rFonts w:hint="eastAsia"/>
          <w:b w:val="0"/>
          <w:bCs w:val="0"/>
          <w:snapToGrid w:val="0"/>
          <w:color w:val="000000" w:themeColor="text1"/>
          <w14:textFill>
            <w14:solidFill>
              <w14:schemeClr w14:val="tx1"/>
            </w14:solidFill>
          </w14:textFill>
        </w:rPr>
        <w:t>监测及评价结果</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1#监测点位土壤监测结果见表4.2-</w:t>
      </w: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，2#、3#监测点位土壤监测结果见表4.2-</w:t>
      </w:r>
      <w:r>
        <w:rPr>
          <w:rFonts w:hint="eastAsia"/>
          <w:color w:val="000000" w:themeColor="text1"/>
          <w:lang w:val="en-US" w:eastAsia="zh-CN"/>
          <w14:textFill>
            <w14:solidFill>
              <w14:schemeClr w14:val="tx1"/>
            </w14:solidFill>
          </w14:textFill>
        </w:rPr>
        <w:t>12</w:t>
      </w:r>
      <w:r>
        <w:rPr>
          <w:rFonts w:hint="eastAsia"/>
          <w:color w:val="000000" w:themeColor="text1"/>
          <w14:textFill>
            <w14:solidFill>
              <w14:schemeClr w14:val="tx1"/>
            </w14:solidFill>
          </w14:textFill>
        </w:rPr>
        <w:t>。</w:t>
      </w:r>
    </w:p>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14:textFill>
            <w14:solidFill>
              <w14:schemeClr w14:val="tx1"/>
            </w14:solidFill>
          </w14:textFill>
        </w:rPr>
        <w:t>4.2-</w:t>
      </w:r>
      <w:r>
        <w:rPr>
          <w:rFonts w:hint="eastAsia"/>
          <w:b/>
          <w:bCs/>
          <w:color w:val="000000" w:themeColor="text1"/>
          <w:lang w:val="en-US" w:eastAsia="zh-CN"/>
          <w14:textFill>
            <w14:solidFill>
              <w14:schemeClr w14:val="tx1"/>
            </w14:solidFill>
          </w14:textFill>
        </w:rPr>
        <w:t>11</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#监测点土壤监测结果一览表</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294"/>
        <w:gridCol w:w="1133"/>
        <w:gridCol w:w="1374"/>
        <w:gridCol w:w="1913"/>
        <w:gridCol w:w="1212"/>
        <w:gridCol w:w="13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vMerge w:val="restart"/>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1294" w:type="dxa"/>
            <w:vMerge w:val="restart"/>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名称</w:t>
            </w:r>
          </w:p>
        </w:tc>
        <w:tc>
          <w:tcPr>
            <w:tcW w:w="1133" w:type="dxa"/>
            <w:vMerge w:val="restart"/>
            <w:vAlign w:val="center"/>
          </w:tcPr>
          <w:p>
            <w:pPr>
              <w:pStyle w:val="3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单位</w:t>
            </w:r>
          </w:p>
        </w:tc>
        <w:tc>
          <w:tcPr>
            <w:tcW w:w="1374" w:type="dxa"/>
            <w:vMerge w:val="restart"/>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标准限值</w:t>
            </w:r>
          </w:p>
        </w:tc>
        <w:tc>
          <w:tcPr>
            <w:tcW w:w="4515" w:type="dxa"/>
            <w:gridSpan w:val="3"/>
            <w:vAlign w:val="center"/>
          </w:tcPr>
          <w:p>
            <w:pPr>
              <w:pStyle w:val="3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vMerge w:val="continue"/>
            <w:tcBorders>
              <w:bottom w:val="single" w:color="auto" w:sz="12" w:space="0"/>
            </w:tcBorders>
            <w:vAlign w:val="center"/>
          </w:tcPr>
          <w:p>
            <w:pPr>
              <w:pStyle w:val="32"/>
              <w:rPr>
                <w:b/>
                <w:bCs/>
                <w:color w:val="000000" w:themeColor="text1"/>
                <w14:textFill>
                  <w14:solidFill>
                    <w14:schemeClr w14:val="tx1"/>
                  </w14:solidFill>
                </w14:textFill>
              </w:rPr>
            </w:pPr>
          </w:p>
        </w:tc>
        <w:tc>
          <w:tcPr>
            <w:tcW w:w="1294" w:type="dxa"/>
            <w:vMerge w:val="continue"/>
            <w:tcBorders>
              <w:bottom w:val="single" w:color="auto" w:sz="12" w:space="0"/>
            </w:tcBorders>
            <w:vAlign w:val="center"/>
          </w:tcPr>
          <w:p>
            <w:pPr>
              <w:pStyle w:val="32"/>
              <w:rPr>
                <w:b/>
                <w:bCs/>
                <w:color w:val="000000" w:themeColor="text1"/>
                <w14:textFill>
                  <w14:solidFill>
                    <w14:schemeClr w14:val="tx1"/>
                  </w14:solidFill>
                </w14:textFill>
              </w:rPr>
            </w:pPr>
          </w:p>
        </w:tc>
        <w:tc>
          <w:tcPr>
            <w:tcW w:w="1133" w:type="dxa"/>
            <w:vMerge w:val="continue"/>
            <w:tcBorders>
              <w:bottom w:val="single" w:color="auto" w:sz="12" w:space="0"/>
            </w:tcBorders>
            <w:vAlign w:val="center"/>
          </w:tcPr>
          <w:p>
            <w:pPr>
              <w:pStyle w:val="32"/>
              <w:rPr>
                <w:b/>
                <w:bCs/>
                <w:color w:val="000000" w:themeColor="text1"/>
                <w14:textFill>
                  <w14:solidFill>
                    <w14:schemeClr w14:val="tx1"/>
                  </w14:solidFill>
                </w14:textFill>
              </w:rPr>
            </w:pPr>
          </w:p>
        </w:tc>
        <w:tc>
          <w:tcPr>
            <w:tcW w:w="1374" w:type="dxa"/>
            <w:vMerge w:val="continue"/>
            <w:tcBorders>
              <w:bottom w:val="single" w:color="auto" w:sz="12" w:space="0"/>
            </w:tcBorders>
            <w:vAlign w:val="center"/>
          </w:tcPr>
          <w:p>
            <w:pPr>
              <w:pStyle w:val="32"/>
              <w:rPr>
                <w:b/>
                <w:bCs/>
                <w:color w:val="000000" w:themeColor="text1"/>
                <w14:textFill>
                  <w14:solidFill>
                    <w14:schemeClr w14:val="tx1"/>
                  </w14:solidFill>
                </w14:textFill>
              </w:rPr>
            </w:pPr>
          </w:p>
        </w:tc>
        <w:tc>
          <w:tcPr>
            <w:tcW w:w="1913" w:type="dxa"/>
            <w:tcBorders>
              <w:bottom w:val="single" w:color="auto"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检测值（采样深度：</w:t>
            </w:r>
            <w:r>
              <w:rPr>
                <w:rFonts w:hint="eastAsia"/>
                <w:b/>
                <w:bCs/>
                <w:color w:val="000000" w:themeColor="text1"/>
                <w14:textFill>
                  <w14:solidFill>
                    <w14:schemeClr w14:val="tx1"/>
                  </w14:solidFill>
                </w14:textFill>
              </w:rPr>
              <w:t>0.2</w:t>
            </w:r>
            <w:r>
              <w:rPr>
                <w:b/>
                <w:bCs/>
                <w:color w:val="000000" w:themeColor="text1"/>
                <w14:textFill>
                  <w14:solidFill>
                    <w14:schemeClr w14:val="tx1"/>
                  </w14:solidFill>
                </w14:textFill>
              </w:rPr>
              <w:t>m）</w:t>
            </w:r>
          </w:p>
        </w:tc>
        <w:tc>
          <w:tcPr>
            <w:tcW w:w="1212" w:type="dxa"/>
            <w:tcBorders>
              <w:bottom w:val="single" w:color="auto" w:sz="12" w:space="0"/>
            </w:tcBorders>
            <w:vAlign w:val="center"/>
          </w:tcPr>
          <w:p>
            <w:pPr>
              <w:pStyle w:val="32"/>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标准指数</w:t>
            </w:r>
          </w:p>
        </w:tc>
        <w:tc>
          <w:tcPr>
            <w:tcW w:w="1390" w:type="dxa"/>
            <w:tcBorders>
              <w:bottom w:val="single" w:color="auto"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5" w:type="dxa"/>
            <w:tcBorders>
              <w:top w:val="single" w:color="auto" w:sz="12" w:space="0"/>
              <w:bottom w:val="single" w:color="auto" w:sz="4" w:space="0"/>
            </w:tcBorders>
            <w:vAlign w:val="center"/>
          </w:tcPr>
          <w:p>
            <w:pPr>
              <w:pStyle w:val="32"/>
              <w:ind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w:t>
            </w:r>
          </w:p>
        </w:tc>
        <w:tc>
          <w:tcPr>
            <w:tcW w:w="1294" w:type="dxa"/>
            <w:tcBorders>
              <w:top w:val="single" w:color="auto" w:sz="12" w:space="0"/>
              <w:bottom w:val="single" w:color="auto" w:sz="4" w:space="0"/>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pH</w:t>
            </w:r>
          </w:p>
        </w:tc>
        <w:tc>
          <w:tcPr>
            <w:tcW w:w="1133" w:type="dxa"/>
            <w:tcBorders>
              <w:top w:val="single" w:color="auto" w:sz="12" w:space="0"/>
              <w:bottom w:val="single" w:color="auto" w:sz="4" w:space="0"/>
            </w:tcBorders>
            <w:vAlign w:val="center"/>
          </w:tcPr>
          <w:p>
            <w:pPr>
              <w:pStyle w:val="32"/>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无量纲</w:t>
            </w:r>
          </w:p>
        </w:tc>
        <w:tc>
          <w:tcPr>
            <w:tcW w:w="1374" w:type="dxa"/>
            <w:tcBorders>
              <w:top w:val="single" w:color="auto" w:sz="12" w:space="0"/>
              <w:bottom w:val="single" w:color="auto" w:sz="4" w:space="0"/>
            </w:tcBorders>
            <w:vAlign w:val="center"/>
          </w:tcPr>
          <w:p>
            <w:pPr>
              <w:pStyle w:val="32"/>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913" w:type="dxa"/>
            <w:tcBorders>
              <w:top w:val="single" w:color="auto" w:sz="12" w:space="0"/>
              <w:bottom w:val="single" w:color="auto" w:sz="4" w:space="0"/>
            </w:tcBorders>
            <w:vAlign w:val="center"/>
          </w:tcPr>
          <w:p>
            <w:pPr>
              <w:pStyle w:val="32"/>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7.85</w:t>
            </w:r>
          </w:p>
        </w:tc>
        <w:tc>
          <w:tcPr>
            <w:tcW w:w="1212" w:type="dxa"/>
            <w:tcBorders>
              <w:top w:val="single" w:color="auto" w:sz="12" w:space="0"/>
              <w:bottom w:val="single" w:color="auto" w:sz="4" w:space="0"/>
            </w:tcBorders>
            <w:vAlign w:val="center"/>
          </w:tcPr>
          <w:p>
            <w:pPr>
              <w:pStyle w:val="32"/>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390" w:type="dxa"/>
            <w:tcBorders>
              <w:top w:val="single" w:color="auto" w:sz="12" w:space="0"/>
              <w:bottom w:val="single" w:color="auto" w:sz="4" w:space="0"/>
            </w:tcBorders>
            <w:vAlign w:val="center"/>
          </w:tcPr>
          <w:p>
            <w:pPr>
              <w:pStyle w:val="32"/>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5" w:type="dxa"/>
            <w:tcBorders>
              <w:top w:val="single" w:color="auto" w:sz="4" w:space="0"/>
              <w:bottom w:val="single" w:color="auto" w:sz="4" w:space="0"/>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2</w:t>
            </w:r>
          </w:p>
        </w:tc>
        <w:tc>
          <w:tcPr>
            <w:tcW w:w="1294" w:type="dxa"/>
            <w:tcBorders>
              <w:top w:val="single" w:color="auto" w:sz="4" w:space="0"/>
              <w:bottom w:val="single" w:color="auto" w:sz="4" w:space="0"/>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砷</w:t>
            </w:r>
          </w:p>
        </w:tc>
        <w:tc>
          <w:tcPr>
            <w:tcW w:w="1133" w:type="dxa"/>
            <w:tcBorders>
              <w:top w:val="single" w:color="auto" w:sz="4" w:space="0"/>
              <w:bottom w:val="single" w:color="auto" w:sz="4" w:space="0"/>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op w:val="single" w:color="auto" w:sz="4" w:space="0"/>
              <w:bottom w:val="single" w:color="auto" w:sz="4" w:space="0"/>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1913" w:type="dxa"/>
            <w:tcBorders>
              <w:top w:val="single" w:color="auto" w:sz="4" w:space="0"/>
              <w:bottom w:val="single" w:color="auto" w:sz="4" w:space="0"/>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12.3</w:t>
            </w:r>
          </w:p>
        </w:tc>
        <w:tc>
          <w:tcPr>
            <w:tcW w:w="1212" w:type="dxa"/>
            <w:tcBorders>
              <w:top w:val="single" w:color="auto" w:sz="4" w:space="0"/>
              <w:bottom w:val="single" w:color="auto" w:sz="4" w:space="0"/>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0.22</w:t>
            </w:r>
          </w:p>
        </w:tc>
        <w:tc>
          <w:tcPr>
            <w:tcW w:w="1390" w:type="dxa"/>
            <w:tcBorders>
              <w:top w:val="single" w:color="auto" w:sz="4" w:space="0"/>
              <w:bottom w:val="single" w:color="auto" w:sz="4" w:space="0"/>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op w:val="single" w:color="auto" w:sz="4" w:space="0"/>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3</w:t>
            </w:r>
          </w:p>
        </w:tc>
        <w:tc>
          <w:tcPr>
            <w:tcW w:w="1294" w:type="dxa"/>
            <w:tcBorders>
              <w:top w:val="single" w:color="auto" w:sz="4" w:space="0"/>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铅</w:t>
            </w:r>
          </w:p>
        </w:tc>
        <w:tc>
          <w:tcPr>
            <w:tcW w:w="1133" w:type="dxa"/>
            <w:tcBorders>
              <w:top w:val="single" w:color="auto" w:sz="4" w:space="0"/>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op w:val="single" w:color="auto" w:sz="4" w:space="0"/>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800</w:t>
            </w:r>
          </w:p>
        </w:tc>
        <w:tc>
          <w:tcPr>
            <w:tcW w:w="1913" w:type="dxa"/>
            <w:tcBorders>
              <w:top w:val="single" w:color="auto" w:sz="4" w:space="0"/>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20.1</w:t>
            </w:r>
          </w:p>
        </w:tc>
        <w:tc>
          <w:tcPr>
            <w:tcW w:w="1212" w:type="dxa"/>
            <w:tcBorders>
              <w:top w:val="single" w:color="auto" w:sz="4" w:space="0"/>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0.02</w:t>
            </w:r>
          </w:p>
        </w:tc>
        <w:tc>
          <w:tcPr>
            <w:tcW w:w="1390" w:type="dxa"/>
            <w:tcBorders>
              <w:top w:val="single" w:color="auto" w:sz="4" w:space="0"/>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4</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汞</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38</w:t>
            </w:r>
          </w:p>
        </w:tc>
        <w:tc>
          <w:tcPr>
            <w:tcW w:w="1913"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0.082</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5</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镉</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1913"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0.22</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6</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铜</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18000</w:t>
            </w:r>
          </w:p>
        </w:tc>
        <w:tc>
          <w:tcPr>
            <w:tcW w:w="1913"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7</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镍</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900</w:t>
            </w:r>
          </w:p>
        </w:tc>
        <w:tc>
          <w:tcPr>
            <w:tcW w:w="1913"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8</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铬（六价）</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5.7</w:t>
            </w:r>
          </w:p>
        </w:tc>
        <w:tc>
          <w:tcPr>
            <w:tcW w:w="1913"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0.56</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9</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氯乙烯</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430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1.5</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10</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1,1-二氯乙烯</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900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0.8</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11</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二氯甲烷</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616000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2.6</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12</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反</w:t>
            </w:r>
            <w:r>
              <w:rPr>
                <w:color w:val="000000" w:themeColor="text1"/>
                <w14:textFill>
                  <w14:solidFill>
                    <w14:schemeClr w14:val="tx1"/>
                  </w14:solidFill>
                </w14:textFill>
              </w:rPr>
              <w:t>-1,2-二氯乙烯</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54000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0.9</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13</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1,1-二氯乙烷</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9000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1.6</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14</w:t>
            </w:r>
          </w:p>
        </w:tc>
        <w:tc>
          <w:tcPr>
            <w:tcW w:w="1294"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顺-1,2-二氯乙烯</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596000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0.9</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15</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氯仿</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900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1.5</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16</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1,1,1-三氯乙烷</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840000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1.1</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17</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四氯化碳</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2800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2.1</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18</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1,2-二氯乙烷</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5000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1.3</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19</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苯</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4000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6</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20</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三氯乙烯</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2800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0.9</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21</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1,2-二氯丙烷</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5000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1.9</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22</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甲苯</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1200000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&lt;2.0</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23</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1,1,2-三氯乙烷</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2800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1.4</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24</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四氯乙烯</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53000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0.8</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25</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氯苯</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270000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1.1</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26</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1,1,1,2-四氯乙烷</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10000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1.0</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27</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乙苯</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28000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1.2</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28</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间,对-二甲苯</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570000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3.6</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29</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邻</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二甲苯</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640000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1.3</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30</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苯乙烯</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1290000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1.6</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31</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1,1,2,2-四氯乙烷</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68000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1.0</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32</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1,2,3-三氯丙烷</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1.0</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33</w:t>
            </w:r>
          </w:p>
        </w:tc>
        <w:tc>
          <w:tcPr>
            <w:tcW w:w="1294"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1,4-二氯苯</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20000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1.2</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34</w:t>
            </w:r>
          </w:p>
        </w:tc>
        <w:tc>
          <w:tcPr>
            <w:tcW w:w="1294"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1,2-二氯苯</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560000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1.0</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35</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氯甲烷</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μg/kg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37000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.0</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36</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硝基苯</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76</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0.09</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37</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苯胺</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260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&lt;3.78</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38</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2-氯苯酚</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2256</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&lt;0.06</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39</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苯并[a]蒽</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0.1</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40</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苯并[a]芘</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0.1</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41</w:t>
            </w:r>
          </w:p>
        </w:tc>
        <w:tc>
          <w:tcPr>
            <w:tcW w:w="1294"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苯并[b]荧蒽</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0.2</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42</w:t>
            </w:r>
          </w:p>
        </w:tc>
        <w:tc>
          <w:tcPr>
            <w:tcW w:w="1294"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苯并[k]荧蒽</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151</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0.1</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43</w:t>
            </w:r>
          </w:p>
        </w:tc>
        <w:tc>
          <w:tcPr>
            <w:tcW w:w="1294"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䓛</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1293</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0.1</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44</w:t>
            </w:r>
          </w:p>
        </w:tc>
        <w:tc>
          <w:tcPr>
            <w:tcW w:w="1294"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二苯并[a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h]蒽</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0.1</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ind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45</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茚并[1,2,3-cd]芘</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&lt;0.1</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5"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46</w:t>
            </w:r>
          </w:p>
        </w:tc>
        <w:tc>
          <w:tcPr>
            <w:tcW w:w="129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萘</w:t>
            </w:r>
          </w:p>
        </w:tc>
        <w:tc>
          <w:tcPr>
            <w:tcW w:w="1133"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mg/</w:t>
            </w:r>
            <w:r>
              <w:rPr>
                <w:rFonts w:hint="eastAsia"/>
                <w:color w:val="000000" w:themeColor="text1"/>
                <w14:textFill>
                  <w14:solidFill>
                    <w14:schemeClr w14:val="tx1"/>
                  </w14:solidFill>
                </w14:textFill>
              </w:rPr>
              <w:t>kg</w:t>
            </w:r>
          </w:p>
        </w:tc>
        <w:tc>
          <w:tcPr>
            <w:tcW w:w="13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1913"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&lt;</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09</w:t>
            </w:r>
          </w:p>
        </w:tc>
        <w:tc>
          <w:tcPr>
            <w:tcW w:w="1212"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0"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r>
    </w:tbl>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14:textFill>
            <w14:solidFill>
              <w14:schemeClr w14:val="tx1"/>
            </w14:solidFill>
          </w14:textFill>
        </w:rPr>
        <w:t>4.2-</w:t>
      </w:r>
      <w:r>
        <w:rPr>
          <w:rFonts w:hint="eastAsia"/>
          <w:b/>
          <w:bCs/>
          <w:color w:val="000000" w:themeColor="text1"/>
          <w:lang w:val="en-US" w:eastAsia="zh-CN"/>
          <w14:textFill>
            <w14:solidFill>
              <w14:schemeClr w14:val="tx1"/>
            </w14:solidFill>
          </w14:textFill>
        </w:rPr>
        <w:t xml:space="preserve">12 </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w:t>
      </w: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3#</w:t>
      </w:r>
      <w:r>
        <w:rPr>
          <w:b/>
          <w:bCs/>
          <w:color w:val="000000" w:themeColor="text1"/>
          <w14:textFill>
            <w14:solidFill>
              <w14:schemeClr w14:val="tx1"/>
            </w14:solidFill>
          </w14:textFill>
        </w:rPr>
        <w:t>监测点土壤监测结果一览表</w:t>
      </w: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 xml:space="preserve">  单位：mg/kg</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057"/>
        <w:gridCol w:w="574"/>
        <w:gridCol w:w="1148"/>
        <w:gridCol w:w="1148"/>
        <w:gridCol w:w="1148"/>
        <w:gridCol w:w="1148"/>
        <w:gridCol w:w="1148"/>
        <w:gridCol w:w="11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551" w:type="dxa"/>
            <w:vMerge w:val="restart"/>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1057" w:type="dxa"/>
            <w:vMerge w:val="restart"/>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名称</w:t>
            </w:r>
          </w:p>
        </w:tc>
        <w:tc>
          <w:tcPr>
            <w:tcW w:w="574" w:type="dxa"/>
            <w:vMerge w:val="restart"/>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标准限值</w:t>
            </w:r>
          </w:p>
        </w:tc>
        <w:tc>
          <w:tcPr>
            <w:tcW w:w="3444" w:type="dxa"/>
            <w:gridSpan w:val="3"/>
            <w:vAlign w:val="center"/>
          </w:tcPr>
          <w:p>
            <w:pPr>
              <w:pStyle w:val="3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#监测点</w:t>
            </w:r>
          </w:p>
        </w:tc>
        <w:tc>
          <w:tcPr>
            <w:tcW w:w="3445" w:type="dxa"/>
            <w:gridSpan w:val="3"/>
            <w:vAlign w:val="center"/>
          </w:tcPr>
          <w:p>
            <w:pPr>
              <w:pStyle w:val="3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551" w:type="dxa"/>
            <w:vMerge w:val="continue"/>
            <w:tcBorders>
              <w:bottom w:val="single" w:color="auto" w:sz="12" w:space="0"/>
            </w:tcBorders>
            <w:vAlign w:val="center"/>
          </w:tcPr>
          <w:p>
            <w:pPr>
              <w:pStyle w:val="32"/>
              <w:rPr>
                <w:b/>
                <w:bCs/>
                <w:color w:val="000000" w:themeColor="text1"/>
                <w14:textFill>
                  <w14:solidFill>
                    <w14:schemeClr w14:val="tx1"/>
                  </w14:solidFill>
                </w14:textFill>
              </w:rPr>
            </w:pPr>
          </w:p>
        </w:tc>
        <w:tc>
          <w:tcPr>
            <w:tcW w:w="1057" w:type="dxa"/>
            <w:vMerge w:val="continue"/>
            <w:tcBorders>
              <w:bottom w:val="single" w:color="auto" w:sz="12" w:space="0"/>
            </w:tcBorders>
            <w:vAlign w:val="center"/>
          </w:tcPr>
          <w:p>
            <w:pPr>
              <w:pStyle w:val="32"/>
              <w:rPr>
                <w:b/>
                <w:bCs/>
                <w:color w:val="000000" w:themeColor="text1"/>
                <w14:textFill>
                  <w14:solidFill>
                    <w14:schemeClr w14:val="tx1"/>
                  </w14:solidFill>
                </w14:textFill>
              </w:rPr>
            </w:pPr>
          </w:p>
        </w:tc>
        <w:tc>
          <w:tcPr>
            <w:tcW w:w="574" w:type="dxa"/>
            <w:vMerge w:val="continue"/>
            <w:tcBorders>
              <w:bottom w:val="single" w:color="auto" w:sz="12" w:space="0"/>
            </w:tcBorders>
            <w:vAlign w:val="center"/>
          </w:tcPr>
          <w:p>
            <w:pPr>
              <w:pStyle w:val="32"/>
              <w:rPr>
                <w:b/>
                <w:bCs/>
                <w:color w:val="000000" w:themeColor="text1"/>
                <w14:textFill>
                  <w14:solidFill>
                    <w14:schemeClr w14:val="tx1"/>
                  </w14:solidFill>
                </w14:textFill>
              </w:rPr>
            </w:pPr>
          </w:p>
        </w:tc>
        <w:tc>
          <w:tcPr>
            <w:tcW w:w="1148" w:type="dxa"/>
            <w:tcBorders>
              <w:bottom w:val="single" w:color="auto"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检测值（采样深度：</w:t>
            </w:r>
            <w:r>
              <w:rPr>
                <w:rFonts w:hint="eastAsia"/>
                <w:b/>
                <w:bCs/>
                <w:color w:val="000000" w:themeColor="text1"/>
                <w14:textFill>
                  <w14:solidFill>
                    <w14:schemeClr w14:val="tx1"/>
                  </w14:solidFill>
                </w14:textFill>
              </w:rPr>
              <w:t>0.2</w:t>
            </w:r>
            <w:r>
              <w:rPr>
                <w:b/>
                <w:bCs/>
                <w:color w:val="000000" w:themeColor="text1"/>
                <w14:textFill>
                  <w14:solidFill>
                    <w14:schemeClr w14:val="tx1"/>
                  </w14:solidFill>
                </w14:textFill>
              </w:rPr>
              <w:t>m）</w:t>
            </w:r>
          </w:p>
        </w:tc>
        <w:tc>
          <w:tcPr>
            <w:tcW w:w="1148" w:type="dxa"/>
            <w:tcBorders>
              <w:bottom w:val="single" w:color="auto" w:sz="12" w:space="0"/>
            </w:tcBorders>
            <w:vAlign w:val="center"/>
          </w:tcPr>
          <w:p>
            <w:pPr>
              <w:pStyle w:val="32"/>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标准指数</w:t>
            </w:r>
          </w:p>
        </w:tc>
        <w:tc>
          <w:tcPr>
            <w:tcW w:w="1148" w:type="dxa"/>
            <w:tcBorders>
              <w:bottom w:val="single" w:color="auto"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达标情况</w:t>
            </w:r>
          </w:p>
        </w:tc>
        <w:tc>
          <w:tcPr>
            <w:tcW w:w="1148" w:type="dxa"/>
            <w:tcBorders>
              <w:bottom w:val="single" w:color="auto"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检测值（采样深度：</w:t>
            </w:r>
            <w:r>
              <w:rPr>
                <w:rFonts w:hint="eastAsia"/>
                <w:b/>
                <w:bCs/>
                <w:color w:val="000000" w:themeColor="text1"/>
                <w14:textFill>
                  <w14:solidFill>
                    <w14:schemeClr w14:val="tx1"/>
                  </w14:solidFill>
                </w14:textFill>
              </w:rPr>
              <w:t>0.2</w:t>
            </w:r>
            <w:r>
              <w:rPr>
                <w:b/>
                <w:bCs/>
                <w:color w:val="000000" w:themeColor="text1"/>
                <w14:textFill>
                  <w14:solidFill>
                    <w14:schemeClr w14:val="tx1"/>
                  </w14:solidFill>
                </w14:textFill>
              </w:rPr>
              <w:t>m）</w:t>
            </w:r>
          </w:p>
        </w:tc>
        <w:tc>
          <w:tcPr>
            <w:tcW w:w="1148" w:type="dxa"/>
            <w:tcBorders>
              <w:bottom w:val="single" w:color="auto" w:sz="12" w:space="0"/>
            </w:tcBorders>
            <w:vAlign w:val="center"/>
          </w:tcPr>
          <w:p>
            <w:pPr>
              <w:pStyle w:val="32"/>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标准指数</w:t>
            </w:r>
          </w:p>
        </w:tc>
        <w:tc>
          <w:tcPr>
            <w:tcW w:w="1149" w:type="dxa"/>
            <w:tcBorders>
              <w:bottom w:val="single" w:color="auto"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达标情况</w:t>
            </w:r>
          </w:p>
          <w:p>
            <w:pPr>
              <w:pStyle w:val="32"/>
              <w:rPr>
                <w:b/>
                <w:bCs/>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551" w:type="dxa"/>
            <w:tcBorders>
              <w:top w:val="single" w:color="auto" w:sz="12" w:space="0"/>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57" w:type="dxa"/>
            <w:tcBorders>
              <w:top w:val="single" w:color="auto" w:sz="12" w:space="0"/>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pH</w:t>
            </w:r>
          </w:p>
        </w:tc>
        <w:tc>
          <w:tcPr>
            <w:tcW w:w="574" w:type="dxa"/>
            <w:tcBorders>
              <w:top w:val="single" w:color="auto" w:sz="12" w:space="0"/>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48" w:type="dxa"/>
            <w:tcBorders>
              <w:top w:val="single" w:color="auto" w:sz="12" w:space="0"/>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8.19</w:t>
            </w:r>
          </w:p>
        </w:tc>
        <w:tc>
          <w:tcPr>
            <w:tcW w:w="1148" w:type="dxa"/>
            <w:tcBorders>
              <w:top w:val="single" w:color="auto" w:sz="12" w:space="0"/>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48" w:type="dxa"/>
            <w:tcBorders>
              <w:top w:val="single" w:color="auto" w:sz="12" w:space="0"/>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1148" w:type="dxa"/>
            <w:tcBorders>
              <w:top w:val="single" w:color="auto" w:sz="12" w:space="0"/>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7.80</w:t>
            </w:r>
          </w:p>
        </w:tc>
        <w:tc>
          <w:tcPr>
            <w:tcW w:w="1148" w:type="dxa"/>
            <w:tcBorders>
              <w:top w:val="single" w:color="auto" w:sz="12" w:space="0"/>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49" w:type="dxa"/>
            <w:tcBorders>
              <w:top w:val="single" w:color="auto" w:sz="12" w:space="0"/>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p>
            <w:pPr>
              <w:pStyle w:val="32"/>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551"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1057"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砷</w:t>
            </w:r>
          </w:p>
        </w:tc>
        <w:tc>
          <w:tcPr>
            <w:tcW w:w="5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1148"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14.4</w:t>
            </w:r>
          </w:p>
        </w:tc>
        <w:tc>
          <w:tcPr>
            <w:tcW w:w="1148"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0.24</w:t>
            </w:r>
          </w:p>
        </w:tc>
        <w:tc>
          <w:tcPr>
            <w:tcW w:w="1148"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1148"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8.61</w:t>
            </w:r>
          </w:p>
        </w:tc>
        <w:tc>
          <w:tcPr>
            <w:tcW w:w="1148"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0.24</w:t>
            </w:r>
          </w:p>
        </w:tc>
        <w:tc>
          <w:tcPr>
            <w:tcW w:w="1149"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p>
            <w:pPr>
              <w:pStyle w:val="32"/>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551"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1057"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铅</w:t>
            </w:r>
          </w:p>
        </w:tc>
        <w:tc>
          <w:tcPr>
            <w:tcW w:w="5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800</w:t>
            </w:r>
          </w:p>
        </w:tc>
        <w:tc>
          <w:tcPr>
            <w:tcW w:w="1148"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21.8</w:t>
            </w:r>
          </w:p>
        </w:tc>
        <w:tc>
          <w:tcPr>
            <w:tcW w:w="1148"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0.02</w:t>
            </w:r>
          </w:p>
        </w:tc>
        <w:tc>
          <w:tcPr>
            <w:tcW w:w="1148"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1148"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19.2</w:t>
            </w:r>
          </w:p>
        </w:tc>
        <w:tc>
          <w:tcPr>
            <w:tcW w:w="1148"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0.02</w:t>
            </w:r>
          </w:p>
        </w:tc>
        <w:tc>
          <w:tcPr>
            <w:tcW w:w="1149"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p>
            <w:pPr>
              <w:pStyle w:val="32"/>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551"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057"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汞</w:t>
            </w:r>
          </w:p>
        </w:tc>
        <w:tc>
          <w:tcPr>
            <w:tcW w:w="5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38</w:t>
            </w:r>
          </w:p>
        </w:tc>
        <w:tc>
          <w:tcPr>
            <w:tcW w:w="1148"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0.082</w:t>
            </w:r>
          </w:p>
        </w:tc>
        <w:tc>
          <w:tcPr>
            <w:tcW w:w="1148"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48"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1148"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0.066</w:t>
            </w:r>
          </w:p>
        </w:tc>
        <w:tc>
          <w:tcPr>
            <w:tcW w:w="1148"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49"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p>
            <w:pPr>
              <w:pStyle w:val="32"/>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551"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5</w:t>
            </w:r>
          </w:p>
        </w:tc>
        <w:tc>
          <w:tcPr>
            <w:tcW w:w="1057"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镉</w:t>
            </w:r>
          </w:p>
        </w:tc>
        <w:tc>
          <w:tcPr>
            <w:tcW w:w="5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1148"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0.24</w:t>
            </w:r>
          </w:p>
        </w:tc>
        <w:tc>
          <w:tcPr>
            <w:tcW w:w="1148"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48"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1148"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0.21</w:t>
            </w:r>
          </w:p>
        </w:tc>
        <w:tc>
          <w:tcPr>
            <w:tcW w:w="1148"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1149"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p>
            <w:pPr>
              <w:pStyle w:val="32"/>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551"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6</w:t>
            </w:r>
          </w:p>
        </w:tc>
        <w:tc>
          <w:tcPr>
            <w:tcW w:w="1057"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铜</w:t>
            </w:r>
          </w:p>
        </w:tc>
        <w:tc>
          <w:tcPr>
            <w:tcW w:w="574"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18000</w:t>
            </w:r>
          </w:p>
        </w:tc>
        <w:tc>
          <w:tcPr>
            <w:tcW w:w="1148"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39</w:t>
            </w:r>
          </w:p>
        </w:tc>
        <w:tc>
          <w:tcPr>
            <w:tcW w:w="1148"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1148"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1148"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w:t>
            </w:r>
          </w:p>
        </w:tc>
        <w:tc>
          <w:tcPr>
            <w:tcW w:w="1148"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1149"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p>
            <w:pPr>
              <w:pStyle w:val="32"/>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551"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7</w:t>
            </w:r>
          </w:p>
        </w:tc>
        <w:tc>
          <w:tcPr>
            <w:tcW w:w="1057"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镍</w:t>
            </w:r>
          </w:p>
        </w:tc>
        <w:tc>
          <w:tcPr>
            <w:tcW w:w="5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900</w:t>
            </w:r>
          </w:p>
        </w:tc>
        <w:tc>
          <w:tcPr>
            <w:tcW w:w="1148"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w:t>
            </w:r>
          </w:p>
        </w:tc>
        <w:tc>
          <w:tcPr>
            <w:tcW w:w="1148"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3</w:t>
            </w:r>
          </w:p>
        </w:tc>
        <w:tc>
          <w:tcPr>
            <w:tcW w:w="1148"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1148"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w:t>
            </w:r>
          </w:p>
        </w:tc>
        <w:tc>
          <w:tcPr>
            <w:tcW w:w="1148" w:type="dxa"/>
            <w:tcBorders>
              <w:tl2br w:val="nil"/>
              <w:tr2bl w:val="nil"/>
            </w:tcBorders>
            <w:vAlign w:val="center"/>
          </w:tcPr>
          <w:p>
            <w:pPr>
              <w:pStyle w:val="32"/>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3</w:t>
            </w:r>
          </w:p>
        </w:tc>
        <w:tc>
          <w:tcPr>
            <w:tcW w:w="1149"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p>
            <w:pPr>
              <w:pStyle w:val="32"/>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551"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8</w:t>
            </w:r>
          </w:p>
        </w:tc>
        <w:tc>
          <w:tcPr>
            <w:tcW w:w="1057"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铬（六价）</w:t>
            </w:r>
          </w:p>
        </w:tc>
        <w:tc>
          <w:tcPr>
            <w:tcW w:w="574"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5.7</w:t>
            </w:r>
          </w:p>
        </w:tc>
        <w:tc>
          <w:tcPr>
            <w:tcW w:w="1148"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1148" w:type="dxa"/>
            <w:tcBorders>
              <w:tl2br w:val="nil"/>
              <w:tr2bl w:val="nil"/>
            </w:tcBorders>
            <w:vAlign w:val="center"/>
          </w:tcPr>
          <w:p>
            <w:pPr>
              <w:pStyle w:val="32"/>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148"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1148"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1148"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0.60</w:t>
            </w:r>
          </w:p>
        </w:tc>
        <w:tc>
          <w:tcPr>
            <w:tcW w:w="1149"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达标</w:t>
            </w:r>
          </w:p>
          <w:p>
            <w:pPr>
              <w:pStyle w:val="32"/>
              <w:rPr>
                <w:color w:val="000000" w:themeColor="text1"/>
                <w14:textFill>
                  <w14:solidFill>
                    <w14:schemeClr w14:val="tx1"/>
                  </w14:solidFill>
                </w14:textFill>
              </w:rPr>
            </w:pP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通过表4.2-</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、4.2-</w:t>
      </w: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可知本项目各监测点位各项污染因子均符合</w:t>
      </w:r>
      <w:r>
        <w:rPr>
          <w:color w:val="000000" w:themeColor="text1"/>
          <w14:textFill>
            <w14:solidFill>
              <w14:schemeClr w14:val="tx1"/>
            </w14:solidFill>
          </w14:textFill>
        </w:rPr>
        <w:t>《土壤环境质量 建设用地土壤污染风险管控标准》（GB36600-2018）中第二类</w:t>
      </w:r>
      <w:r>
        <w:rPr>
          <w:rFonts w:hint="eastAsia"/>
          <w:color w:val="000000" w:themeColor="text1"/>
          <w:lang w:val="en-US" w:eastAsia="zh-CN"/>
          <w14:textFill>
            <w14:solidFill>
              <w14:schemeClr w14:val="tx1"/>
            </w14:solidFill>
          </w14:textFill>
        </w:rPr>
        <w:t>建设</w:t>
      </w:r>
      <w:r>
        <w:rPr>
          <w:color w:val="000000" w:themeColor="text1"/>
          <w14:textFill>
            <w14:solidFill>
              <w14:schemeClr w14:val="tx1"/>
            </w14:solidFill>
          </w14:textFill>
        </w:rPr>
        <w:t>用地筛选值。</w:t>
      </w:r>
      <w:r>
        <w:rPr>
          <w:rFonts w:hint="eastAsia"/>
          <w:color w:val="000000" w:themeColor="text1"/>
          <w14:textFill>
            <w14:solidFill>
              <w14:schemeClr w14:val="tx1"/>
            </w14:solidFill>
          </w14:textFill>
        </w:rPr>
        <w:t>说明项目区土壤环境情况良好。</w:t>
      </w:r>
    </w:p>
    <w:p>
      <w:pPr>
        <w:pStyle w:val="5"/>
        <w:bidi w:val="0"/>
        <w:rPr>
          <w:rFonts w:hint="default"/>
        </w:rPr>
      </w:pPr>
      <w:r>
        <w:rPr>
          <w:rFonts w:hint="default"/>
        </w:rPr>
        <w:t>4.</w:t>
      </w:r>
      <w:r>
        <w:rPr>
          <w:rFonts w:hint="eastAsia"/>
          <w:lang w:val="en-US" w:eastAsia="zh-CN"/>
        </w:rPr>
        <w:t>2</w:t>
      </w:r>
      <w:r>
        <w:rPr>
          <w:rFonts w:hint="default"/>
        </w:rPr>
        <w:t>.</w:t>
      </w:r>
      <w:r>
        <w:rPr>
          <w:rFonts w:hint="eastAsia"/>
          <w:lang w:val="en-US" w:eastAsia="zh-CN"/>
        </w:rPr>
        <w:t>5</w:t>
      </w:r>
      <w:r>
        <w:rPr>
          <w:rFonts w:hint="eastAsia"/>
          <w:lang w:eastAsia="zh-CN"/>
        </w:rPr>
        <w:t>、</w:t>
      </w:r>
      <w:r>
        <w:rPr>
          <w:rFonts w:hint="default"/>
        </w:rPr>
        <w:t>生态环境现状调查</w:t>
      </w:r>
    </w:p>
    <w:p>
      <w:pPr>
        <w:bidi w:val="0"/>
        <w:rPr>
          <w:rFonts w:hint="default"/>
        </w:rPr>
      </w:pPr>
      <w:r>
        <w:rPr>
          <w:rFonts w:hint="default"/>
        </w:rPr>
        <w:t>根据《新疆生态功能区划》</w:t>
      </w:r>
      <w:r>
        <w:rPr>
          <w:rFonts w:hint="eastAsia"/>
          <w:lang w:eastAsia="zh-CN"/>
        </w:rPr>
        <w:t>，</w:t>
      </w:r>
      <w:r>
        <w:rPr>
          <w:rFonts w:hint="default"/>
        </w:rPr>
        <w:t>本项目所在的生态功能区详见表4.</w:t>
      </w:r>
      <w:r>
        <w:rPr>
          <w:rFonts w:hint="eastAsia"/>
          <w:lang w:val="en-US" w:eastAsia="zh-CN"/>
        </w:rPr>
        <w:t>2</w:t>
      </w:r>
      <w:r>
        <w:rPr>
          <w:rFonts w:hint="default"/>
        </w:rPr>
        <w:t>-</w:t>
      </w:r>
      <w:r>
        <w:rPr>
          <w:rFonts w:hint="eastAsia"/>
          <w:lang w:val="en-US" w:eastAsia="zh-CN"/>
        </w:rPr>
        <w:t>13</w:t>
      </w:r>
      <w:r>
        <w:rPr>
          <w:rFonts w:hint="default"/>
        </w:rPr>
        <w:t>。</w:t>
      </w:r>
    </w:p>
    <w:p>
      <w:pPr>
        <w:pStyle w:val="17"/>
        <w:bidi w:val="0"/>
        <w:rPr>
          <w:rFonts w:hint="default"/>
          <w:b/>
          <w:bCs/>
        </w:rPr>
      </w:pPr>
      <w:r>
        <w:rPr>
          <w:rFonts w:hint="default"/>
          <w:b/>
          <w:bCs/>
        </w:rPr>
        <w:t>表4.</w:t>
      </w:r>
      <w:r>
        <w:rPr>
          <w:rFonts w:hint="eastAsia"/>
          <w:b/>
          <w:bCs/>
          <w:lang w:val="en-US" w:eastAsia="zh-CN"/>
        </w:rPr>
        <w:t>2</w:t>
      </w:r>
      <w:r>
        <w:rPr>
          <w:rFonts w:hint="default"/>
          <w:b/>
          <w:bCs/>
        </w:rPr>
        <w:t>-</w:t>
      </w:r>
      <w:r>
        <w:rPr>
          <w:rFonts w:hint="eastAsia"/>
          <w:b/>
          <w:bCs/>
          <w:lang w:val="en-US" w:eastAsia="zh-CN"/>
        </w:rPr>
        <w:t>13</w:t>
      </w:r>
      <w:r>
        <w:rPr>
          <w:rFonts w:hint="default"/>
          <w:b/>
          <w:bCs/>
        </w:rPr>
        <w:t xml:space="preserve">  </w:t>
      </w:r>
      <w:r>
        <w:rPr>
          <w:rFonts w:hint="eastAsia"/>
          <w:b/>
          <w:bCs/>
          <w:lang w:val="en-US" w:eastAsia="zh-CN"/>
        </w:rPr>
        <w:t xml:space="preserve"> </w:t>
      </w:r>
      <w:r>
        <w:rPr>
          <w:rFonts w:hint="default"/>
          <w:b/>
          <w:bCs/>
        </w:rPr>
        <w:t>项目所在区域生态功能区划</w:t>
      </w:r>
    </w:p>
    <w:tbl>
      <w:tblPr>
        <w:tblStyle w:val="12"/>
        <w:tblW w:w="9071"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47"/>
        <w:gridCol w:w="835"/>
        <w:gridCol w:w="849"/>
        <w:gridCol w:w="821"/>
        <w:gridCol w:w="1076"/>
        <w:gridCol w:w="1105"/>
        <w:gridCol w:w="1019"/>
        <w:gridCol w:w="861"/>
        <w:gridCol w:w="1016"/>
        <w:gridCol w:w="8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647" w:type="dxa"/>
            <w:tcBorders>
              <w:tl2br w:val="nil"/>
              <w:tr2bl w:val="nil"/>
            </w:tcBorders>
            <w:vAlign w:val="center"/>
          </w:tcPr>
          <w:p>
            <w:pPr>
              <w:pStyle w:val="17"/>
              <w:bidi w:val="0"/>
              <w:rPr>
                <w:rFonts w:hint="default"/>
                <w:b/>
                <w:bCs/>
              </w:rPr>
            </w:pPr>
            <w:r>
              <w:rPr>
                <w:rFonts w:hint="default"/>
                <w:b/>
                <w:bCs/>
              </w:rPr>
              <w:t>生</w:t>
            </w:r>
          </w:p>
          <w:p>
            <w:pPr>
              <w:pStyle w:val="17"/>
              <w:bidi w:val="0"/>
              <w:rPr>
                <w:rFonts w:hint="default"/>
                <w:b/>
                <w:bCs/>
              </w:rPr>
            </w:pPr>
            <w:r>
              <w:rPr>
                <w:rFonts w:hint="default"/>
                <w:b/>
                <w:bCs/>
              </w:rPr>
              <w:t>态</w:t>
            </w:r>
          </w:p>
          <w:p>
            <w:pPr>
              <w:pStyle w:val="17"/>
              <w:bidi w:val="0"/>
              <w:rPr>
                <w:rFonts w:hint="default"/>
                <w:b/>
                <w:bCs/>
              </w:rPr>
            </w:pPr>
            <w:r>
              <w:rPr>
                <w:rFonts w:hint="default"/>
                <w:b/>
                <w:bCs/>
              </w:rPr>
              <w:t>区</w:t>
            </w:r>
          </w:p>
        </w:tc>
        <w:tc>
          <w:tcPr>
            <w:tcW w:w="835" w:type="dxa"/>
            <w:tcBorders>
              <w:tl2br w:val="nil"/>
              <w:tr2bl w:val="nil"/>
            </w:tcBorders>
            <w:vAlign w:val="center"/>
          </w:tcPr>
          <w:p>
            <w:pPr>
              <w:pStyle w:val="17"/>
              <w:bidi w:val="0"/>
              <w:rPr>
                <w:rFonts w:hint="default"/>
                <w:b/>
                <w:bCs/>
              </w:rPr>
            </w:pPr>
            <w:r>
              <w:rPr>
                <w:rFonts w:hint="default"/>
                <w:b/>
                <w:bCs/>
              </w:rPr>
              <w:t>生态</w:t>
            </w:r>
          </w:p>
          <w:p>
            <w:pPr>
              <w:pStyle w:val="17"/>
              <w:bidi w:val="0"/>
              <w:rPr>
                <w:rFonts w:hint="default"/>
                <w:b/>
                <w:bCs/>
              </w:rPr>
            </w:pPr>
            <w:r>
              <w:rPr>
                <w:rFonts w:hint="default"/>
                <w:b/>
                <w:bCs/>
              </w:rPr>
              <w:t>亚区</w:t>
            </w:r>
          </w:p>
        </w:tc>
        <w:tc>
          <w:tcPr>
            <w:tcW w:w="849" w:type="dxa"/>
            <w:tcBorders>
              <w:tl2br w:val="nil"/>
              <w:tr2bl w:val="nil"/>
            </w:tcBorders>
            <w:vAlign w:val="center"/>
          </w:tcPr>
          <w:p>
            <w:pPr>
              <w:pStyle w:val="17"/>
              <w:bidi w:val="0"/>
              <w:rPr>
                <w:rFonts w:hint="default"/>
                <w:b/>
                <w:bCs/>
              </w:rPr>
            </w:pPr>
            <w:r>
              <w:rPr>
                <w:rFonts w:hint="default"/>
                <w:b/>
                <w:bCs/>
              </w:rPr>
              <w:t>生态</w:t>
            </w:r>
          </w:p>
          <w:p>
            <w:pPr>
              <w:pStyle w:val="17"/>
              <w:bidi w:val="0"/>
              <w:rPr>
                <w:rFonts w:hint="default"/>
                <w:b/>
                <w:bCs/>
              </w:rPr>
            </w:pPr>
            <w:r>
              <w:rPr>
                <w:rFonts w:hint="default"/>
                <w:b/>
                <w:bCs/>
              </w:rPr>
              <w:t>功能区</w:t>
            </w:r>
          </w:p>
        </w:tc>
        <w:tc>
          <w:tcPr>
            <w:tcW w:w="821" w:type="dxa"/>
            <w:tcBorders>
              <w:tl2br w:val="nil"/>
              <w:tr2bl w:val="nil"/>
            </w:tcBorders>
            <w:vAlign w:val="center"/>
          </w:tcPr>
          <w:p>
            <w:pPr>
              <w:pStyle w:val="17"/>
              <w:bidi w:val="0"/>
              <w:rPr>
                <w:rFonts w:hint="default"/>
                <w:b/>
                <w:bCs/>
              </w:rPr>
            </w:pPr>
            <w:r>
              <w:rPr>
                <w:rFonts w:hint="default"/>
                <w:b/>
                <w:bCs/>
              </w:rPr>
              <w:t>隶属</w:t>
            </w:r>
          </w:p>
          <w:p>
            <w:pPr>
              <w:pStyle w:val="17"/>
              <w:bidi w:val="0"/>
              <w:rPr>
                <w:rFonts w:hint="default"/>
                <w:b/>
                <w:bCs/>
              </w:rPr>
            </w:pPr>
            <w:r>
              <w:rPr>
                <w:rFonts w:hint="default"/>
                <w:b/>
                <w:bCs/>
              </w:rPr>
              <w:t>行政区</w:t>
            </w:r>
          </w:p>
        </w:tc>
        <w:tc>
          <w:tcPr>
            <w:tcW w:w="1076" w:type="dxa"/>
            <w:tcBorders>
              <w:tl2br w:val="nil"/>
              <w:tr2bl w:val="nil"/>
            </w:tcBorders>
            <w:vAlign w:val="center"/>
          </w:tcPr>
          <w:p>
            <w:pPr>
              <w:pStyle w:val="17"/>
              <w:bidi w:val="0"/>
              <w:rPr>
                <w:rFonts w:hint="default"/>
                <w:b/>
                <w:bCs/>
              </w:rPr>
            </w:pPr>
            <w:r>
              <w:rPr>
                <w:rFonts w:hint="default"/>
                <w:b/>
                <w:bCs/>
              </w:rPr>
              <w:t>主要生态服务功能</w:t>
            </w:r>
          </w:p>
        </w:tc>
        <w:tc>
          <w:tcPr>
            <w:tcW w:w="1105" w:type="dxa"/>
            <w:tcBorders>
              <w:tl2br w:val="nil"/>
              <w:tr2bl w:val="nil"/>
            </w:tcBorders>
            <w:vAlign w:val="center"/>
          </w:tcPr>
          <w:p>
            <w:pPr>
              <w:pStyle w:val="17"/>
              <w:bidi w:val="0"/>
              <w:rPr>
                <w:rFonts w:hint="default"/>
                <w:b/>
                <w:bCs/>
              </w:rPr>
            </w:pPr>
            <w:r>
              <w:rPr>
                <w:rFonts w:hint="default"/>
                <w:b/>
                <w:bCs/>
              </w:rPr>
              <w:t>主要生态环境问题</w:t>
            </w:r>
          </w:p>
        </w:tc>
        <w:tc>
          <w:tcPr>
            <w:tcW w:w="1019" w:type="dxa"/>
            <w:tcBorders>
              <w:tl2br w:val="nil"/>
              <w:tr2bl w:val="nil"/>
            </w:tcBorders>
            <w:vAlign w:val="center"/>
          </w:tcPr>
          <w:p>
            <w:pPr>
              <w:pStyle w:val="17"/>
              <w:bidi w:val="0"/>
              <w:rPr>
                <w:rFonts w:hint="default"/>
                <w:b/>
                <w:bCs/>
              </w:rPr>
            </w:pPr>
            <w:r>
              <w:rPr>
                <w:rFonts w:hint="default"/>
                <w:b/>
                <w:bCs/>
              </w:rPr>
              <w:t>生态敏感因子敏感程度</w:t>
            </w:r>
          </w:p>
        </w:tc>
        <w:tc>
          <w:tcPr>
            <w:tcW w:w="861" w:type="dxa"/>
            <w:tcBorders>
              <w:tl2br w:val="nil"/>
              <w:tr2bl w:val="nil"/>
            </w:tcBorders>
            <w:vAlign w:val="center"/>
          </w:tcPr>
          <w:p>
            <w:pPr>
              <w:pStyle w:val="17"/>
              <w:bidi w:val="0"/>
              <w:rPr>
                <w:rFonts w:hint="default"/>
                <w:b/>
                <w:bCs/>
              </w:rPr>
            </w:pPr>
            <w:r>
              <w:rPr>
                <w:rFonts w:hint="default"/>
                <w:b/>
                <w:bCs/>
              </w:rPr>
              <w:t>保护</w:t>
            </w:r>
          </w:p>
          <w:p>
            <w:pPr>
              <w:pStyle w:val="17"/>
              <w:bidi w:val="0"/>
              <w:rPr>
                <w:rFonts w:hint="default"/>
                <w:b/>
                <w:bCs/>
              </w:rPr>
            </w:pPr>
            <w:r>
              <w:rPr>
                <w:rFonts w:hint="default"/>
                <w:b/>
                <w:bCs/>
              </w:rPr>
              <w:t>目标</w:t>
            </w:r>
          </w:p>
        </w:tc>
        <w:tc>
          <w:tcPr>
            <w:tcW w:w="1016" w:type="dxa"/>
            <w:tcBorders>
              <w:tl2br w:val="nil"/>
              <w:tr2bl w:val="nil"/>
            </w:tcBorders>
            <w:vAlign w:val="center"/>
          </w:tcPr>
          <w:p>
            <w:pPr>
              <w:pStyle w:val="17"/>
              <w:bidi w:val="0"/>
              <w:rPr>
                <w:rFonts w:hint="default"/>
                <w:b/>
                <w:bCs/>
              </w:rPr>
            </w:pPr>
            <w:r>
              <w:rPr>
                <w:rFonts w:hint="default"/>
                <w:b/>
                <w:bCs/>
              </w:rPr>
              <w:t>保护</w:t>
            </w:r>
          </w:p>
          <w:p>
            <w:pPr>
              <w:pStyle w:val="17"/>
              <w:bidi w:val="0"/>
              <w:rPr>
                <w:rFonts w:hint="default"/>
                <w:b/>
                <w:bCs/>
              </w:rPr>
            </w:pPr>
            <w:r>
              <w:rPr>
                <w:rFonts w:hint="default"/>
                <w:b/>
                <w:bCs/>
              </w:rPr>
              <w:t>措施</w:t>
            </w:r>
          </w:p>
        </w:tc>
        <w:tc>
          <w:tcPr>
            <w:tcW w:w="842" w:type="dxa"/>
            <w:tcBorders>
              <w:tl2br w:val="nil"/>
              <w:tr2bl w:val="nil"/>
            </w:tcBorders>
            <w:vAlign w:val="center"/>
          </w:tcPr>
          <w:p>
            <w:pPr>
              <w:pStyle w:val="17"/>
              <w:bidi w:val="0"/>
              <w:rPr>
                <w:rFonts w:hint="default"/>
                <w:b/>
                <w:bCs/>
              </w:rPr>
            </w:pPr>
            <w:r>
              <w:rPr>
                <w:rFonts w:hint="default"/>
                <w:b/>
                <w:bCs/>
              </w:rPr>
              <w:t>发展</w:t>
            </w:r>
          </w:p>
          <w:p>
            <w:pPr>
              <w:pStyle w:val="17"/>
              <w:bidi w:val="0"/>
              <w:rPr>
                <w:rFonts w:hint="default"/>
                <w:b/>
                <w:bCs/>
              </w:rPr>
            </w:pPr>
            <w:r>
              <w:rPr>
                <w:rFonts w:hint="default"/>
                <w:b/>
                <w:bCs/>
              </w:rPr>
              <w:t>方向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647" w:type="dxa"/>
            <w:tcBorders>
              <w:tl2br w:val="nil"/>
              <w:tr2bl w:val="nil"/>
            </w:tcBorders>
            <w:vAlign w:val="center"/>
          </w:tcPr>
          <w:p>
            <w:pPr>
              <w:pStyle w:val="17"/>
              <w:bidi w:val="0"/>
              <w:rPr>
                <w:rFonts w:hint="default"/>
              </w:rPr>
            </w:pPr>
            <w:r>
              <w:rPr>
                <w:rFonts w:hint="default"/>
              </w:rPr>
              <w:t>Ⅱ 准噶尔盆地温性荒漠与绿洲农业生态区</w:t>
            </w:r>
          </w:p>
        </w:tc>
        <w:tc>
          <w:tcPr>
            <w:tcW w:w="835" w:type="dxa"/>
            <w:tcBorders>
              <w:tl2br w:val="nil"/>
              <w:tr2bl w:val="nil"/>
            </w:tcBorders>
            <w:vAlign w:val="center"/>
          </w:tcPr>
          <w:p>
            <w:pPr>
              <w:pStyle w:val="17"/>
              <w:bidi w:val="0"/>
              <w:rPr>
                <w:rFonts w:hint="default"/>
              </w:rPr>
            </w:pPr>
            <w:r>
              <w:rPr>
                <w:rFonts w:hint="default"/>
              </w:rPr>
              <w:t>Ⅱ5 准噶尔盆地南部荒漠绿洲农业生态亚区</w:t>
            </w:r>
          </w:p>
        </w:tc>
        <w:tc>
          <w:tcPr>
            <w:tcW w:w="849" w:type="dxa"/>
            <w:tcBorders>
              <w:tl2br w:val="nil"/>
              <w:tr2bl w:val="nil"/>
            </w:tcBorders>
            <w:vAlign w:val="center"/>
          </w:tcPr>
          <w:p>
            <w:pPr>
              <w:pStyle w:val="17"/>
              <w:bidi w:val="0"/>
              <w:rPr>
                <w:rFonts w:hint="default"/>
              </w:rPr>
            </w:pPr>
            <w:r>
              <w:rPr>
                <w:rFonts w:hint="default"/>
              </w:rPr>
              <w:t>乌苏—石河子—昌吉城镇与绿洲农业生态功能区</w:t>
            </w:r>
          </w:p>
        </w:tc>
        <w:tc>
          <w:tcPr>
            <w:tcW w:w="821" w:type="dxa"/>
            <w:tcBorders>
              <w:tl2br w:val="nil"/>
              <w:tr2bl w:val="nil"/>
            </w:tcBorders>
            <w:vAlign w:val="center"/>
          </w:tcPr>
          <w:p>
            <w:pPr>
              <w:pStyle w:val="17"/>
              <w:bidi w:val="0"/>
              <w:rPr>
                <w:rFonts w:hint="default"/>
              </w:rPr>
            </w:pPr>
            <w:r>
              <w:rPr>
                <w:rFonts w:hint="default"/>
              </w:rPr>
              <w:t>乌苏市、</w:t>
            </w:r>
          </w:p>
          <w:p>
            <w:pPr>
              <w:pStyle w:val="17"/>
              <w:bidi w:val="0"/>
              <w:rPr>
                <w:rFonts w:hint="default"/>
              </w:rPr>
            </w:pPr>
            <w:r>
              <w:rPr>
                <w:rFonts w:hint="default"/>
              </w:rPr>
              <w:t>奎屯市、</w:t>
            </w:r>
          </w:p>
          <w:p>
            <w:pPr>
              <w:pStyle w:val="17"/>
              <w:bidi w:val="0"/>
              <w:rPr>
                <w:rFonts w:hint="default"/>
              </w:rPr>
            </w:pPr>
            <w:r>
              <w:rPr>
                <w:rFonts w:hint="default"/>
              </w:rPr>
              <w:t>沙湾县、</w:t>
            </w:r>
          </w:p>
          <w:p>
            <w:pPr>
              <w:pStyle w:val="17"/>
              <w:bidi w:val="0"/>
              <w:rPr>
                <w:rFonts w:hint="default"/>
              </w:rPr>
            </w:pPr>
            <w:r>
              <w:rPr>
                <w:rFonts w:hint="default"/>
              </w:rPr>
              <w:t>石河子市、</w:t>
            </w:r>
          </w:p>
          <w:p>
            <w:pPr>
              <w:pStyle w:val="17"/>
              <w:bidi w:val="0"/>
              <w:rPr>
                <w:rFonts w:hint="default"/>
              </w:rPr>
            </w:pPr>
            <w:r>
              <w:rPr>
                <w:rFonts w:hint="default"/>
              </w:rPr>
              <w:t>玛纳斯县、</w:t>
            </w:r>
          </w:p>
          <w:p>
            <w:pPr>
              <w:pStyle w:val="17"/>
              <w:bidi w:val="0"/>
              <w:rPr>
                <w:rFonts w:hint="default"/>
              </w:rPr>
            </w:pPr>
            <w:r>
              <w:rPr>
                <w:rFonts w:hint="eastAsia"/>
                <w:lang w:eastAsia="zh-CN"/>
              </w:rPr>
              <w:t>吉木萨尔县</w:t>
            </w:r>
            <w:r>
              <w:rPr>
                <w:rFonts w:hint="default"/>
              </w:rPr>
              <w:t>、</w:t>
            </w:r>
          </w:p>
          <w:p>
            <w:pPr>
              <w:pStyle w:val="17"/>
              <w:bidi w:val="0"/>
              <w:rPr>
                <w:rFonts w:hint="default"/>
              </w:rPr>
            </w:pPr>
            <w:r>
              <w:rPr>
                <w:rFonts w:hint="default"/>
              </w:rPr>
              <w:t>昌吉市</w:t>
            </w:r>
          </w:p>
        </w:tc>
        <w:tc>
          <w:tcPr>
            <w:tcW w:w="1076" w:type="dxa"/>
            <w:tcBorders>
              <w:tl2br w:val="nil"/>
              <w:tr2bl w:val="nil"/>
            </w:tcBorders>
            <w:vAlign w:val="center"/>
          </w:tcPr>
          <w:p>
            <w:pPr>
              <w:pStyle w:val="17"/>
              <w:bidi w:val="0"/>
              <w:rPr>
                <w:rFonts w:hint="default"/>
              </w:rPr>
            </w:pPr>
            <w:r>
              <w:rPr>
                <w:rFonts w:hint="default"/>
              </w:rPr>
              <w:t>工农畜产品生产、人居环境、荒漠化控制</w:t>
            </w:r>
          </w:p>
        </w:tc>
        <w:tc>
          <w:tcPr>
            <w:tcW w:w="1105" w:type="dxa"/>
            <w:tcBorders>
              <w:tl2br w:val="nil"/>
              <w:tr2bl w:val="nil"/>
            </w:tcBorders>
            <w:vAlign w:val="center"/>
          </w:tcPr>
          <w:p>
            <w:pPr>
              <w:pStyle w:val="17"/>
              <w:bidi w:val="0"/>
              <w:rPr>
                <w:rFonts w:hint="default"/>
              </w:rPr>
            </w:pPr>
            <w:r>
              <w:rPr>
                <w:rFonts w:hint="default"/>
              </w:rPr>
              <w:t>地下水超采、荒漠植被退化、土地荒漠化与盐渍化、大气和水质及土壤污染、良田减少、绿洲外围受到沙漠化威胁</w:t>
            </w:r>
          </w:p>
        </w:tc>
        <w:tc>
          <w:tcPr>
            <w:tcW w:w="1019" w:type="dxa"/>
            <w:tcBorders>
              <w:tl2br w:val="nil"/>
              <w:tr2bl w:val="nil"/>
            </w:tcBorders>
            <w:vAlign w:val="center"/>
          </w:tcPr>
          <w:p>
            <w:pPr>
              <w:pStyle w:val="17"/>
              <w:bidi w:val="0"/>
              <w:rPr>
                <w:rFonts w:hint="default"/>
              </w:rPr>
            </w:pPr>
            <w:r>
              <w:rPr>
                <w:rFonts w:hint="default"/>
              </w:rPr>
              <w:t>生物多样性及其生境中度敏感，土壤盐渍化轻度敏感</w:t>
            </w:r>
          </w:p>
          <w:p>
            <w:pPr>
              <w:pStyle w:val="17"/>
              <w:bidi w:val="0"/>
              <w:rPr>
                <w:rFonts w:hint="default"/>
              </w:rPr>
            </w:pPr>
          </w:p>
        </w:tc>
        <w:tc>
          <w:tcPr>
            <w:tcW w:w="861" w:type="dxa"/>
            <w:tcBorders>
              <w:tl2br w:val="nil"/>
              <w:tr2bl w:val="nil"/>
            </w:tcBorders>
            <w:vAlign w:val="center"/>
          </w:tcPr>
          <w:p>
            <w:pPr>
              <w:pStyle w:val="17"/>
              <w:bidi w:val="0"/>
              <w:rPr>
                <w:rFonts w:hint="default"/>
              </w:rPr>
            </w:pPr>
            <w:r>
              <w:rPr>
                <w:rFonts w:hint="default"/>
              </w:rPr>
              <w:t>保护绿洲农田、保护城市大气和水环境质量、保护荒漠植被、保护农田土壤环境质量</w:t>
            </w:r>
          </w:p>
        </w:tc>
        <w:tc>
          <w:tcPr>
            <w:tcW w:w="1016" w:type="dxa"/>
            <w:tcBorders>
              <w:tl2br w:val="nil"/>
              <w:tr2bl w:val="nil"/>
            </w:tcBorders>
            <w:vAlign w:val="center"/>
          </w:tcPr>
          <w:p>
            <w:pPr>
              <w:pStyle w:val="17"/>
              <w:bidi w:val="0"/>
              <w:rPr>
                <w:rFonts w:hint="default"/>
              </w:rPr>
            </w:pPr>
            <w:r>
              <w:rPr>
                <w:rFonts w:hint="default"/>
              </w:rPr>
              <w:t>节水灌溉、严格控制地下水开采、污染物达标排放、提高城镇建设规划水平、控制城镇建设用地、荒漠草场禁牧休牧 、完善防护林体系、加强农田投入品的使用管理</w:t>
            </w:r>
          </w:p>
        </w:tc>
        <w:tc>
          <w:tcPr>
            <w:tcW w:w="842" w:type="dxa"/>
            <w:tcBorders>
              <w:tl2br w:val="nil"/>
              <w:tr2bl w:val="nil"/>
            </w:tcBorders>
            <w:vAlign w:val="center"/>
          </w:tcPr>
          <w:p>
            <w:pPr>
              <w:pStyle w:val="17"/>
              <w:bidi w:val="0"/>
              <w:rPr>
                <w:rFonts w:hint="default"/>
              </w:rPr>
            </w:pPr>
            <w:r>
              <w:rPr>
                <w:rFonts w:hint="default"/>
              </w:rPr>
              <w:t>发展优质高效农牧业，美化城市环境，建设健康、稳定的城乡生态系统与人居环境</w:t>
            </w:r>
          </w:p>
        </w:tc>
      </w:tr>
    </w:tbl>
    <w:p>
      <w:pPr>
        <w:bidi w:val="0"/>
        <w:rPr>
          <w:rFonts w:hint="default"/>
        </w:rPr>
      </w:pPr>
      <w:r>
        <w:rPr>
          <w:rFonts w:hint="default"/>
        </w:rPr>
        <w:t>本项目所在位于</w:t>
      </w:r>
      <w:r>
        <w:rPr>
          <w:rFonts w:hint="eastAsia"/>
          <w:lang w:eastAsia="zh-CN"/>
        </w:rPr>
        <w:t>吉木萨尔县</w:t>
      </w:r>
      <w:r>
        <w:rPr>
          <w:rFonts w:hint="eastAsia"/>
          <w:lang w:val="en-US" w:eastAsia="zh-CN"/>
        </w:rPr>
        <w:t>二工镇，由于已进行长期的开发，故植被主要是人工绿化带为主，多数为吉木萨尔县常见的花草树木，分布在房前屋后，道路两侧</w:t>
      </w:r>
      <w:r>
        <w:rPr>
          <w:rFonts w:hint="default"/>
        </w:rPr>
        <w:t>。</w:t>
      </w:r>
    </w:p>
    <w:p>
      <w:pPr>
        <w:bidi w:val="0"/>
        <w:rPr>
          <w:rFonts w:hint="default"/>
        </w:rPr>
      </w:pPr>
      <w:r>
        <w:rPr>
          <w:rFonts w:hint="default"/>
        </w:rPr>
        <w:t>项目所在区域气候干燥、降水稀少，动物种群数量相对贫乏，现场除见到一些常见</w:t>
      </w:r>
      <w:r>
        <w:rPr>
          <w:rFonts w:hint="eastAsia"/>
          <w:lang w:val="en-US" w:eastAsia="zh-CN"/>
        </w:rPr>
        <w:t>伴人生</w:t>
      </w:r>
      <w:r>
        <w:rPr>
          <w:rFonts w:hint="default"/>
        </w:rPr>
        <w:t>鸟类、小型兽类外，大型兽类踪影难觅。</w:t>
      </w:r>
    </w:p>
    <w:p>
      <w:pPr>
        <w:bidi w:val="0"/>
        <w:rPr>
          <w:rFonts w:hint="default"/>
        </w:rPr>
      </w:pPr>
    </w:p>
    <w:p>
      <w:pPr>
        <w:bidi w:val="0"/>
        <w:rPr>
          <w:rFonts w:hint="default"/>
        </w:rPr>
      </w:pPr>
    </w:p>
    <w:p>
      <w:pPr>
        <w:bidi w:val="0"/>
        <w:rPr>
          <w:rFonts w:hint="default"/>
        </w:rPr>
      </w:pPr>
    </w:p>
    <w:p>
      <w:pPr>
        <w:rPr>
          <w:rFonts w:hint="default"/>
        </w:rPr>
      </w:pPr>
      <w:r>
        <w:rPr>
          <w:rFonts w:hint="default"/>
        </w:rPr>
        <w:br w:type="page"/>
      </w:r>
    </w:p>
    <w:bookmarkEnd w:id="196"/>
    <w:p>
      <w:pPr>
        <w:pStyle w:val="3"/>
        <w:bidi w:val="0"/>
        <w:rPr>
          <w:rFonts w:hint="default"/>
        </w:rPr>
      </w:pPr>
      <w:bookmarkStart w:id="197" w:name="_Toc18262"/>
      <w:bookmarkStart w:id="198" w:name="_Toc30322"/>
      <w:r>
        <w:rPr>
          <w:rFonts w:hint="default"/>
        </w:rPr>
        <w:t>5运营期环境影响分析与评价</w:t>
      </w:r>
      <w:bookmarkEnd w:id="197"/>
      <w:bookmarkEnd w:id="198"/>
    </w:p>
    <w:p>
      <w:pPr>
        <w:pStyle w:val="4"/>
        <w:bidi w:val="0"/>
        <w:rPr>
          <w:rFonts w:hint="default"/>
        </w:rPr>
      </w:pPr>
      <w:bookmarkStart w:id="199" w:name="_Toc14014"/>
      <w:bookmarkStart w:id="200" w:name="_Toc11267"/>
      <w:bookmarkStart w:id="201" w:name="_Toc317148867"/>
      <w:r>
        <w:rPr>
          <w:rFonts w:hint="default"/>
        </w:rPr>
        <w:t>5.1</w:t>
      </w:r>
      <w:r>
        <w:rPr>
          <w:rFonts w:hint="eastAsia"/>
          <w:lang w:eastAsia="zh-CN"/>
        </w:rPr>
        <w:t>、</w:t>
      </w:r>
      <w:r>
        <w:rPr>
          <w:rFonts w:hint="default"/>
        </w:rPr>
        <w:t>大气环境影响分析</w:t>
      </w:r>
      <w:bookmarkEnd w:id="199"/>
      <w:bookmarkEnd w:id="200"/>
      <w:bookmarkEnd w:id="201"/>
    </w:p>
    <w:p>
      <w:pPr>
        <w:pStyle w:val="5"/>
        <w:bidi w:val="0"/>
        <w:rPr>
          <w:rFonts w:hint="default"/>
        </w:rPr>
      </w:pPr>
      <w:bookmarkStart w:id="202" w:name="_Toc317148869"/>
      <w:r>
        <w:rPr>
          <w:rFonts w:hint="default"/>
        </w:rPr>
        <w:t>5.1.</w:t>
      </w:r>
      <w:r>
        <w:rPr>
          <w:rFonts w:hint="eastAsia"/>
          <w:lang w:val="en-US" w:eastAsia="zh-CN"/>
        </w:rPr>
        <w:t>1、</w:t>
      </w:r>
      <w:r>
        <w:rPr>
          <w:rFonts w:hint="default"/>
        </w:rPr>
        <w:t>废气排放量核算</w:t>
      </w:r>
    </w:p>
    <w:p>
      <w:pPr>
        <w:pStyle w:val="6"/>
        <w:bidi w:val="0"/>
        <w:rPr>
          <w:rFonts w:hint="default"/>
          <w:lang w:val="en-US" w:eastAsia="zh-CN"/>
        </w:rPr>
      </w:pPr>
      <w:r>
        <w:rPr>
          <w:rFonts w:hint="eastAsia"/>
          <w:lang w:val="en-US" w:eastAsia="zh-CN"/>
        </w:rPr>
        <w:t>5.1.1.1、无组织废气排放量核算</w:t>
      </w:r>
    </w:p>
    <w:p>
      <w:pPr>
        <w:bidi w:val="0"/>
        <w:rPr>
          <w:rFonts w:hint="default"/>
        </w:rPr>
      </w:pPr>
      <w:r>
        <w:rPr>
          <w:rFonts w:hint="default"/>
        </w:rPr>
        <w:t>本项目无组织排放量核算情况见表5.1-</w:t>
      </w:r>
      <w:r>
        <w:rPr>
          <w:rFonts w:hint="eastAsia"/>
          <w:lang w:val="en-US" w:eastAsia="zh-CN"/>
        </w:rPr>
        <w:t>1</w:t>
      </w:r>
      <w:r>
        <w:rPr>
          <w:rFonts w:hint="default"/>
        </w:rPr>
        <w:t>。</w:t>
      </w:r>
    </w:p>
    <w:p>
      <w:pPr>
        <w:pStyle w:val="17"/>
        <w:bidi w:val="0"/>
        <w:rPr>
          <w:rFonts w:hint="default"/>
          <w:b/>
          <w:bCs/>
        </w:rPr>
      </w:pPr>
      <w:r>
        <w:rPr>
          <w:rFonts w:hint="default"/>
          <w:b/>
          <w:bCs/>
        </w:rPr>
        <w:t>表5.1-</w:t>
      </w:r>
      <w:r>
        <w:rPr>
          <w:rFonts w:hint="eastAsia"/>
          <w:b/>
          <w:bCs/>
          <w:lang w:val="en-US" w:eastAsia="zh-CN"/>
        </w:rPr>
        <w:t xml:space="preserve">1 </w:t>
      </w:r>
      <w:r>
        <w:rPr>
          <w:rFonts w:hint="default"/>
          <w:b/>
          <w:bCs/>
        </w:rPr>
        <w:t xml:space="preserve">  本项目无组织废气排放核算表</w:t>
      </w:r>
    </w:p>
    <w:tbl>
      <w:tblPr>
        <w:tblStyle w:val="12"/>
        <w:tblpPr w:leftFromText="180" w:rightFromText="180" w:vertAnchor="text" w:horzAnchor="page" w:tblpXSpec="center" w:tblpY="123"/>
        <w:tblOverlap w:val="never"/>
        <w:tblW w:w="9071"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12"/>
        <w:gridCol w:w="1421"/>
        <w:gridCol w:w="1562"/>
        <w:gridCol w:w="1026"/>
        <w:gridCol w:w="1364"/>
        <w:gridCol w:w="1992"/>
        <w:gridCol w:w="9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712" w:type="dxa"/>
            <w:vMerge w:val="restart"/>
            <w:tcBorders>
              <w:tl2br w:val="nil"/>
              <w:tr2bl w:val="nil"/>
            </w:tcBorders>
            <w:vAlign w:val="center"/>
          </w:tcPr>
          <w:p>
            <w:pPr>
              <w:pStyle w:val="17"/>
              <w:bidi w:val="0"/>
              <w:rPr>
                <w:rFonts w:hint="default"/>
                <w:b/>
                <w:bCs/>
              </w:rPr>
            </w:pPr>
            <w:r>
              <w:rPr>
                <w:rFonts w:hint="default"/>
                <w:b/>
                <w:bCs/>
              </w:rPr>
              <w:t>序号</w:t>
            </w:r>
          </w:p>
        </w:tc>
        <w:tc>
          <w:tcPr>
            <w:tcW w:w="1421" w:type="dxa"/>
            <w:vMerge w:val="restart"/>
            <w:tcBorders>
              <w:tl2br w:val="nil"/>
              <w:tr2bl w:val="nil"/>
            </w:tcBorders>
            <w:vAlign w:val="center"/>
          </w:tcPr>
          <w:p>
            <w:pPr>
              <w:pStyle w:val="17"/>
              <w:bidi w:val="0"/>
              <w:rPr>
                <w:rFonts w:hint="default"/>
                <w:b/>
                <w:bCs/>
              </w:rPr>
            </w:pPr>
            <w:r>
              <w:rPr>
                <w:rFonts w:hint="default"/>
                <w:b/>
                <w:bCs/>
              </w:rPr>
              <w:t>排放口编号</w:t>
            </w:r>
          </w:p>
        </w:tc>
        <w:tc>
          <w:tcPr>
            <w:tcW w:w="1562" w:type="dxa"/>
            <w:vMerge w:val="restart"/>
            <w:tcBorders>
              <w:tl2br w:val="nil"/>
              <w:tr2bl w:val="nil"/>
            </w:tcBorders>
            <w:vAlign w:val="center"/>
          </w:tcPr>
          <w:p>
            <w:pPr>
              <w:pStyle w:val="17"/>
              <w:bidi w:val="0"/>
              <w:rPr>
                <w:rFonts w:hint="default"/>
                <w:b/>
                <w:bCs/>
              </w:rPr>
            </w:pPr>
            <w:r>
              <w:rPr>
                <w:rFonts w:hint="default"/>
                <w:b/>
                <w:bCs/>
              </w:rPr>
              <w:t>污染物</w:t>
            </w:r>
          </w:p>
        </w:tc>
        <w:tc>
          <w:tcPr>
            <w:tcW w:w="1026" w:type="dxa"/>
            <w:vMerge w:val="restart"/>
            <w:tcBorders>
              <w:tl2br w:val="nil"/>
              <w:tr2bl w:val="nil"/>
            </w:tcBorders>
            <w:vAlign w:val="center"/>
          </w:tcPr>
          <w:p>
            <w:pPr>
              <w:pStyle w:val="17"/>
              <w:bidi w:val="0"/>
              <w:rPr>
                <w:rFonts w:hint="default"/>
                <w:b/>
                <w:bCs/>
              </w:rPr>
            </w:pPr>
            <w:r>
              <w:rPr>
                <w:rFonts w:hint="default"/>
                <w:b/>
                <w:bCs/>
              </w:rPr>
              <w:t>主要污染防治措施</w:t>
            </w:r>
          </w:p>
        </w:tc>
        <w:tc>
          <w:tcPr>
            <w:tcW w:w="3356" w:type="dxa"/>
            <w:gridSpan w:val="2"/>
            <w:tcBorders>
              <w:tl2br w:val="nil"/>
              <w:tr2bl w:val="nil"/>
            </w:tcBorders>
            <w:vAlign w:val="center"/>
          </w:tcPr>
          <w:p>
            <w:pPr>
              <w:pStyle w:val="17"/>
              <w:bidi w:val="0"/>
              <w:rPr>
                <w:rFonts w:hint="default"/>
                <w:b/>
                <w:bCs/>
              </w:rPr>
            </w:pPr>
            <w:r>
              <w:rPr>
                <w:rFonts w:hint="default"/>
                <w:b/>
                <w:bCs/>
              </w:rPr>
              <w:t>国家或地方污染物排放标准</w:t>
            </w:r>
          </w:p>
        </w:tc>
        <w:tc>
          <w:tcPr>
            <w:tcW w:w="994" w:type="dxa"/>
            <w:vMerge w:val="restart"/>
            <w:tcBorders>
              <w:tl2br w:val="nil"/>
              <w:tr2bl w:val="nil"/>
            </w:tcBorders>
            <w:vAlign w:val="center"/>
          </w:tcPr>
          <w:p>
            <w:pPr>
              <w:pStyle w:val="17"/>
              <w:bidi w:val="0"/>
              <w:rPr>
                <w:rFonts w:hint="default"/>
                <w:b/>
                <w:bCs/>
              </w:rPr>
            </w:pPr>
            <w:r>
              <w:rPr>
                <w:rFonts w:hint="default"/>
                <w:b/>
                <w:bCs/>
              </w:rPr>
              <w:t>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712" w:type="dxa"/>
            <w:vMerge w:val="continue"/>
            <w:tcBorders>
              <w:tl2br w:val="nil"/>
              <w:tr2bl w:val="nil"/>
            </w:tcBorders>
            <w:vAlign w:val="center"/>
          </w:tcPr>
          <w:p>
            <w:pPr>
              <w:pStyle w:val="17"/>
              <w:bidi w:val="0"/>
              <w:rPr>
                <w:rFonts w:hint="default"/>
                <w:b/>
                <w:bCs/>
              </w:rPr>
            </w:pPr>
          </w:p>
        </w:tc>
        <w:tc>
          <w:tcPr>
            <w:tcW w:w="1421" w:type="dxa"/>
            <w:vMerge w:val="continue"/>
            <w:tcBorders>
              <w:tl2br w:val="nil"/>
              <w:tr2bl w:val="nil"/>
            </w:tcBorders>
            <w:vAlign w:val="center"/>
          </w:tcPr>
          <w:p>
            <w:pPr>
              <w:pStyle w:val="17"/>
              <w:bidi w:val="0"/>
              <w:rPr>
                <w:rFonts w:hint="default"/>
                <w:b/>
                <w:bCs/>
              </w:rPr>
            </w:pPr>
          </w:p>
        </w:tc>
        <w:tc>
          <w:tcPr>
            <w:tcW w:w="1562" w:type="dxa"/>
            <w:vMerge w:val="continue"/>
            <w:tcBorders>
              <w:tl2br w:val="nil"/>
              <w:tr2bl w:val="nil"/>
            </w:tcBorders>
            <w:vAlign w:val="center"/>
          </w:tcPr>
          <w:p>
            <w:pPr>
              <w:pStyle w:val="17"/>
              <w:bidi w:val="0"/>
              <w:rPr>
                <w:rFonts w:hint="default"/>
                <w:b/>
                <w:bCs/>
              </w:rPr>
            </w:pPr>
          </w:p>
        </w:tc>
        <w:tc>
          <w:tcPr>
            <w:tcW w:w="1026" w:type="dxa"/>
            <w:vMerge w:val="continue"/>
            <w:tcBorders>
              <w:tl2br w:val="nil"/>
              <w:tr2bl w:val="nil"/>
            </w:tcBorders>
            <w:vAlign w:val="center"/>
          </w:tcPr>
          <w:p>
            <w:pPr>
              <w:pStyle w:val="17"/>
              <w:bidi w:val="0"/>
              <w:rPr>
                <w:rFonts w:hint="default"/>
                <w:b/>
                <w:bCs/>
              </w:rPr>
            </w:pPr>
          </w:p>
        </w:tc>
        <w:tc>
          <w:tcPr>
            <w:tcW w:w="1364" w:type="dxa"/>
            <w:tcBorders>
              <w:tl2br w:val="nil"/>
              <w:tr2bl w:val="nil"/>
            </w:tcBorders>
            <w:vAlign w:val="center"/>
          </w:tcPr>
          <w:p>
            <w:pPr>
              <w:pStyle w:val="17"/>
              <w:bidi w:val="0"/>
              <w:rPr>
                <w:rFonts w:hint="default"/>
                <w:b/>
                <w:bCs/>
              </w:rPr>
            </w:pPr>
            <w:r>
              <w:rPr>
                <w:rFonts w:hint="default"/>
                <w:b/>
                <w:bCs/>
              </w:rPr>
              <w:t>标准名称</w:t>
            </w:r>
          </w:p>
        </w:tc>
        <w:tc>
          <w:tcPr>
            <w:tcW w:w="1992" w:type="dxa"/>
            <w:tcBorders>
              <w:tl2br w:val="nil"/>
              <w:tr2bl w:val="nil"/>
            </w:tcBorders>
            <w:vAlign w:val="center"/>
          </w:tcPr>
          <w:p>
            <w:pPr>
              <w:pStyle w:val="17"/>
              <w:bidi w:val="0"/>
              <w:rPr>
                <w:rFonts w:hint="default"/>
                <w:b/>
                <w:bCs/>
              </w:rPr>
            </w:pPr>
            <w:r>
              <w:rPr>
                <w:rFonts w:hint="default"/>
                <w:b/>
                <w:bCs/>
              </w:rPr>
              <w:t>浓度限值/(mg/</w:t>
            </w:r>
            <w:r>
              <w:rPr>
                <w:rFonts w:hint="eastAsia"/>
                <w:b/>
                <w:bCs/>
                <w:lang w:eastAsia="zh-CN"/>
              </w:rPr>
              <w:t>m³</w:t>
            </w:r>
            <w:r>
              <w:rPr>
                <w:rFonts w:hint="default"/>
                <w:b/>
                <w:bCs/>
              </w:rPr>
              <w:t>)</w:t>
            </w:r>
          </w:p>
        </w:tc>
        <w:tc>
          <w:tcPr>
            <w:tcW w:w="994" w:type="dxa"/>
            <w:vMerge w:val="continue"/>
            <w:tcBorders>
              <w:tl2br w:val="nil"/>
              <w:tr2bl w:val="nil"/>
            </w:tcBorders>
            <w:vAlign w:val="center"/>
          </w:tcPr>
          <w:p>
            <w:pPr>
              <w:pStyle w:val="17"/>
              <w:bidi w:val="0"/>
              <w:rPr>
                <w:rFonts w:hint="default"/>
                <w:b/>
                <w:bC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712" w:type="dxa"/>
            <w:tcBorders>
              <w:tl2br w:val="nil"/>
              <w:tr2bl w:val="nil"/>
            </w:tcBorders>
            <w:vAlign w:val="center"/>
          </w:tcPr>
          <w:p>
            <w:pPr>
              <w:pStyle w:val="17"/>
              <w:bidi w:val="0"/>
              <w:rPr>
                <w:rFonts w:hint="default"/>
              </w:rPr>
            </w:pPr>
            <w:r>
              <w:rPr>
                <w:rFonts w:hint="default"/>
              </w:rPr>
              <w:t>1</w:t>
            </w:r>
          </w:p>
        </w:tc>
        <w:tc>
          <w:tcPr>
            <w:tcW w:w="1421" w:type="dxa"/>
            <w:tcBorders>
              <w:tl2br w:val="nil"/>
              <w:tr2bl w:val="nil"/>
            </w:tcBorders>
            <w:vAlign w:val="center"/>
          </w:tcPr>
          <w:p>
            <w:pPr>
              <w:pStyle w:val="17"/>
              <w:bidi w:val="0"/>
              <w:rPr>
                <w:rFonts w:hint="default" w:eastAsia="宋体"/>
                <w:lang w:val="en-US" w:eastAsia="zh-CN"/>
              </w:rPr>
            </w:pPr>
            <w:r>
              <w:rPr>
                <w:rFonts w:hint="eastAsia"/>
                <w:lang w:val="en-US" w:eastAsia="zh-CN"/>
              </w:rPr>
              <w:t>生产车间</w:t>
            </w:r>
          </w:p>
        </w:tc>
        <w:tc>
          <w:tcPr>
            <w:tcW w:w="1562" w:type="dxa"/>
            <w:tcBorders>
              <w:tl2br w:val="nil"/>
              <w:tr2bl w:val="nil"/>
            </w:tcBorders>
            <w:vAlign w:val="center"/>
          </w:tcPr>
          <w:p>
            <w:pPr>
              <w:pStyle w:val="17"/>
              <w:bidi w:val="0"/>
              <w:rPr>
                <w:rFonts w:hint="default"/>
              </w:rPr>
            </w:pPr>
            <w:r>
              <w:rPr>
                <w:rFonts w:hint="default"/>
              </w:rPr>
              <w:t>非甲烷总烃</w:t>
            </w:r>
          </w:p>
        </w:tc>
        <w:tc>
          <w:tcPr>
            <w:tcW w:w="1026" w:type="dxa"/>
            <w:vMerge w:val="restart"/>
            <w:tcBorders>
              <w:tl2br w:val="nil"/>
              <w:tr2bl w:val="nil"/>
            </w:tcBorders>
            <w:vAlign w:val="center"/>
          </w:tcPr>
          <w:p>
            <w:pPr>
              <w:pStyle w:val="17"/>
              <w:bidi w:val="0"/>
              <w:rPr>
                <w:rFonts w:hint="default"/>
              </w:rPr>
            </w:pPr>
            <w:r>
              <w:rPr>
                <w:rFonts w:hint="default"/>
              </w:rPr>
              <w:t>加强设备维护及管理</w:t>
            </w:r>
          </w:p>
        </w:tc>
        <w:tc>
          <w:tcPr>
            <w:tcW w:w="1364" w:type="dxa"/>
            <w:vMerge w:val="restart"/>
            <w:tcBorders>
              <w:tl2br w:val="nil"/>
              <w:tr2bl w:val="nil"/>
            </w:tcBorders>
            <w:vAlign w:val="center"/>
          </w:tcPr>
          <w:p>
            <w:pPr>
              <w:pStyle w:val="17"/>
              <w:bidi w:val="0"/>
              <w:rPr>
                <w:rFonts w:hint="default"/>
              </w:rPr>
            </w:pPr>
            <w:r>
              <w:rPr>
                <w:rFonts w:hint="default"/>
              </w:rPr>
              <w:t>《合成树脂工业污染物排放标准》GB31572-2015</w:t>
            </w:r>
          </w:p>
        </w:tc>
        <w:tc>
          <w:tcPr>
            <w:tcW w:w="1992" w:type="dxa"/>
            <w:tcBorders>
              <w:tl2br w:val="nil"/>
              <w:tr2bl w:val="nil"/>
            </w:tcBorders>
            <w:vAlign w:val="center"/>
          </w:tcPr>
          <w:p>
            <w:pPr>
              <w:pStyle w:val="17"/>
              <w:bidi w:val="0"/>
              <w:rPr>
                <w:rFonts w:hint="default"/>
              </w:rPr>
            </w:pPr>
            <w:r>
              <w:rPr>
                <w:rFonts w:hint="default"/>
              </w:rPr>
              <w:t>4.0</w:t>
            </w:r>
          </w:p>
        </w:tc>
        <w:tc>
          <w:tcPr>
            <w:tcW w:w="994" w:type="dxa"/>
            <w:tcBorders>
              <w:tl2br w:val="nil"/>
              <w:tr2bl w:val="nil"/>
            </w:tcBorders>
            <w:vAlign w:val="center"/>
          </w:tcPr>
          <w:p>
            <w:pPr>
              <w:pStyle w:val="17"/>
              <w:bidi w:val="0"/>
              <w:rPr>
                <w:rFonts w:hint="default"/>
                <w:lang w:val="en-US"/>
              </w:rPr>
            </w:pPr>
            <w:r>
              <w:rPr>
                <w:rFonts w:hint="eastAsia"/>
                <w:lang w:val="en-US" w:eastAsia="zh-CN"/>
              </w:rPr>
              <w:t>0.57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712" w:type="dxa"/>
            <w:vMerge w:val="restart"/>
            <w:tcBorders>
              <w:tl2br w:val="nil"/>
              <w:tr2bl w:val="nil"/>
            </w:tcBorders>
            <w:vAlign w:val="center"/>
          </w:tcPr>
          <w:p>
            <w:pPr>
              <w:pStyle w:val="17"/>
              <w:bidi w:val="0"/>
              <w:rPr>
                <w:rFonts w:hint="default"/>
              </w:rPr>
            </w:pPr>
            <w:r>
              <w:rPr>
                <w:rFonts w:hint="default"/>
              </w:rPr>
              <w:t>2</w:t>
            </w:r>
          </w:p>
        </w:tc>
        <w:tc>
          <w:tcPr>
            <w:tcW w:w="1421"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造粒车间</w:t>
            </w:r>
          </w:p>
        </w:tc>
        <w:tc>
          <w:tcPr>
            <w:tcW w:w="1562" w:type="dxa"/>
            <w:tcBorders>
              <w:tl2br w:val="nil"/>
              <w:tr2bl w:val="nil"/>
            </w:tcBorders>
            <w:vAlign w:val="center"/>
          </w:tcPr>
          <w:p>
            <w:pPr>
              <w:pStyle w:val="17"/>
              <w:bidi w:val="0"/>
              <w:rPr>
                <w:rFonts w:hint="default"/>
              </w:rPr>
            </w:pPr>
            <w:r>
              <w:rPr>
                <w:rFonts w:hint="default"/>
              </w:rPr>
              <w:t>非甲烷总烃</w:t>
            </w:r>
          </w:p>
        </w:tc>
        <w:tc>
          <w:tcPr>
            <w:tcW w:w="1026" w:type="dxa"/>
            <w:vMerge w:val="continue"/>
            <w:tcBorders>
              <w:tl2br w:val="nil"/>
              <w:tr2bl w:val="nil"/>
            </w:tcBorders>
            <w:vAlign w:val="center"/>
          </w:tcPr>
          <w:p>
            <w:pPr>
              <w:pStyle w:val="17"/>
              <w:bidi w:val="0"/>
              <w:rPr>
                <w:rFonts w:hint="default"/>
              </w:rPr>
            </w:pPr>
          </w:p>
        </w:tc>
        <w:tc>
          <w:tcPr>
            <w:tcW w:w="1364" w:type="dxa"/>
            <w:vMerge w:val="continue"/>
            <w:tcBorders>
              <w:tl2br w:val="nil"/>
              <w:tr2bl w:val="nil"/>
            </w:tcBorders>
            <w:vAlign w:val="center"/>
          </w:tcPr>
          <w:p>
            <w:pPr>
              <w:pStyle w:val="17"/>
              <w:bidi w:val="0"/>
              <w:rPr>
                <w:rFonts w:hint="default"/>
              </w:rPr>
            </w:pPr>
          </w:p>
        </w:tc>
        <w:tc>
          <w:tcPr>
            <w:tcW w:w="1992" w:type="dxa"/>
            <w:tcBorders>
              <w:tl2br w:val="nil"/>
              <w:tr2bl w:val="nil"/>
            </w:tcBorders>
            <w:vAlign w:val="center"/>
          </w:tcPr>
          <w:p>
            <w:pPr>
              <w:pStyle w:val="17"/>
              <w:bidi w:val="0"/>
              <w:rPr>
                <w:rFonts w:hint="default"/>
              </w:rPr>
            </w:pPr>
            <w:r>
              <w:rPr>
                <w:rFonts w:hint="default"/>
              </w:rPr>
              <w:t>4.0</w:t>
            </w:r>
          </w:p>
        </w:tc>
        <w:tc>
          <w:tcPr>
            <w:tcW w:w="994" w:type="dxa"/>
            <w:tcBorders>
              <w:tl2br w:val="nil"/>
              <w:tr2bl w:val="nil"/>
            </w:tcBorders>
            <w:vAlign w:val="center"/>
          </w:tcPr>
          <w:p>
            <w:pPr>
              <w:pStyle w:val="17"/>
              <w:bidi w:val="0"/>
              <w:ind w:firstLine="0" w:firstLineChars="0"/>
              <w:rPr>
                <w:rFonts w:hint="default"/>
                <w:lang w:val="en-US"/>
              </w:rPr>
            </w:pPr>
            <w:r>
              <w:rPr>
                <w:rFonts w:hint="eastAsia"/>
                <w:lang w:val="en-US" w:eastAsia="zh-CN"/>
              </w:rPr>
              <w:t>0.158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712" w:type="dxa"/>
            <w:vMerge w:val="continue"/>
            <w:tcBorders>
              <w:tl2br w:val="nil"/>
              <w:tr2bl w:val="nil"/>
            </w:tcBorders>
            <w:vAlign w:val="center"/>
          </w:tcPr>
          <w:p>
            <w:pPr>
              <w:pStyle w:val="17"/>
              <w:bidi w:val="0"/>
              <w:rPr>
                <w:rFonts w:hint="default"/>
              </w:rPr>
            </w:pPr>
          </w:p>
        </w:tc>
        <w:tc>
          <w:tcPr>
            <w:tcW w:w="1421" w:type="dxa"/>
            <w:vMerge w:val="continue"/>
            <w:tcBorders>
              <w:tl2br w:val="nil"/>
              <w:tr2bl w:val="nil"/>
            </w:tcBorders>
            <w:vAlign w:val="center"/>
          </w:tcPr>
          <w:p>
            <w:pPr>
              <w:pStyle w:val="17"/>
              <w:bidi w:val="0"/>
              <w:rPr>
                <w:rFonts w:hint="default"/>
              </w:rPr>
            </w:pPr>
          </w:p>
        </w:tc>
        <w:tc>
          <w:tcPr>
            <w:tcW w:w="1562" w:type="dxa"/>
            <w:tcBorders>
              <w:tl2br w:val="nil"/>
              <w:tr2bl w:val="nil"/>
            </w:tcBorders>
            <w:vAlign w:val="center"/>
          </w:tcPr>
          <w:p>
            <w:pPr>
              <w:pStyle w:val="17"/>
              <w:bidi w:val="0"/>
              <w:rPr>
                <w:rFonts w:hint="default"/>
              </w:rPr>
            </w:pPr>
            <w:r>
              <w:rPr>
                <w:rFonts w:hint="default"/>
              </w:rPr>
              <w:t>颗粒物</w:t>
            </w:r>
          </w:p>
        </w:tc>
        <w:tc>
          <w:tcPr>
            <w:tcW w:w="1026" w:type="dxa"/>
            <w:vMerge w:val="continue"/>
            <w:tcBorders>
              <w:tl2br w:val="nil"/>
              <w:tr2bl w:val="nil"/>
            </w:tcBorders>
            <w:vAlign w:val="center"/>
          </w:tcPr>
          <w:p>
            <w:pPr>
              <w:pStyle w:val="17"/>
              <w:bidi w:val="0"/>
              <w:rPr>
                <w:rFonts w:hint="default"/>
              </w:rPr>
            </w:pPr>
          </w:p>
        </w:tc>
        <w:tc>
          <w:tcPr>
            <w:tcW w:w="1364" w:type="dxa"/>
            <w:vMerge w:val="continue"/>
            <w:tcBorders>
              <w:tl2br w:val="nil"/>
              <w:tr2bl w:val="nil"/>
            </w:tcBorders>
            <w:vAlign w:val="center"/>
          </w:tcPr>
          <w:p>
            <w:pPr>
              <w:pStyle w:val="17"/>
              <w:bidi w:val="0"/>
              <w:rPr>
                <w:rFonts w:hint="default"/>
              </w:rPr>
            </w:pPr>
          </w:p>
        </w:tc>
        <w:tc>
          <w:tcPr>
            <w:tcW w:w="1992" w:type="dxa"/>
            <w:tcBorders>
              <w:tl2br w:val="nil"/>
              <w:tr2bl w:val="nil"/>
            </w:tcBorders>
            <w:vAlign w:val="center"/>
          </w:tcPr>
          <w:p>
            <w:pPr>
              <w:pStyle w:val="17"/>
              <w:bidi w:val="0"/>
              <w:rPr>
                <w:rFonts w:hint="default"/>
              </w:rPr>
            </w:pPr>
            <w:r>
              <w:rPr>
                <w:rFonts w:hint="default"/>
              </w:rPr>
              <w:t>1.0</w:t>
            </w:r>
          </w:p>
        </w:tc>
        <w:tc>
          <w:tcPr>
            <w:tcW w:w="994" w:type="dxa"/>
            <w:tcBorders>
              <w:tl2br w:val="nil"/>
              <w:tr2bl w:val="nil"/>
            </w:tcBorders>
            <w:vAlign w:val="center"/>
          </w:tcPr>
          <w:p>
            <w:pPr>
              <w:pStyle w:val="17"/>
              <w:bidi w:val="0"/>
              <w:ind w:firstLine="0" w:firstLineChars="0"/>
              <w:rPr>
                <w:rFonts w:hint="default"/>
                <w:lang w:val="en-US"/>
              </w:rPr>
            </w:pPr>
            <w:r>
              <w:rPr>
                <w:rFonts w:hint="eastAsia"/>
                <w:lang w:val="en-US" w:eastAsia="zh-CN"/>
              </w:rPr>
              <w:t>0.033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9071" w:type="dxa"/>
            <w:gridSpan w:val="7"/>
            <w:tcBorders>
              <w:tl2br w:val="nil"/>
              <w:tr2bl w:val="nil"/>
            </w:tcBorders>
            <w:vAlign w:val="center"/>
          </w:tcPr>
          <w:p>
            <w:pPr>
              <w:pStyle w:val="17"/>
              <w:bidi w:val="0"/>
              <w:rPr>
                <w:rFonts w:hint="default"/>
              </w:rPr>
            </w:pPr>
            <w:r>
              <w:rPr>
                <w:rFonts w:hint="default"/>
              </w:rPr>
              <w:t>无组织排放总计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2133" w:type="dxa"/>
            <w:gridSpan w:val="2"/>
            <w:vMerge w:val="restart"/>
            <w:tcBorders>
              <w:tl2br w:val="nil"/>
              <w:tr2bl w:val="nil"/>
            </w:tcBorders>
            <w:vAlign w:val="center"/>
          </w:tcPr>
          <w:p>
            <w:pPr>
              <w:pStyle w:val="17"/>
              <w:bidi w:val="0"/>
              <w:rPr>
                <w:rFonts w:hint="default"/>
              </w:rPr>
            </w:pPr>
            <w:r>
              <w:rPr>
                <w:rFonts w:hint="default"/>
              </w:rPr>
              <w:t>无组织排放总计</w:t>
            </w:r>
          </w:p>
        </w:tc>
        <w:tc>
          <w:tcPr>
            <w:tcW w:w="5944" w:type="dxa"/>
            <w:gridSpan w:val="4"/>
            <w:tcBorders>
              <w:tl2br w:val="nil"/>
              <w:tr2bl w:val="nil"/>
            </w:tcBorders>
            <w:vAlign w:val="center"/>
          </w:tcPr>
          <w:p>
            <w:pPr>
              <w:pStyle w:val="17"/>
              <w:bidi w:val="0"/>
              <w:rPr>
                <w:rFonts w:hint="default"/>
              </w:rPr>
            </w:pPr>
            <w:r>
              <w:rPr>
                <w:rFonts w:hint="default"/>
              </w:rPr>
              <w:t>非甲烷总烃</w:t>
            </w:r>
          </w:p>
        </w:tc>
        <w:tc>
          <w:tcPr>
            <w:tcW w:w="994" w:type="dxa"/>
            <w:tcBorders>
              <w:tl2br w:val="nil"/>
              <w:tr2bl w:val="nil"/>
            </w:tcBorders>
            <w:vAlign w:val="center"/>
          </w:tcPr>
          <w:p>
            <w:pPr>
              <w:pStyle w:val="17"/>
              <w:bidi w:val="0"/>
              <w:rPr>
                <w:rFonts w:hint="default"/>
                <w:lang w:val="en-US" w:eastAsia="zh-CN"/>
              </w:rPr>
            </w:pPr>
            <w:r>
              <w:rPr>
                <w:rFonts w:hint="eastAsia"/>
                <w:lang w:val="en-US" w:eastAsia="zh-CN"/>
              </w:rPr>
              <w:t>0.728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2133" w:type="dxa"/>
            <w:gridSpan w:val="2"/>
            <w:vMerge w:val="continue"/>
            <w:tcBorders>
              <w:tl2br w:val="nil"/>
              <w:tr2bl w:val="nil"/>
            </w:tcBorders>
            <w:vAlign w:val="center"/>
          </w:tcPr>
          <w:p>
            <w:pPr>
              <w:pStyle w:val="17"/>
              <w:bidi w:val="0"/>
              <w:rPr>
                <w:rFonts w:hint="default"/>
              </w:rPr>
            </w:pPr>
          </w:p>
        </w:tc>
        <w:tc>
          <w:tcPr>
            <w:tcW w:w="5944" w:type="dxa"/>
            <w:gridSpan w:val="4"/>
            <w:tcBorders>
              <w:tl2br w:val="nil"/>
              <w:tr2bl w:val="nil"/>
            </w:tcBorders>
            <w:vAlign w:val="center"/>
          </w:tcPr>
          <w:p>
            <w:pPr>
              <w:pStyle w:val="17"/>
              <w:bidi w:val="0"/>
              <w:rPr>
                <w:rFonts w:hint="default"/>
              </w:rPr>
            </w:pPr>
            <w:r>
              <w:rPr>
                <w:rFonts w:hint="default"/>
              </w:rPr>
              <w:t>颗粒物</w:t>
            </w:r>
          </w:p>
        </w:tc>
        <w:tc>
          <w:tcPr>
            <w:tcW w:w="994" w:type="dxa"/>
            <w:tcBorders>
              <w:tl2br w:val="nil"/>
              <w:tr2bl w:val="nil"/>
            </w:tcBorders>
            <w:vAlign w:val="center"/>
          </w:tcPr>
          <w:p>
            <w:pPr>
              <w:pStyle w:val="17"/>
              <w:bidi w:val="0"/>
              <w:rPr>
                <w:rFonts w:hint="default"/>
                <w:lang w:val="en-US" w:eastAsia="zh-CN"/>
              </w:rPr>
            </w:pPr>
            <w:r>
              <w:rPr>
                <w:rFonts w:hint="default"/>
              </w:rPr>
              <w:t>0.</w:t>
            </w:r>
            <w:r>
              <w:rPr>
                <w:rFonts w:hint="eastAsia"/>
                <w:lang w:val="en-US" w:eastAsia="zh-CN"/>
              </w:rPr>
              <w:t>033</w:t>
            </w:r>
          </w:p>
        </w:tc>
      </w:tr>
    </w:tbl>
    <w:p>
      <w:pPr>
        <w:pStyle w:val="6"/>
        <w:bidi w:val="0"/>
        <w:rPr>
          <w:rFonts w:hint="eastAsia"/>
          <w:lang w:val="en-US" w:eastAsia="zh-CN"/>
        </w:rPr>
      </w:pPr>
      <w:r>
        <w:rPr>
          <w:rFonts w:hint="eastAsia"/>
          <w:lang w:val="en-US" w:eastAsia="zh-CN"/>
        </w:rPr>
        <w:t>5.1.1.2、有组织废气排放量核算</w:t>
      </w:r>
    </w:p>
    <w:p>
      <w:pPr>
        <w:bidi w:val="0"/>
        <w:rPr>
          <w:rFonts w:hint="default"/>
        </w:rPr>
      </w:pPr>
      <w:r>
        <w:rPr>
          <w:rFonts w:hint="default"/>
        </w:rPr>
        <w:t>本项目无组织排放量核算情况见表5.1-</w:t>
      </w:r>
      <w:r>
        <w:rPr>
          <w:rFonts w:hint="eastAsia"/>
          <w:lang w:val="en-US" w:eastAsia="zh-CN"/>
        </w:rPr>
        <w:t>2</w:t>
      </w:r>
      <w:r>
        <w:rPr>
          <w:rFonts w:hint="default"/>
        </w:rPr>
        <w:t>。</w:t>
      </w:r>
    </w:p>
    <w:p>
      <w:pPr>
        <w:pStyle w:val="17"/>
        <w:bidi w:val="0"/>
        <w:rPr>
          <w:rFonts w:hint="eastAsia"/>
          <w:b/>
          <w:bCs/>
          <w:lang w:val="en-US" w:eastAsia="zh-CN"/>
        </w:rPr>
      </w:pPr>
      <w:r>
        <w:rPr>
          <w:rFonts w:hint="eastAsia"/>
          <w:b/>
          <w:bCs/>
          <w:lang w:val="en-US" w:eastAsia="zh-CN"/>
        </w:rPr>
        <w:t>表5.1-2   有组织废气排放核算表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77"/>
        <w:gridCol w:w="1216"/>
        <w:gridCol w:w="837"/>
        <w:gridCol w:w="839"/>
        <w:gridCol w:w="986"/>
        <w:gridCol w:w="1055"/>
        <w:gridCol w:w="986"/>
        <w:gridCol w:w="848"/>
        <w:gridCol w:w="13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977" w:type="dxa"/>
            <w:tcBorders>
              <w:tl2br w:val="nil"/>
              <w:tr2bl w:val="nil"/>
            </w:tcBorders>
            <w:vAlign w:val="center"/>
          </w:tcPr>
          <w:p>
            <w:pPr>
              <w:pStyle w:val="17"/>
              <w:bidi w:val="0"/>
              <w:rPr>
                <w:rFonts w:hint="default"/>
                <w:b/>
                <w:bCs/>
              </w:rPr>
            </w:pPr>
            <w:r>
              <w:rPr>
                <w:rFonts w:hint="default"/>
                <w:b/>
                <w:bCs/>
              </w:rPr>
              <w:t>污染源</w:t>
            </w:r>
          </w:p>
        </w:tc>
        <w:tc>
          <w:tcPr>
            <w:tcW w:w="1216" w:type="dxa"/>
            <w:tcBorders>
              <w:tl2br w:val="nil"/>
              <w:tr2bl w:val="nil"/>
            </w:tcBorders>
            <w:vAlign w:val="center"/>
          </w:tcPr>
          <w:p>
            <w:pPr>
              <w:pStyle w:val="17"/>
              <w:bidi w:val="0"/>
              <w:rPr>
                <w:rFonts w:hint="default"/>
                <w:b/>
                <w:bCs/>
              </w:rPr>
            </w:pPr>
            <w:r>
              <w:rPr>
                <w:rFonts w:hint="default"/>
                <w:b/>
                <w:bCs/>
              </w:rPr>
              <w:t>污染物</w:t>
            </w:r>
          </w:p>
        </w:tc>
        <w:tc>
          <w:tcPr>
            <w:tcW w:w="837" w:type="dxa"/>
            <w:tcBorders>
              <w:tl2br w:val="nil"/>
              <w:tr2bl w:val="nil"/>
            </w:tcBorders>
            <w:vAlign w:val="center"/>
          </w:tcPr>
          <w:p>
            <w:pPr>
              <w:pStyle w:val="17"/>
              <w:bidi w:val="0"/>
              <w:rPr>
                <w:rFonts w:hint="default"/>
                <w:b/>
                <w:bCs/>
              </w:rPr>
            </w:pPr>
            <w:r>
              <w:rPr>
                <w:rFonts w:hint="default"/>
                <w:b/>
                <w:bCs/>
              </w:rPr>
              <w:t>废气量</w:t>
            </w:r>
            <w:r>
              <w:rPr>
                <w:rFonts w:hint="eastAsia"/>
                <w:b/>
                <w:bCs/>
                <w:lang w:eastAsia="zh-CN"/>
              </w:rPr>
              <w:t>m³</w:t>
            </w:r>
            <w:r>
              <w:rPr>
                <w:rFonts w:hint="default"/>
                <w:b/>
                <w:bCs/>
              </w:rPr>
              <w:t>/h</w:t>
            </w:r>
          </w:p>
        </w:tc>
        <w:tc>
          <w:tcPr>
            <w:tcW w:w="839" w:type="dxa"/>
            <w:tcBorders>
              <w:tl2br w:val="nil"/>
              <w:tr2bl w:val="nil"/>
            </w:tcBorders>
            <w:vAlign w:val="center"/>
          </w:tcPr>
          <w:p>
            <w:pPr>
              <w:pStyle w:val="17"/>
              <w:bidi w:val="0"/>
              <w:rPr>
                <w:rFonts w:hint="eastAsia"/>
                <w:b/>
                <w:bCs/>
                <w:lang w:eastAsia="zh-CN"/>
              </w:rPr>
            </w:pPr>
            <w:r>
              <w:rPr>
                <w:rFonts w:hint="default"/>
                <w:b/>
                <w:bCs/>
              </w:rPr>
              <w:t>产生浓度mg/</w:t>
            </w:r>
            <w:r>
              <w:rPr>
                <w:rFonts w:hint="eastAsia"/>
                <w:b/>
                <w:bCs/>
                <w:lang w:eastAsia="zh-CN"/>
              </w:rPr>
              <w:t>m³</w:t>
            </w:r>
          </w:p>
        </w:tc>
        <w:tc>
          <w:tcPr>
            <w:tcW w:w="986" w:type="dxa"/>
            <w:tcBorders>
              <w:tl2br w:val="nil"/>
              <w:tr2bl w:val="nil"/>
            </w:tcBorders>
            <w:vAlign w:val="center"/>
          </w:tcPr>
          <w:p>
            <w:pPr>
              <w:pStyle w:val="17"/>
              <w:bidi w:val="0"/>
              <w:rPr>
                <w:rFonts w:hint="default"/>
                <w:b/>
                <w:bCs/>
              </w:rPr>
            </w:pPr>
            <w:r>
              <w:rPr>
                <w:rFonts w:hint="default"/>
                <w:b/>
                <w:bCs/>
              </w:rPr>
              <w:t>产生速率kg/h</w:t>
            </w:r>
          </w:p>
        </w:tc>
        <w:tc>
          <w:tcPr>
            <w:tcW w:w="1055" w:type="dxa"/>
            <w:tcBorders>
              <w:tl2br w:val="nil"/>
              <w:tr2bl w:val="nil"/>
            </w:tcBorders>
            <w:vAlign w:val="center"/>
          </w:tcPr>
          <w:p>
            <w:pPr>
              <w:pStyle w:val="17"/>
              <w:bidi w:val="0"/>
              <w:rPr>
                <w:rFonts w:hint="default"/>
                <w:b/>
                <w:bCs/>
              </w:rPr>
            </w:pPr>
            <w:r>
              <w:rPr>
                <w:rFonts w:hint="default"/>
                <w:b/>
                <w:bCs/>
              </w:rPr>
              <w:t>处理措施</w:t>
            </w:r>
          </w:p>
        </w:tc>
        <w:tc>
          <w:tcPr>
            <w:tcW w:w="986" w:type="dxa"/>
            <w:tcBorders>
              <w:tl2br w:val="nil"/>
              <w:tr2bl w:val="nil"/>
            </w:tcBorders>
            <w:vAlign w:val="center"/>
          </w:tcPr>
          <w:p>
            <w:pPr>
              <w:pStyle w:val="17"/>
              <w:bidi w:val="0"/>
              <w:rPr>
                <w:rFonts w:hint="eastAsia"/>
                <w:b/>
                <w:bCs/>
                <w:lang w:eastAsia="zh-CN"/>
              </w:rPr>
            </w:pPr>
            <w:r>
              <w:rPr>
                <w:rFonts w:hint="default"/>
                <w:b/>
                <w:bCs/>
              </w:rPr>
              <w:t>排放浓度mg/</w:t>
            </w:r>
            <w:r>
              <w:rPr>
                <w:rFonts w:hint="eastAsia"/>
                <w:b/>
                <w:bCs/>
                <w:lang w:eastAsia="zh-CN"/>
              </w:rPr>
              <w:t>m³</w:t>
            </w:r>
          </w:p>
        </w:tc>
        <w:tc>
          <w:tcPr>
            <w:tcW w:w="848" w:type="dxa"/>
            <w:tcBorders>
              <w:tl2br w:val="nil"/>
              <w:tr2bl w:val="nil"/>
            </w:tcBorders>
            <w:vAlign w:val="center"/>
          </w:tcPr>
          <w:p>
            <w:pPr>
              <w:pStyle w:val="17"/>
              <w:bidi w:val="0"/>
              <w:rPr>
                <w:rFonts w:hint="default"/>
                <w:b/>
                <w:bCs/>
              </w:rPr>
            </w:pPr>
            <w:r>
              <w:rPr>
                <w:rFonts w:hint="default"/>
                <w:b/>
                <w:bCs/>
              </w:rPr>
              <w:t>排放速率kg/h</w:t>
            </w:r>
          </w:p>
        </w:tc>
        <w:tc>
          <w:tcPr>
            <w:tcW w:w="1327" w:type="dxa"/>
            <w:tcBorders>
              <w:tl2br w:val="nil"/>
              <w:tr2bl w:val="nil"/>
            </w:tcBorders>
            <w:vAlign w:val="center"/>
          </w:tcPr>
          <w:p>
            <w:pPr>
              <w:pStyle w:val="17"/>
              <w:bidi w:val="0"/>
              <w:rPr>
                <w:rFonts w:hint="default"/>
                <w:b/>
                <w:bCs/>
              </w:rPr>
            </w:pPr>
            <w:r>
              <w:rPr>
                <w:rFonts w:hint="default"/>
                <w:b/>
                <w:bCs/>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977" w:type="dxa"/>
            <w:tcBorders>
              <w:tl2br w:val="nil"/>
              <w:tr2bl w:val="nil"/>
            </w:tcBorders>
            <w:vAlign w:val="center"/>
          </w:tcPr>
          <w:p>
            <w:pPr>
              <w:pStyle w:val="17"/>
              <w:bidi w:val="0"/>
              <w:rPr>
                <w:rFonts w:hint="default" w:eastAsia="宋体"/>
                <w:lang w:val="en-US" w:eastAsia="zh-CN"/>
              </w:rPr>
            </w:pPr>
            <w:r>
              <w:rPr>
                <w:rFonts w:hint="eastAsia"/>
                <w:lang w:val="en-US" w:eastAsia="zh-CN"/>
              </w:rPr>
              <w:t>生产车间</w:t>
            </w:r>
          </w:p>
        </w:tc>
        <w:tc>
          <w:tcPr>
            <w:tcW w:w="1216" w:type="dxa"/>
            <w:tcBorders>
              <w:tl2br w:val="nil"/>
              <w:tr2bl w:val="nil"/>
            </w:tcBorders>
            <w:vAlign w:val="center"/>
          </w:tcPr>
          <w:p>
            <w:pPr>
              <w:pStyle w:val="17"/>
              <w:bidi w:val="0"/>
              <w:rPr>
                <w:rFonts w:hint="default"/>
              </w:rPr>
            </w:pPr>
            <w:r>
              <w:rPr>
                <w:rFonts w:hint="default"/>
              </w:rPr>
              <w:t>非甲烷总烃</w:t>
            </w:r>
          </w:p>
        </w:tc>
        <w:tc>
          <w:tcPr>
            <w:tcW w:w="837" w:type="dxa"/>
            <w:tcBorders>
              <w:tl2br w:val="nil"/>
              <w:tr2bl w:val="nil"/>
            </w:tcBorders>
            <w:vAlign w:val="center"/>
          </w:tcPr>
          <w:p>
            <w:pPr>
              <w:pStyle w:val="17"/>
              <w:bidi w:val="0"/>
              <w:rPr>
                <w:rFonts w:hint="default" w:eastAsia="宋体"/>
                <w:lang w:val="en-US" w:eastAsia="zh-CN"/>
              </w:rPr>
            </w:pPr>
            <w:r>
              <w:rPr>
                <w:rFonts w:hint="eastAsia"/>
                <w:lang w:val="en-US" w:eastAsia="zh-CN"/>
              </w:rPr>
              <w:t>20000</w:t>
            </w:r>
          </w:p>
        </w:tc>
        <w:tc>
          <w:tcPr>
            <w:tcW w:w="839" w:type="dxa"/>
            <w:tcBorders>
              <w:tl2br w:val="nil"/>
              <w:tr2bl w:val="nil"/>
            </w:tcBorders>
            <w:vAlign w:val="center"/>
          </w:tcPr>
          <w:p>
            <w:pPr>
              <w:pStyle w:val="17"/>
              <w:bidi w:val="0"/>
              <w:rPr>
                <w:rFonts w:hint="eastAsia"/>
                <w:lang w:val="en-US" w:eastAsia="zh-CN"/>
              </w:rPr>
            </w:pPr>
            <w:r>
              <w:rPr>
                <w:rFonts w:hint="eastAsia"/>
                <w:lang w:val="en-US" w:eastAsia="zh-CN"/>
              </w:rPr>
              <w:t>/</w:t>
            </w:r>
          </w:p>
        </w:tc>
        <w:tc>
          <w:tcPr>
            <w:tcW w:w="986" w:type="dxa"/>
            <w:tcBorders>
              <w:tl2br w:val="nil"/>
              <w:tr2bl w:val="nil"/>
            </w:tcBorders>
            <w:vAlign w:val="center"/>
          </w:tcPr>
          <w:p>
            <w:pPr>
              <w:pStyle w:val="17"/>
              <w:bidi w:val="0"/>
              <w:rPr>
                <w:rFonts w:hint="default"/>
              </w:rPr>
            </w:pPr>
            <w:r>
              <w:rPr>
                <w:rFonts w:hint="eastAsia"/>
                <w:lang w:val="en-US" w:eastAsia="zh-CN"/>
              </w:rPr>
              <w:t>/</w:t>
            </w:r>
          </w:p>
        </w:tc>
        <w:tc>
          <w:tcPr>
            <w:tcW w:w="1055" w:type="dxa"/>
            <w:tcBorders>
              <w:tl2br w:val="nil"/>
              <w:tr2bl w:val="nil"/>
            </w:tcBorders>
            <w:vAlign w:val="center"/>
          </w:tcPr>
          <w:p>
            <w:pPr>
              <w:pStyle w:val="17"/>
              <w:bidi w:val="0"/>
              <w:rPr>
                <w:rFonts w:hint="default"/>
              </w:rPr>
            </w:pPr>
            <w:r>
              <w:rPr>
                <w:rFonts w:hint="default"/>
              </w:rPr>
              <w:t>等离子光氧一体机</w:t>
            </w:r>
            <w:r>
              <w:rPr>
                <w:rFonts w:hint="eastAsia"/>
                <w:lang w:val="en-US" w:eastAsia="zh-CN"/>
              </w:rPr>
              <w:t>+活性炭吸附装置</w:t>
            </w:r>
          </w:p>
        </w:tc>
        <w:tc>
          <w:tcPr>
            <w:tcW w:w="986" w:type="dxa"/>
            <w:tcBorders>
              <w:tl2br w:val="nil"/>
              <w:tr2bl w:val="nil"/>
            </w:tcBorders>
            <w:vAlign w:val="center"/>
          </w:tcPr>
          <w:p>
            <w:pPr>
              <w:pStyle w:val="17"/>
              <w:bidi w:val="0"/>
              <w:rPr>
                <w:rFonts w:hint="default"/>
                <w:lang w:val="en-US" w:eastAsia="zh-CN"/>
              </w:rPr>
            </w:pPr>
            <w:r>
              <w:rPr>
                <w:rFonts w:hint="eastAsia"/>
                <w:lang w:val="en-US" w:eastAsia="zh-CN"/>
              </w:rPr>
              <w:t>11.3</w:t>
            </w:r>
          </w:p>
        </w:tc>
        <w:tc>
          <w:tcPr>
            <w:tcW w:w="848" w:type="dxa"/>
            <w:tcBorders>
              <w:tl2br w:val="nil"/>
              <w:tr2bl w:val="nil"/>
            </w:tcBorders>
            <w:vAlign w:val="center"/>
          </w:tcPr>
          <w:p>
            <w:pPr>
              <w:pStyle w:val="17"/>
              <w:bidi w:val="0"/>
              <w:rPr>
                <w:rFonts w:hint="default"/>
                <w:lang w:val="en-US" w:eastAsia="zh-CN"/>
              </w:rPr>
            </w:pPr>
            <w:r>
              <w:rPr>
                <w:rFonts w:hint="eastAsia"/>
                <w:lang w:val="en-US" w:eastAsia="zh-CN"/>
              </w:rPr>
              <w:t>0.535</w:t>
            </w:r>
          </w:p>
        </w:tc>
        <w:tc>
          <w:tcPr>
            <w:tcW w:w="1327" w:type="dxa"/>
            <w:tcBorders>
              <w:tl2br w:val="nil"/>
              <w:tr2bl w:val="nil"/>
            </w:tcBorders>
            <w:vAlign w:val="center"/>
          </w:tcPr>
          <w:p>
            <w:pPr>
              <w:pStyle w:val="17"/>
              <w:bidi w:val="0"/>
              <w:rPr>
                <w:rFonts w:hint="default"/>
              </w:rPr>
            </w:pPr>
            <w:r>
              <w:rPr>
                <w:rFonts w:hint="default"/>
              </w:rPr>
              <w:t>15m排气筒排放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977" w:type="dxa"/>
            <w:tcBorders>
              <w:tl2br w:val="nil"/>
              <w:tr2bl w:val="nil"/>
            </w:tcBorders>
            <w:vAlign w:val="center"/>
          </w:tcPr>
          <w:p>
            <w:pPr>
              <w:pStyle w:val="17"/>
              <w:bidi w:val="0"/>
              <w:rPr>
                <w:rFonts w:hint="default" w:eastAsia="宋体"/>
                <w:lang w:val="en-US" w:eastAsia="zh-CN"/>
              </w:rPr>
            </w:pPr>
            <w:r>
              <w:rPr>
                <w:rFonts w:hint="eastAsia"/>
                <w:lang w:val="en-US" w:eastAsia="zh-CN"/>
              </w:rPr>
              <w:t>造粒车间</w:t>
            </w:r>
          </w:p>
        </w:tc>
        <w:tc>
          <w:tcPr>
            <w:tcW w:w="1216" w:type="dxa"/>
            <w:tcBorders>
              <w:tl2br w:val="nil"/>
              <w:tr2bl w:val="nil"/>
            </w:tcBorders>
            <w:vAlign w:val="center"/>
          </w:tcPr>
          <w:p>
            <w:pPr>
              <w:pStyle w:val="17"/>
              <w:bidi w:val="0"/>
              <w:rPr>
                <w:rFonts w:hint="default"/>
                <w:lang w:val="en-US" w:eastAsia="zh-CN"/>
              </w:rPr>
            </w:pPr>
            <w:r>
              <w:rPr>
                <w:rFonts w:hint="default"/>
              </w:rPr>
              <w:t>非甲烷总烃</w:t>
            </w:r>
          </w:p>
        </w:tc>
        <w:tc>
          <w:tcPr>
            <w:tcW w:w="837" w:type="dxa"/>
            <w:tcBorders>
              <w:tl2br w:val="nil"/>
              <w:tr2bl w:val="nil"/>
            </w:tcBorders>
            <w:vAlign w:val="center"/>
          </w:tcPr>
          <w:p>
            <w:pPr>
              <w:pStyle w:val="17"/>
              <w:bidi w:val="0"/>
              <w:rPr>
                <w:rFonts w:hint="default" w:eastAsia="宋体"/>
                <w:lang w:val="en-US" w:eastAsia="zh-CN"/>
              </w:rPr>
            </w:pPr>
            <w:r>
              <w:rPr>
                <w:rFonts w:hint="eastAsia"/>
                <w:lang w:val="en-US" w:eastAsia="zh-CN"/>
              </w:rPr>
              <w:t>10000</w:t>
            </w:r>
          </w:p>
        </w:tc>
        <w:tc>
          <w:tcPr>
            <w:tcW w:w="839" w:type="dxa"/>
            <w:tcBorders>
              <w:tl2br w:val="nil"/>
              <w:tr2bl w:val="nil"/>
            </w:tcBorders>
            <w:vAlign w:val="center"/>
          </w:tcPr>
          <w:p>
            <w:pPr>
              <w:pStyle w:val="17"/>
              <w:bidi w:val="0"/>
              <w:rPr>
                <w:rFonts w:hint="default"/>
              </w:rPr>
            </w:pPr>
            <w:r>
              <w:rPr>
                <w:rFonts w:hint="eastAsia"/>
                <w:lang w:val="en-US" w:eastAsia="zh-CN"/>
              </w:rPr>
              <w:t>/</w:t>
            </w:r>
          </w:p>
        </w:tc>
        <w:tc>
          <w:tcPr>
            <w:tcW w:w="986" w:type="dxa"/>
            <w:tcBorders>
              <w:tl2br w:val="nil"/>
              <w:tr2bl w:val="nil"/>
            </w:tcBorders>
            <w:vAlign w:val="center"/>
          </w:tcPr>
          <w:p>
            <w:pPr>
              <w:pStyle w:val="17"/>
              <w:bidi w:val="0"/>
              <w:rPr>
                <w:rFonts w:hint="default"/>
              </w:rPr>
            </w:pPr>
            <w:r>
              <w:rPr>
                <w:rFonts w:hint="eastAsia"/>
                <w:lang w:val="en-US" w:eastAsia="zh-CN"/>
              </w:rPr>
              <w:t>/</w:t>
            </w:r>
          </w:p>
        </w:tc>
        <w:tc>
          <w:tcPr>
            <w:tcW w:w="1055" w:type="dxa"/>
            <w:tcBorders>
              <w:tl2br w:val="nil"/>
              <w:tr2bl w:val="nil"/>
            </w:tcBorders>
            <w:vAlign w:val="center"/>
          </w:tcPr>
          <w:p>
            <w:pPr>
              <w:pStyle w:val="17"/>
              <w:bidi w:val="0"/>
              <w:rPr>
                <w:rFonts w:hint="default"/>
              </w:rPr>
            </w:pPr>
            <w:r>
              <w:rPr>
                <w:rFonts w:hint="default"/>
              </w:rPr>
              <w:t>等离子光氧一体机</w:t>
            </w:r>
            <w:r>
              <w:rPr>
                <w:rFonts w:hint="eastAsia"/>
                <w:lang w:val="en-US" w:eastAsia="zh-CN"/>
              </w:rPr>
              <w:t>+活性炭吸附装置</w:t>
            </w:r>
          </w:p>
        </w:tc>
        <w:tc>
          <w:tcPr>
            <w:tcW w:w="986" w:type="dxa"/>
            <w:tcBorders>
              <w:tl2br w:val="nil"/>
              <w:tr2bl w:val="nil"/>
            </w:tcBorders>
            <w:vAlign w:val="center"/>
          </w:tcPr>
          <w:p>
            <w:pPr>
              <w:pStyle w:val="17"/>
              <w:bidi w:val="0"/>
              <w:ind w:firstLine="0" w:firstLineChars="0"/>
              <w:rPr>
                <w:rFonts w:hint="default"/>
              </w:rPr>
            </w:pPr>
            <w:r>
              <w:rPr>
                <w:rFonts w:hint="eastAsia"/>
                <w:lang w:val="en-US" w:eastAsia="zh-CN"/>
              </w:rPr>
              <w:t>11.3</w:t>
            </w:r>
          </w:p>
        </w:tc>
        <w:tc>
          <w:tcPr>
            <w:tcW w:w="848" w:type="dxa"/>
            <w:tcBorders>
              <w:tl2br w:val="nil"/>
              <w:tr2bl w:val="nil"/>
            </w:tcBorders>
            <w:vAlign w:val="center"/>
          </w:tcPr>
          <w:p>
            <w:pPr>
              <w:pStyle w:val="17"/>
              <w:bidi w:val="0"/>
              <w:ind w:firstLine="0" w:firstLineChars="0"/>
              <w:rPr>
                <w:rFonts w:hint="default"/>
                <w:lang w:val="en-US"/>
              </w:rPr>
            </w:pPr>
            <w:r>
              <w:rPr>
                <w:rFonts w:hint="eastAsia"/>
                <w:lang w:val="en-US" w:eastAsia="zh-CN"/>
              </w:rPr>
              <w:t>0.113</w:t>
            </w:r>
          </w:p>
        </w:tc>
        <w:tc>
          <w:tcPr>
            <w:tcW w:w="1327" w:type="dxa"/>
            <w:tcBorders>
              <w:tl2br w:val="nil"/>
              <w:tr2bl w:val="nil"/>
            </w:tcBorders>
            <w:vAlign w:val="center"/>
          </w:tcPr>
          <w:p>
            <w:pPr>
              <w:pStyle w:val="17"/>
              <w:bidi w:val="0"/>
              <w:rPr>
                <w:rFonts w:hint="default"/>
              </w:rPr>
            </w:pPr>
            <w:r>
              <w:rPr>
                <w:rFonts w:hint="default"/>
              </w:rPr>
              <w:t>15m排气筒排放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977" w:type="dxa"/>
            <w:tcBorders>
              <w:tl2br w:val="nil"/>
              <w:tr2bl w:val="nil"/>
            </w:tcBorders>
            <w:vAlign w:val="center"/>
          </w:tcPr>
          <w:p>
            <w:pPr>
              <w:pStyle w:val="17"/>
              <w:bidi w:val="0"/>
              <w:rPr>
                <w:rFonts w:hint="default"/>
              </w:rPr>
            </w:pPr>
            <w:r>
              <w:rPr>
                <w:rFonts w:hint="default"/>
              </w:rPr>
              <w:t>食堂油烟</w:t>
            </w:r>
          </w:p>
        </w:tc>
        <w:tc>
          <w:tcPr>
            <w:tcW w:w="1216" w:type="dxa"/>
            <w:tcBorders>
              <w:tl2br w:val="nil"/>
              <w:tr2bl w:val="nil"/>
            </w:tcBorders>
            <w:vAlign w:val="center"/>
          </w:tcPr>
          <w:p>
            <w:pPr>
              <w:pStyle w:val="17"/>
              <w:bidi w:val="0"/>
              <w:rPr>
                <w:rFonts w:hint="default"/>
              </w:rPr>
            </w:pPr>
            <w:r>
              <w:rPr>
                <w:rFonts w:hint="default"/>
              </w:rPr>
              <w:t>油烟</w:t>
            </w:r>
          </w:p>
        </w:tc>
        <w:tc>
          <w:tcPr>
            <w:tcW w:w="837" w:type="dxa"/>
            <w:tcBorders>
              <w:tl2br w:val="nil"/>
              <w:tr2bl w:val="nil"/>
            </w:tcBorders>
            <w:vAlign w:val="center"/>
          </w:tcPr>
          <w:p>
            <w:pPr>
              <w:pStyle w:val="17"/>
              <w:bidi w:val="0"/>
              <w:rPr>
                <w:rFonts w:hint="default"/>
              </w:rPr>
            </w:pPr>
            <w:r>
              <w:rPr>
                <w:rFonts w:hint="default"/>
              </w:rPr>
              <w:t>1600</w:t>
            </w:r>
          </w:p>
        </w:tc>
        <w:tc>
          <w:tcPr>
            <w:tcW w:w="839" w:type="dxa"/>
            <w:tcBorders>
              <w:tl2br w:val="nil"/>
              <w:tr2bl w:val="nil"/>
            </w:tcBorders>
            <w:vAlign w:val="center"/>
          </w:tcPr>
          <w:p>
            <w:pPr>
              <w:pStyle w:val="17"/>
              <w:bidi w:val="0"/>
              <w:rPr>
                <w:rFonts w:hint="default"/>
              </w:rPr>
            </w:pPr>
            <w:r>
              <w:rPr>
                <w:rFonts w:hint="default"/>
              </w:rPr>
              <w:t>2.81</w:t>
            </w:r>
          </w:p>
        </w:tc>
        <w:tc>
          <w:tcPr>
            <w:tcW w:w="986" w:type="dxa"/>
            <w:tcBorders>
              <w:tl2br w:val="nil"/>
              <w:tr2bl w:val="nil"/>
            </w:tcBorders>
            <w:vAlign w:val="center"/>
          </w:tcPr>
          <w:p>
            <w:pPr>
              <w:pStyle w:val="17"/>
              <w:bidi w:val="0"/>
              <w:rPr>
                <w:rFonts w:hint="default"/>
              </w:rPr>
            </w:pPr>
            <w:r>
              <w:rPr>
                <w:rFonts w:hint="default"/>
              </w:rPr>
              <w:t>0.0045</w:t>
            </w:r>
          </w:p>
        </w:tc>
        <w:tc>
          <w:tcPr>
            <w:tcW w:w="1055" w:type="dxa"/>
            <w:tcBorders>
              <w:tl2br w:val="nil"/>
              <w:tr2bl w:val="nil"/>
            </w:tcBorders>
            <w:vAlign w:val="center"/>
          </w:tcPr>
          <w:p>
            <w:pPr>
              <w:pStyle w:val="17"/>
              <w:bidi w:val="0"/>
              <w:rPr>
                <w:rFonts w:hint="default"/>
              </w:rPr>
            </w:pPr>
            <w:r>
              <w:rPr>
                <w:rFonts w:hint="default"/>
              </w:rPr>
              <w:t>油烟净化器（处理效率</w:t>
            </w:r>
          </w:p>
          <w:p>
            <w:pPr>
              <w:pStyle w:val="17"/>
              <w:bidi w:val="0"/>
              <w:rPr>
                <w:rFonts w:hint="default"/>
              </w:rPr>
            </w:pPr>
            <w:r>
              <w:rPr>
                <w:rFonts w:hint="default"/>
              </w:rPr>
              <w:t>≧60%）</w:t>
            </w:r>
          </w:p>
        </w:tc>
        <w:tc>
          <w:tcPr>
            <w:tcW w:w="986" w:type="dxa"/>
            <w:tcBorders>
              <w:tl2br w:val="nil"/>
              <w:tr2bl w:val="nil"/>
            </w:tcBorders>
            <w:vAlign w:val="center"/>
          </w:tcPr>
          <w:p>
            <w:pPr>
              <w:pStyle w:val="17"/>
              <w:bidi w:val="0"/>
              <w:rPr>
                <w:rFonts w:hint="default"/>
              </w:rPr>
            </w:pPr>
            <w:r>
              <w:rPr>
                <w:rFonts w:hint="default"/>
              </w:rPr>
              <w:t>1.13</w:t>
            </w:r>
          </w:p>
        </w:tc>
        <w:tc>
          <w:tcPr>
            <w:tcW w:w="848" w:type="dxa"/>
            <w:tcBorders>
              <w:tl2br w:val="nil"/>
              <w:tr2bl w:val="nil"/>
            </w:tcBorders>
            <w:vAlign w:val="center"/>
          </w:tcPr>
          <w:p>
            <w:pPr>
              <w:pStyle w:val="17"/>
              <w:bidi w:val="0"/>
              <w:rPr>
                <w:rFonts w:hint="default"/>
              </w:rPr>
            </w:pPr>
            <w:r>
              <w:rPr>
                <w:rFonts w:hint="default"/>
              </w:rPr>
              <w:t>0.0018</w:t>
            </w:r>
          </w:p>
        </w:tc>
        <w:tc>
          <w:tcPr>
            <w:tcW w:w="1327" w:type="dxa"/>
            <w:tcBorders>
              <w:tl2br w:val="nil"/>
              <w:tr2bl w:val="nil"/>
            </w:tcBorders>
            <w:vAlign w:val="center"/>
          </w:tcPr>
          <w:p>
            <w:pPr>
              <w:pStyle w:val="17"/>
              <w:bidi w:val="0"/>
              <w:rPr>
                <w:rFonts w:hint="default"/>
              </w:rPr>
            </w:pPr>
            <w:r>
              <w:rPr>
                <w:rFonts w:hint="default"/>
              </w:rPr>
              <w:t>专用烟道至屋顶排放</w:t>
            </w:r>
          </w:p>
        </w:tc>
      </w:tr>
    </w:tbl>
    <w:p>
      <w:pPr>
        <w:pStyle w:val="5"/>
        <w:bidi w:val="0"/>
        <w:rPr>
          <w:rFonts w:hint="default"/>
        </w:rPr>
      </w:pPr>
      <w:r>
        <w:rPr>
          <w:rFonts w:hint="default"/>
        </w:rPr>
        <w:t>5.1.2</w:t>
      </w:r>
      <w:r>
        <w:rPr>
          <w:rFonts w:hint="eastAsia"/>
          <w:lang w:eastAsia="zh-CN"/>
        </w:rPr>
        <w:t>、</w:t>
      </w:r>
      <w:r>
        <w:rPr>
          <w:rFonts w:hint="default"/>
        </w:rPr>
        <w:t>大气环境影响预测评价</w:t>
      </w:r>
    </w:p>
    <w:p>
      <w:pPr>
        <w:pStyle w:val="6"/>
        <w:bidi w:val="0"/>
        <w:rPr>
          <w:rFonts w:hint="default"/>
        </w:rPr>
      </w:pPr>
      <w:bookmarkStart w:id="203" w:name="_Toc5487"/>
      <w:r>
        <w:rPr>
          <w:rFonts w:hint="default"/>
        </w:rPr>
        <w:t>5.1.2.1</w:t>
      </w:r>
      <w:r>
        <w:rPr>
          <w:rFonts w:hint="eastAsia"/>
          <w:lang w:eastAsia="zh-CN"/>
        </w:rPr>
        <w:t>、</w:t>
      </w:r>
      <w:r>
        <w:rPr>
          <w:rFonts w:hint="default"/>
        </w:rPr>
        <w:t>预测范围及评价关心点</w:t>
      </w:r>
    </w:p>
    <w:p>
      <w:pPr>
        <w:bidi w:val="0"/>
        <w:rPr>
          <w:rFonts w:hint="default"/>
        </w:rPr>
      </w:pPr>
      <w:r>
        <w:rPr>
          <w:rFonts w:hint="default"/>
        </w:rPr>
        <w:t>根据建设项目所在位置及工程规模，大气预测范围综合考虑到评价等级、自然环境条件、环境敏感因素、主导风向等，确定评价范围为以各污染源连线中心为原点，边长5km的矩形区域。</w:t>
      </w:r>
    </w:p>
    <w:p>
      <w:pPr>
        <w:pStyle w:val="6"/>
        <w:bidi w:val="0"/>
        <w:rPr>
          <w:rFonts w:hint="default"/>
        </w:rPr>
      </w:pPr>
      <w:r>
        <w:rPr>
          <w:rFonts w:hint="default"/>
        </w:rPr>
        <w:t>5.1.2.2</w:t>
      </w:r>
      <w:r>
        <w:rPr>
          <w:rFonts w:hint="eastAsia"/>
          <w:lang w:eastAsia="zh-CN"/>
        </w:rPr>
        <w:t>、</w:t>
      </w:r>
      <w:r>
        <w:rPr>
          <w:rFonts w:hint="default"/>
        </w:rPr>
        <w:t>预测内容及评价标准</w:t>
      </w:r>
    </w:p>
    <w:p>
      <w:pPr>
        <w:bidi w:val="0"/>
        <w:rPr>
          <w:rFonts w:hint="default"/>
        </w:rPr>
      </w:pPr>
      <w:r>
        <w:rPr>
          <w:rFonts w:hint="default"/>
        </w:rPr>
        <w:t>（1）预测内容</w:t>
      </w:r>
    </w:p>
    <w:p>
      <w:pPr>
        <w:bidi w:val="0"/>
        <w:rPr>
          <w:rFonts w:hint="default"/>
        </w:rPr>
      </w:pPr>
      <w:r>
        <w:rPr>
          <w:rFonts w:hint="default"/>
        </w:rPr>
        <w:t>采用AERSCREEN估算模式，对建设项目竣工后有组织点源</w:t>
      </w:r>
      <w:r>
        <w:rPr>
          <w:rFonts w:hint="eastAsia"/>
          <w:lang w:val="en-US" w:eastAsia="zh-CN"/>
        </w:rPr>
        <w:t>生产车间和造粒车间</w:t>
      </w:r>
      <w:r>
        <w:rPr>
          <w:rFonts w:hint="default"/>
        </w:rPr>
        <w:t>排放的烟气，最大落地浓度及其出现距离的估算，并将对照各污染物环境空气质量评价标准，对计算结果进行了环境影响分析。</w:t>
      </w:r>
    </w:p>
    <w:p>
      <w:pPr>
        <w:bidi w:val="0"/>
        <w:rPr>
          <w:rFonts w:hint="default"/>
        </w:rPr>
      </w:pPr>
      <w:r>
        <w:rPr>
          <w:rFonts w:hint="default"/>
        </w:rPr>
        <w:t>（2）预测因子</w:t>
      </w:r>
    </w:p>
    <w:p>
      <w:pPr>
        <w:bidi w:val="0"/>
        <w:rPr>
          <w:rFonts w:hint="default"/>
          <w:lang w:val="en-US" w:eastAsia="zh-CN"/>
        </w:rPr>
      </w:pPr>
      <w:r>
        <w:rPr>
          <w:rFonts w:hint="default"/>
        </w:rPr>
        <w:t>根据工程</w:t>
      </w:r>
      <w:r>
        <w:rPr>
          <w:rFonts w:hint="default"/>
          <w:lang w:val="en-US" w:eastAsia="zh-CN"/>
        </w:rPr>
        <w:t>分析，</w:t>
      </w:r>
    </w:p>
    <w:p>
      <w:pPr>
        <w:bidi w:val="0"/>
        <w:rPr>
          <w:rFonts w:hint="default"/>
        </w:rPr>
      </w:pPr>
      <w:r>
        <w:rPr>
          <w:rFonts w:hint="default"/>
        </w:rPr>
        <w:t>有组织废气预测因子：非甲烷总烃。</w:t>
      </w:r>
    </w:p>
    <w:p>
      <w:pPr>
        <w:bidi w:val="0"/>
        <w:rPr>
          <w:rFonts w:hint="default"/>
        </w:rPr>
      </w:pPr>
      <w:r>
        <w:rPr>
          <w:rFonts w:hint="default"/>
        </w:rPr>
        <w:t>无组织废气预测因子：非甲烷总烃、颗粒物。</w:t>
      </w:r>
    </w:p>
    <w:p>
      <w:pPr>
        <w:bidi w:val="0"/>
        <w:rPr>
          <w:rFonts w:hint="default"/>
        </w:rPr>
      </w:pPr>
      <w:r>
        <w:rPr>
          <w:rFonts w:hint="default"/>
        </w:rPr>
        <w:t>非正常时预测因子：非甲烷总烃。</w:t>
      </w:r>
    </w:p>
    <w:p>
      <w:pPr>
        <w:bidi w:val="0"/>
        <w:rPr>
          <w:rFonts w:hint="default"/>
        </w:rPr>
      </w:pPr>
      <w:r>
        <w:rPr>
          <w:rFonts w:hint="default"/>
        </w:rPr>
        <w:t>（3）评价标准</w:t>
      </w:r>
    </w:p>
    <w:p>
      <w:pPr>
        <w:bidi w:val="0"/>
        <w:rPr>
          <w:rFonts w:hint="default"/>
        </w:rPr>
      </w:pPr>
      <w:r>
        <w:rPr>
          <w:rFonts w:hint="default"/>
        </w:rPr>
        <w:t>排放污染物非甲烷总烃的评价标准选取《大气污染物综合排放标准详解》（GB3095-1996）推荐值。具体见表5.1-</w:t>
      </w:r>
      <w:r>
        <w:rPr>
          <w:rFonts w:hint="eastAsia"/>
          <w:lang w:val="en-US" w:eastAsia="zh-CN"/>
        </w:rPr>
        <w:t>3</w:t>
      </w:r>
      <w:r>
        <w:rPr>
          <w:rFonts w:hint="default"/>
        </w:rPr>
        <w:t>。</w:t>
      </w:r>
    </w:p>
    <w:p>
      <w:pPr>
        <w:pStyle w:val="17"/>
        <w:bidi w:val="0"/>
        <w:rPr>
          <w:rFonts w:hint="eastAsia"/>
          <w:b/>
          <w:bCs/>
          <w:lang w:eastAsia="zh-CN"/>
        </w:rPr>
      </w:pPr>
      <w:r>
        <w:rPr>
          <w:rFonts w:hint="default"/>
          <w:b/>
          <w:bCs/>
        </w:rPr>
        <w:t>表5.1-</w:t>
      </w:r>
      <w:r>
        <w:rPr>
          <w:rFonts w:hint="eastAsia"/>
          <w:b/>
          <w:bCs/>
          <w:lang w:val="en-US" w:eastAsia="zh-CN"/>
        </w:rPr>
        <w:t>3</w:t>
      </w:r>
      <w:r>
        <w:rPr>
          <w:rFonts w:hint="default"/>
          <w:b/>
          <w:bCs/>
        </w:rPr>
        <w:t xml:space="preserve"> </w:t>
      </w:r>
      <w:r>
        <w:rPr>
          <w:rFonts w:hint="eastAsia"/>
          <w:b/>
          <w:bCs/>
          <w:lang w:val="en-US" w:eastAsia="zh-CN"/>
        </w:rPr>
        <w:t xml:space="preserve"> </w:t>
      </w:r>
      <w:r>
        <w:rPr>
          <w:rFonts w:hint="default"/>
          <w:b/>
          <w:bCs/>
        </w:rPr>
        <w:t xml:space="preserve"> 大气预测评价标准   单位mg/</w:t>
      </w:r>
      <w:r>
        <w:rPr>
          <w:rFonts w:hint="eastAsia"/>
          <w:b/>
          <w:bCs/>
          <w:lang w:eastAsia="zh-CN"/>
        </w:rPr>
        <w:t>m³</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2"/>
        <w:gridCol w:w="4208"/>
        <w:gridCol w:w="30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1822" w:type="dxa"/>
            <w:tcBorders>
              <w:tl2br w:val="nil"/>
              <w:tr2bl w:val="nil"/>
            </w:tcBorders>
            <w:vAlign w:val="center"/>
          </w:tcPr>
          <w:p>
            <w:pPr>
              <w:pStyle w:val="17"/>
              <w:bidi w:val="0"/>
              <w:rPr>
                <w:rFonts w:hint="default"/>
                <w:b/>
                <w:bCs/>
              </w:rPr>
            </w:pPr>
            <w:r>
              <w:rPr>
                <w:rFonts w:hint="default"/>
                <w:b/>
                <w:bCs/>
              </w:rPr>
              <w:t>序号</w:t>
            </w:r>
          </w:p>
        </w:tc>
        <w:tc>
          <w:tcPr>
            <w:tcW w:w="4208" w:type="dxa"/>
            <w:tcBorders>
              <w:tl2br w:val="nil"/>
              <w:tr2bl w:val="nil"/>
            </w:tcBorders>
            <w:vAlign w:val="center"/>
          </w:tcPr>
          <w:p>
            <w:pPr>
              <w:pStyle w:val="17"/>
              <w:bidi w:val="0"/>
              <w:rPr>
                <w:rFonts w:hint="default"/>
                <w:b/>
                <w:bCs/>
              </w:rPr>
            </w:pPr>
            <w:r>
              <w:rPr>
                <w:rFonts w:hint="default"/>
                <w:b/>
                <w:bCs/>
              </w:rPr>
              <w:t>污染物</w:t>
            </w:r>
          </w:p>
        </w:tc>
        <w:tc>
          <w:tcPr>
            <w:tcW w:w="3041" w:type="dxa"/>
            <w:tcBorders>
              <w:tl2br w:val="nil"/>
              <w:tr2bl w:val="nil"/>
            </w:tcBorders>
            <w:vAlign w:val="center"/>
          </w:tcPr>
          <w:p>
            <w:pPr>
              <w:pStyle w:val="17"/>
              <w:bidi w:val="0"/>
              <w:rPr>
                <w:rFonts w:hint="default"/>
                <w:b/>
                <w:bCs/>
              </w:rPr>
            </w:pPr>
            <w:r>
              <w:rPr>
                <w:rFonts w:hint="default"/>
                <w:b/>
                <w:bCs/>
              </w:rPr>
              <w:t>NMHC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822" w:type="dxa"/>
            <w:tcBorders>
              <w:tl2br w:val="nil"/>
              <w:tr2bl w:val="nil"/>
            </w:tcBorders>
            <w:vAlign w:val="center"/>
          </w:tcPr>
          <w:p>
            <w:pPr>
              <w:pStyle w:val="17"/>
              <w:bidi w:val="0"/>
              <w:rPr>
                <w:rFonts w:hint="default"/>
              </w:rPr>
            </w:pPr>
            <w:r>
              <w:rPr>
                <w:rFonts w:hint="default"/>
              </w:rPr>
              <w:t>1</w:t>
            </w:r>
          </w:p>
        </w:tc>
        <w:tc>
          <w:tcPr>
            <w:tcW w:w="4208" w:type="dxa"/>
            <w:tcBorders>
              <w:tl2br w:val="nil"/>
              <w:tr2bl w:val="nil"/>
            </w:tcBorders>
            <w:vAlign w:val="center"/>
          </w:tcPr>
          <w:p>
            <w:pPr>
              <w:pStyle w:val="17"/>
              <w:bidi w:val="0"/>
              <w:rPr>
                <w:rFonts w:hint="default"/>
              </w:rPr>
            </w:pPr>
            <w:r>
              <w:rPr>
                <w:rFonts w:hint="default"/>
              </w:rPr>
              <w:t>1小时平均</w:t>
            </w:r>
          </w:p>
        </w:tc>
        <w:tc>
          <w:tcPr>
            <w:tcW w:w="3041" w:type="dxa"/>
            <w:tcBorders>
              <w:tl2br w:val="nil"/>
              <w:tr2bl w:val="nil"/>
            </w:tcBorders>
            <w:vAlign w:val="center"/>
          </w:tcPr>
          <w:p>
            <w:pPr>
              <w:pStyle w:val="17"/>
              <w:bidi w:val="0"/>
              <w:rPr>
                <w:rFonts w:hint="default"/>
              </w:rPr>
            </w:pPr>
            <w:r>
              <w:rPr>
                <w:rFonts w:hint="defaul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822" w:type="dxa"/>
            <w:tcBorders>
              <w:tl2br w:val="nil"/>
              <w:tr2bl w:val="nil"/>
            </w:tcBorders>
            <w:vAlign w:val="center"/>
          </w:tcPr>
          <w:p>
            <w:pPr>
              <w:pStyle w:val="17"/>
              <w:bidi w:val="0"/>
              <w:rPr>
                <w:rFonts w:hint="default"/>
              </w:rPr>
            </w:pPr>
            <w:r>
              <w:rPr>
                <w:rFonts w:hint="default"/>
              </w:rPr>
              <w:t>2</w:t>
            </w:r>
          </w:p>
        </w:tc>
        <w:tc>
          <w:tcPr>
            <w:tcW w:w="4208" w:type="dxa"/>
            <w:tcBorders>
              <w:tl2br w:val="nil"/>
              <w:tr2bl w:val="nil"/>
            </w:tcBorders>
            <w:vAlign w:val="center"/>
          </w:tcPr>
          <w:p>
            <w:pPr>
              <w:pStyle w:val="17"/>
              <w:bidi w:val="0"/>
              <w:rPr>
                <w:rFonts w:hint="default"/>
              </w:rPr>
            </w:pPr>
            <w:r>
              <w:rPr>
                <w:rFonts w:hint="default"/>
              </w:rPr>
              <w:t>24小时平均</w:t>
            </w:r>
          </w:p>
        </w:tc>
        <w:tc>
          <w:tcPr>
            <w:tcW w:w="3041" w:type="dxa"/>
            <w:tcBorders>
              <w:tl2br w:val="nil"/>
              <w:tr2bl w:val="nil"/>
            </w:tcBorders>
            <w:vAlign w:val="center"/>
          </w:tcPr>
          <w:p>
            <w:pPr>
              <w:pStyle w:val="17"/>
              <w:bidi w:val="0"/>
              <w:rPr>
                <w:rFonts w:hint="default"/>
              </w:rPr>
            </w:pPr>
            <w:r>
              <w:rPr>
                <w:rFonts w:hint="default"/>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822" w:type="dxa"/>
            <w:tcBorders>
              <w:tl2br w:val="nil"/>
              <w:tr2bl w:val="nil"/>
            </w:tcBorders>
            <w:vAlign w:val="center"/>
          </w:tcPr>
          <w:p>
            <w:pPr>
              <w:pStyle w:val="17"/>
              <w:bidi w:val="0"/>
              <w:rPr>
                <w:rFonts w:hint="default"/>
              </w:rPr>
            </w:pPr>
            <w:r>
              <w:rPr>
                <w:rFonts w:hint="default"/>
              </w:rPr>
              <w:t>3</w:t>
            </w:r>
          </w:p>
        </w:tc>
        <w:tc>
          <w:tcPr>
            <w:tcW w:w="4208" w:type="dxa"/>
            <w:tcBorders>
              <w:tl2br w:val="nil"/>
              <w:tr2bl w:val="nil"/>
            </w:tcBorders>
            <w:vAlign w:val="center"/>
          </w:tcPr>
          <w:p>
            <w:pPr>
              <w:pStyle w:val="17"/>
              <w:bidi w:val="0"/>
              <w:rPr>
                <w:rFonts w:hint="default"/>
              </w:rPr>
            </w:pPr>
            <w:r>
              <w:rPr>
                <w:rFonts w:hint="default"/>
              </w:rPr>
              <w:t>年平均值</w:t>
            </w:r>
          </w:p>
        </w:tc>
        <w:tc>
          <w:tcPr>
            <w:tcW w:w="3041" w:type="dxa"/>
            <w:tcBorders>
              <w:tl2br w:val="nil"/>
              <w:tr2bl w:val="nil"/>
            </w:tcBorders>
            <w:vAlign w:val="center"/>
          </w:tcPr>
          <w:p>
            <w:pPr>
              <w:pStyle w:val="17"/>
              <w:bidi w:val="0"/>
              <w:rPr>
                <w:rFonts w:hint="default"/>
              </w:rPr>
            </w:pPr>
            <w:r>
              <w:rPr>
                <w:rFonts w:hint="default"/>
              </w:rPr>
              <w:t>0.2</w:t>
            </w:r>
          </w:p>
        </w:tc>
      </w:tr>
    </w:tbl>
    <w:p>
      <w:pPr>
        <w:bidi w:val="0"/>
        <w:rPr>
          <w:rFonts w:hint="default"/>
        </w:rPr>
      </w:pPr>
      <w:r>
        <w:rPr>
          <w:rFonts w:hint="default"/>
        </w:rPr>
        <w:t>（4）预测计算模型</w:t>
      </w:r>
    </w:p>
    <w:p>
      <w:pPr>
        <w:bidi w:val="0"/>
        <w:rPr>
          <w:rFonts w:hint="default"/>
        </w:rPr>
      </w:pPr>
      <w:r>
        <w:rPr>
          <w:rFonts w:hint="default"/>
        </w:rPr>
        <w:t>本项目大气环境影响评价等级为二级，采用AERSCREEN估算模式对项目区大气污染物落地浓度分布进行计算。</w:t>
      </w:r>
    </w:p>
    <w:p>
      <w:pPr>
        <w:bidi w:val="0"/>
        <w:rPr>
          <w:rFonts w:hint="default"/>
        </w:rPr>
      </w:pPr>
      <w:r>
        <w:rPr>
          <w:rFonts w:hint="default"/>
        </w:rPr>
        <w:t>（5）污染源参数的选择</w:t>
      </w:r>
    </w:p>
    <w:p>
      <w:pPr>
        <w:bidi w:val="0"/>
        <w:rPr>
          <w:rFonts w:hint="default"/>
        </w:rPr>
      </w:pPr>
      <w:r>
        <w:rPr>
          <w:rFonts w:hint="default"/>
        </w:rPr>
        <w:t>本项目正常运营时，共计</w:t>
      </w:r>
      <w:r>
        <w:rPr>
          <w:rFonts w:hint="eastAsia"/>
          <w:lang w:val="en-US" w:eastAsia="zh-CN"/>
        </w:rPr>
        <w:t>2</w:t>
      </w:r>
      <w:r>
        <w:rPr>
          <w:rFonts w:hint="default"/>
        </w:rPr>
        <w:t>个有组织污染点源：</w:t>
      </w:r>
      <w:r>
        <w:rPr>
          <w:rFonts w:hint="eastAsia"/>
          <w:lang w:val="en-US" w:eastAsia="zh-CN"/>
        </w:rPr>
        <w:t>造粒车间和</w:t>
      </w:r>
      <w:r>
        <w:rPr>
          <w:rFonts w:hint="default"/>
          <w:lang w:val="en-US" w:eastAsia="zh-CN"/>
        </w:rPr>
        <w:t>生产车间</w:t>
      </w:r>
      <w:r>
        <w:rPr>
          <w:rFonts w:hint="default"/>
        </w:rPr>
        <w:t>废气处理系统，</w:t>
      </w:r>
      <w:r>
        <w:rPr>
          <w:rFonts w:hint="eastAsia"/>
          <w:lang w:val="en-US" w:eastAsia="zh-CN"/>
        </w:rPr>
        <w:t>2</w:t>
      </w:r>
      <w:r>
        <w:rPr>
          <w:rFonts w:hint="default"/>
        </w:rPr>
        <w:t>个无组织污染面源：</w:t>
      </w:r>
      <w:r>
        <w:rPr>
          <w:rFonts w:hint="default"/>
          <w:lang w:val="en-US" w:eastAsia="zh-CN"/>
        </w:rPr>
        <w:t>生产车间</w:t>
      </w:r>
      <w:r>
        <w:rPr>
          <w:rFonts w:hint="eastAsia"/>
          <w:lang w:val="en-US" w:eastAsia="zh-CN"/>
        </w:rPr>
        <w:t>和造粒车间</w:t>
      </w:r>
      <w:r>
        <w:rPr>
          <w:rFonts w:hint="default"/>
        </w:rPr>
        <w:t>，大气预测所选用废气排放参数均来自于工程分析，全厂正常工况下废气排放源主要参数见表5.1-</w:t>
      </w:r>
      <w:r>
        <w:rPr>
          <w:rFonts w:hint="eastAsia"/>
          <w:lang w:val="en-US" w:eastAsia="zh-CN"/>
        </w:rPr>
        <w:t>4</w:t>
      </w:r>
      <w:r>
        <w:rPr>
          <w:rFonts w:hint="default"/>
        </w:rPr>
        <w:t>。</w:t>
      </w:r>
    </w:p>
    <w:p>
      <w:pPr>
        <w:pStyle w:val="17"/>
        <w:bidi w:val="0"/>
        <w:rPr>
          <w:rFonts w:hint="default"/>
          <w:b/>
          <w:bCs/>
        </w:rPr>
      </w:pPr>
      <w:r>
        <w:rPr>
          <w:rFonts w:hint="default"/>
          <w:b/>
          <w:bCs/>
        </w:rPr>
        <w:t>表5.1-</w:t>
      </w:r>
      <w:r>
        <w:rPr>
          <w:rFonts w:hint="eastAsia"/>
          <w:b/>
          <w:bCs/>
          <w:lang w:val="en-US" w:eastAsia="zh-CN"/>
        </w:rPr>
        <w:t>4</w:t>
      </w:r>
      <w:r>
        <w:rPr>
          <w:rFonts w:hint="default"/>
          <w:b/>
          <w:bCs/>
        </w:rPr>
        <w:t xml:space="preserve"> </w:t>
      </w:r>
      <w:r>
        <w:rPr>
          <w:rFonts w:hint="eastAsia"/>
          <w:b/>
          <w:bCs/>
          <w:lang w:val="en-US" w:eastAsia="zh-CN"/>
        </w:rPr>
        <w:t xml:space="preserve"> </w:t>
      </w:r>
      <w:r>
        <w:rPr>
          <w:rFonts w:hint="default"/>
          <w:b/>
          <w:bCs/>
        </w:rPr>
        <w:t xml:space="preserve"> 废气污染源排放参数</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77"/>
        <w:gridCol w:w="851"/>
        <w:gridCol w:w="1091"/>
        <w:gridCol w:w="950"/>
        <w:gridCol w:w="986"/>
        <w:gridCol w:w="1055"/>
        <w:gridCol w:w="986"/>
        <w:gridCol w:w="848"/>
        <w:gridCol w:w="13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cantSplit/>
          <w:trHeight w:val="23" w:hRule="atLeast"/>
          <w:jc w:val="center"/>
        </w:trPr>
        <w:tc>
          <w:tcPr>
            <w:tcW w:w="977" w:type="dxa"/>
            <w:tcBorders>
              <w:tl2br w:val="nil"/>
              <w:tr2bl w:val="nil"/>
            </w:tcBorders>
            <w:vAlign w:val="center"/>
          </w:tcPr>
          <w:p>
            <w:pPr>
              <w:pStyle w:val="17"/>
              <w:bidi w:val="0"/>
              <w:rPr>
                <w:rFonts w:hint="default"/>
                <w:b/>
                <w:bCs/>
              </w:rPr>
            </w:pPr>
            <w:r>
              <w:rPr>
                <w:rFonts w:hint="default"/>
                <w:b/>
                <w:bCs/>
              </w:rPr>
              <w:t>污染源</w:t>
            </w:r>
          </w:p>
        </w:tc>
        <w:tc>
          <w:tcPr>
            <w:tcW w:w="851" w:type="dxa"/>
            <w:tcBorders>
              <w:tl2br w:val="nil"/>
              <w:tr2bl w:val="nil"/>
            </w:tcBorders>
            <w:vAlign w:val="center"/>
          </w:tcPr>
          <w:p>
            <w:pPr>
              <w:pStyle w:val="17"/>
              <w:bidi w:val="0"/>
              <w:rPr>
                <w:rFonts w:hint="default"/>
                <w:b/>
                <w:bCs/>
              </w:rPr>
            </w:pPr>
            <w:r>
              <w:rPr>
                <w:rFonts w:hint="default"/>
                <w:b/>
                <w:bCs/>
              </w:rPr>
              <w:t>污染物</w:t>
            </w:r>
          </w:p>
        </w:tc>
        <w:tc>
          <w:tcPr>
            <w:tcW w:w="1091" w:type="dxa"/>
            <w:tcBorders>
              <w:tl2br w:val="nil"/>
              <w:tr2bl w:val="nil"/>
            </w:tcBorders>
            <w:vAlign w:val="center"/>
          </w:tcPr>
          <w:p>
            <w:pPr>
              <w:pStyle w:val="17"/>
              <w:bidi w:val="0"/>
              <w:rPr>
                <w:rFonts w:hint="default"/>
                <w:b/>
                <w:bCs/>
              </w:rPr>
            </w:pPr>
            <w:r>
              <w:rPr>
                <w:rFonts w:hint="default"/>
                <w:b/>
                <w:bCs/>
              </w:rPr>
              <w:t>废气量</w:t>
            </w:r>
            <w:r>
              <w:rPr>
                <w:rFonts w:hint="eastAsia"/>
                <w:b/>
                <w:bCs/>
                <w:lang w:eastAsia="zh-CN"/>
              </w:rPr>
              <w:t>m³</w:t>
            </w:r>
            <w:r>
              <w:rPr>
                <w:rFonts w:hint="default"/>
                <w:b/>
                <w:bCs/>
              </w:rPr>
              <w:t>/h</w:t>
            </w:r>
          </w:p>
        </w:tc>
        <w:tc>
          <w:tcPr>
            <w:tcW w:w="950" w:type="dxa"/>
            <w:tcBorders>
              <w:tl2br w:val="nil"/>
              <w:tr2bl w:val="nil"/>
            </w:tcBorders>
            <w:vAlign w:val="center"/>
          </w:tcPr>
          <w:p>
            <w:pPr>
              <w:pStyle w:val="17"/>
              <w:bidi w:val="0"/>
              <w:rPr>
                <w:rFonts w:hint="eastAsia"/>
                <w:b/>
                <w:bCs/>
                <w:lang w:eastAsia="zh-CN"/>
              </w:rPr>
            </w:pPr>
            <w:r>
              <w:rPr>
                <w:rFonts w:hint="default"/>
                <w:b/>
                <w:bCs/>
              </w:rPr>
              <w:t>产生浓度mg/</w:t>
            </w:r>
            <w:r>
              <w:rPr>
                <w:rFonts w:hint="eastAsia"/>
                <w:b/>
                <w:bCs/>
                <w:lang w:eastAsia="zh-CN"/>
              </w:rPr>
              <w:t>m³</w:t>
            </w:r>
          </w:p>
        </w:tc>
        <w:tc>
          <w:tcPr>
            <w:tcW w:w="986" w:type="dxa"/>
            <w:tcBorders>
              <w:tl2br w:val="nil"/>
              <w:tr2bl w:val="nil"/>
            </w:tcBorders>
            <w:vAlign w:val="center"/>
          </w:tcPr>
          <w:p>
            <w:pPr>
              <w:pStyle w:val="17"/>
              <w:bidi w:val="0"/>
              <w:rPr>
                <w:rFonts w:hint="default"/>
                <w:b/>
                <w:bCs/>
              </w:rPr>
            </w:pPr>
            <w:r>
              <w:rPr>
                <w:rFonts w:hint="default"/>
                <w:b/>
                <w:bCs/>
              </w:rPr>
              <w:t>产生速率kg/h</w:t>
            </w:r>
          </w:p>
        </w:tc>
        <w:tc>
          <w:tcPr>
            <w:tcW w:w="1055" w:type="dxa"/>
            <w:tcBorders>
              <w:tl2br w:val="nil"/>
              <w:tr2bl w:val="nil"/>
            </w:tcBorders>
            <w:vAlign w:val="center"/>
          </w:tcPr>
          <w:p>
            <w:pPr>
              <w:pStyle w:val="17"/>
              <w:bidi w:val="0"/>
              <w:rPr>
                <w:rFonts w:hint="default"/>
                <w:b/>
                <w:bCs/>
              </w:rPr>
            </w:pPr>
            <w:r>
              <w:rPr>
                <w:rFonts w:hint="default"/>
                <w:b/>
                <w:bCs/>
              </w:rPr>
              <w:t>处理措施</w:t>
            </w:r>
          </w:p>
        </w:tc>
        <w:tc>
          <w:tcPr>
            <w:tcW w:w="986" w:type="dxa"/>
            <w:tcBorders>
              <w:tl2br w:val="nil"/>
              <w:tr2bl w:val="nil"/>
            </w:tcBorders>
            <w:vAlign w:val="center"/>
          </w:tcPr>
          <w:p>
            <w:pPr>
              <w:pStyle w:val="17"/>
              <w:bidi w:val="0"/>
              <w:rPr>
                <w:rFonts w:hint="eastAsia"/>
                <w:b/>
                <w:bCs/>
                <w:lang w:eastAsia="zh-CN"/>
              </w:rPr>
            </w:pPr>
            <w:r>
              <w:rPr>
                <w:rFonts w:hint="default"/>
                <w:b/>
                <w:bCs/>
              </w:rPr>
              <w:t>排放浓度mg/</w:t>
            </w:r>
            <w:r>
              <w:rPr>
                <w:rFonts w:hint="eastAsia"/>
                <w:b/>
                <w:bCs/>
                <w:lang w:eastAsia="zh-CN"/>
              </w:rPr>
              <w:t>m³</w:t>
            </w:r>
          </w:p>
        </w:tc>
        <w:tc>
          <w:tcPr>
            <w:tcW w:w="848" w:type="dxa"/>
            <w:tcBorders>
              <w:tl2br w:val="nil"/>
              <w:tr2bl w:val="nil"/>
            </w:tcBorders>
            <w:vAlign w:val="center"/>
          </w:tcPr>
          <w:p>
            <w:pPr>
              <w:pStyle w:val="17"/>
              <w:bidi w:val="0"/>
              <w:rPr>
                <w:rFonts w:hint="default"/>
                <w:b/>
                <w:bCs/>
              </w:rPr>
            </w:pPr>
            <w:r>
              <w:rPr>
                <w:rFonts w:hint="default"/>
                <w:b/>
                <w:bCs/>
              </w:rPr>
              <w:t>排放速率kg/h</w:t>
            </w:r>
          </w:p>
        </w:tc>
        <w:tc>
          <w:tcPr>
            <w:tcW w:w="1327" w:type="dxa"/>
            <w:tcBorders>
              <w:tl2br w:val="nil"/>
              <w:tr2bl w:val="nil"/>
            </w:tcBorders>
            <w:vAlign w:val="center"/>
          </w:tcPr>
          <w:p>
            <w:pPr>
              <w:pStyle w:val="17"/>
              <w:bidi w:val="0"/>
              <w:rPr>
                <w:rFonts w:hint="default"/>
                <w:b/>
                <w:bCs/>
              </w:rPr>
            </w:pPr>
            <w:r>
              <w:rPr>
                <w:rFonts w:hint="default"/>
                <w:b/>
                <w:bCs/>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977" w:type="dxa"/>
            <w:tcBorders>
              <w:tl2br w:val="nil"/>
              <w:tr2bl w:val="nil"/>
            </w:tcBorders>
            <w:vAlign w:val="center"/>
          </w:tcPr>
          <w:p>
            <w:pPr>
              <w:pStyle w:val="17"/>
              <w:bidi w:val="0"/>
              <w:rPr>
                <w:rFonts w:hint="default" w:eastAsia="宋体"/>
                <w:lang w:val="en-US" w:eastAsia="zh-CN"/>
              </w:rPr>
            </w:pPr>
            <w:r>
              <w:rPr>
                <w:rFonts w:hint="eastAsia"/>
                <w:lang w:val="en-US" w:eastAsia="zh-CN"/>
              </w:rPr>
              <w:t>造粒车间</w:t>
            </w:r>
          </w:p>
        </w:tc>
        <w:tc>
          <w:tcPr>
            <w:tcW w:w="851" w:type="dxa"/>
            <w:tcBorders>
              <w:tl2br w:val="nil"/>
              <w:tr2bl w:val="nil"/>
            </w:tcBorders>
            <w:vAlign w:val="center"/>
          </w:tcPr>
          <w:p>
            <w:pPr>
              <w:pStyle w:val="17"/>
              <w:bidi w:val="0"/>
              <w:rPr>
                <w:rFonts w:hint="default"/>
              </w:rPr>
            </w:pPr>
            <w:r>
              <w:rPr>
                <w:rFonts w:hint="default"/>
              </w:rPr>
              <w:t>非甲烷总烃</w:t>
            </w:r>
          </w:p>
        </w:tc>
        <w:tc>
          <w:tcPr>
            <w:tcW w:w="1091" w:type="dxa"/>
            <w:tcBorders>
              <w:tl2br w:val="nil"/>
              <w:tr2bl w:val="nil"/>
            </w:tcBorders>
            <w:vAlign w:val="center"/>
          </w:tcPr>
          <w:p>
            <w:pPr>
              <w:pStyle w:val="17"/>
              <w:bidi w:val="0"/>
              <w:rPr>
                <w:rFonts w:hint="default" w:eastAsia="宋体"/>
                <w:lang w:val="en-US" w:eastAsia="zh-CN"/>
              </w:rPr>
            </w:pPr>
            <w:r>
              <w:rPr>
                <w:rFonts w:hint="eastAsia"/>
                <w:lang w:val="en-US" w:eastAsia="zh-CN"/>
              </w:rPr>
              <w:t>10000</w:t>
            </w:r>
          </w:p>
        </w:tc>
        <w:tc>
          <w:tcPr>
            <w:tcW w:w="950" w:type="dxa"/>
            <w:tcBorders>
              <w:tl2br w:val="nil"/>
              <w:tr2bl w:val="nil"/>
            </w:tcBorders>
            <w:vAlign w:val="center"/>
          </w:tcPr>
          <w:p>
            <w:pPr>
              <w:pStyle w:val="17"/>
              <w:bidi w:val="0"/>
              <w:rPr>
                <w:rFonts w:hint="eastAsia"/>
                <w:lang w:val="en-US" w:eastAsia="zh-CN"/>
              </w:rPr>
            </w:pPr>
            <w:r>
              <w:rPr>
                <w:rFonts w:hint="eastAsia"/>
                <w:lang w:val="en-US" w:eastAsia="zh-CN"/>
              </w:rPr>
              <w:t>/</w:t>
            </w:r>
          </w:p>
        </w:tc>
        <w:tc>
          <w:tcPr>
            <w:tcW w:w="986" w:type="dxa"/>
            <w:tcBorders>
              <w:tl2br w:val="nil"/>
              <w:tr2bl w:val="nil"/>
            </w:tcBorders>
            <w:vAlign w:val="center"/>
          </w:tcPr>
          <w:p>
            <w:pPr>
              <w:pStyle w:val="17"/>
              <w:bidi w:val="0"/>
              <w:rPr>
                <w:rFonts w:hint="default"/>
              </w:rPr>
            </w:pPr>
            <w:r>
              <w:rPr>
                <w:rFonts w:hint="eastAsia"/>
                <w:lang w:val="en-US" w:eastAsia="zh-CN"/>
              </w:rPr>
              <w:t>/</w:t>
            </w:r>
          </w:p>
        </w:tc>
        <w:tc>
          <w:tcPr>
            <w:tcW w:w="1055" w:type="dxa"/>
            <w:tcBorders>
              <w:tl2br w:val="nil"/>
              <w:tr2bl w:val="nil"/>
            </w:tcBorders>
            <w:vAlign w:val="center"/>
          </w:tcPr>
          <w:p>
            <w:pPr>
              <w:pStyle w:val="17"/>
              <w:bidi w:val="0"/>
              <w:rPr>
                <w:rFonts w:hint="default" w:eastAsia="宋体"/>
                <w:lang w:val="en-US" w:eastAsia="zh-CN"/>
              </w:rPr>
            </w:pPr>
            <w:r>
              <w:rPr>
                <w:rFonts w:hint="default"/>
              </w:rPr>
              <w:t>等离子光氧一体机</w:t>
            </w:r>
            <w:r>
              <w:rPr>
                <w:rFonts w:hint="eastAsia"/>
                <w:lang w:val="en-US" w:eastAsia="zh-CN"/>
              </w:rPr>
              <w:t>+活性炭吸附</w:t>
            </w:r>
          </w:p>
        </w:tc>
        <w:tc>
          <w:tcPr>
            <w:tcW w:w="986" w:type="dxa"/>
            <w:tcBorders>
              <w:tl2br w:val="nil"/>
              <w:tr2bl w:val="nil"/>
            </w:tcBorders>
            <w:vAlign w:val="center"/>
          </w:tcPr>
          <w:p>
            <w:pPr>
              <w:pStyle w:val="17"/>
              <w:bidi w:val="0"/>
              <w:rPr>
                <w:rFonts w:hint="default"/>
                <w:lang w:val="en-US" w:eastAsia="zh-CN"/>
              </w:rPr>
            </w:pPr>
            <w:r>
              <w:rPr>
                <w:rFonts w:hint="eastAsia"/>
                <w:lang w:val="en-US" w:eastAsia="zh-CN"/>
              </w:rPr>
              <w:t>11.3</w:t>
            </w:r>
          </w:p>
        </w:tc>
        <w:tc>
          <w:tcPr>
            <w:tcW w:w="848" w:type="dxa"/>
            <w:tcBorders>
              <w:tl2br w:val="nil"/>
              <w:tr2bl w:val="nil"/>
            </w:tcBorders>
            <w:vAlign w:val="center"/>
          </w:tcPr>
          <w:p>
            <w:pPr>
              <w:pStyle w:val="17"/>
              <w:bidi w:val="0"/>
              <w:rPr>
                <w:rFonts w:hint="default"/>
                <w:lang w:val="en-US" w:eastAsia="zh-CN"/>
              </w:rPr>
            </w:pPr>
            <w:r>
              <w:rPr>
                <w:rFonts w:hint="eastAsia"/>
                <w:lang w:val="en-US" w:eastAsia="zh-CN"/>
              </w:rPr>
              <w:t>0.113</w:t>
            </w:r>
          </w:p>
        </w:tc>
        <w:tc>
          <w:tcPr>
            <w:tcW w:w="1327" w:type="dxa"/>
            <w:tcBorders>
              <w:tl2br w:val="nil"/>
              <w:tr2bl w:val="nil"/>
            </w:tcBorders>
            <w:vAlign w:val="center"/>
          </w:tcPr>
          <w:p>
            <w:pPr>
              <w:pStyle w:val="17"/>
              <w:bidi w:val="0"/>
              <w:rPr>
                <w:rFonts w:hint="default"/>
              </w:rPr>
            </w:pPr>
            <w:r>
              <w:rPr>
                <w:rFonts w:hint="default"/>
              </w:rPr>
              <w:t>15m排气筒排放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977" w:type="dxa"/>
            <w:tcBorders>
              <w:tl2br w:val="nil"/>
              <w:tr2bl w:val="nil"/>
            </w:tcBorders>
            <w:vAlign w:val="center"/>
          </w:tcPr>
          <w:p>
            <w:pPr>
              <w:pStyle w:val="17"/>
              <w:bidi w:val="0"/>
              <w:rPr>
                <w:rFonts w:hint="default" w:eastAsia="宋体"/>
                <w:lang w:val="en-US" w:eastAsia="zh-CN"/>
              </w:rPr>
            </w:pPr>
            <w:r>
              <w:rPr>
                <w:rFonts w:hint="eastAsia"/>
                <w:lang w:val="en-US" w:eastAsia="zh-CN"/>
              </w:rPr>
              <w:t>生产车间</w:t>
            </w:r>
          </w:p>
        </w:tc>
        <w:tc>
          <w:tcPr>
            <w:tcW w:w="851" w:type="dxa"/>
            <w:tcBorders>
              <w:tl2br w:val="nil"/>
              <w:tr2bl w:val="nil"/>
            </w:tcBorders>
            <w:vAlign w:val="center"/>
          </w:tcPr>
          <w:p>
            <w:pPr>
              <w:pStyle w:val="17"/>
              <w:bidi w:val="0"/>
              <w:rPr>
                <w:rFonts w:hint="default"/>
                <w:lang w:val="en-US" w:eastAsia="zh-CN"/>
              </w:rPr>
            </w:pPr>
            <w:r>
              <w:rPr>
                <w:rFonts w:hint="default"/>
              </w:rPr>
              <w:t>非甲烷总烃</w:t>
            </w:r>
          </w:p>
        </w:tc>
        <w:tc>
          <w:tcPr>
            <w:tcW w:w="1091" w:type="dxa"/>
            <w:tcBorders>
              <w:tl2br w:val="nil"/>
              <w:tr2bl w:val="nil"/>
            </w:tcBorders>
            <w:vAlign w:val="center"/>
          </w:tcPr>
          <w:p>
            <w:pPr>
              <w:pStyle w:val="17"/>
              <w:bidi w:val="0"/>
              <w:rPr>
                <w:rFonts w:hint="default" w:eastAsia="宋体"/>
                <w:lang w:val="en-US" w:eastAsia="zh-CN"/>
              </w:rPr>
            </w:pPr>
            <w:r>
              <w:rPr>
                <w:rFonts w:hint="eastAsia"/>
                <w:lang w:val="en-US" w:eastAsia="zh-CN"/>
              </w:rPr>
              <w:t>20000</w:t>
            </w:r>
          </w:p>
        </w:tc>
        <w:tc>
          <w:tcPr>
            <w:tcW w:w="950" w:type="dxa"/>
            <w:tcBorders>
              <w:tl2br w:val="nil"/>
              <w:tr2bl w:val="nil"/>
            </w:tcBorders>
            <w:vAlign w:val="center"/>
          </w:tcPr>
          <w:p>
            <w:pPr>
              <w:pStyle w:val="17"/>
              <w:bidi w:val="0"/>
              <w:rPr>
                <w:rFonts w:hint="default"/>
              </w:rPr>
            </w:pPr>
            <w:r>
              <w:rPr>
                <w:rFonts w:hint="eastAsia"/>
                <w:lang w:val="en-US" w:eastAsia="zh-CN"/>
              </w:rPr>
              <w:t>/</w:t>
            </w:r>
          </w:p>
        </w:tc>
        <w:tc>
          <w:tcPr>
            <w:tcW w:w="986" w:type="dxa"/>
            <w:tcBorders>
              <w:tl2br w:val="nil"/>
              <w:tr2bl w:val="nil"/>
            </w:tcBorders>
            <w:vAlign w:val="center"/>
          </w:tcPr>
          <w:p>
            <w:pPr>
              <w:pStyle w:val="17"/>
              <w:bidi w:val="0"/>
              <w:rPr>
                <w:rFonts w:hint="default"/>
              </w:rPr>
            </w:pPr>
            <w:r>
              <w:rPr>
                <w:rFonts w:hint="eastAsia"/>
                <w:lang w:val="en-US" w:eastAsia="zh-CN"/>
              </w:rPr>
              <w:t>/</w:t>
            </w:r>
          </w:p>
        </w:tc>
        <w:tc>
          <w:tcPr>
            <w:tcW w:w="1055" w:type="dxa"/>
            <w:tcBorders>
              <w:tl2br w:val="nil"/>
              <w:tr2bl w:val="nil"/>
            </w:tcBorders>
            <w:vAlign w:val="center"/>
          </w:tcPr>
          <w:p>
            <w:pPr>
              <w:pStyle w:val="17"/>
              <w:bidi w:val="0"/>
              <w:rPr>
                <w:rFonts w:hint="default"/>
              </w:rPr>
            </w:pPr>
            <w:r>
              <w:rPr>
                <w:rFonts w:hint="default"/>
              </w:rPr>
              <w:t>等离子光氧一体机</w:t>
            </w:r>
            <w:r>
              <w:rPr>
                <w:rFonts w:hint="eastAsia"/>
                <w:lang w:val="en-US" w:eastAsia="zh-CN"/>
              </w:rPr>
              <w:t>+活性炭吸附</w:t>
            </w:r>
          </w:p>
        </w:tc>
        <w:tc>
          <w:tcPr>
            <w:tcW w:w="986" w:type="dxa"/>
            <w:tcBorders>
              <w:tl2br w:val="nil"/>
              <w:tr2bl w:val="nil"/>
            </w:tcBorders>
            <w:vAlign w:val="center"/>
          </w:tcPr>
          <w:p>
            <w:pPr>
              <w:pStyle w:val="17"/>
              <w:bidi w:val="0"/>
              <w:rPr>
                <w:rFonts w:hint="default"/>
                <w:lang w:val="en-US"/>
              </w:rPr>
            </w:pPr>
            <w:r>
              <w:rPr>
                <w:rFonts w:hint="eastAsia"/>
                <w:lang w:val="en-US" w:eastAsia="zh-CN"/>
              </w:rPr>
              <w:t>11.3</w:t>
            </w:r>
          </w:p>
        </w:tc>
        <w:tc>
          <w:tcPr>
            <w:tcW w:w="848" w:type="dxa"/>
            <w:tcBorders>
              <w:tl2br w:val="nil"/>
              <w:tr2bl w:val="nil"/>
            </w:tcBorders>
            <w:vAlign w:val="center"/>
          </w:tcPr>
          <w:p>
            <w:pPr>
              <w:pStyle w:val="17"/>
              <w:bidi w:val="0"/>
              <w:rPr>
                <w:rFonts w:hint="default"/>
                <w:lang w:val="en-US"/>
              </w:rPr>
            </w:pPr>
            <w:r>
              <w:rPr>
                <w:rFonts w:hint="eastAsia"/>
                <w:lang w:val="en-US" w:eastAsia="zh-CN"/>
              </w:rPr>
              <w:t>0.535</w:t>
            </w:r>
          </w:p>
        </w:tc>
        <w:tc>
          <w:tcPr>
            <w:tcW w:w="1327" w:type="dxa"/>
            <w:tcBorders>
              <w:tl2br w:val="nil"/>
              <w:tr2bl w:val="nil"/>
            </w:tcBorders>
            <w:vAlign w:val="center"/>
          </w:tcPr>
          <w:p>
            <w:pPr>
              <w:pStyle w:val="17"/>
              <w:bidi w:val="0"/>
              <w:rPr>
                <w:rFonts w:hint="default"/>
              </w:rPr>
            </w:pPr>
            <w:r>
              <w:rPr>
                <w:rFonts w:hint="default"/>
              </w:rPr>
              <w:t>15m排气筒排放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977" w:type="dxa"/>
            <w:tcBorders>
              <w:tl2br w:val="nil"/>
              <w:tr2bl w:val="nil"/>
            </w:tcBorders>
            <w:vAlign w:val="center"/>
          </w:tcPr>
          <w:p>
            <w:pPr>
              <w:pStyle w:val="17"/>
              <w:bidi w:val="0"/>
              <w:rPr>
                <w:rFonts w:hint="default"/>
              </w:rPr>
            </w:pPr>
            <w:r>
              <w:rPr>
                <w:rFonts w:hint="default"/>
              </w:rPr>
              <w:t>食堂油烟</w:t>
            </w:r>
          </w:p>
        </w:tc>
        <w:tc>
          <w:tcPr>
            <w:tcW w:w="851" w:type="dxa"/>
            <w:tcBorders>
              <w:tl2br w:val="nil"/>
              <w:tr2bl w:val="nil"/>
            </w:tcBorders>
            <w:vAlign w:val="center"/>
          </w:tcPr>
          <w:p>
            <w:pPr>
              <w:pStyle w:val="17"/>
              <w:bidi w:val="0"/>
              <w:rPr>
                <w:rFonts w:hint="default"/>
              </w:rPr>
            </w:pPr>
            <w:r>
              <w:rPr>
                <w:rFonts w:hint="default"/>
              </w:rPr>
              <w:t>油烟</w:t>
            </w:r>
          </w:p>
        </w:tc>
        <w:tc>
          <w:tcPr>
            <w:tcW w:w="1091" w:type="dxa"/>
            <w:tcBorders>
              <w:tl2br w:val="nil"/>
              <w:tr2bl w:val="nil"/>
            </w:tcBorders>
            <w:vAlign w:val="center"/>
          </w:tcPr>
          <w:p>
            <w:pPr>
              <w:pStyle w:val="17"/>
              <w:bidi w:val="0"/>
              <w:rPr>
                <w:rFonts w:hint="default"/>
              </w:rPr>
            </w:pPr>
            <w:r>
              <w:rPr>
                <w:rFonts w:hint="default"/>
              </w:rPr>
              <w:t>1600</w:t>
            </w:r>
          </w:p>
        </w:tc>
        <w:tc>
          <w:tcPr>
            <w:tcW w:w="950" w:type="dxa"/>
            <w:tcBorders>
              <w:tl2br w:val="nil"/>
              <w:tr2bl w:val="nil"/>
            </w:tcBorders>
            <w:vAlign w:val="center"/>
          </w:tcPr>
          <w:p>
            <w:pPr>
              <w:pStyle w:val="17"/>
              <w:bidi w:val="0"/>
              <w:rPr>
                <w:rFonts w:hint="default"/>
              </w:rPr>
            </w:pPr>
            <w:r>
              <w:rPr>
                <w:rFonts w:hint="default"/>
              </w:rPr>
              <w:t>2.81</w:t>
            </w:r>
          </w:p>
        </w:tc>
        <w:tc>
          <w:tcPr>
            <w:tcW w:w="986" w:type="dxa"/>
            <w:tcBorders>
              <w:tl2br w:val="nil"/>
              <w:tr2bl w:val="nil"/>
            </w:tcBorders>
            <w:vAlign w:val="center"/>
          </w:tcPr>
          <w:p>
            <w:pPr>
              <w:pStyle w:val="17"/>
              <w:bidi w:val="0"/>
              <w:rPr>
                <w:rFonts w:hint="default"/>
              </w:rPr>
            </w:pPr>
            <w:r>
              <w:rPr>
                <w:rFonts w:hint="default"/>
              </w:rPr>
              <w:t>0.0045</w:t>
            </w:r>
          </w:p>
        </w:tc>
        <w:tc>
          <w:tcPr>
            <w:tcW w:w="1055" w:type="dxa"/>
            <w:tcBorders>
              <w:tl2br w:val="nil"/>
              <w:tr2bl w:val="nil"/>
            </w:tcBorders>
            <w:vAlign w:val="center"/>
          </w:tcPr>
          <w:p>
            <w:pPr>
              <w:pStyle w:val="17"/>
              <w:bidi w:val="0"/>
              <w:rPr>
                <w:rFonts w:hint="default"/>
              </w:rPr>
            </w:pPr>
            <w:r>
              <w:rPr>
                <w:rFonts w:hint="default"/>
              </w:rPr>
              <w:t>油烟净化器（处理效率</w:t>
            </w:r>
          </w:p>
          <w:p>
            <w:pPr>
              <w:pStyle w:val="17"/>
              <w:bidi w:val="0"/>
              <w:rPr>
                <w:rFonts w:hint="default"/>
              </w:rPr>
            </w:pPr>
            <w:r>
              <w:rPr>
                <w:rFonts w:hint="default"/>
              </w:rPr>
              <w:t>≧60%）</w:t>
            </w:r>
          </w:p>
        </w:tc>
        <w:tc>
          <w:tcPr>
            <w:tcW w:w="986" w:type="dxa"/>
            <w:tcBorders>
              <w:tl2br w:val="nil"/>
              <w:tr2bl w:val="nil"/>
            </w:tcBorders>
            <w:vAlign w:val="center"/>
          </w:tcPr>
          <w:p>
            <w:pPr>
              <w:pStyle w:val="17"/>
              <w:bidi w:val="0"/>
              <w:rPr>
                <w:rFonts w:hint="default"/>
              </w:rPr>
            </w:pPr>
            <w:r>
              <w:rPr>
                <w:rFonts w:hint="default"/>
              </w:rPr>
              <w:t>1.13</w:t>
            </w:r>
          </w:p>
        </w:tc>
        <w:tc>
          <w:tcPr>
            <w:tcW w:w="848" w:type="dxa"/>
            <w:tcBorders>
              <w:tl2br w:val="nil"/>
              <w:tr2bl w:val="nil"/>
            </w:tcBorders>
            <w:vAlign w:val="center"/>
          </w:tcPr>
          <w:p>
            <w:pPr>
              <w:pStyle w:val="17"/>
              <w:bidi w:val="0"/>
              <w:rPr>
                <w:rFonts w:hint="default"/>
              </w:rPr>
            </w:pPr>
            <w:r>
              <w:rPr>
                <w:rFonts w:hint="default"/>
              </w:rPr>
              <w:t>0.0018</w:t>
            </w:r>
          </w:p>
        </w:tc>
        <w:tc>
          <w:tcPr>
            <w:tcW w:w="1327" w:type="dxa"/>
            <w:tcBorders>
              <w:tl2br w:val="nil"/>
              <w:tr2bl w:val="nil"/>
            </w:tcBorders>
            <w:vAlign w:val="center"/>
          </w:tcPr>
          <w:p>
            <w:pPr>
              <w:pStyle w:val="17"/>
              <w:bidi w:val="0"/>
              <w:rPr>
                <w:rFonts w:hint="default"/>
              </w:rPr>
            </w:pPr>
            <w:r>
              <w:rPr>
                <w:rFonts w:hint="default"/>
              </w:rPr>
              <w:t>专用烟道至屋顶排放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977" w:type="dxa"/>
            <w:tcBorders>
              <w:tl2br w:val="nil"/>
              <w:tr2bl w:val="nil"/>
            </w:tcBorders>
            <w:vAlign w:val="center"/>
          </w:tcPr>
          <w:p>
            <w:pPr>
              <w:pStyle w:val="17"/>
              <w:bidi w:val="0"/>
              <w:rPr>
                <w:rFonts w:hint="default"/>
                <w:b/>
                <w:bCs/>
              </w:rPr>
            </w:pPr>
            <w:r>
              <w:rPr>
                <w:rFonts w:hint="default"/>
                <w:b/>
                <w:bCs/>
              </w:rPr>
              <w:t>污染源</w:t>
            </w:r>
          </w:p>
        </w:tc>
        <w:tc>
          <w:tcPr>
            <w:tcW w:w="851" w:type="dxa"/>
            <w:tcBorders>
              <w:tl2br w:val="nil"/>
              <w:tr2bl w:val="nil"/>
            </w:tcBorders>
            <w:vAlign w:val="center"/>
          </w:tcPr>
          <w:p>
            <w:pPr>
              <w:pStyle w:val="17"/>
              <w:bidi w:val="0"/>
              <w:rPr>
                <w:rFonts w:hint="default"/>
                <w:b/>
                <w:bCs/>
              </w:rPr>
            </w:pPr>
            <w:r>
              <w:rPr>
                <w:rFonts w:hint="default"/>
                <w:b/>
                <w:bCs/>
              </w:rPr>
              <w:t>污染物</w:t>
            </w:r>
          </w:p>
        </w:tc>
        <w:tc>
          <w:tcPr>
            <w:tcW w:w="1091" w:type="dxa"/>
            <w:tcBorders>
              <w:tl2br w:val="nil"/>
              <w:tr2bl w:val="nil"/>
            </w:tcBorders>
            <w:vAlign w:val="center"/>
          </w:tcPr>
          <w:p>
            <w:pPr>
              <w:pStyle w:val="17"/>
              <w:bidi w:val="0"/>
              <w:rPr>
                <w:rFonts w:hint="default"/>
                <w:b/>
                <w:bCs/>
              </w:rPr>
            </w:pPr>
            <w:r>
              <w:rPr>
                <w:rFonts w:hint="default"/>
                <w:b/>
                <w:bCs/>
              </w:rPr>
              <w:t>污染</w:t>
            </w:r>
          </w:p>
          <w:p>
            <w:pPr>
              <w:pStyle w:val="17"/>
              <w:bidi w:val="0"/>
              <w:rPr>
                <w:rFonts w:hint="default"/>
                <w:b/>
                <w:bCs/>
              </w:rPr>
            </w:pPr>
            <w:r>
              <w:rPr>
                <w:rFonts w:hint="default"/>
                <w:b/>
                <w:bCs/>
              </w:rPr>
              <w:t>源强（t/a）</w:t>
            </w:r>
          </w:p>
        </w:tc>
        <w:tc>
          <w:tcPr>
            <w:tcW w:w="950" w:type="dxa"/>
            <w:tcBorders>
              <w:tl2br w:val="nil"/>
              <w:tr2bl w:val="nil"/>
            </w:tcBorders>
            <w:vAlign w:val="center"/>
          </w:tcPr>
          <w:p>
            <w:pPr>
              <w:pStyle w:val="17"/>
              <w:bidi w:val="0"/>
              <w:rPr>
                <w:rFonts w:hint="default"/>
                <w:b/>
                <w:bCs/>
              </w:rPr>
            </w:pPr>
            <w:r>
              <w:rPr>
                <w:rFonts w:hint="default"/>
                <w:b/>
                <w:bCs/>
              </w:rPr>
              <w:t>产生速率kg/h</w:t>
            </w:r>
          </w:p>
        </w:tc>
        <w:tc>
          <w:tcPr>
            <w:tcW w:w="986" w:type="dxa"/>
            <w:tcBorders>
              <w:tl2br w:val="nil"/>
              <w:tr2bl w:val="nil"/>
            </w:tcBorders>
            <w:vAlign w:val="center"/>
          </w:tcPr>
          <w:p>
            <w:pPr>
              <w:pStyle w:val="17"/>
              <w:bidi w:val="0"/>
              <w:rPr>
                <w:rFonts w:hint="default"/>
                <w:b/>
                <w:bCs/>
              </w:rPr>
            </w:pPr>
            <w:r>
              <w:rPr>
                <w:rFonts w:hint="default"/>
                <w:b/>
                <w:bCs/>
              </w:rPr>
              <w:t>排放速率kg/h</w:t>
            </w:r>
          </w:p>
        </w:tc>
        <w:tc>
          <w:tcPr>
            <w:tcW w:w="1055" w:type="dxa"/>
            <w:tcBorders>
              <w:tl2br w:val="nil"/>
              <w:tr2bl w:val="nil"/>
            </w:tcBorders>
            <w:vAlign w:val="center"/>
          </w:tcPr>
          <w:p>
            <w:pPr>
              <w:pStyle w:val="17"/>
              <w:bidi w:val="0"/>
              <w:rPr>
                <w:rFonts w:hint="default"/>
                <w:b/>
                <w:bCs/>
              </w:rPr>
            </w:pPr>
            <w:r>
              <w:rPr>
                <w:rFonts w:hint="default"/>
                <w:b/>
                <w:bCs/>
              </w:rPr>
              <w:t>处理</w:t>
            </w:r>
          </w:p>
          <w:p>
            <w:pPr>
              <w:pStyle w:val="17"/>
              <w:bidi w:val="0"/>
              <w:rPr>
                <w:rFonts w:hint="default"/>
                <w:b/>
                <w:bCs/>
              </w:rPr>
            </w:pPr>
            <w:r>
              <w:rPr>
                <w:rFonts w:hint="default"/>
                <w:b/>
                <w:bCs/>
              </w:rPr>
              <w:t>措施</w:t>
            </w:r>
          </w:p>
        </w:tc>
        <w:tc>
          <w:tcPr>
            <w:tcW w:w="986" w:type="dxa"/>
            <w:tcBorders>
              <w:tl2br w:val="nil"/>
              <w:tr2bl w:val="nil"/>
            </w:tcBorders>
            <w:vAlign w:val="center"/>
          </w:tcPr>
          <w:p>
            <w:pPr>
              <w:pStyle w:val="17"/>
              <w:bidi w:val="0"/>
              <w:rPr>
                <w:rFonts w:hint="default"/>
                <w:b/>
                <w:bCs/>
              </w:rPr>
            </w:pPr>
            <w:r>
              <w:rPr>
                <w:rFonts w:hint="default"/>
                <w:b/>
                <w:bCs/>
              </w:rPr>
              <w:t>面源宽度</w:t>
            </w:r>
          </w:p>
          <w:p>
            <w:pPr>
              <w:pStyle w:val="17"/>
              <w:bidi w:val="0"/>
              <w:rPr>
                <w:rFonts w:hint="default"/>
                <w:b/>
                <w:bCs/>
              </w:rPr>
            </w:pPr>
            <w:r>
              <w:rPr>
                <w:rFonts w:hint="default"/>
                <w:b/>
                <w:bCs/>
              </w:rPr>
              <w:t>m</w:t>
            </w:r>
          </w:p>
        </w:tc>
        <w:tc>
          <w:tcPr>
            <w:tcW w:w="848" w:type="dxa"/>
            <w:tcBorders>
              <w:tl2br w:val="nil"/>
              <w:tr2bl w:val="nil"/>
            </w:tcBorders>
            <w:vAlign w:val="center"/>
          </w:tcPr>
          <w:p>
            <w:pPr>
              <w:pStyle w:val="17"/>
              <w:bidi w:val="0"/>
              <w:rPr>
                <w:rFonts w:hint="default"/>
                <w:b/>
                <w:bCs/>
              </w:rPr>
            </w:pPr>
            <w:r>
              <w:rPr>
                <w:rFonts w:hint="default"/>
                <w:b/>
                <w:bCs/>
              </w:rPr>
              <w:t>面源长度</w:t>
            </w:r>
          </w:p>
          <w:p>
            <w:pPr>
              <w:pStyle w:val="17"/>
              <w:bidi w:val="0"/>
              <w:rPr>
                <w:rFonts w:hint="default"/>
                <w:b/>
                <w:bCs/>
              </w:rPr>
            </w:pPr>
            <w:r>
              <w:rPr>
                <w:rFonts w:hint="default"/>
                <w:b/>
                <w:bCs/>
              </w:rPr>
              <w:t>m</w:t>
            </w:r>
          </w:p>
        </w:tc>
        <w:tc>
          <w:tcPr>
            <w:tcW w:w="1327" w:type="dxa"/>
            <w:tcBorders>
              <w:tl2br w:val="nil"/>
              <w:tr2bl w:val="nil"/>
            </w:tcBorders>
            <w:vAlign w:val="center"/>
          </w:tcPr>
          <w:p>
            <w:pPr>
              <w:pStyle w:val="17"/>
              <w:bidi w:val="0"/>
              <w:rPr>
                <w:rFonts w:hint="default"/>
                <w:b/>
                <w:bCs/>
              </w:rPr>
            </w:pPr>
            <w:r>
              <w:rPr>
                <w:rFonts w:hint="default"/>
                <w:b/>
                <w:bCs/>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977"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造粒车间</w:t>
            </w:r>
          </w:p>
        </w:tc>
        <w:tc>
          <w:tcPr>
            <w:tcW w:w="851" w:type="dxa"/>
            <w:tcBorders>
              <w:tl2br w:val="nil"/>
              <w:tr2bl w:val="nil"/>
            </w:tcBorders>
            <w:vAlign w:val="center"/>
          </w:tcPr>
          <w:p>
            <w:pPr>
              <w:pStyle w:val="17"/>
              <w:bidi w:val="0"/>
              <w:rPr>
                <w:rFonts w:hint="default"/>
              </w:rPr>
            </w:pPr>
            <w:r>
              <w:rPr>
                <w:rFonts w:hint="default"/>
              </w:rPr>
              <w:t>非甲烷总烃</w:t>
            </w:r>
          </w:p>
        </w:tc>
        <w:tc>
          <w:tcPr>
            <w:tcW w:w="1091" w:type="dxa"/>
            <w:tcBorders>
              <w:tl2br w:val="nil"/>
              <w:tr2bl w:val="nil"/>
            </w:tcBorders>
            <w:vAlign w:val="center"/>
          </w:tcPr>
          <w:p>
            <w:pPr>
              <w:pStyle w:val="17"/>
              <w:bidi w:val="0"/>
              <w:ind w:firstLine="0" w:firstLineChars="0"/>
              <w:rPr>
                <w:rFonts w:hint="default"/>
                <w:lang w:val="en-US"/>
              </w:rPr>
            </w:pPr>
            <w:r>
              <w:rPr>
                <w:rFonts w:hint="eastAsia"/>
                <w:lang w:val="en-US" w:eastAsia="zh-CN"/>
              </w:rPr>
              <w:t>0.158</w:t>
            </w:r>
          </w:p>
        </w:tc>
        <w:tc>
          <w:tcPr>
            <w:tcW w:w="950"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986"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1055" w:type="dxa"/>
            <w:tcBorders>
              <w:tl2br w:val="nil"/>
              <w:tr2bl w:val="nil"/>
            </w:tcBorders>
            <w:vAlign w:val="center"/>
          </w:tcPr>
          <w:p>
            <w:pPr>
              <w:pStyle w:val="17"/>
              <w:bidi w:val="0"/>
              <w:rPr>
                <w:rFonts w:hint="default"/>
              </w:rPr>
            </w:pPr>
            <w:r>
              <w:rPr>
                <w:rFonts w:hint="default"/>
              </w:rPr>
              <w:t>通风换气</w:t>
            </w:r>
          </w:p>
        </w:tc>
        <w:tc>
          <w:tcPr>
            <w:tcW w:w="986" w:type="dxa"/>
            <w:tcBorders>
              <w:tl2br w:val="nil"/>
              <w:tr2bl w:val="nil"/>
            </w:tcBorders>
            <w:vAlign w:val="center"/>
          </w:tcPr>
          <w:p>
            <w:pPr>
              <w:pStyle w:val="17"/>
              <w:bidi w:val="0"/>
              <w:ind w:firstLine="0" w:firstLineChars="0"/>
              <w:rPr>
                <w:rFonts w:hint="default"/>
                <w:lang w:val="en-US"/>
              </w:rPr>
            </w:pPr>
            <w:r>
              <w:rPr>
                <w:rFonts w:hint="eastAsia"/>
                <w:lang w:val="en-US" w:eastAsia="zh-CN"/>
              </w:rPr>
              <w:t>12</w:t>
            </w:r>
          </w:p>
        </w:tc>
        <w:tc>
          <w:tcPr>
            <w:tcW w:w="848" w:type="dxa"/>
            <w:tcBorders>
              <w:tl2br w:val="nil"/>
              <w:tr2bl w:val="nil"/>
            </w:tcBorders>
            <w:vAlign w:val="center"/>
          </w:tcPr>
          <w:p>
            <w:pPr>
              <w:pStyle w:val="17"/>
              <w:bidi w:val="0"/>
              <w:ind w:firstLine="0" w:firstLineChars="0"/>
              <w:rPr>
                <w:rFonts w:hint="default"/>
                <w:lang w:val="en-US"/>
              </w:rPr>
            </w:pPr>
            <w:r>
              <w:rPr>
                <w:rFonts w:hint="eastAsia"/>
                <w:lang w:val="en-US" w:eastAsia="zh-CN"/>
              </w:rPr>
              <w:t>25</w:t>
            </w:r>
          </w:p>
        </w:tc>
        <w:tc>
          <w:tcPr>
            <w:tcW w:w="1327" w:type="dxa"/>
            <w:tcBorders>
              <w:tl2br w:val="nil"/>
              <w:tr2bl w:val="nil"/>
            </w:tcBorders>
            <w:vAlign w:val="center"/>
          </w:tcPr>
          <w:p>
            <w:pPr>
              <w:pStyle w:val="17"/>
              <w:bidi w:val="0"/>
              <w:rPr>
                <w:rFonts w:hint="default"/>
              </w:rPr>
            </w:pPr>
            <w:r>
              <w:rPr>
                <w:rFonts w:hint="default"/>
              </w:rPr>
              <w:t>无组织面源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977" w:type="dxa"/>
            <w:vMerge w:val="continue"/>
            <w:tcBorders>
              <w:tl2br w:val="nil"/>
              <w:tr2bl w:val="nil"/>
            </w:tcBorders>
            <w:vAlign w:val="center"/>
          </w:tcPr>
          <w:p>
            <w:pPr>
              <w:pStyle w:val="17"/>
              <w:bidi w:val="0"/>
              <w:rPr>
                <w:rFonts w:hint="default"/>
              </w:rPr>
            </w:pPr>
          </w:p>
        </w:tc>
        <w:tc>
          <w:tcPr>
            <w:tcW w:w="851" w:type="dxa"/>
            <w:tcBorders>
              <w:tl2br w:val="nil"/>
              <w:tr2bl w:val="nil"/>
            </w:tcBorders>
            <w:vAlign w:val="center"/>
          </w:tcPr>
          <w:p>
            <w:pPr>
              <w:pStyle w:val="17"/>
              <w:bidi w:val="0"/>
              <w:rPr>
                <w:rFonts w:hint="default"/>
              </w:rPr>
            </w:pPr>
            <w:r>
              <w:rPr>
                <w:rFonts w:hint="default"/>
              </w:rPr>
              <w:t>颗粒物</w:t>
            </w:r>
          </w:p>
        </w:tc>
        <w:tc>
          <w:tcPr>
            <w:tcW w:w="1091" w:type="dxa"/>
            <w:tcBorders>
              <w:tl2br w:val="nil"/>
              <w:tr2bl w:val="nil"/>
            </w:tcBorders>
            <w:vAlign w:val="center"/>
          </w:tcPr>
          <w:p>
            <w:pPr>
              <w:pStyle w:val="17"/>
              <w:bidi w:val="0"/>
              <w:ind w:firstLine="0" w:firstLineChars="0"/>
              <w:rPr>
                <w:rFonts w:hint="default"/>
                <w:lang w:val="en-US"/>
              </w:rPr>
            </w:pPr>
            <w:r>
              <w:rPr>
                <w:rFonts w:hint="eastAsia"/>
                <w:lang w:val="en-US" w:eastAsia="zh-CN"/>
              </w:rPr>
              <w:t>0.033</w:t>
            </w:r>
          </w:p>
        </w:tc>
        <w:tc>
          <w:tcPr>
            <w:tcW w:w="950"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986"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1055" w:type="dxa"/>
            <w:tcBorders>
              <w:tl2br w:val="nil"/>
              <w:tr2bl w:val="nil"/>
            </w:tcBorders>
            <w:vAlign w:val="center"/>
          </w:tcPr>
          <w:p>
            <w:pPr>
              <w:pStyle w:val="17"/>
              <w:bidi w:val="0"/>
              <w:rPr>
                <w:rFonts w:hint="default"/>
              </w:rPr>
            </w:pPr>
            <w:r>
              <w:rPr>
                <w:rFonts w:hint="default"/>
              </w:rPr>
              <w:t>通风换气</w:t>
            </w:r>
          </w:p>
        </w:tc>
        <w:tc>
          <w:tcPr>
            <w:tcW w:w="986" w:type="dxa"/>
            <w:tcBorders>
              <w:tl2br w:val="nil"/>
              <w:tr2bl w:val="nil"/>
            </w:tcBorders>
            <w:vAlign w:val="center"/>
          </w:tcPr>
          <w:p>
            <w:pPr>
              <w:pStyle w:val="17"/>
              <w:bidi w:val="0"/>
              <w:ind w:firstLine="0" w:firstLineChars="0"/>
              <w:rPr>
                <w:rFonts w:hint="default"/>
              </w:rPr>
            </w:pPr>
            <w:r>
              <w:rPr>
                <w:rFonts w:hint="eastAsia"/>
                <w:lang w:val="en-US" w:eastAsia="zh-CN"/>
              </w:rPr>
              <w:t>12</w:t>
            </w:r>
          </w:p>
        </w:tc>
        <w:tc>
          <w:tcPr>
            <w:tcW w:w="848" w:type="dxa"/>
            <w:tcBorders>
              <w:tl2br w:val="nil"/>
              <w:tr2bl w:val="nil"/>
            </w:tcBorders>
            <w:vAlign w:val="center"/>
          </w:tcPr>
          <w:p>
            <w:pPr>
              <w:pStyle w:val="17"/>
              <w:bidi w:val="0"/>
              <w:ind w:firstLine="0" w:firstLineChars="0"/>
              <w:rPr>
                <w:rFonts w:hint="default"/>
              </w:rPr>
            </w:pPr>
            <w:r>
              <w:rPr>
                <w:rFonts w:hint="eastAsia"/>
                <w:lang w:val="en-US" w:eastAsia="zh-CN"/>
              </w:rPr>
              <w:t>25</w:t>
            </w:r>
          </w:p>
        </w:tc>
        <w:tc>
          <w:tcPr>
            <w:tcW w:w="1327" w:type="dxa"/>
            <w:tcBorders>
              <w:tl2br w:val="nil"/>
              <w:tr2bl w:val="nil"/>
            </w:tcBorders>
            <w:vAlign w:val="center"/>
          </w:tcPr>
          <w:p>
            <w:pPr>
              <w:pStyle w:val="17"/>
              <w:bidi w:val="0"/>
              <w:rPr>
                <w:rFonts w:hint="default"/>
              </w:rPr>
            </w:pPr>
            <w:r>
              <w:rPr>
                <w:rFonts w:hint="default"/>
              </w:rPr>
              <w:t>无组织面源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977" w:type="dxa"/>
            <w:tcBorders>
              <w:tl2br w:val="nil"/>
              <w:tr2bl w:val="nil"/>
            </w:tcBorders>
            <w:vAlign w:val="center"/>
          </w:tcPr>
          <w:p>
            <w:pPr>
              <w:pStyle w:val="17"/>
              <w:bidi w:val="0"/>
              <w:rPr>
                <w:rFonts w:hint="default" w:eastAsia="宋体"/>
                <w:lang w:val="en-US" w:eastAsia="zh-CN"/>
              </w:rPr>
            </w:pPr>
            <w:r>
              <w:rPr>
                <w:rFonts w:hint="eastAsia"/>
                <w:lang w:val="en-US" w:eastAsia="zh-CN"/>
              </w:rPr>
              <w:t>生产车间</w:t>
            </w:r>
          </w:p>
        </w:tc>
        <w:tc>
          <w:tcPr>
            <w:tcW w:w="851" w:type="dxa"/>
            <w:tcBorders>
              <w:tl2br w:val="nil"/>
              <w:tr2bl w:val="nil"/>
            </w:tcBorders>
            <w:vAlign w:val="center"/>
          </w:tcPr>
          <w:p>
            <w:pPr>
              <w:pStyle w:val="17"/>
              <w:bidi w:val="0"/>
              <w:rPr>
                <w:rFonts w:hint="default"/>
              </w:rPr>
            </w:pPr>
            <w:r>
              <w:rPr>
                <w:rFonts w:hint="default"/>
              </w:rPr>
              <w:t>非甲烷总烃</w:t>
            </w:r>
          </w:p>
        </w:tc>
        <w:tc>
          <w:tcPr>
            <w:tcW w:w="1091" w:type="dxa"/>
            <w:tcBorders>
              <w:tl2br w:val="nil"/>
              <w:tr2bl w:val="nil"/>
            </w:tcBorders>
            <w:vAlign w:val="center"/>
          </w:tcPr>
          <w:p>
            <w:pPr>
              <w:pStyle w:val="17"/>
              <w:bidi w:val="0"/>
              <w:ind w:firstLine="0" w:firstLineChars="0"/>
              <w:rPr>
                <w:rFonts w:hint="default"/>
                <w:lang w:val="en-US"/>
              </w:rPr>
            </w:pPr>
            <w:r>
              <w:rPr>
                <w:rFonts w:hint="eastAsia"/>
                <w:lang w:val="en-US" w:eastAsia="zh-CN"/>
              </w:rPr>
              <w:t>0.57</w:t>
            </w:r>
          </w:p>
        </w:tc>
        <w:tc>
          <w:tcPr>
            <w:tcW w:w="950" w:type="dxa"/>
            <w:tcBorders>
              <w:tl2br w:val="nil"/>
              <w:tr2bl w:val="nil"/>
            </w:tcBorders>
            <w:vAlign w:val="center"/>
          </w:tcPr>
          <w:p>
            <w:pPr>
              <w:pStyle w:val="17"/>
              <w:bidi w:val="0"/>
              <w:rPr>
                <w:rFonts w:hint="default"/>
              </w:rPr>
            </w:pPr>
            <w:r>
              <w:rPr>
                <w:rFonts w:hint="eastAsia"/>
                <w:lang w:val="en-US" w:eastAsia="zh-CN"/>
              </w:rPr>
              <w:t>/</w:t>
            </w:r>
          </w:p>
        </w:tc>
        <w:tc>
          <w:tcPr>
            <w:tcW w:w="986" w:type="dxa"/>
            <w:tcBorders>
              <w:tl2br w:val="nil"/>
              <w:tr2bl w:val="nil"/>
            </w:tcBorders>
            <w:vAlign w:val="center"/>
          </w:tcPr>
          <w:p>
            <w:pPr>
              <w:pStyle w:val="17"/>
              <w:bidi w:val="0"/>
              <w:rPr>
                <w:rFonts w:hint="default"/>
              </w:rPr>
            </w:pPr>
            <w:r>
              <w:rPr>
                <w:rFonts w:hint="eastAsia"/>
                <w:lang w:val="en-US" w:eastAsia="zh-CN"/>
              </w:rPr>
              <w:t>/</w:t>
            </w:r>
          </w:p>
        </w:tc>
        <w:tc>
          <w:tcPr>
            <w:tcW w:w="1055" w:type="dxa"/>
            <w:tcBorders>
              <w:tl2br w:val="nil"/>
              <w:tr2bl w:val="nil"/>
            </w:tcBorders>
            <w:vAlign w:val="center"/>
          </w:tcPr>
          <w:p>
            <w:pPr>
              <w:pStyle w:val="17"/>
              <w:bidi w:val="0"/>
              <w:rPr>
                <w:rFonts w:hint="default"/>
              </w:rPr>
            </w:pPr>
            <w:r>
              <w:rPr>
                <w:rFonts w:hint="default"/>
              </w:rPr>
              <w:t>通风换气</w:t>
            </w:r>
          </w:p>
        </w:tc>
        <w:tc>
          <w:tcPr>
            <w:tcW w:w="986" w:type="dxa"/>
            <w:tcBorders>
              <w:tl2br w:val="nil"/>
              <w:tr2bl w:val="nil"/>
            </w:tcBorders>
            <w:vAlign w:val="center"/>
          </w:tcPr>
          <w:p>
            <w:pPr>
              <w:pStyle w:val="17"/>
              <w:bidi w:val="0"/>
              <w:ind w:firstLine="0" w:firstLineChars="0"/>
              <w:rPr>
                <w:rFonts w:hint="default"/>
                <w:lang w:val="en-US"/>
              </w:rPr>
            </w:pPr>
            <w:r>
              <w:rPr>
                <w:rFonts w:hint="eastAsia"/>
                <w:lang w:val="en-US" w:eastAsia="zh-CN"/>
              </w:rPr>
              <w:t>20</w:t>
            </w:r>
          </w:p>
        </w:tc>
        <w:tc>
          <w:tcPr>
            <w:tcW w:w="848" w:type="dxa"/>
            <w:tcBorders>
              <w:tl2br w:val="nil"/>
              <w:tr2bl w:val="nil"/>
            </w:tcBorders>
            <w:vAlign w:val="center"/>
          </w:tcPr>
          <w:p>
            <w:pPr>
              <w:pStyle w:val="17"/>
              <w:bidi w:val="0"/>
              <w:ind w:firstLine="0" w:firstLineChars="0"/>
              <w:rPr>
                <w:rFonts w:hint="default"/>
              </w:rPr>
            </w:pPr>
            <w:r>
              <w:rPr>
                <w:rFonts w:hint="eastAsia"/>
                <w:lang w:val="en-US" w:eastAsia="zh-CN"/>
              </w:rPr>
              <w:t>16</w:t>
            </w:r>
          </w:p>
        </w:tc>
        <w:tc>
          <w:tcPr>
            <w:tcW w:w="1327" w:type="dxa"/>
            <w:tcBorders>
              <w:tl2br w:val="nil"/>
              <w:tr2bl w:val="nil"/>
            </w:tcBorders>
            <w:vAlign w:val="center"/>
          </w:tcPr>
          <w:p>
            <w:pPr>
              <w:pStyle w:val="17"/>
              <w:bidi w:val="0"/>
              <w:rPr>
                <w:rFonts w:hint="default"/>
              </w:rPr>
            </w:pPr>
            <w:r>
              <w:rPr>
                <w:rFonts w:hint="default"/>
              </w:rPr>
              <w:t>无组织面源</w:t>
            </w:r>
          </w:p>
        </w:tc>
      </w:tr>
    </w:tbl>
    <w:p>
      <w:pPr>
        <w:bidi w:val="0"/>
        <w:rPr>
          <w:rFonts w:hint="default"/>
        </w:rPr>
      </w:pPr>
      <w:r>
        <w:rPr>
          <w:rFonts w:hint="default"/>
        </w:rPr>
        <w:t>本项目非正常工况主要考虑废气处理装置失效时的情况。非正常工况下，项目排气筒排放的废气源强见表5.1-</w:t>
      </w:r>
      <w:r>
        <w:rPr>
          <w:rFonts w:hint="eastAsia"/>
          <w:lang w:val="en-US" w:eastAsia="zh-CN"/>
        </w:rPr>
        <w:t>5</w:t>
      </w:r>
      <w:r>
        <w:rPr>
          <w:rFonts w:hint="default"/>
        </w:rPr>
        <w:t>。</w:t>
      </w:r>
    </w:p>
    <w:p>
      <w:pPr>
        <w:pStyle w:val="17"/>
        <w:bidi w:val="0"/>
        <w:rPr>
          <w:rFonts w:hint="default"/>
          <w:b/>
          <w:bCs/>
        </w:rPr>
      </w:pPr>
      <w:r>
        <w:rPr>
          <w:rFonts w:hint="default"/>
          <w:b/>
          <w:bCs/>
        </w:rPr>
        <w:t>表5.1-</w:t>
      </w:r>
      <w:r>
        <w:rPr>
          <w:rFonts w:hint="eastAsia"/>
          <w:b/>
          <w:bCs/>
          <w:lang w:val="en-US" w:eastAsia="zh-CN"/>
        </w:rPr>
        <w:t xml:space="preserve">5  </w:t>
      </w:r>
      <w:r>
        <w:rPr>
          <w:rFonts w:hint="default"/>
          <w:b/>
          <w:bCs/>
        </w:rPr>
        <w:t xml:space="preserve"> 非正常情况下废气产生排放表（有组织排放）</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76"/>
        <w:gridCol w:w="1321"/>
        <w:gridCol w:w="1079"/>
        <w:gridCol w:w="1100"/>
        <w:gridCol w:w="1098"/>
        <w:gridCol w:w="1098"/>
        <w:gridCol w:w="1099"/>
        <w:gridCol w:w="11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95" w:hRule="atLeast"/>
          <w:jc w:val="center"/>
        </w:trPr>
        <w:tc>
          <w:tcPr>
            <w:tcW w:w="1176" w:type="dxa"/>
            <w:vMerge w:val="restart"/>
            <w:tcBorders>
              <w:tl2br w:val="nil"/>
              <w:tr2bl w:val="nil"/>
            </w:tcBorders>
            <w:vAlign w:val="center"/>
          </w:tcPr>
          <w:p>
            <w:pPr>
              <w:pStyle w:val="17"/>
              <w:bidi w:val="0"/>
              <w:rPr>
                <w:rFonts w:hint="default"/>
                <w:b/>
                <w:bCs/>
              </w:rPr>
            </w:pPr>
            <w:r>
              <w:rPr>
                <w:rFonts w:hint="default"/>
                <w:b/>
                <w:bCs/>
              </w:rPr>
              <w:t>污染源</w:t>
            </w:r>
          </w:p>
        </w:tc>
        <w:tc>
          <w:tcPr>
            <w:tcW w:w="1321" w:type="dxa"/>
            <w:vMerge w:val="restart"/>
            <w:tcBorders>
              <w:tl2br w:val="nil"/>
              <w:tr2bl w:val="nil"/>
            </w:tcBorders>
            <w:vAlign w:val="center"/>
          </w:tcPr>
          <w:p>
            <w:pPr>
              <w:pStyle w:val="17"/>
              <w:bidi w:val="0"/>
              <w:rPr>
                <w:rFonts w:hint="default"/>
                <w:b/>
                <w:bCs/>
              </w:rPr>
            </w:pPr>
            <w:r>
              <w:rPr>
                <w:rFonts w:hint="default"/>
                <w:b/>
                <w:bCs/>
              </w:rPr>
              <w:t>污染物</w:t>
            </w:r>
          </w:p>
        </w:tc>
        <w:tc>
          <w:tcPr>
            <w:tcW w:w="1079" w:type="dxa"/>
            <w:vMerge w:val="restart"/>
            <w:tcBorders>
              <w:tl2br w:val="nil"/>
              <w:tr2bl w:val="nil"/>
            </w:tcBorders>
            <w:vAlign w:val="center"/>
          </w:tcPr>
          <w:p>
            <w:pPr>
              <w:pStyle w:val="17"/>
              <w:bidi w:val="0"/>
              <w:rPr>
                <w:rFonts w:hint="default"/>
                <w:b/>
                <w:bCs/>
              </w:rPr>
            </w:pPr>
            <w:r>
              <w:rPr>
                <w:rFonts w:hint="default"/>
                <w:b/>
                <w:bCs/>
              </w:rPr>
              <w:t>废气量</w:t>
            </w:r>
            <w:r>
              <w:rPr>
                <w:rFonts w:hint="eastAsia"/>
                <w:b/>
                <w:bCs/>
                <w:lang w:eastAsia="zh-CN"/>
              </w:rPr>
              <w:t>m³</w:t>
            </w:r>
            <w:r>
              <w:rPr>
                <w:rFonts w:hint="default"/>
                <w:b/>
                <w:bCs/>
              </w:rPr>
              <w:t>/h</w:t>
            </w:r>
          </w:p>
        </w:tc>
        <w:tc>
          <w:tcPr>
            <w:tcW w:w="1100" w:type="dxa"/>
            <w:vMerge w:val="restart"/>
            <w:tcBorders>
              <w:tl2br w:val="nil"/>
              <w:tr2bl w:val="nil"/>
            </w:tcBorders>
            <w:vAlign w:val="center"/>
          </w:tcPr>
          <w:p>
            <w:pPr>
              <w:pStyle w:val="17"/>
              <w:bidi w:val="0"/>
              <w:rPr>
                <w:rFonts w:hint="default"/>
                <w:b/>
                <w:bCs/>
              </w:rPr>
            </w:pPr>
            <w:r>
              <w:rPr>
                <w:rFonts w:hint="default"/>
                <w:b/>
                <w:bCs/>
              </w:rPr>
              <w:t>排放速率kg/h</w:t>
            </w:r>
          </w:p>
        </w:tc>
        <w:tc>
          <w:tcPr>
            <w:tcW w:w="1098" w:type="dxa"/>
            <w:vMerge w:val="restart"/>
            <w:tcBorders>
              <w:tl2br w:val="nil"/>
              <w:tr2bl w:val="nil"/>
            </w:tcBorders>
            <w:vAlign w:val="center"/>
          </w:tcPr>
          <w:p>
            <w:pPr>
              <w:pStyle w:val="17"/>
              <w:bidi w:val="0"/>
              <w:rPr>
                <w:rFonts w:hint="default"/>
                <w:b/>
                <w:bCs/>
              </w:rPr>
            </w:pPr>
            <w:r>
              <w:rPr>
                <w:rFonts w:hint="default"/>
                <w:b/>
                <w:bCs/>
              </w:rPr>
              <w:t>排气温度（℃）</w:t>
            </w:r>
          </w:p>
        </w:tc>
        <w:tc>
          <w:tcPr>
            <w:tcW w:w="2197" w:type="dxa"/>
            <w:gridSpan w:val="2"/>
            <w:tcBorders>
              <w:tl2br w:val="nil"/>
              <w:tr2bl w:val="nil"/>
            </w:tcBorders>
            <w:vAlign w:val="center"/>
          </w:tcPr>
          <w:p>
            <w:pPr>
              <w:pStyle w:val="17"/>
              <w:bidi w:val="0"/>
              <w:rPr>
                <w:rFonts w:hint="default"/>
                <w:b/>
                <w:bCs/>
              </w:rPr>
            </w:pPr>
            <w:r>
              <w:rPr>
                <w:rFonts w:hint="default"/>
                <w:b/>
                <w:bCs/>
              </w:rPr>
              <w:t>排气筒（m）</w:t>
            </w:r>
          </w:p>
        </w:tc>
        <w:tc>
          <w:tcPr>
            <w:tcW w:w="1100" w:type="dxa"/>
            <w:vMerge w:val="restart"/>
            <w:tcBorders>
              <w:tl2br w:val="nil"/>
              <w:tr2bl w:val="nil"/>
            </w:tcBorders>
            <w:vAlign w:val="center"/>
          </w:tcPr>
          <w:p>
            <w:pPr>
              <w:pStyle w:val="17"/>
              <w:bidi w:val="0"/>
              <w:rPr>
                <w:rFonts w:hint="default"/>
                <w:b/>
                <w:bCs/>
              </w:rPr>
            </w:pPr>
            <w:r>
              <w:rPr>
                <w:rFonts w:hint="default"/>
                <w:b/>
                <w:bCs/>
              </w:rPr>
              <w:t>污染源</w:t>
            </w:r>
          </w:p>
          <w:p>
            <w:pPr>
              <w:pStyle w:val="17"/>
              <w:bidi w:val="0"/>
              <w:rPr>
                <w:rFonts w:hint="default"/>
                <w:b/>
                <w:bCs/>
              </w:rPr>
            </w:pPr>
            <w:r>
              <w:rPr>
                <w:rFonts w:hint="default"/>
                <w:b/>
                <w:bCs/>
              </w:rPr>
              <w:t>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77" w:hRule="atLeast"/>
          <w:jc w:val="center"/>
        </w:trPr>
        <w:tc>
          <w:tcPr>
            <w:tcW w:w="1176" w:type="dxa"/>
            <w:vMerge w:val="continue"/>
            <w:tcBorders>
              <w:tl2br w:val="nil"/>
              <w:tr2bl w:val="nil"/>
            </w:tcBorders>
            <w:vAlign w:val="center"/>
          </w:tcPr>
          <w:p>
            <w:pPr>
              <w:pStyle w:val="17"/>
              <w:bidi w:val="0"/>
              <w:rPr>
                <w:rFonts w:hint="default"/>
                <w:b/>
                <w:bCs/>
              </w:rPr>
            </w:pPr>
          </w:p>
        </w:tc>
        <w:tc>
          <w:tcPr>
            <w:tcW w:w="1321" w:type="dxa"/>
            <w:vMerge w:val="continue"/>
            <w:tcBorders>
              <w:tl2br w:val="nil"/>
              <w:tr2bl w:val="nil"/>
            </w:tcBorders>
            <w:vAlign w:val="center"/>
          </w:tcPr>
          <w:p>
            <w:pPr>
              <w:pStyle w:val="17"/>
              <w:bidi w:val="0"/>
              <w:rPr>
                <w:rFonts w:hint="default"/>
                <w:b/>
                <w:bCs/>
              </w:rPr>
            </w:pPr>
          </w:p>
        </w:tc>
        <w:tc>
          <w:tcPr>
            <w:tcW w:w="1079" w:type="dxa"/>
            <w:vMerge w:val="continue"/>
            <w:tcBorders>
              <w:tl2br w:val="nil"/>
              <w:tr2bl w:val="nil"/>
            </w:tcBorders>
            <w:vAlign w:val="center"/>
          </w:tcPr>
          <w:p>
            <w:pPr>
              <w:pStyle w:val="17"/>
              <w:bidi w:val="0"/>
              <w:rPr>
                <w:rFonts w:hint="default"/>
                <w:b/>
                <w:bCs/>
              </w:rPr>
            </w:pPr>
          </w:p>
        </w:tc>
        <w:tc>
          <w:tcPr>
            <w:tcW w:w="1100" w:type="dxa"/>
            <w:vMerge w:val="continue"/>
            <w:tcBorders>
              <w:tl2br w:val="nil"/>
              <w:tr2bl w:val="nil"/>
            </w:tcBorders>
            <w:vAlign w:val="center"/>
          </w:tcPr>
          <w:p>
            <w:pPr>
              <w:pStyle w:val="17"/>
              <w:bidi w:val="0"/>
              <w:rPr>
                <w:rFonts w:hint="default"/>
                <w:b/>
                <w:bCs/>
              </w:rPr>
            </w:pPr>
          </w:p>
        </w:tc>
        <w:tc>
          <w:tcPr>
            <w:tcW w:w="1098" w:type="dxa"/>
            <w:vMerge w:val="continue"/>
            <w:tcBorders>
              <w:tl2br w:val="nil"/>
              <w:tr2bl w:val="nil"/>
            </w:tcBorders>
            <w:vAlign w:val="center"/>
          </w:tcPr>
          <w:p>
            <w:pPr>
              <w:pStyle w:val="17"/>
              <w:bidi w:val="0"/>
              <w:rPr>
                <w:rFonts w:hint="default"/>
                <w:b/>
                <w:bCs/>
              </w:rPr>
            </w:pPr>
          </w:p>
        </w:tc>
        <w:tc>
          <w:tcPr>
            <w:tcW w:w="1098" w:type="dxa"/>
            <w:tcBorders>
              <w:tl2br w:val="nil"/>
              <w:tr2bl w:val="nil"/>
            </w:tcBorders>
            <w:vAlign w:val="center"/>
          </w:tcPr>
          <w:p>
            <w:pPr>
              <w:pStyle w:val="17"/>
              <w:bidi w:val="0"/>
              <w:rPr>
                <w:rFonts w:hint="default"/>
                <w:b/>
                <w:bCs/>
              </w:rPr>
            </w:pPr>
            <w:r>
              <w:rPr>
                <w:rFonts w:hint="default"/>
                <w:b/>
                <w:bCs/>
              </w:rPr>
              <w:t>高度</w:t>
            </w:r>
          </w:p>
        </w:tc>
        <w:tc>
          <w:tcPr>
            <w:tcW w:w="1099" w:type="dxa"/>
            <w:tcBorders>
              <w:tl2br w:val="nil"/>
              <w:tr2bl w:val="nil"/>
            </w:tcBorders>
            <w:vAlign w:val="center"/>
          </w:tcPr>
          <w:p>
            <w:pPr>
              <w:pStyle w:val="17"/>
              <w:bidi w:val="0"/>
              <w:rPr>
                <w:rFonts w:hint="default"/>
                <w:b/>
                <w:bCs/>
              </w:rPr>
            </w:pPr>
            <w:r>
              <w:rPr>
                <w:rFonts w:hint="default"/>
                <w:b/>
                <w:bCs/>
              </w:rPr>
              <w:t>内径</w:t>
            </w:r>
          </w:p>
        </w:tc>
        <w:tc>
          <w:tcPr>
            <w:tcW w:w="1100" w:type="dxa"/>
            <w:vMerge w:val="continue"/>
            <w:tcBorders>
              <w:tl2br w:val="nil"/>
              <w:tr2bl w:val="nil"/>
            </w:tcBorders>
            <w:vAlign w:val="center"/>
          </w:tcPr>
          <w:p>
            <w:pPr>
              <w:pStyle w:val="17"/>
              <w:bidi w:val="0"/>
              <w:rPr>
                <w:rFonts w:hint="default"/>
                <w:b/>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41" w:hRule="atLeast"/>
          <w:jc w:val="center"/>
        </w:trPr>
        <w:tc>
          <w:tcPr>
            <w:tcW w:w="1176" w:type="dxa"/>
            <w:tcBorders>
              <w:tl2br w:val="nil"/>
              <w:tr2bl w:val="nil"/>
            </w:tcBorders>
            <w:vAlign w:val="center"/>
          </w:tcPr>
          <w:p>
            <w:pPr>
              <w:pStyle w:val="17"/>
              <w:bidi w:val="0"/>
              <w:rPr>
                <w:rFonts w:hint="default" w:eastAsia="宋体"/>
                <w:lang w:val="en-US" w:eastAsia="zh-CN"/>
              </w:rPr>
            </w:pPr>
            <w:r>
              <w:rPr>
                <w:rFonts w:hint="eastAsia"/>
                <w:lang w:val="en-US" w:eastAsia="zh-CN"/>
              </w:rPr>
              <w:t>造粒车间</w:t>
            </w:r>
          </w:p>
        </w:tc>
        <w:tc>
          <w:tcPr>
            <w:tcW w:w="1321" w:type="dxa"/>
            <w:tcBorders>
              <w:tl2br w:val="nil"/>
              <w:tr2bl w:val="nil"/>
            </w:tcBorders>
            <w:vAlign w:val="center"/>
          </w:tcPr>
          <w:p>
            <w:pPr>
              <w:pStyle w:val="17"/>
              <w:bidi w:val="0"/>
              <w:rPr>
                <w:rFonts w:hint="default"/>
              </w:rPr>
            </w:pPr>
            <w:r>
              <w:rPr>
                <w:rFonts w:hint="default"/>
              </w:rPr>
              <w:t>非甲烷总烃</w:t>
            </w:r>
          </w:p>
        </w:tc>
        <w:tc>
          <w:tcPr>
            <w:tcW w:w="1079" w:type="dxa"/>
            <w:tcBorders>
              <w:tl2br w:val="nil"/>
              <w:tr2bl w:val="nil"/>
            </w:tcBorders>
            <w:vAlign w:val="center"/>
          </w:tcPr>
          <w:p>
            <w:pPr>
              <w:pStyle w:val="17"/>
              <w:bidi w:val="0"/>
              <w:rPr>
                <w:rFonts w:hint="default"/>
              </w:rPr>
            </w:pPr>
            <w:r>
              <w:rPr>
                <w:rFonts w:hint="eastAsia"/>
                <w:lang w:val="en-US" w:eastAsia="zh-CN"/>
              </w:rPr>
              <w:t>10</w:t>
            </w:r>
            <w:r>
              <w:rPr>
                <w:rFonts w:hint="default"/>
              </w:rPr>
              <w:t>000</w:t>
            </w:r>
          </w:p>
        </w:tc>
        <w:tc>
          <w:tcPr>
            <w:tcW w:w="1100" w:type="dxa"/>
            <w:tcBorders>
              <w:tl2br w:val="nil"/>
              <w:tr2bl w:val="nil"/>
            </w:tcBorders>
            <w:vAlign w:val="center"/>
          </w:tcPr>
          <w:p>
            <w:pPr>
              <w:pStyle w:val="17"/>
              <w:bidi w:val="0"/>
              <w:rPr>
                <w:rFonts w:hint="default"/>
                <w:lang w:val="en-US" w:eastAsia="zh-CN"/>
              </w:rPr>
            </w:pPr>
            <w:r>
              <w:rPr>
                <w:rFonts w:hint="eastAsia"/>
                <w:lang w:val="en-US" w:eastAsia="zh-CN"/>
              </w:rPr>
              <w:t>1.13</w:t>
            </w:r>
          </w:p>
        </w:tc>
        <w:tc>
          <w:tcPr>
            <w:tcW w:w="1098" w:type="dxa"/>
            <w:tcBorders>
              <w:tl2br w:val="nil"/>
              <w:tr2bl w:val="nil"/>
            </w:tcBorders>
            <w:vAlign w:val="center"/>
          </w:tcPr>
          <w:p>
            <w:pPr>
              <w:pStyle w:val="17"/>
              <w:bidi w:val="0"/>
              <w:rPr>
                <w:rFonts w:hint="default"/>
              </w:rPr>
            </w:pPr>
            <w:r>
              <w:rPr>
                <w:rFonts w:hint="default"/>
              </w:rPr>
              <w:t>20</w:t>
            </w:r>
          </w:p>
        </w:tc>
        <w:tc>
          <w:tcPr>
            <w:tcW w:w="1098" w:type="dxa"/>
            <w:tcBorders>
              <w:tl2br w:val="nil"/>
              <w:tr2bl w:val="nil"/>
            </w:tcBorders>
            <w:vAlign w:val="center"/>
          </w:tcPr>
          <w:p>
            <w:pPr>
              <w:pStyle w:val="17"/>
              <w:bidi w:val="0"/>
              <w:rPr>
                <w:rFonts w:hint="default"/>
              </w:rPr>
            </w:pPr>
            <w:r>
              <w:rPr>
                <w:rFonts w:hint="default"/>
              </w:rPr>
              <w:t>15</w:t>
            </w:r>
          </w:p>
        </w:tc>
        <w:tc>
          <w:tcPr>
            <w:tcW w:w="1099" w:type="dxa"/>
            <w:tcBorders>
              <w:tl2br w:val="nil"/>
              <w:tr2bl w:val="nil"/>
            </w:tcBorders>
            <w:vAlign w:val="center"/>
          </w:tcPr>
          <w:p>
            <w:pPr>
              <w:pStyle w:val="17"/>
              <w:bidi w:val="0"/>
              <w:rPr>
                <w:rFonts w:hint="eastAsia"/>
                <w:lang w:eastAsia="zh-CN"/>
              </w:rPr>
            </w:pPr>
            <w:r>
              <w:rPr>
                <w:rFonts w:hint="default"/>
              </w:rPr>
              <w:t>0.</w:t>
            </w:r>
            <w:r>
              <w:rPr>
                <w:rFonts w:hint="eastAsia"/>
                <w:lang w:val="en-US" w:eastAsia="zh-CN"/>
              </w:rPr>
              <w:t>5</w:t>
            </w:r>
          </w:p>
        </w:tc>
        <w:tc>
          <w:tcPr>
            <w:tcW w:w="1100" w:type="dxa"/>
            <w:tcBorders>
              <w:tl2br w:val="nil"/>
              <w:tr2bl w:val="nil"/>
            </w:tcBorders>
            <w:vAlign w:val="center"/>
          </w:tcPr>
          <w:p>
            <w:pPr>
              <w:pStyle w:val="17"/>
              <w:bidi w:val="0"/>
              <w:rPr>
                <w:rFonts w:hint="default"/>
              </w:rPr>
            </w:pPr>
            <w:r>
              <w:rPr>
                <w:rFonts w:hint="default"/>
              </w:rPr>
              <w:t>点源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41" w:hRule="atLeast"/>
          <w:jc w:val="center"/>
        </w:trPr>
        <w:tc>
          <w:tcPr>
            <w:tcW w:w="1176" w:type="dxa"/>
            <w:tcBorders>
              <w:tl2br w:val="nil"/>
              <w:tr2bl w:val="nil"/>
            </w:tcBorders>
            <w:vAlign w:val="center"/>
          </w:tcPr>
          <w:p>
            <w:pPr>
              <w:pStyle w:val="17"/>
              <w:bidi w:val="0"/>
              <w:rPr>
                <w:rFonts w:hint="default" w:eastAsia="宋体"/>
                <w:lang w:val="en-US" w:eastAsia="zh-CN"/>
              </w:rPr>
            </w:pPr>
            <w:r>
              <w:rPr>
                <w:rFonts w:hint="eastAsia"/>
                <w:lang w:val="en-US" w:eastAsia="zh-CN"/>
              </w:rPr>
              <w:t>生产车间</w:t>
            </w:r>
          </w:p>
        </w:tc>
        <w:tc>
          <w:tcPr>
            <w:tcW w:w="1321" w:type="dxa"/>
            <w:tcBorders>
              <w:tl2br w:val="nil"/>
              <w:tr2bl w:val="nil"/>
            </w:tcBorders>
            <w:vAlign w:val="center"/>
          </w:tcPr>
          <w:p>
            <w:pPr>
              <w:pStyle w:val="17"/>
              <w:bidi w:val="0"/>
              <w:rPr>
                <w:rFonts w:hint="default"/>
              </w:rPr>
            </w:pPr>
            <w:r>
              <w:rPr>
                <w:rFonts w:hint="default"/>
              </w:rPr>
              <w:t>非甲烷总烃</w:t>
            </w:r>
          </w:p>
        </w:tc>
        <w:tc>
          <w:tcPr>
            <w:tcW w:w="1079" w:type="dxa"/>
            <w:tcBorders>
              <w:tl2br w:val="nil"/>
              <w:tr2bl w:val="nil"/>
            </w:tcBorders>
            <w:vAlign w:val="center"/>
          </w:tcPr>
          <w:p>
            <w:pPr>
              <w:pStyle w:val="17"/>
              <w:bidi w:val="0"/>
              <w:rPr>
                <w:rFonts w:hint="default"/>
              </w:rPr>
            </w:pPr>
            <w:r>
              <w:rPr>
                <w:rFonts w:hint="eastAsia"/>
                <w:lang w:val="en-US" w:eastAsia="zh-CN"/>
              </w:rPr>
              <w:t>20</w:t>
            </w:r>
            <w:r>
              <w:rPr>
                <w:rFonts w:hint="default"/>
              </w:rPr>
              <w:t>000</w:t>
            </w:r>
          </w:p>
        </w:tc>
        <w:tc>
          <w:tcPr>
            <w:tcW w:w="1100" w:type="dxa"/>
            <w:tcBorders>
              <w:tl2br w:val="nil"/>
              <w:tr2bl w:val="nil"/>
            </w:tcBorders>
            <w:vAlign w:val="center"/>
          </w:tcPr>
          <w:p>
            <w:pPr>
              <w:pStyle w:val="17"/>
              <w:bidi w:val="0"/>
              <w:rPr>
                <w:rFonts w:hint="default"/>
                <w:lang w:val="en-US"/>
              </w:rPr>
            </w:pPr>
            <w:r>
              <w:rPr>
                <w:rFonts w:hint="eastAsia"/>
                <w:lang w:val="en-US" w:eastAsia="zh-CN"/>
              </w:rPr>
              <w:t>5.35</w:t>
            </w:r>
          </w:p>
        </w:tc>
        <w:tc>
          <w:tcPr>
            <w:tcW w:w="1098" w:type="dxa"/>
            <w:tcBorders>
              <w:tl2br w:val="nil"/>
              <w:tr2bl w:val="nil"/>
            </w:tcBorders>
            <w:vAlign w:val="center"/>
          </w:tcPr>
          <w:p>
            <w:pPr>
              <w:pStyle w:val="17"/>
              <w:bidi w:val="0"/>
              <w:rPr>
                <w:rFonts w:hint="default"/>
              </w:rPr>
            </w:pPr>
            <w:r>
              <w:rPr>
                <w:rFonts w:hint="default"/>
              </w:rPr>
              <w:t>20</w:t>
            </w:r>
          </w:p>
        </w:tc>
        <w:tc>
          <w:tcPr>
            <w:tcW w:w="1098" w:type="dxa"/>
            <w:tcBorders>
              <w:tl2br w:val="nil"/>
              <w:tr2bl w:val="nil"/>
            </w:tcBorders>
            <w:vAlign w:val="center"/>
          </w:tcPr>
          <w:p>
            <w:pPr>
              <w:pStyle w:val="17"/>
              <w:bidi w:val="0"/>
              <w:rPr>
                <w:rFonts w:hint="default"/>
              </w:rPr>
            </w:pPr>
            <w:r>
              <w:rPr>
                <w:rFonts w:hint="default"/>
              </w:rPr>
              <w:t>15</w:t>
            </w:r>
          </w:p>
        </w:tc>
        <w:tc>
          <w:tcPr>
            <w:tcW w:w="1099" w:type="dxa"/>
            <w:tcBorders>
              <w:tl2br w:val="nil"/>
              <w:tr2bl w:val="nil"/>
            </w:tcBorders>
            <w:vAlign w:val="center"/>
          </w:tcPr>
          <w:p>
            <w:pPr>
              <w:pStyle w:val="17"/>
              <w:bidi w:val="0"/>
              <w:rPr>
                <w:rFonts w:hint="default"/>
              </w:rPr>
            </w:pPr>
            <w:r>
              <w:rPr>
                <w:rFonts w:hint="default"/>
              </w:rPr>
              <w:t>0.</w:t>
            </w:r>
            <w:r>
              <w:rPr>
                <w:rFonts w:hint="eastAsia"/>
                <w:lang w:val="en-US" w:eastAsia="zh-CN"/>
              </w:rPr>
              <w:t>5</w:t>
            </w:r>
          </w:p>
        </w:tc>
        <w:tc>
          <w:tcPr>
            <w:tcW w:w="1100" w:type="dxa"/>
            <w:tcBorders>
              <w:tl2br w:val="nil"/>
              <w:tr2bl w:val="nil"/>
            </w:tcBorders>
            <w:vAlign w:val="center"/>
          </w:tcPr>
          <w:p>
            <w:pPr>
              <w:pStyle w:val="17"/>
              <w:bidi w:val="0"/>
              <w:rPr>
                <w:rFonts w:hint="default"/>
              </w:rPr>
            </w:pPr>
            <w:r>
              <w:rPr>
                <w:rFonts w:hint="default"/>
              </w:rPr>
              <w:t>点源</w:t>
            </w:r>
          </w:p>
        </w:tc>
      </w:tr>
    </w:tbl>
    <w:p>
      <w:pPr>
        <w:pStyle w:val="5"/>
        <w:bidi w:val="0"/>
        <w:rPr>
          <w:rFonts w:hint="default"/>
        </w:rPr>
      </w:pPr>
      <w:r>
        <w:rPr>
          <w:rFonts w:hint="default"/>
        </w:rPr>
        <w:t>5.1.3</w:t>
      </w:r>
      <w:r>
        <w:rPr>
          <w:rFonts w:hint="eastAsia"/>
          <w:lang w:eastAsia="zh-CN"/>
        </w:rPr>
        <w:t>、</w:t>
      </w:r>
      <w:r>
        <w:rPr>
          <w:rFonts w:hint="default"/>
        </w:rPr>
        <w:t>预测结果与分析</w:t>
      </w:r>
    </w:p>
    <w:p>
      <w:pPr>
        <w:pStyle w:val="6"/>
        <w:bidi w:val="0"/>
        <w:rPr>
          <w:rFonts w:hint="default"/>
        </w:rPr>
      </w:pPr>
      <w:r>
        <w:rPr>
          <w:rFonts w:hint="default"/>
        </w:rPr>
        <w:t>5.1.3.1</w:t>
      </w:r>
      <w:r>
        <w:rPr>
          <w:rFonts w:hint="eastAsia"/>
          <w:lang w:eastAsia="zh-CN"/>
        </w:rPr>
        <w:t>、</w:t>
      </w:r>
      <w:r>
        <w:rPr>
          <w:rFonts w:hint="default"/>
        </w:rPr>
        <w:t>正常工况大气污染物预测分析</w:t>
      </w:r>
    </w:p>
    <w:p>
      <w:pPr>
        <w:bidi w:val="0"/>
        <w:rPr>
          <w:rFonts w:hint="default"/>
        </w:rPr>
      </w:pPr>
      <w:r>
        <w:rPr>
          <w:rFonts w:hint="default"/>
        </w:rPr>
        <w:t>采用大气环境影响评价采用《环境影响评价技术导则·大气环境》(HJ2.2-2018)推荐模式清单中的估算模式分别计算各污染源的所有污染物的下风向轴线浓度，并计算相应浓度占标率。正常工况下有组织排放废气污染物落地浓度估算见表5.1-</w:t>
      </w:r>
      <w:r>
        <w:rPr>
          <w:rFonts w:hint="eastAsia"/>
          <w:lang w:val="en-US" w:eastAsia="zh-CN"/>
        </w:rPr>
        <w:t>6</w:t>
      </w:r>
      <w:r>
        <w:rPr>
          <w:rFonts w:hint="default"/>
        </w:rPr>
        <w:t>，正常工况下无组织排放废气污染物落地浓度估算见表5.1-</w:t>
      </w:r>
      <w:r>
        <w:rPr>
          <w:rFonts w:hint="eastAsia"/>
          <w:lang w:val="en-US" w:eastAsia="zh-CN"/>
        </w:rPr>
        <w:t>7</w:t>
      </w:r>
      <w:r>
        <w:rPr>
          <w:rFonts w:hint="default"/>
        </w:rPr>
        <w:t>。</w:t>
      </w:r>
    </w:p>
    <w:p>
      <w:pPr>
        <w:pStyle w:val="17"/>
        <w:bidi w:val="0"/>
        <w:rPr>
          <w:rFonts w:hint="default"/>
          <w:b/>
          <w:bCs/>
        </w:rPr>
      </w:pPr>
      <w:r>
        <w:rPr>
          <w:rFonts w:hint="default"/>
          <w:b/>
          <w:bCs/>
        </w:rPr>
        <w:t>表5.1-</w:t>
      </w:r>
      <w:r>
        <w:rPr>
          <w:rFonts w:hint="eastAsia"/>
          <w:b/>
          <w:bCs/>
          <w:lang w:val="en-US" w:eastAsia="zh-CN"/>
        </w:rPr>
        <w:t>6</w:t>
      </w:r>
      <w:r>
        <w:rPr>
          <w:rFonts w:hint="default"/>
          <w:b/>
          <w:bCs/>
        </w:rPr>
        <w:t xml:space="preserve">  </w:t>
      </w:r>
      <w:r>
        <w:rPr>
          <w:rFonts w:hint="eastAsia"/>
          <w:b/>
          <w:bCs/>
          <w:lang w:val="en-US" w:eastAsia="zh-CN"/>
        </w:rPr>
        <w:t xml:space="preserve"> </w:t>
      </w:r>
      <w:r>
        <w:rPr>
          <w:rFonts w:hint="default"/>
          <w:b/>
          <w:bCs/>
        </w:rPr>
        <w:t>正常工况下有组织废气大气污染物落地浓度估算</w:t>
      </w:r>
    </w:p>
    <w:tbl>
      <w:tblPr>
        <w:tblStyle w:val="12"/>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186"/>
        <w:gridCol w:w="1578"/>
        <w:gridCol w:w="1580"/>
        <w:gridCol w:w="1579"/>
        <w:gridCol w:w="15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vMerge w:val="restart"/>
            <w:tcBorders>
              <w:tl2br w:val="nil"/>
              <w:tr2bl w:val="nil"/>
            </w:tcBorders>
            <w:vAlign w:val="center"/>
          </w:tcPr>
          <w:p>
            <w:pPr>
              <w:pStyle w:val="17"/>
              <w:bidi w:val="0"/>
              <w:rPr>
                <w:rFonts w:hint="default"/>
                <w:b/>
                <w:bCs/>
              </w:rPr>
            </w:pPr>
            <w:r>
              <w:rPr>
                <w:rFonts w:hint="default"/>
                <w:b/>
                <w:bCs/>
              </w:rPr>
              <w:t>下风向距离（m）</w:t>
            </w:r>
          </w:p>
        </w:tc>
        <w:tc>
          <w:tcPr>
            <w:tcW w:w="3158" w:type="dxa"/>
            <w:gridSpan w:val="2"/>
            <w:tcBorders>
              <w:tl2br w:val="nil"/>
              <w:tr2bl w:val="nil"/>
            </w:tcBorders>
            <w:vAlign w:val="center"/>
          </w:tcPr>
          <w:p>
            <w:pPr>
              <w:pStyle w:val="17"/>
              <w:bidi w:val="0"/>
              <w:rPr>
                <w:rFonts w:hint="default"/>
                <w:b/>
                <w:bCs/>
              </w:rPr>
            </w:pPr>
            <w:r>
              <w:rPr>
                <w:rFonts w:hint="eastAsia"/>
                <w:b/>
                <w:bCs/>
                <w:lang w:val="en-US" w:eastAsia="zh-CN"/>
              </w:rPr>
              <w:t>生产车间</w:t>
            </w:r>
            <w:r>
              <w:rPr>
                <w:rFonts w:hint="default"/>
                <w:b/>
                <w:bCs/>
              </w:rPr>
              <w:t>非甲烷总烃</w:t>
            </w:r>
          </w:p>
        </w:tc>
        <w:tc>
          <w:tcPr>
            <w:tcW w:w="3160" w:type="dxa"/>
            <w:gridSpan w:val="2"/>
            <w:tcBorders>
              <w:tl2br w:val="nil"/>
              <w:tr2bl w:val="nil"/>
            </w:tcBorders>
            <w:vAlign w:val="center"/>
          </w:tcPr>
          <w:p>
            <w:pPr>
              <w:pStyle w:val="17"/>
              <w:bidi w:val="0"/>
              <w:rPr>
                <w:rFonts w:hint="default"/>
                <w:b/>
                <w:bCs/>
              </w:rPr>
            </w:pPr>
            <w:r>
              <w:rPr>
                <w:rFonts w:hint="eastAsia"/>
                <w:b/>
                <w:bCs/>
                <w:lang w:val="en-US" w:eastAsia="zh-CN"/>
              </w:rPr>
              <w:t>造粒车间</w:t>
            </w:r>
            <w:r>
              <w:rPr>
                <w:rFonts w:hint="default"/>
                <w:b/>
                <w:bCs/>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vMerge w:val="continue"/>
            <w:tcBorders>
              <w:tl2br w:val="nil"/>
              <w:tr2bl w:val="nil"/>
            </w:tcBorders>
            <w:vAlign w:val="center"/>
          </w:tcPr>
          <w:p>
            <w:pPr>
              <w:pStyle w:val="17"/>
              <w:bidi w:val="0"/>
              <w:rPr>
                <w:rFonts w:hint="default"/>
                <w:b/>
                <w:bCs/>
              </w:rPr>
            </w:pPr>
          </w:p>
        </w:tc>
        <w:tc>
          <w:tcPr>
            <w:tcW w:w="1578" w:type="dxa"/>
            <w:tcBorders>
              <w:tl2br w:val="nil"/>
              <w:tr2bl w:val="nil"/>
            </w:tcBorders>
            <w:vAlign w:val="center"/>
          </w:tcPr>
          <w:p>
            <w:pPr>
              <w:pStyle w:val="17"/>
              <w:bidi w:val="0"/>
              <w:rPr>
                <w:rFonts w:hint="default"/>
                <w:b/>
                <w:bCs/>
                <w:lang w:val="en-US" w:eastAsia="zh-CN"/>
              </w:rPr>
            </w:pPr>
            <w:r>
              <w:rPr>
                <w:rFonts w:hint="default"/>
                <w:b/>
                <w:bCs/>
              </w:rPr>
              <w:t>预测质量浓度（μg/</w:t>
            </w:r>
            <w:r>
              <w:rPr>
                <w:rFonts w:hint="eastAsia"/>
                <w:b/>
                <w:bCs/>
                <w:lang w:eastAsia="zh-CN"/>
              </w:rPr>
              <w:t>m³</w:t>
            </w:r>
            <w:r>
              <w:rPr>
                <w:rFonts w:hint="default"/>
                <w:b/>
                <w:bCs/>
              </w:rPr>
              <w:t>）</w:t>
            </w:r>
          </w:p>
        </w:tc>
        <w:tc>
          <w:tcPr>
            <w:tcW w:w="1580" w:type="dxa"/>
            <w:tcBorders>
              <w:tl2br w:val="nil"/>
              <w:tr2bl w:val="nil"/>
            </w:tcBorders>
            <w:vAlign w:val="center"/>
          </w:tcPr>
          <w:p>
            <w:pPr>
              <w:pStyle w:val="17"/>
              <w:bidi w:val="0"/>
              <w:rPr>
                <w:rFonts w:hint="default"/>
                <w:b/>
                <w:bCs/>
                <w:lang w:val="en-US" w:eastAsia="zh-CN"/>
              </w:rPr>
            </w:pPr>
            <w:r>
              <w:rPr>
                <w:rFonts w:hint="default"/>
                <w:b/>
                <w:bCs/>
              </w:rPr>
              <w:t>占标率（%）</w:t>
            </w:r>
          </w:p>
        </w:tc>
        <w:tc>
          <w:tcPr>
            <w:tcW w:w="1579" w:type="dxa"/>
            <w:tcBorders>
              <w:tl2br w:val="nil"/>
              <w:tr2bl w:val="nil"/>
            </w:tcBorders>
            <w:vAlign w:val="center"/>
          </w:tcPr>
          <w:p>
            <w:pPr>
              <w:pStyle w:val="17"/>
              <w:bidi w:val="0"/>
              <w:rPr>
                <w:rFonts w:hint="default"/>
                <w:b/>
                <w:bCs/>
                <w:lang w:val="en-US" w:eastAsia="zh-CN"/>
              </w:rPr>
            </w:pPr>
            <w:r>
              <w:rPr>
                <w:rFonts w:hint="default"/>
                <w:b/>
                <w:bCs/>
              </w:rPr>
              <w:t>预测质量浓度（μg/</w:t>
            </w:r>
            <w:r>
              <w:rPr>
                <w:rFonts w:hint="eastAsia"/>
                <w:b/>
                <w:bCs/>
                <w:lang w:eastAsia="zh-CN"/>
              </w:rPr>
              <w:t>m³</w:t>
            </w:r>
            <w:r>
              <w:rPr>
                <w:rFonts w:hint="default"/>
                <w:b/>
                <w:bCs/>
              </w:rPr>
              <w:t>）</w:t>
            </w:r>
          </w:p>
        </w:tc>
        <w:tc>
          <w:tcPr>
            <w:tcW w:w="1581" w:type="dxa"/>
            <w:tcBorders>
              <w:tl2br w:val="nil"/>
              <w:tr2bl w:val="nil"/>
            </w:tcBorders>
            <w:vAlign w:val="center"/>
          </w:tcPr>
          <w:p>
            <w:pPr>
              <w:pStyle w:val="17"/>
              <w:bidi w:val="0"/>
              <w:rPr>
                <w:rFonts w:hint="default"/>
                <w:b/>
                <w:bCs/>
                <w:lang w:val="en-US" w:eastAsia="zh-CN"/>
              </w:rPr>
            </w:pPr>
            <w:r>
              <w:rPr>
                <w:rFonts w:hint="default"/>
                <w:b/>
                <w:bCs/>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tcBorders>
              <w:tl2br w:val="nil"/>
              <w:tr2bl w:val="nil"/>
            </w:tcBorders>
            <w:vAlign w:val="top"/>
          </w:tcPr>
          <w:p>
            <w:pPr>
              <w:pStyle w:val="17"/>
              <w:bidi w:val="0"/>
              <w:ind w:firstLine="0" w:firstLineChars="0"/>
              <w:rPr>
                <w:rFonts w:hint="default"/>
              </w:rPr>
            </w:pPr>
            <w:r>
              <w:rPr>
                <w:rFonts w:hint="default"/>
              </w:rPr>
              <w:t>10</w:t>
            </w:r>
          </w:p>
        </w:tc>
        <w:tc>
          <w:tcPr>
            <w:tcW w:w="1578" w:type="dxa"/>
            <w:tcBorders>
              <w:tl2br w:val="nil"/>
              <w:tr2bl w:val="nil"/>
            </w:tcBorders>
            <w:vAlign w:val="top"/>
          </w:tcPr>
          <w:p>
            <w:pPr>
              <w:pStyle w:val="17"/>
              <w:bidi w:val="0"/>
              <w:ind w:firstLine="0" w:firstLineChars="0"/>
              <w:rPr>
                <w:rFonts w:hint="default"/>
              </w:rPr>
            </w:pPr>
            <w:r>
              <w:rPr>
                <w:rFonts w:hint="default"/>
              </w:rPr>
              <w:t>0.1</w:t>
            </w:r>
            <w:r>
              <w:rPr>
                <w:rFonts w:hint="eastAsia"/>
                <w:lang w:val="en-US" w:eastAsia="zh-CN"/>
              </w:rPr>
              <w:t>85</w:t>
            </w:r>
          </w:p>
        </w:tc>
        <w:tc>
          <w:tcPr>
            <w:tcW w:w="1580" w:type="dxa"/>
            <w:tcBorders>
              <w:tl2br w:val="nil"/>
              <w:tr2bl w:val="nil"/>
            </w:tcBorders>
            <w:vAlign w:val="top"/>
          </w:tcPr>
          <w:p>
            <w:pPr>
              <w:pStyle w:val="17"/>
              <w:bidi w:val="0"/>
              <w:ind w:firstLine="0" w:firstLineChars="0"/>
              <w:rPr>
                <w:rFonts w:hint="default"/>
              </w:rPr>
            </w:pPr>
            <w:r>
              <w:rPr>
                <w:rFonts w:hint="default"/>
              </w:rPr>
              <w:t>0.009</w:t>
            </w:r>
          </w:p>
        </w:tc>
        <w:tc>
          <w:tcPr>
            <w:tcW w:w="1579" w:type="dxa"/>
            <w:tcBorders>
              <w:tl2br w:val="nil"/>
              <w:tr2bl w:val="nil"/>
            </w:tcBorders>
            <w:vAlign w:val="top"/>
          </w:tcPr>
          <w:p>
            <w:pPr>
              <w:pStyle w:val="17"/>
              <w:bidi w:val="0"/>
              <w:ind w:firstLine="0" w:firstLineChars="0"/>
              <w:rPr>
                <w:rFonts w:hint="default"/>
              </w:rPr>
            </w:pPr>
            <w:r>
              <w:rPr>
                <w:rFonts w:hint="default"/>
              </w:rPr>
              <w:t>0.1</w:t>
            </w:r>
            <w:r>
              <w:rPr>
                <w:rFonts w:hint="eastAsia"/>
                <w:lang w:val="en-US" w:eastAsia="zh-CN"/>
              </w:rPr>
              <w:t>85</w:t>
            </w:r>
          </w:p>
        </w:tc>
        <w:tc>
          <w:tcPr>
            <w:tcW w:w="1581" w:type="dxa"/>
            <w:tcBorders>
              <w:tl2br w:val="nil"/>
              <w:tr2bl w:val="nil"/>
            </w:tcBorders>
            <w:vAlign w:val="top"/>
          </w:tcPr>
          <w:p>
            <w:pPr>
              <w:pStyle w:val="17"/>
              <w:bidi w:val="0"/>
              <w:ind w:firstLine="0" w:firstLineChars="0"/>
              <w:rPr>
                <w:rFonts w:hint="default"/>
              </w:rPr>
            </w:pPr>
            <w:r>
              <w:rPr>
                <w:rFonts w:hint="default"/>
              </w:rPr>
              <w:t>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tcBorders>
              <w:tl2br w:val="nil"/>
              <w:tr2bl w:val="nil"/>
            </w:tcBorders>
            <w:vAlign w:val="top"/>
          </w:tcPr>
          <w:p>
            <w:pPr>
              <w:pStyle w:val="17"/>
              <w:bidi w:val="0"/>
              <w:ind w:firstLine="0" w:firstLineChars="0"/>
              <w:rPr>
                <w:rFonts w:hint="default"/>
              </w:rPr>
            </w:pPr>
            <w:r>
              <w:rPr>
                <w:rFonts w:hint="default"/>
              </w:rPr>
              <w:t>50</w:t>
            </w:r>
          </w:p>
        </w:tc>
        <w:tc>
          <w:tcPr>
            <w:tcW w:w="1578" w:type="dxa"/>
            <w:tcBorders>
              <w:tl2br w:val="nil"/>
              <w:tr2bl w:val="nil"/>
            </w:tcBorders>
            <w:vAlign w:val="top"/>
          </w:tcPr>
          <w:p>
            <w:pPr>
              <w:pStyle w:val="17"/>
              <w:bidi w:val="0"/>
              <w:ind w:firstLine="0" w:firstLineChars="0"/>
              <w:rPr>
                <w:rFonts w:hint="default"/>
              </w:rPr>
            </w:pPr>
            <w:r>
              <w:rPr>
                <w:rFonts w:hint="eastAsia"/>
                <w:lang w:val="en-US" w:eastAsia="zh-CN"/>
              </w:rPr>
              <w:t>8</w:t>
            </w:r>
            <w:r>
              <w:rPr>
                <w:rFonts w:hint="default"/>
              </w:rPr>
              <w:t>.054</w:t>
            </w:r>
          </w:p>
        </w:tc>
        <w:tc>
          <w:tcPr>
            <w:tcW w:w="1580"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403</w:t>
            </w:r>
          </w:p>
        </w:tc>
        <w:tc>
          <w:tcPr>
            <w:tcW w:w="1579" w:type="dxa"/>
            <w:tcBorders>
              <w:tl2br w:val="nil"/>
              <w:tr2bl w:val="nil"/>
            </w:tcBorders>
            <w:vAlign w:val="top"/>
          </w:tcPr>
          <w:p>
            <w:pPr>
              <w:pStyle w:val="17"/>
              <w:bidi w:val="0"/>
              <w:ind w:firstLine="0" w:firstLineChars="0"/>
              <w:rPr>
                <w:rFonts w:hint="default"/>
              </w:rPr>
            </w:pPr>
            <w:r>
              <w:rPr>
                <w:rFonts w:hint="eastAsia"/>
                <w:lang w:val="en-US" w:eastAsia="zh-CN"/>
              </w:rPr>
              <w:t>8</w:t>
            </w:r>
            <w:r>
              <w:rPr>
                <w:rFonts w:hint="default"/>
              </w:rPr>
              <w:t>.054</w:t>
            </w:r>
          </w:p>
        </w:tc>
        <w:tc>
          <w:tcPr>
            <w:tcW w:w="1581"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403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tcBorders>
              <w:tl2br w:val="nil"/>
              <w:tr2bl w:val="nil"/>
            </w:tcBorders>
            <w:vAlign w:val="top"/>
          </w:tcPr>
          <w:p>
            <w:pPr>
              <w:pStyle w:val="17"/>
              <w:bidi w:val="0"/>
              <w:ind w:firstLine="0" w:firstLineChars="0"/>
              <w:rPr>
                <w:rFonts w:hint="default"/>
              </w:rPr>
            </w:pPr>
            <w:r>
              <w:rPr>
                <w:rFonts w:hint="default"/>
              </w:rPr>
              <w:t>100</w:t>
            </w:r>
          </w:p>
        </w:tc>
        <w:tc>
          <w:tcPr>
            <w:tcW w:w="1578" w:type="dxa"/>
            <w:tcBorders>
              <w:tl2br w:val="nil"/>
              <w:tr2bl w:val="nil"/>
            </w:tcBorders>
            <w:vAlign w:val="top"/>
          </w:tcPr>
          <w:p>
            <w:pPr>
              <w:pStyle w:val="17"/>
              <w:bidi w:val="0"/>
              <w:ind w:firstLine="0" w:firstLineChars="0"/>
              <w:rPr>
                <w:rFonts w:hint="default"/>
              </w:rPr>
            </w:pPr>
            <w:r>
              <w:rPr>
                <w:rFonts w:hint="default"/>
              </w:rPr>
              <w:t>1</w:t>
            </w:r>
            <w:r>
              <w:rPr>
                <w:rFonts w:hint="eastAsia"/>
                <w:lang w:val="en-US" w:eastAsia="zh-CN"/>
              </w:rPr>
              <w:t>2</w:t>
            </w:r>
            <w:r>
              <w:rPr>
                <w:rFonts w:hint="default"/>
              </w:rPr>
              <w:t>.250</w:t>
            </w:r>
          </w:p>
        </w:tc>
        <w:tc>
          <w:tcPr>
            <w:tcW w:w="1580"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613</w:t>
            </w:r>
          </w:p>
        </w:tc>
        <w:tc>
          <w:tcPr>
            <w:tcW w:w="1579" w:type="dxa"/>
            <w:tcBorders>
              <w:tl2br w:val="nil"/>
              <w:tr2bl w:val="nil"/>
            </w:tcBorders>
            <w:vAlign w:val="top"/>
          </w:tcPr>
          <w:p>
            <w:pPr>
              <w:pStyle w:val="17"/>
              <w:bidi w:val="0"/>
              <w:ind w:firstLine="0" w:firstLineChars="0"/>
              <w:rPr>
                <w:rFonts w:hint="default"/>
              </w:rPr>
            </w:pPr>
            <w:r>
              <w:rPr>
                <w:rFonts w:hint="default"/>
              </w:rPr>
              <w:t>1</w:t>
            </w:r>
            <w:r>
              <w:rPr>
                <w:rFonts w:hint="eastAsia"/>
                <w:lang w:val="en-US" w:eastAsia="zh-CN"/>
              </w:rPr>
              <w:t>2</w:t>
            </w:r>
            <w:r>
              <w:rPr>
                <w:rFonts w:hint="default"/>
              </w:rPr>
              <w:t>.250</w:t>
            </w:r>
          </w:p>
        </w:tc>
        <w:tc>
          <w:tcPr>
            <w:tcW w:w="1581"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613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85" w:hRule="atLeast"/>
          <w:jc w:val="center"/>
        </w:trPr>
        <w:tc>
          <w:tcPr>
            <w:tcW w:w="2186" w:type="dxa"/>
            <w:tcBorders>
              <w:tl2br w:val="nil"/>
              <w:tr2bl w:val="nil"/>
            </w:tcBorders>
            <w:vAlign w:val="top"/>
          </w:tcPr>
          <w:p>
            <w:pPr>
              <w:pStyle w:val="17"/>
              <w:bidi w:val="0"/>
              <w:ind w:firstLine="0" w:firstLineChars="0"/>
              <w:rPr>
                <w:rFonts w:hint="default"/>
              </w:rPr>
            </w:pPr>
            <w:r>
              <w:rPr>
                <w:rFonts w:hint="default"/>
              </w:rPr>
              <w:t>200</w:t>
            </w:r>
          </w:p>
        </w:tc>
        <w:tc>
          <w:tcPr>
            <w:tcW w:w="1578" w:type="dxa"/>
            <w:tcBorders>
              <w:tl2br w:val="nil"/>
              <w:tr2bl w:val="nil"/>
            </w:tcBorders>
            <w:vAlign w:val="top"/>
          </w:tcPr>
          <w:p>
            <w:pPr>
              <w:pStyle w:val="17"/>
              <w:bidi w:val="0"/>
              <w:ind w:firstLine="0" w:firstLineChars="0"/>
              <w:rPr>
                <w:rFonts w:hint="default"/>
              </w:rPr>
            </w:pPr>
            <w:r>
              <w:rPr>
                <w:rFonts w:hint="default"/>
              </w:rPr>
              <w:t>1</w:t>
            </w:r>
            <w:r>
              <w:rPr>
                <w:rFonts w:hint="eastAsia"/>
                <w:lang w:val="en-US" w:eastAsia="zh-CN"/>
              </w:rPr>
              <w:t>4</w:t>
            </w:r>
            <w:r>
              <w:rPr>
                <w:rFonts w:hint="default"/>
              </w:rPr>
              <w:t>.</w:t>
            </w:r>
            <w:r>
              <w:rPr>
                <w:rFonts w:hint="eastAsia"/>
                <w:lang w:val="en-US" w:eastAsia="zh-CN"/>
              </w:rPr>
              <w:t>9</w:t>
            </w:r>
            <w:r>
              <w:rPr>
                <w:rFonts w:hint="default"/>
              </w:rPr>
              <w:t>20</w:t>
            </w:r>
          </w:p>
        </w:tc>
        <w:tc>
          <w:tcPr>
            <w:tcW w:w="1580"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746</w:t>
            </w:r>
          </w:p>
        </w:tc>
        <w:tc>
          <w:tcPr>
            <w:tcW w:w="1579" w:type="dxa"/>
            <w:tcBorders>
              <w:tl2br w:val="nil"/>
              <w:tr2bl w:val="nil"/>
            </w:tcBorders>
            <w:vAlign w:val="top"/>
          </w:tcPr>
          <w:p>
            <w:pPr>
              <w:pStyle w:val="17"/>
              <w:bidi w:val="0"/>
              <w:ind w:firstLine="0" w:firstLineChars="0"/>
              <w:rPr>
                <w:rFonts w:hint="default"/>
              </w:rPr>
            </w:pPr>
            <w:r>
              <w:rPr>
                <w:rFonts w:hint="default"/>
              </w:rPr>
              <w:t>1</w:t>
            </w:r>
            <w:r>
              <w:rPr>
                <w:rFonts w:hint="eastAsia"/>
                <w:lang w:val="en-US" w:eastAsia="zh-CN"/>
              </w:rPr>
              <w:t>3</w:t>
            </w:r>
            <w:r>
              <w:rPr>
                <w:rFonts w:hint="default"/>
              </w:rPr>
              <w:t>.</w:t>
            </w:r>
            <w:r>
              <w:rPr>
                <w:rFonts w:hint="eastAsia"/>
                <w:lang w:val="en-US" w:eastAsia="zh-CN"/>
              </w:rPr>
              <w:t>9</w:t>
            </w:r>
            <w:r>
              <w:rPr>
                <w:rFonts w:hint="default"/>
              </w:rPr>
              <w:t>20</w:t>
            </w:r>
          </w:p>
        </w:tc>
        <w:tc>
          <w:tcPr>
            <w:tcW w:w="1581" w:type="dxa"/>
            <w:tcBorders>
              <w:tl2br w:val="nil"/>
              <w:tr2bl w:val="nil"/>
            </w:tcBorders>
            <w:vAlign w:val="top"/>
          </w:tcPr>
          <w:p>
            <w:pPr>
              <w:pStyle w:val="17"/>
              <w:bidi w:val="0"/>
              <w:ind w:firstLine="0" w:firstLineChars="0"/>
              <w:rPr>
                <w:rFonts w:hint="default"/>
                <w:lang w:val="en-US"/>
              </w:rPr>
            </w:pPr>
            <w:r>
              <w:rPr>
                <w:rFonts w:hint="default"/>
              </w:rPr>
              <w:t>0.</w:t>
            </w:r>
            <w:r>
              <w:rPr>
                <w:rFonts w:hint="eastAsia"/>
                <w:lang w:val="en-US" w:eastAsia="zh-CN"/>
              </w:rPr>
              <w:t>696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tcBorders>
              <w:tl2br w:val="nil"/>
              <w:tr2bl w:val="nil"/>
            </w:tcBorders>
            <w:vAlign w:val="top"/>
          </w:tcPr>
          <w:p>
            <w:pPr>
              <w:pStyle w:val="17"/>
              <w:bidi w:val="0"/>
              <w:ind w:firstLine="0" w:firstLineChars="0"/>
              <w:rPr>
                <w:rFonts w:hint="default"/>
              </w:rPr>
            </w:pPr>
            <w:r>
              <w:rPr>
                <w:rFonts w:hint="default"/>
              </w:rPr>
              <w:t>300</w:t>
            </w:r>
          </w:p>
        </w:tc>
        <w:tc>
          <w:tcPr>
            <w:tcW w:w="1578" w:type="dxa"/>
            <w:tcBorders>
              <w:tl2br w:val="nil"/>
              <w:tr2bl w:val="nil"/>
            </w:tcBorders>
            <w:vAlign w:val="top"/>
          </w:tcPr>
          <w:p>
            <w:pPr>
              <w:pStyle w:val="17"/>
              <w:bidi w:val="0"/>
              <w:ind w:firstLine="0" w:firstLineChars="0"/>
              <w:rPr>
                <w:rFonts w:hint="default"/>
              </w:rPr>
            </w:pPr>
            <w:r>
              <w:rPr>
                <w:rFonts w:hint="eastAsia"/>
                <w:lang w:val="en-US" w:eastAsia="zh-CN"/>
              </w:rPr>
              <w:t>12</w:t>
            </w:r>
            <w:r>
              <w:rPr>
                <w:rFonts w:hint="default"/>
              </w:rPr>
              <w:t>.262</w:t>
            </w:r>
          </w:p>
        </w:tc>
        <w:tc>
          <w:tcPr>
            <w:tcW w:w="1580"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613</w:t>
            </w:r>
          </w:p>
        </w:tc>
        <w:tc>
          <w:tcPr>
            <w:tcW w:w="1579" w:type="dxa"/>
            <w:tcBorders>
              <w:tl2br w:val="nil"/>
              <w:tr2bl w:val="nil"/>
            </w:tcBorders>
            <w:vAlign w:val="top"/>
          </w:tcPr>
          <w:p>
            <w:pPr>
              <w:pStyle w:val="17"/>
              <w:bidi w:val="0"/>
              <w:ind w:firstLine="0" w:firstLineChars="0"/>
              <w:rPr>
                <w:rFonts w:hint="default"/>
              </w:rPr>
            </w:pPr>
            <w:r>
              <w:rPr>
                <w:rFonts w:hint="eastAsia"/>
                <w:lang w:val="en-US" w:eastAsia="zh-CN"/>
              </w:rPr>
              <w:t>12</w:t>
            </w:r>
            <w:r>
              <w:rPr>
                <w:rFonts w:hint="default"/>
              </w:rPr>
              <w:t>.262</w:t>
            </w:r>
          </w:p>
        </w:tc>
        <w:tc>
          <w:tcPr>
            <w:tcW w:w="1581"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613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tcBorders>
              <w:tl2br w:val="nil"/>
              <w:tr2bl w:val="nil"/>
            </w:tcBorders>
            <w:vAlign w:val="top"/>
          </w:tcPr>
          <w:p>
            <w:pPr>
              <w:pStyle w:val="17"/>
              <w:bidi w:val="0"/>
              <w:ind w:firstLine="0" w:firstLineChars="0"/>
              <w:rPr>
                <w:rFonts w:hint="default"/>
              </w:rPr>
            </w:pPr>
            <w:r>
              <w:rPr>
                <w:rFonts w:hint="default"/>
              </w:rPr>
              <w:t>400</w:t>
            </w:r>
          </w:p>
        </w:tc>
        <w:tc>
          <w:tcPr>
            <w:tcW w:w="1578" w:type="dxa"/>
            <w:tcBorders>
              <w:tl2br w:val="nil"/>
              <w:tr2bl w:val="nil"/>
            </w:tcBorders>
            <w:vAlign w:val="top"/>
          </w:tcPr>
          <w:p>
            <w:pPr>
              <w:pStyle w:val="17"/>
              <w:bidi w:val="0"/>
              <w:ind w:firstLine="0" w:firstLineChars="0"/>
              <w:rPr>
                <w:rFonts w:hint="default"/>
              </w:rPr>
            </w:pPr>
            <w:r>
              <w:rPr>
                <w:rFonts w:hint="eastAsia"/>
                <w:lang w:val="en-US" w:eastAsia="zh-CN"/>
              </w:rPr>
              <w:t>9</w:t>
            </w:r>
            <w:r>
              <w:rPr>
                <w:rFonts w:hint="default"/>
              </w:rPr>
              <w:t>.3</w:t>
            </w:r>
            <w:r>
              <w:rPr>
                <w:rFonts w:hint="eastAsia"/>
                <w:lang w:val="en-US" w:eastAsia="zh-CN"/>
              </w:rPr>
              <w:t>7</w:t>
            </w:r>
            <w:r>
              <w:rPr>
                <w:rFonts w:hint="default"/>
              </w:rPr>
              <w:t>9</w:t>
            </w:r>
          </w:p>
        </w:tc>
        <w:tc>
          <w:tcPr>
            <w:tcW w:w="1580"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469</w:t>
            </w:r>
          </w:p>
        </w:tc>
        <w:tc>
          <w:tcPr>
            <w:tcW w:w="1579" w:type="dxa"/>
            <w:tcBorders>
              <w:tl2br w:val="nil"/>
              <w:tr2bl w:val="nil"/>
            </w:tcBorders>
            <w:vAlign w:val="top"/>
          </w:tcPr>
          <w:p>
            <w:pPr>
              <w:pStyle w:val="17"/>
              <w:bidi w:val="0"/>
              <w:ind w:firstLine="0" w:firstLineChars="0"/>
              <w:rPr>
                <w:rFonts w:hint="default"/>
              </w:rPr>
            </w:pPr>
            <w:r>
              <w:rPr>
                <w:rFonts w:hint="eastAsia"/>
                <w:lang w:val="en-US" w:eastAsia="zh-CN"/>
              </w:rPr>
              <w:t>9</w:t>
            </w:r>
            <w:r>
              <w:rPr>
                <w:rFonts w:hint="default"/>
              </w:rPr>
              <w:t>.3</w:t>
            </w:r>
            <w:r>
              <w:rPr>
                <w:rFonts w:hint="eastAsia"/>
                <w:lang w:val="en-US" w:eastAsia="zh-CN"/>
              </w:rPr>
              <w:t>7</w:t>
            </w:r>
            <w:r>
              <w:rPr>
                <w:rFonts w:hint="default"/>
              </w:rPr>
              <w:t>9</w:t>
            </w:r>
          </w:p>
        </w:tc>
        <w:tc>
          <w:tcPr>
            <w:tcW w:w="1581"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469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tcBorders>
              <w:tl2br w:val="nil"/>
              <w:tr2bl w:val="nil"/>
            </w:tcBorders>
            <w:vAlign w:val="top"/>
          </w:tcPr>
          <w:p>
            <w:pPr>
              <w:pStyle w:val="17"/>
              <w:bidi w:val="0"/>
              <w:ind w:firstLine="0" w:firstLineChars="0"/>
              <w:rPr>
                <w:rFonts w:hint="default"/>
              </w:rPr>
            </w:pPr>
            <w:r>
              <w:rPr>
                <w:rFonts w:hint="default"/>
              </w:rPr>
              <w:t>500</w:t>
            </w:r>
          </w:p>
        </w:tc>
        <w:tc>
          <w:tcPr>
            <w:tcW w:w="1578" w:type="dxa"/>
            <w:tcBorders>
              <w:tl2br w:val="nil"/>
              <w:tr2bl w:val="nil"/>
            </w:tcBorders>
            <w:vAlign w:val="top"/>
          </w:tcPr>
          <w:p>
            <w:pPr>
              <w:pStyle w:val="17"/>
              <w:bidi w:val="0"/>
              <w:ind w:firstLine="0" w:firstLineChars="0"/>
              <w:rPr>
                <w:rFonts w:hint="default"/>
              </w:rPr>
            </w:pPr>
            <w:r>
              <w:rPr>
                <w:rFonts w:hint="eastAsia"/>
                <w:lang w:val="en-US" w:eastAsia="zh-CN"/>
              </w:rPr>
              <w:t>8</w:t>
            </w:r>
            <w:r>
              <w:rPr>
                <w:rFonts w:hint="default"/>
              </w:rPr>
              <w:t>.</w:t>
            </w:r>
            <w:r>
              <w:rPr>
                <w:rFonts w:hint="eastAsia"/>
                <w:lang w:val="en-US" w:eastAsia="zh-CN"/>
              </w:rPr>
              <w:t>482</w:t>
            </w:r>
          </w:p>
        </w:tc>
        <w:tc>
          <w:tcPr>
            <w:tcW w:w="1580"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.424</w:t>
            </w:r>
          </w:p>
        </w:tc>
        <w:tc>
          <w:tcPr>
            <w:tcW w:w="1579" w:type="dxa"/>
            <w:tcBorders>
              <w:tl2br w:val="nil"/>
              <w:tr2bl w:val="nil"/>
            </w:tcBorders>
            <w:vAlign w:val="top"/>
          </w:tcPr>
          <w:p>
            <w:pPr>
              <w:pStyle w:val="17"/>
              <w:bidi w:val="0"/>
              <w:ind w:firstLine="0" w:firstLineChars="0"/>
              <w:rPr>
                <w:rFonts w:hint="default"/>
              </w:rPr>
            </w:pPr>
            <w:r>
              <w:rPr>
                <w:rFonts w:hint="eastAsia"/>
                <w:lang w:val="en-US" w:eastAsia="zh-CN"/>
              </w:rPr>
              <w:t>8</w:t>
            </w:r>
            <w:r>
              <w:rPr>
                <w:rFonts w:hint="default"/>
              </w:rPr>
              <w:t>.</w:t>
            </w:r>
            <w:r>
              <w:rPr>
                <w:rFonts w:hint="eastAsia"/>
                <w:lang w:val="en-US" w:eastAsia="zh-CN"/>
              </w:rPr>
              <w:t>482</w:t>
            </w:r>
          </w:p>
        </w:tc>
        <w:tc>
          <w:tcPr>
            <w:tcW w:w="1581"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.424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tcBorders>
              <w:tl2br w:val="nil"/>
              <w:tr2bl w:val="nil"/>
            </w:tcBorders>
            <w:vAlign w:val="top"/>
          </w:tcPr>
          <w:p>
            <w:pPr>
              <w:pStyle w:val="17"/>
              <w:bidi w:val="0"/>
              <w:ind w:firstLine="0" w:firstLineChars="0"/>
              <w:rPr>
                <w:rFonts w:hint="default"/>
              </w:rPr>
            </w:pPr>
            <w:r>
              <w:rPr>
                <w:rFonts w:hint="default"/>
              </w:rPr>
              <w:t>600</w:t>
            </w:r>
          </w:p>
        </w:tc>
        <w:tc>
          <w:tcPr>
            <w:tcW w:w="1578" w:type="dxa"/>
            <w:tcBorders>
              <w:tl2br w:val="nil"/>
              <w:tr2bl w:val="nil"/>
            </w:tcBorders>
            <w:vAlign w:val="top"/>
          </w:tcPr>
          <w:p>
            <w:pPr>
              <w:pStyle w:val="17"/>
              <w:bidi w:val="0"/>
              <w:ind w:firstLine="0" w:firstLineChars="0"/>
              <w:rPr>
                <w:rFonts w:hint="default"/>
              </w:rPr>
            </w:pPr>
            <w:r>
              <w:rPr>
                <w:rFonts w:hint="eastAsia"/>
                <w:lang w:val="en-US" w:eastAsia="zh-CN"/>
              </w:rPr>
              <w:t>6.352</w:t>
            </w:r>
          </w:p>
        </w:tc>
        <w:tc>
          <w:tcPr>
            <w:tcW w:w="1580"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318</w:t>
            </w:r>
          </w:p>
        </w:tc>
        <w:tc>
          <w:tcPr>
            <w:tcW w:w="1579" w:type="dxa"/>
            <w:tcBorders>
              <w:tl2br w:val="nil"/>
              <w:tr2bl w:val="nil"/>
            </w:tcBorders>
            <w:vAlign w:val="top"/>
          </w:tcPr>
          <w:p>
            <w:pPr>
              <w:pStyle w:val="17"/>
              <w:bidi w:val="0"/>
              <w:ind w:firstLine="0" w:firstLineChars="0"/>
              <w:rPr>
                <w:rFonts w:hint="default"/>
              </w:rPr>
            </w:pPr>
            <w:r>
              <w:rPr>
                <w:rFonts w:hint="eastAsia"/>
                <w:lang w:val="en-US" w:eastAsia="zh-CN"/>
              </w:rPr>
              <w:t>6.352</w:t>
            </w:r>
          </w:p>
        </w:tc>
        <w:tc>
          <w:tcPr>
            <w:tcW w:w="1581"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318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tcBorders>
              <w:tl2br w:val="nil"/>
              <w:tr2bl w:val="nil"/>
            </w:tcBorders>
            <w:vAlign w:val="top"/>
          </w:tcPr>
          <w:p>
            <w:pPr>
              <w:pStyle w:val="17"/>
              <w:bidi w:val="0"/>
              <w:ind w:firstLine="0" w:firstLineChars="0"/>
              <w:rPr>
                <w:rFonts w:hint="default"/>
              </w:rPr>
            </w:pPr>
            <w:r>
              <w:rPr>
                <w:rFonts w:hint="default"/>
              </w:rPr>
              <w:t>700</w:t>
            </w:r>
          </w:p>
        </w:tc>
        <w:tc>
          <w:tcPr>
            <w:tcW w:w="1578" w:type="dxa"/>
            <w:tcBorders>
              <w:tl2br w:val="nil"/>
              <w:tr2bl w:val="nil"/>
            </w:tcBorders>
            <w:vAlign w:val="top"/>
          </w:tcPr>
          <w:p>
            <w:pPr>
              <w:pStyle w:val="17"/>
              <w:bidi w:val="0"/>
              <w:ind w:firstLine="0" w:firstLineChars="0"/>
              <w:rPr>
                <w:rFonts w:hint="default"/>
              </w:rPr>
            </w:pPr>
            <w:r>
              <w:rPr>
                <w:rFonts w:hint="eastAsia"/>
                <w:lang w:val="en-US" w:eastAsia="zh-CN"/>
              </w:rPr>
              <w:t>6.210</w:t>
            </w:r>
          </w:p>
        </w:tc>
        <w:tc>
          <w:tcPr>
            <w:tcW w:w="1580"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311</w:t>
            </w:r>
          </w:p>
        </w:tc>
        <w:tc>
          <w:tcPr>
            <w:tcW w:w="1579" w:type="dxa"/>
            <w:tcBorders>
              <w:tl2br w:val="nil"/>
              <w:tr2bl w:val="nil"/>
            </w:tcBorders>
            <w:vAlign w:val="top"/>
          </w:tcPr>
          <w:p>
            <w:pPr>
              <w:pStyle w:val="17"/>
              <w:bidi w:val="0"/>
              <w:ind w:firstLine="0" w:firstLineChars="0"/>
              <w:rPr>
                <w:rFonts w:hint="default"/>
              </w:rPr>
            </w:pPr>
            <w:r>
              <w:rPr>
                <w:rFonts w:hint="eastAsia"/>
                <w:lang w:val="en-US" w:eastAsia="zh-CN"/>
              </w:rPr>
              <w:t>6.210</w:t>
            </w:r>
          </w:p>
        </w:tc>
        <w:tc>
          <w:tcPr>
            <w:tcW w:w="1581"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311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tcBorders>
              <w:tl2br w:val="nil"/>
              <w:tr2bl w:val="nil"/>
            </w:tcBorders>
            <w:vAlign w:val="top"/>
          </w:tcPr>
          <w:p>
            <w:pPr>
              <w:pStyle w:val="17"/>
              <w:bidi w:val="0"/>
              <w:ind w:firstLine="0" w:firstLineChars="0"/>
              <w:rPr>
                <w:rFonts w:hint="default"/>
              </w:rPr>
            </w:pPr>
            <w:r>
              <w:rPr>
                <w:rFonts w:hint="default"/>
              </w:rPr>
              <w:t>800</w:t>
            </w:r>
          </w:p>
        </w:tc>
        <w:tc>
          <w:tcPr>
            <w:tcW w:w="1578" w:type="dxa"/>
            <w:tcBorders>
              <w:tl2br w:val="nil"/>
              <w:tr2bl w:val="nil"/>
            </w:tcBorders>
            <w:vAlign w:val="top"/>
          </w:tcPr>
          <w:p>
            <w:pPr>
              <w:pStyle w:val="17"/>
              <w:bidi w:val="0"/>
              <w:ind w:firstLine="0" w:firstLineChars="0"/>
              <w:rPr>
                <w:rFonts w:hint="default"/>
              </w:rPr>
            </w:pPr>
            <w:r>
              <w:rPr>
                <w:rFonts w:hint="eastAsia"/>
                <w:lang w:val="en-US" w:eastAsia="zh-CN"/>
              </w:rPr>
              <w:t>5.789</w:t>
            </w:r>
          </w:p>
        </w:tc>
        <w:tc>
          <w:tcPr>
            <w:tcW w:w="1580" w:type="dxa"/>
            <w:tcBorders>
              <w:tl2br w:val="nil"/>
              <w:tr2bl w:val="nil"/>
            </w:tcBorders>
            <w:vAlign w:val="top"/>
          </w:tcPr>
          <w:p>
            <w:pPr>
              <w:pStyle w:val="17"/>
              <w:bidi w:val="0"/>
              <w:ind w:firstLine="0" w:firstLineChars="0"/>
              <w:rPr>
                <w:rFonts w:hint="default"/>
              </w:rPr>
            </w:pPr>
            <w:r>
              <w:rPr>
                <w:rFonts w:hint="default"/>
              </w:rPr>
              <w:t>0.2</w:t>
            </w:r>
            <w:r>
              <w:rPr>
                <w:rFonts w:hint="eastAsia"/>
                <w:lang w:val="en-US" w:eastAsia="zh-CN"/>
              </w:rPr>
              <w:t>89</w:t>
            </w:r>
          </w:p>
        </w:tc>
        <w:tc>
          <w:tcPr>
            <w:tcW w:w="1579" w:type="dxa"/>
            <w:tcBorders>
              <w:tl2br w:val="nil"/>
              <w:tr2bl w:val="nil"/>
            </w:tcBorders>
            <w:vAlign w:val="top"/>
          </w:tcPr>
          <w:p>
            <w:pPr>
              <w:pStyle w:val="17"/>
              <w:bidi w:val="0"/>
              <w:ind w:firstLine="0" w:firstLineChars="0"/>
              <w:rPr>
                <w:rFonts w:hint="default"/>
              </w:rPr>
            </w:pPr>
            <w:r>
              <w:rPr>
                <w:rFonts w:hint="eastAsia"/>
                <w:lang w:val="en-US" w:eastAsia="zh-CN"/>
              </w:rPr>
              <w:t>5.789</w:t>
            </w:r>
          </w:p>
        </w:tc>
        <w:tc>
          <w:tcPr>
            <w:tcW w:w="1581" w:type="dxa"/>
            <w:tcBorders>
              <w:tl2br w:val="nil"/>
              <w:tr2bl w:val="nil"/>
            </w:tcBorders>
            <w:vAlign w:val="top"/>
          </w:tcPr>
          <w:p>
            <w:pPr>
              <w:pStyle w:val="17"/>
              <w:bidi w:val="0"/>
              <w:ind w:firstLine="0" w:firstLineChars="0"/>
              <w:rPr>
                <w:rFonts w:hint="default"/>
              </w:rPr>
            </w:pPr>
            <w:r>
              <w:rPr>
                <w:rFonts w:hint="default"/>
              </w:rPr>
              <w:t>0.2</w:t>
            </w:r>
            <w:r>
              <w:rPr>
                <w:rFonts w:hint="eastAsia"/>
                <w:lang w:val="en-US" w:eastAsia="zh-CN"/>
              </w:rPr>
              <w:t>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tcBorders>
              <w:tl2br w:val="nil"/>
              <w:tr2bl w:val="nil"/>
            </w:tcBorders>
            <w:vAlign w:val="top"/>
          </w:tcPr>
          <w:p>
            <w:pPr>
              <w:pStyle w:val="17"/>
              <w:bidi w:val="0"/>
              <w:ind w:firstLine="0" w:firstLineChars="0"/>
              <w:rPr>
                <w:rFonts w:hint="default"/>
              </w:rPr>
            </w:pPr>
            <w:r>
              <w:rPr>
                <w:rFonts w:hint="default"/>
              </w:rPr>
              <w:t>900</w:t>
            </w:r>
          </w:p>
        </w:tc>
        <w:tc>
          <w:tcPr>
            <w:tcW w:w="1578" w:type="dxa"/>
            <w:tcBorders>
              <w:tl2br w:val="nil"/>
              <w:tr2bl w:val="nil"/>
            </w:tcBorders>
            <w:vAlign w:val="top"/>
          </w:tcPr>
          <w:p>
            <w:pPr>
              <w:pStyle w:val="17"/>
              <w:bidi w:val="0"/>
              <w:ind w:firstLine="0" w:firstLineChars="0"/>
              <w:rPr>
                <w:rFonts w:hint="default"/>
              </w:rPr>
            </w:pPr>
            <w:r>
              <w:rPr>
                <w:rFonts w:hint="eastAsia"/>
                <w:lang w:val="en-US" w:eastAsia="zh-CN"/>
              </w:rPr>
              <w:t>5.432</w:t>
            </w:r>
          </w:p>
        </w:tc>
        <w:tc>
          <w:tcPr>
            <w:tcW w:w="1580"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272</w:t>
            </w:r>
          </w:p>
        </w:tc>
        <w:tc>
          <w:tcPr>
            <w:tcW w:w="1579" w:type="dxa"/>
            <w:tcBorders>
              <w:tl2br w:val="nil"/>
              <w:tr2bl w:val="nil"/>
            </w:tcBorders>
            <w:vAlign w:val="top"/>
          </w:tcPr>
          <w:p>
            <w:pPr>
              <w:pStyle w:val="17"/>
              <w:bidi w:val="0"/>
              <w:ind w:firstLine="0" w:firstLineChars="0"/>
              <w:rPr>
                <w:rFonts w:hint="default"/>
              </w:rPr>
            </w:pPr>
            <w:r>
              <w:rPr>
                <w:rFonts w:hint="eastAsia"/>
                <w:lang w:val="en-US" w:eastAsia="zh-CN"/>
              </w:rPr>
              <w:t>5.432</w:t>
            </w:r>
          </w:p>
        </w:tc>
        <w:tc>
          <w:tcPr>
            <w:tcW w:w="1581"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272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tcBorders>
              <w:tl2br w:val="nil"/>
              <w:tr2bl w:val="nil"/>
            </w:tcBorders>
            <w:vAlign w:val="top"/>
          </w:tcPr>
          <w:p>
            <w:pPr>
              <w:pStyle w:val="17"/>
              <w:bidi w:val="0"/>
              <w:ind w:firstLine="0" w:firstLineChars="0"/>
              <w:rPr>
                <w:rFonts w:hint="default"/>
              </w:rPr>
            </w:pPr>
            <w:r>
              <w:rPr>
                <w:rFonts w:hint="default"/>
              </w:rPr>
              <w:t>1000</w:t>
            </w:r>
          </w:p>
        </w:tc>
        <w:tc>
          <w:tcPr>
            <w:tcW w:w="1578" w:type="dxa"/>
            <w:tcBorders>
              <w:tl2br w:val="nil"/>
              <w:tr2bl w:val="nil"/>
            </w:tcBorders>
            <w:vAlign w:val="top"/>
          </w:tcPr>
          <w:p>
            <w:pPr>
              <w:pStyle w:val="17"/>
              <w:bidi w:val="0"/>
              <w:ind w:firstLine="0" w:firstLineChars="0"/>
              <w:rPr>
                <w:rFonts w:hint="default"/>
              </w:rPr>
            </w:pPr>
            <w:r>
              <w:rPr>
                <w:rFonts w:hint="eastAsia"/>
                <w:lang w:val="en-US" w:eastAsia="zh-CN"/>
              </w:rPr>
              <w:t>4.890</w:t>
            </w:r>
          </w:p>
        </w:tc>
        <w:tc>
          <w:tcPr>
            <w:tcW w:w="1580"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245</w:t>
            </w:r>
          </w:p>
        </w:tc>
        <w:tc>
          <w:tcPr>
            <w:tcW w:w="1579" w:type="dxa"/>
            <w:tcBorders>
              <w:tl2br w:val="nil"/>
              <w:tr2bl w:val="nil"/>
            </w:tcBorders>
            <w:vAlign w:val="top"/>
          </w:tcPr>
          <w:p>
            <w:pPr>
              <w:pStyle w:val="17"/>
              <w:bidi w:val="0"/>
              <w:ind w:firstLine="0" w:firstLineChars="0"/>
              <w:rPr>
                <w:rFonts w:hint="default"/>
              </w:rPr>
            </w:pPr>
            <w:r>
              <w:rPr>
                <w:rFonts w:hint="eastAsia"/>
                <w:lang w:val="en-US" w:eastAsia="zh-CN"/>
              </w:rPr>
              <w:t>4.890</w:t>
            </w:r>
          </w:p>
        </w:tc>
        <w:tc>
          <w:tcPr>
            <w:tcW w:w="1581"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245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tcBorders>
              <w:tl2br w:val="nil"/>
              <w:tr2bl w:val="nil"/>
            </w:tcBorders>
            <w:vAlign w:val="top"/>
          </w:tcPr>
          <w:p>
            <w:pPr>
              <w:pStyle w:val="17"/>
              <w:bidi w:val="0"/>
              <w:ind w:firstLine="0" w:firstLineChars="0"/>
              <w:rPr>
                <w:rFonts w:hint="default"/>
              </w:rPr>
            </w:pPr>
            <w:r>
              <w:rPr>
                <w:rFonts w:hint="default"/>
              </w:rPr>
              <w:t>1500</w:t>
            </w:r>
          </w:p>
        </w:tc>
        <w:tc>
          <w:tcPr>
            <w:tcW w:w="1578" w:type="dxa"/>
            <w:tcBorders>
              <w:tl2br w:val="nil"/>
              <w:tr2bl w:val="nil"/>
            </w:tcBorders>
            <w:vAlign w:val="top"/>
          </w:tcPr>
          <w:p>
            <w:pPr>
              <w:pStyle w:val="17"/>
              <w:bidi w:val="0"/>
              <w:ind w:firstLine="0" w:firstLineChars="0"/>
              <w:rPr>
                <w:rFonts w:hint="default"/>
              </w:rPr>
            </w:pPr>
            <w:r>
              <w:rPr>
                <w:rFonts w:hint="eastAsia"/>
                <w:lang w:val="en-US" w:eastAsia="zh-CN"/>
              </w:rPr>
              <w:t>3.652</w:t>
            </w:r>
          </w:p>
        </w:tc>
        <w:tc>
          <w:tcPr>
            <w:tcW w:w="1580"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183</w:t>
            </w:r>
          </w:p>
        </w:tc>
        <w:tc>
          <w:tcPr>
            <w:tcW w:w="1579" w:type="dxa"/>
            <w:tcBorders>
              <w:tl2br w:val="nil"/>
              <w:tr2bl w:val="nil"/>
            </w:tcBorders>
            <w:vAlign w:val="top"/>
          </w:tcPr>
          <w:p>
            <w:pPr>
              <w:pStyle w:val="17"/>
              <w:bidi w:val="0"/>
              <w:ind w:firstLine="0" w:firstLineChars="0"/>
              <w:rPr>
                <w:rFonts w:hint="default"/>
              </w:rPr>
            </w:pPr>
            <w:r>
              <w:rPr>
                <w:rFonts w:hint="eastAsia"/>
                <w:lang w:val="en-US" w:eastAsia="zh-CN"/>
              </w:rPr>
              <w:t>3.652</w:t>
            </w:r>
          </w:p>
        </w:tc>
        <w:tc>
          <w:tcPr>
            <w:tcW w:w="1581"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183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tcBorders>
              <w:tl2br w:val="nil"/>
              <w:tr2bl w:val="nil"/>
            </w:tcBorders>
            <w:vAlign w:val="top"/>
          </w:tcPr>
          <w:p>
            <w:pPr>
              <w:pStyle w:val="17"/>
              <w:bidi w:val="0"/>
              <w:ind w:firstLine="0" w:firstLineChars="0"/>
              <w:rPr>
                <w:rFonts w:hint="default"/>
              </w:rPr>
            </w:pPr>
            <w:r>
              <w:rPr>
                <w:rFonts w:hint="default"/>
              </w:rPr>
              <w:t>2000</w:t>
            </w:r>
          </w:p>
        </w:tc>
        <w:tc>
          <w:tcPr>
            <w:tcW w:w="1578" w:type="dxa"/>
            <w:tcBorders>
              <w:tl2br w:val="nil"/>
              <w:tr2bl w:val="nil"/>
            </w:tcBorders>
            <w:vAlign w:val="top"/>
          </w:tcPr>
          <w:p>
            <w:pPr>
              <w:pStyle w:val="17"/>
              <w:bidi w:val="0"/>
              <w:ind w:firstLine="0" w:firstLineChars="0"/>
              <w:rPr>
                <w:rFonts w:hint="default"/>
              </w:rPr>
            </w:pPr>
            <w:r>
              <w:rPr>
                <w:rFonts w:hint="eastAsia"/>
                <w:lang w:val="en-US" w:eastAsia="zh-CN"/>
              </w:rPr>
              <w:t>3.182</w:t>
            </w:r>
          </w:p>
        </w:tc>
        <w:tc>
          <w:tcPr>
            <w:tcW w:w="1580"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159</w:t>
            </w:r>
          </w:p>
        </w:tc>
        <w:tc>
          <w:tcPr>
            <w:tcW w:w="1579" w:type="dxa"/>
            <w:tcBorders>
              <w:tl2br w:val="nil"/>
              <w:tr2bl w:val="nil"/>
            </w:tcBorders>
            <w:vAlign w:val="top"/>
          </w:tcPr>
          <w:p>
            <w:pPr>
              <w:pStyle w:val="17"/>
              <w:bidi w:val="0"/>
              <w:ind w:firstLine="0" w:firstLineChars="0"/>
              <w:rPr>
                <w:rFonts w:hint="default"/>
              </w:rPr>
            </w:pPr>
            <w:r>
              <w:rPr>
                <w:rFonts w:hint="eastAsia"/>
                <w:lang w:val="en-US" w:eastAsia="zh-CN"/>
              </w:rPr>
              <w:t>3.182</w:t>
            </w:r>
          </w:p>
        </w:tc>
        <w:tc>
          <w:tcPr>
            <w:tcW w:w="1581"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tcBorders>
              <w:tl2br w:val="nil"/>
              <w:tr2bl w:val="nil"/>
            </w:tcBorders>
            <w:vAlign w:val="top"/>
          </w:tcPr>
          <w:p>
            <w:pPr>
              <w:pStyle w:val="17"/>
              <w:bidi w:val="0"/>
              <w:ind w:firstLine="0" w:firstLineChars="0"/>
              <w:rPr>
                <w:rFonts w:hint="default"/>
              </w:rPr>
            </w:pPr>
            <w:r>
              <w:rPr>
                <w:rFonts w:hint="default"/>
              </w:rPr>
              <w:t>2500</w:t>
            </w:r>
          </w:p>
        </w:tc>
        <w:tc>
          <w:tcPr>
            <w:tcW w:w="1578" w:type="dxa"/>
            <w:tcBorders>
              <w:tl2br w:val="nil"/>
              <w:tr2bl w:val="nil"/>
            </w:tcBorders>
            <w:vAlign w:val="top"/>
          </w:tcPr>
          <w:p>
            <w:pPr>
              <w:pStyle w:val="17"/>
              <w:bidi w:val="0"/>
              <w:ind w:firstLine="0" w:firstLineChars="0"/>
              <w:rPr>
                <w:rFonts w:hint="default"/>
              </w:rPr>
            </w:pPr>
            <w:r>
              <w:rPr>
                <w:rFonts w:hint="eastAsia"/>
                <w:lang w:val="en-US" w:eastAsia="zh-CN"/>
              </w:rPr>
              <w:t>2.946</w:t>
            </w:r>
          </w:p>
        </w:tc>
        <w:tc>
          <w:tcPr>
            <w:tcW w:w="1580"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147</w:t>
            </w:r>
          </w:p>
        </w:tc>
        <w:tc>
          <w:tcPr>
            <w:tcW w:w="1579" w:type="dxa"/>
            <w:tcBorders>
              <w:tl2br w:val="nil"/>
              <w:tr2bl w:val="nil"/>
            </w:tcBorders>
            <w:vAlign w:val="top"/>
          </w:tcPr>
          <w:p>
            <w:pPr>
              <w:pStyle w:val="17"/>
              <w:bidi w:val="0"/>
              <w:ind w:firstLine="0" w:firstLineChars="0"/>
              <w:rPr>
                <w:rFonts w:hint="default"/>
              </w:rPr>
            </w:pPr>
            <w:r>
              <w:rPr>
                <w:rFonts w:hint="eastAsia"/>
                <w:lang w:val="en-US" w:eastAsia="zh-CN"/>
              </w:rPr>
              <w:t>2.946</w:t>
            </w:r>
          </w:p>
        </w:tc>
        <w:tc>
          <w:tcPr>
            <w:tcW w:w="1581" w:type="dxa"/>
            <w:tcBorders>
              <w:tl2br w:val="nil"/>
              <w:tr2bl w:val="nil"/>
            </w:tcBorders>
            <w:vAlign w:val="top"/>
          </w:tcPr>
          <w:p>
            <w:pPr>
              <w:pStyle w:val="17"/>
              <w:bidi w:val="0"/>
              <w:ind w:firstLine="0" w:firstLineChars="0"/>
              <w:rPr>
                <w:rFonts w:hint="default"/>
              </w:rPr>
            </w:pPr>
            <w:r>
              <w:rPr>
                <w:rFonts w:hint="default"/>
              </w:rPr>
              <w:t>0.</w:t>
            </w:r>
            <w:r>
              <w:rPr>
                <w:rFonts w:hint="eastAsia"/>
                <w:lang w:val="en-US" w:eastAsia="zh-CN"/>
              </w:rPr>
              <w:t>147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tcBorders>
              <w:tl2br w:val="nil"/>
              <w:tr2bl w:val="nil"/>
            </w:tcBorders>
            <w:vAlign w:val="center"/>
          </w:tcPr>
          <w:p>
            <w:pPr>
              <w:pStyle w:val="17"/>
              <w:bidi w:val="0"/>
              <w:ind w:firstLine="0" w:firstLineChars="0"/>
              <w:rPr>
                <w:rFonts w:hint="default"/>
              </w:rPr>
            </w:pPr>
            <w:r>
              <w:rPr>
                <w:rFonts w:hint="default"/>
              </w:rPr>
              <w:t>下风向最大质量浓度及占标率%</w:t>
            </w:r>
          </w:p>
        </w:tc>
        <w:tc>
          <w:tcPr>
            <w:tcW w:w="1578" w:type="dxa"/>
            <w:tcBorders>
              <w:tl2br w:val="nil"/>
              <w:tr2bl w:val="nil"/>
            </w:tcBorders>
            <w:vAlign w:val="center"/>
          </w:tcPr>
          <w:p>
            <w:pPr>
              <w:pStyle w:val="17"/>
              <w:bidi w:val="0"/>
              <w:ind w:firstLine="0" w:firstLineChars="0"/>
              <w:rPr>
                <w:rFonts w:hint="default"/>
              </w:rPr>
            </w:pPr>
            <w:r>
              <w:rPr>
                <w:rFonts w:hint="eastAsia"/>
                <w:lang w:val="en-US" w:eastAsia="zh-CN"/>
              </w:rPr>
              <w:t>14.92</w:t>
            </w:r>
          </w:p>
        </w:tc>
        <w:tc>
          <w:tcPr>
            <w:tcW w:w="1580" w:type="dxa"/>
            <w:tcBorders>
              <w:tl2br w:val="nil"/>
              <w:tr2bl w:val="nil"/>
            </w:tcBorders>
            <w:vAlign w:val="center"/>
          </w:tcPr>
          <w:p>
            <w:pPr>
              <w:pStyle w:val="17"/>
              <w:bidi w:val="0"/>
              <w:ind w:firstLine="0" w:firstLineChars="0"/>
              <w:rPr>
                <w:rFonts w:hint="default"/>
              </w:rPr>
            </w:pPr>
            <w:r>
              <w:rPr>
                <w:rFonts w:hint="default"/>
              </w:rPr>
              <w:t>0.</w:t>
            </w:r>
            <w:r>
              <w:rPr>
                <w:rFonts w:hint="eastAsia"/>
                <w:lang w:val="en-US" w:eastAsia="zh-CN"/>
              </w:rPr>
              <w:t>746</w:t>
            </w:r>
          </w:p>
        </w:tc>
        <w:tc>
          <w:tcPr>
            <w:tcW w:w="1579" w:type="dxa"/>
            <w:tcBorders>
              <w:tl2br w:val="nil"/>
              <w:tr2bl w:val="nil"/>
            </w:tcBorders>
            <w:vAlign w:val="center"/>
          </w:tcPr>
          <w:p>
            <w:pPr>
              <w:pStyle w:val="17"/>
              <w:bidi w:val="0"/>
              <w:ind w:firstLine="0" w:firstLineChars="0"/>
              <w:rPr>
                <w:rFonts w:hint="default"/>
                <w:lang w:val="en-US"/>
              </w:rPr>
            </w:pPr>
            <w:r>
              <w:rPr>
                <w:rFonts w:hint="eastAsia"/>
                <w:lang w:val="en-US" w:eastAsia="zh-CN"/>
              </w:rPr>
              <w:t>13.9</w:t>
            </w:r>
          </w:p>
        </w:tc>
        <w:tc>
          <w:tcPr>
            <w:tcW w:w="1581" w:type="dxa"/>
            <w:tcBorders>
              <w:tl2br w:val="nil"/>
              <w:tr2bl w:val="nil"/>
            </w:tcBorders>
            <w:vAlign w:val="center"/>
          </w:tcPr>
          <w:p>
            <w:pPr>
              <w:pStyle w:val="17"/>
              <w:bidi w:val="0"/>
              <w:ind w:firstLine="0" w:firstLineChars="0"/>
              <w:rPr>
                <w:rFonts w:hint="default"/>
                <w:lang w:val="en-US"/>
              </w:rPr>
            </w:pPr>
            <w:r>
              <w:rPr>
                <w:rFonts w:hint="default"/>
              </w:rPr>
              <w:t>0.</w:t>
            </w:r>
            <w:r>
              <w:rPr>
                <w:rFonts w:hint="eastAsia"/>
                <w:lang w:val="en-US" w:eastAsia="zh-CN"/>
              </w:rPr>
              <w:t>696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2186" w:type="dxa"/>
            <w:tcBorders>
              <w:tl2br w:val="nil"/>
              <w:tr2bl w:val="nil"/>
            </w:tcBorders>
            <w:vAlign w:val="center"/>
          </w:tcPr>
          <w:p>
            <w:pPr>
              <w:pStyle w:val="17"/>
              <w:bidi w:val="0"/>
              <w:ind w:firstLine="0" w:firstLineChars="0"/>
              <w:rPr>
                <w:rFonts w:hint="default"/>
                <w:lang w:val="en-US" w:eastAsia="zh-CN"/>
              </w:rPr>
            </w:pPr>
            <w:r>
              <w:rPr>
                <w:rFonts w:hint="default"/>
              </w:rPr>
              <w:t>D10%最远距离/m</w:t>
            </w:r>
          </w:p>
        </w:tc>
        <w:tc>
          <w:tcPr>
            <w:tcW w:w="3158" w:type="dxa"/>
            <w:gridSpan w:val="2"/>
            <w:tcBorders>
              <w:tl2br w:val="nil"/>
              <w:tr2bl w:val="nil"/>
            </w:tcBorders>
            <w:vAlign w:val="center"/>
          </w:tcPr>
          <w:p>
            <w:pPr>
              <w:pStyle w:val="17"/>
              <w:bidi w:val="0"/>
              <w:ind w:firstLine="0" w:firstLineChars="0"/>
              <w:rPr>
                <w:rFonts w:hint="default"/>
              </w:rPr>
            </w:pPr>
            <w:r>
              <w:rPr>
                <w:rFonts w:hint="default"/>
              </w:rPr>
              <w:t>201</w:t>
            </w:r>
          </w:p>
        </w:tc>
        <w:tc>
          <w:tcPr>
            <w:tcW w:w="3160" w:type="dxa"/>
            <w:gridSpan w:val="2"/>
            <w:tcBorders>
              <w:tl2br w:val="nil"/>
              <w:tr2bl w:val="nil"/>
            </w:tcBorders>
            <w:vAlign w:val="center"/>
          </w:tcPr>
          <w:p>
            <w:pPr>
              <w:pStyle w:val="17"/>
              <w:bidi w:val="0"/>
              <w:ind w:firstLine="0" w:firstLineChars="0"/>
              <w:rPr>
                <w:rFonts w:hint="default"/>
                <w:lang w:val="en-US" w:eastAsia="zh-CN"/>
              </w:rPr>
            </w:pPr>
            <w:r>
              <w:rPr>
                <w:rFonts w:hint="default"/>
              </w:rPr>
              <w:t>201</w:t>
            </w:r>
          </w:p>
        </w:tc>
      </w:tr>
    </w:tbl>
    <w:p>
      <w:pPr>
        <w:pStyle w:val="17"/>
        <w:bidi w:val="0"/>
        <w:rPr>
          <w:rFonts w:hint="default"/>
          <w:b/>
          <w:bCs/>
        </w:rPr>
      </w:pPr>
      <w:r>
        <w:rPr>
          <w:rFonts w:hint="default"/>
          <w:b/>
          <w:bCs/>
        </w:rPr>
        <w:t>表5.1-</w:t>
      </w:r>
      <w:r>
        <w:rPr>
          <w:rFonts w:hint="eastAsia"/>
          <w:b/>
          <w:bCs/>
          <w:lang w:val="en-US" w:eastAsia="zh-CN"/>
        </w:rPr>
        <w:t>7</w:t>
      </w:r>
      <w:r>
        <w:rPr>
          <w:rFonts w:hint="default"/>
          <w:b/>
          <w:bCs/>
        </w:rPr>
        <w:t xml:space="preserve"> </w:t>
      </w:r>
      <w:r>
        <w:rPr>
          <w:rFonts w:hint="eastAsia"/>
          <w:b/>
          <w:bCs/>
          <w:lang w:val="en-US" w:eastAsia="zh-CN"/>
        </w:rPr>
        <w:t xml:space="preserve"> </w:t>
      </w:r>
      <w:r>
        <w:rPr>
          <w:rFonts w:hint="default"/>
          <w:b/>
          <w:bCs/>
        </w:rPr>
        <w:t xml:space="preserve"> 正常工况下无组织废气大气污染物落地浓度估算</w:t>
      </w:r>
    </w:p>
    <w:tbl>
      <w:tblPr>
        <w:tblStyle w:val="12"/>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72"/>
        <w:gridCol w:w="1204"/>
        <w:gridCol w:w="1204"/>
        <w:gridCol w:w="1206"/>
        <w:gridCol w:w="1206"/>
        <w:gridCol w:w="1206"/>
        <w:gridCol w:w="12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vMerge w:val="restart"/>
            <w:tcBorders>
              <w:tl2br w:val="nil"/>
              <w:tr2bl w:val="nil"/>
            </w:tcBorders>
            <w:vAlign w:val="center"/>
          </w:tcPr>
          <w:p>
            <w:pPr>
              <w:pStyle w:val="17"/>
              <w:bidi w:val="0"/>
              <w:rPr>
                <w:rFonts w:hint="default"/>
                <w:b/>
                <w:bCs/>
              </w:rPr>
            </w:pPr>
            <w:r>
              <w:rPr>
                <w:rFonts w:hint="default"/>
                <w:b/>
                <w:bCs/>
              </w:rPr>
              <w:t>下风向</w:t>
            </w:r>
          </w:p>
          <w:p>
            <w:pPr>
              <w:pStyle w:val="17"/>
              <w:bidi w:val="0"/>
              <w:rPr>
                <w:rFonts w:hint="default"/>
                <w:b/>
                <w:bCs/>
              </w:rPr>
            </w:pPr>
            <w:r>
              <w:rPr>
                <w:rFonts w:hint="default"/>
                <w:b/>
                <w:bCs/>
              </w:rPr>
              <w:t>距离</w:t>
            </w:r>
          </w:p>
          <w:p>
            <w:pPr>
              <w:pStyle w:val="17"/>
              <w:bidi w:val="0"/>
              <w:rPr>
                <w:rFonts w:hint="default"/>
                <w:b/>
                <w:bCs/>
              </w:rPr>
            </w:pPr>
            <w:r>
              <w:rPr>
                <w:rFonts w:hint="default"/>
                <w:b/>
                <w:bCs/>
              </w:rPr>
              <w:t>（m）</w:t>
            </w:r>
          </w:p>
        </w:tc>
        <w:tc>
          <w:tcPr>
            <w:tcW w:w="4820" w:type="dxa"/>
            <w:gridSpan w:val="4"/>
            <w:tcBorders>
              <w:tl2br w:val="nil"/>
              <w:tr2bl w:val="nil"/>
            </w:tcBorders>
            <w:vAlign w:val="center"/>
          </w:tcPr>
          <w:p>
            <w:pPr>
              <w:pStyle w:val="17"/>
              <w:bidi w:val="0"/>
              <w:rPr>
                <w:rFonts w:hint="default"/>
                <w:b/>
                <w:bCs/>
              </w:rPr>
            </w:pPr>
            <w:r>
              <w:rPr>
                <w:rFonts w:hint="default"/>
                <w:b/>
                <w:bCs/>
              </w:rPr>
              <w:t>非甲烷总烃</w:t>
            </w:r>
          </w:p>
        </w:tc>
        <w:tc>
          <w:tcPr>
            <w:tcW w:w="2412" w:type="dxa"/>
            <w:gridSpan w:val="2"/>
            <w:tcBorders>
              <w:tl2br w:val="nil"/>
              <w:tr2bl w:val="nil"/>
            </w:tcBorders>
            <w:vAlign w:val="center"/>
          </w:tcPr>
          <w:p>
            <w:pPr>
              <w:pStyle w:val="17"/>
              <w:bidi w:val="0"/>
              <w:rPr>
                <w:rFonts w:hint="default"/>
                <w:b/>
                <w:bCs/>
                <w:lang w:val="en-US" w:eastAsia="zh-CN"/>
              </w:rPr>
            </w:pPr>
            <w:r>
              <w:rPr>
                <w:rFonts w:hint="default"/>
                <w:b/>
                <w:bCs/>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vMerge w:val="continue"/>
            <w:tcBorders>
              <w:tl2br w:val="nil"/>
              <w:tr2bl w:val="nil"/>
            </w:tcBorders>
            <w:vAlign w:val="center"/>
          </w:tcPr>
          <w:p>
            <w:pPr>
              <w:pStyle w:val="17"/>
              <w:bidi w:val="0"/>
              <w:rPr>
                <w:rFonts w:hint="default"/>
                <w:b/>
                <w:bCs/>
              </w:rPr>
            </w:pPr>
          </w:p>
        </w:tc>
        <w:tc>
          <w:tcPr>
            <w:tcW w:w="2408" w:type="dxa"/>
            <w:gridSpan w:val="2"/>
            <w:tcBorders>
              <w:tl2br w:val="nil"/>
              <w:tr2bl w:val="nil"/>
            </w:tcBorders>
            <w:vAlign w:val="center"/>
          </w:tcPr>
          <w:p>
            <w:pPr>
              <w:pStyle w:val="17"/>
              <w:bidi w:val="0"/>
              <w:rPr>
                <w:rFonts w:hint="default" w:eastAsia="宋体"/>
                <w:b/>
                <w:bCs/>
                <w:lang w:val="en-US" w:eastAsia="zh-CN"/>
              </w:rPr>
            </w:pPr>
            <w:r>
              <w:rPr>
                <w:rFonts w:hint="eastAsia"/>
                <w:b/>
                <w:bCs/>
                <w:lang w:val="en-US" w:eastAsia="zh-CN"/>
              </w:rPr>
              <w:t>造粒车间</w:t>
            </w:r>
          </w:p>
        </w:tc>
        <w:tc>
          <w:tcPr>
            <w:tcW w:w="2412" w:type="dxa"/>
            <w:gridSpan w:val="2"/>
            <w:tcBorders>
              <w:tl2br w:val="nil"/>
              <w:tr2bl w:val="nil"/>
            </w:tcBorders>
            <w:vAlign w:val="center"/>
          </w:tcPr>
          <w:p>
            <w:pPr>
              <w:pStyle w:val="17"/>
              <w:bidi w:val="0"/>
              <w:rPr>
                <w:rFonts w:hint="default"/>
                <w:b/>
                <w:bCs/>
                <w:lang w:val="en-US"/>
              </w:rPr>
            </w:pPr>
            <w:r>
              <w:rPr>
                <w:rFonts w:hint="eastAsia"/>
                <w:b/>
                <w:bCs/>
                <w:lang w:val="en-US" w:eastAsia="zh-CN"/>
              </w:rPr>
              <w:t>生产车间</w:t>
            </w:r>
          </w:p>
        </w:tc>
        <w:tc>
          <w:tcPr>
            <w:tcW w:w="2412" w:type="dxa"/>
            <w:gridSpan w:val="2"/>
            <w:tcBorders>
              <w:tl2br w:val="nil"/>
              <w:tr2bl w:val="nil"/>
            </w:tcBorders>
            <w:vAlign w:val="center"/>
          </w:tcPr>
          <w:p>
            <w:pPr>
              <w:pStyle w:val="17"/>
              <w:bidi w:val="0"/>
              <w:rPr>
                <w:rFonts w:hint="default" w:eastAsia="宋体"/>
                <w:b/>
                <w:bCs/>
                <w:lang w:val="en-US" w:eastAsia="zh-CN"/>
              </w:rPr>
            </w:pPr>
            <w:r>
              <w:rPr>
                <w:rFonts w:hint="eastAsia"/>
                <w:b/>
                <w:bCs/>
                <w:lang w:val="en-US" w:eastAsia="zh-CN"/>
              </w:rPr>
              <w:t>造粒车间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vMerge w:val="continue"/>
            <w:tcBorders>
              <w:tl2br w:val="nil"/>
              <w:tr2bl w:val="nil"/>
            </w:tcBorders>
            <w:vAlign w:val="center"/>
          </w:tcPr>
          <w:p>
            <w:pPr>
              <w:pStyle w:val="17"/>
              <w:bidi w:val="0"/>
              <w:rPr>
                <w:rFonts w:hint="default"/>
                <w:b/>
                <w:bCs/>
              </w:rPr>
            </w:pPr>
          </w:p>
        </w:tc>
        <w:tc>
          <w:tcPr>
            <w:tcW w:w="1204" w:type="dxa"/>
            <w:tcBorders>
              <w:tl2br w:val="nil"/>
              <w:tr2bl w:val="nil"/>
            </w:tcBorders>
            <w:vAlign w:val="center"/>
          </w:tcPr>
          <w:p>
            <w:pPr>
              <w:pStyle w:val="17"/>
              <w:bidi w:val="0"/>
              <w:rPr>
                <w:rFonts w:hint="default"/>
                <w:b/>
                <w:bCs/>
              </w:rPr>
            </w:pPr>
            <w:r>
              <w:rPr>
                <w:rFonts w:hint="default"/>
                <w:b/>
                <w:bCs/>
              </w:rPr>
              <w:t>预测质量浓度（μg/</w:t>
            </w:r>
            <w:r>
              <w:rPr>
                <w:rFonts w:hint="eastAsia"/>
                <w:b/>
                <w:bCs/>
                <w:lang w:eastAsia="zh-CN"/>
              </w:rPr>
              <w:t>m³</w:t>
            </w:r>
            <w:r>
              <w:rPr>
                <w:rFonts w:hint="default"/>
                <w:b/>
                <w:bCs/>
              </w:rPr>
              <w:t>）</w:t>
            </w:r>
          </w:p>
        </w:tc>
        <w:tc>
          <w:tcPr>
            <w:tcW w:w="1204" w:type="dxa"/>
            <w:tcBorders>
              <w:tl2br w:val="nil"/>
              <w:tr2bl w:val="nil"/>
            </w:tcBorders>
            <w:vAlign w:val="center"/>
          </w:tcPr>
          <w:p>
            <w:pPr>
              <w:pStyle w:val="17"/>
              <w:bidi w:val="0"/>
              <w:rPr>
                <w:rFonts w:hint="default"/>
                <w:b/>
                <w:bCs/>
              </w:rPr>
            </w:pPr>
            <w:r>
              <w:rPr>
                <w:rFonts w:hint="default"/>
                <w:b/>
                <w:bCs/>
              </w:rPr>
              <w:t>占标率（%）</w:t>
            </w:r>
          </w:p>
        </w:tc>
        <w:tc>
          <w:tcPr>
            <w:tcW w:w="1206" w:type="dxa"/>
            <w:tcBorders>
              <w:tl2br w:val="nil"/>
              <w:tr2bl w:val="nil"/>
            </w:tcBorders>
            <w:vAlign w:val="center"/>
          </w:tcPr>
          <w:p>
            <w:pPr>
              <w:pStyle w:val="17"/>
              <w:bidi w:val="0"/>
              <w:rPr>
                <w:rFonts w:hint="default"/>
                <w:b/>
                <w:bCs/>
              </w:rPr>
            </w:pPr>
            <w:r>
              <w:rPr>
                <w:rFonts w:hint="default"/>
                <w:b/>
                <w:bCs/>
              </w:rPr>
              <w:t>预测质量浓度（μg/</w:t>
            </w:r>
            <w:r>
              <w:rPr>
                <w:rFonts w:hint="eastAsia"/>
                <w:b/>
                <w:bCs/>
                <w:lang w:eastAsia="zh-CN"/>
              </w:rPr>
              <w:t>m³</w:t>
            </w:r>
            <w:r>
              <w:rPr>
                <w:rFonts w:hint="default"/>
                <w:b/>
                <w:bCs/>
              </w:rPr>
              <w:t>）</w:t>
            </w:r>
          </w:p>
        </w:tc>
        <w:tc>
          <w:tcPr>
            <w:tcW w:w="1206" w:type="dxa"/>
            <w:tcBorders>
              <w:tl2br w:val="nil"/>
              <w:tr2bl w:val="nil"/>
            </w:tcBorders>
            <w:vAlign w:val="center"/>
          </w:tcPr>
          <w:p>
            <w:pPr>
              <w:pStyle w:val="17"/>
              <w:bidi w:val="0"/>
              <w:rPr>
                <w:rFonts w:hint="default"/>
                <w:b/>
                <w:bCs/>
              </w:rPr>
            </w:pPr>
            <w:r>
              <w:rPr>
                <w:rFonts w:hint="default"/>
                <w:b/>
                <w:bCs/>
              </w:rPr>
              <w:t>占标率（%）</w:t>
            </w:r>
          </w:p>
        </w:tc>
        <w:tc>
          <w:tcPr>
            <w:tcW w:w="1206" w:type="dxa"/>
            <w:tcBorders>
              <w:tl2br w:val="nil"/>
              <w:tr2bl w:val="nil"/>
            </w:tcBorders>
            <w:vAlign w:val="center"/>
          </w:tcPr>
          <w:p>
            <w:pPr>
              <w:pStyle w:val="17"/>
              <w:bidi w:val="0"/>
              <w:rPr>
                <w:rFonts w:hint="default"/>
                <w:b/>
                <w:bCs/>
              </w:rPr>
            </w:pPr>
            <w:r>
              <w:rPr>
                <w:rFonts w:hint="default"/>
                <w:b/>
                <w:bCs/>
              </w:rPr>
              <w:t>预测质量浓度（μg/</w:t>
            </w:r>
            <w:r>
              <w:rPr>
                <w:rFonts w:hint="eastAsia"/>
                <w:b/>
                <w:bCs/>
                <w:lang w:eastAsia="zh-CN"/>
              </w:rPr>
              <w:t>m³</w:t>
            </w:r>
            <w:r>
              <w:rPr>
                <w:rFonts w:hint="default"/>
                <w:b/>
                <w:bCs/>
              </w:rPr>
              <w:t>）</w:t>
            </w:r>
          </w:p>
        </w:tc>
        <w:tc>
          <w:tcPr>
            <w:tcW w:w="1206" w:type="dxa"/>
            <w:tcBorders>
              <w:tl2br w:val="nil"/>
              <w:tr2bl w:val="nil"/>
            </w:tcBorders>
            <w:vAlign w:val="center"/>
          </w:tcPr>
          <w:p>
            <w:pPr>
              <w:pStyle w:val="17"/>
              <w:bidi w:val="0"/>
              <w:rPr>
                <w:rFonts w:hint="default"/>
                <w:b/>
                <w:bCs/>
              </w:rPr>
            </w:pPr>
            <w:r>
              <w:rPr>
                <w:rFonts w:hint="default"/>
                <w:b/>
                <w:bCs/>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10</w:t>
            </w:r>
          </w:p>
        </w:tc>
        <w:tc>
          <w:tcPr>
            <w:tcW w:w="1204" w:type="dxa"/>
            <w:tcBorders>
              <w:tl2br w:val="nil"/>
              <w:tr2bl w:val="nil"/>
            </w:tcBorders>
            <w:vAlign w:val="center"/>
          </w:tcPr>
          <w:p>
            <w:pPr>
              <w:pStyle w:val="17"/>
              <w:bidi w:val="0"/>
              <w:rPr>
                <w:rFonts w:hint="default"/>
              </w:rPr>
            </w:pPr>
            <w:r>
              <w:rPr>
                <w:rFonts w:hint="default"/>
              </w:rPr>
              <w:t>65.97</w:t>
            </w:r>
          </w:p>
        </w:tc>
        <w:tc>
          <w:tcPr>
            <w:tcW w:w="1204" w:type="dxa"/>
            <w:tcBorders>
              <w:tl2br w:val="nil"/>
              <w:tr2bl w:val="nil"/>
            </w:tcBorders>
            <w:vAlign w:val="center"/>
          </w:tcPr>
          <w:p>
            <w:pPr>
              <w:pStyle w:val="17"/>
              <w:bidi w:val="0"/>
              <w:rPr>
                <w:rFonts w:hint="default"/>
              </w:rPr>
            </w:pPr>
            <w:r>
              <w:rPr>
                <w:rFonts w:hint="default"/>
              </w:rPr>
              <w:t>3.30</w:t>
            </w:r>
          </w:p>
        </w:tc>
        <w:tc>
          <w:tcPr>
            <w:tcW w:w="1206" w:type="dxa"/>
            <w:tcBorders>
              <w:tl2br w:val="nil"/>
              <w:tr2bl w:val="nil"/>
            </w:tcBorders>
            <w:vAlign w:val="center"/>
          </w:tcPr>
          <w:p>
            <w:pPr>
              <w:pStyle w:val="17"/>
              <w:bidi w:val="0"/>
              <w:rPr>
                <w:rFonts w:hint="default"/>
              </w:rPr>
            </w:pPr>
            <w:r>
              <w:rPr>
                <w:rFonts w:hint="default"/>
              </w:rPr>
              <w:t>65.97</w:t>
            </w:r>
          </w:p>
        </w:tc>
        <w:tc>
          <w:tcPr>
            <w:tcW w:w="1206" w:type="dxa"/>
            <w:tcBorders>
              <w:tl2br w:val="nil"/>
              <w:tr2bl w:val="nil"/>
            </w:tcBorders>
            <w:vAlign w:val="center"/>
          </w:tcPr>
          <w:p>
            <w:pPr>
              <w:pStyle w:val="17"/>
              <w:bidi w:val="0"/>
              <w:rPr>
                <w:rFonts w:hint="default"/>
              </w:rPr>
            </w:pPr>
            <w:r>
              <w:rPr>
                <w:rFonts w:hint="default"/>
              </w:rPr>
              <w:t>3.30</w:t>
            </w:r>
          </w:p>
        </w:tc>
        <w:tc>
          <w:tcPr>
            <w:tcW w:w="1206" w:type="dxa"/>
            <w:tcBorders>
              <w:tl2br w:val="nil"/>
              <w:tr2bl w:val="nil"/>
            </w:tcBorders>
            <w:vAlign w:val="center"/>
          </w:tcPr>
          <w:p>
            <w:pPr>
              <w:pStyle w:val="17"/>
              <w:bidi w:val="0"/>
              <w:rPr>
                <w:rFonts w:hint="default"/>
              </w:rPr>
            </w:pPr>
            <w:r>
              <w:rPr>
                <w:rFonts w:hint="default"/>
              </w:rPr>
              <w:t>10.62</w:t>
            </w:r>
          </w:p>
        </w:tc>
        <w:tc>
          <w:tcPr>
            <w:tcW w:w="1206" w:type="dxa"/>
            <w:tcBorders>
              <w:tl2br w:val="nil"/>
              <w:tr2bl w:val="nil"/>
            </w:tcBorders>
            <w:vAlign w:val="center"/>
          </w:tcPr>
          <w:p>
            <w:pPr>
              <w:pStyle w:val="17"/>
              <w:bidi w:val="0"/>
              <w:rPr>
                <w:rFonts w:hint="default"/>
              </w:rPr>
            </w:pPr>
            <w:r>
              <w:rPr>
                <w:rFonts w:hint="default"/>
              </w:rPr>
              <w:t>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50</w:t>
            </w:r>
          </w:p>
        </w:tc>
        <w:tc>
          <w:tcPr>
            <w:tcW w:w="1204" w:type="dxa"/>
            <w:tcBorders>
              <w:tl2br w:val="nil"/>
              <w:tr2bl w:val="nil"/>
            </w:tcBorders>
            <w:vAlign w:val="center"/>
          </w:tcPr>
          <w:p>
            <w:pPr>
              <w:pStyle w:val="17"/>
              <w:bidi w:val="0"/>
              <w:rPr>
                <w:rFonts w:hint="default"/>
              </w:rPr>
            </w:pPr>
            <w:r>
              <w:rPr>
                <w:rFonts w:hint="default"/>
              </w:rPr>
              <w:t>98.16</w:t>
            </w:r>
          </w:p>
        </w:tc>
        <w:tc>
          <w:tcPr>
            <w:tcW w:w="1204" w:type="dxa"/>
            <w:tcBorders>
              <w:tl2br w:val="nil"/>
              <w:tr2bl w:val="nil"/>
            </w:tcBorders>
            <w:vAlign w:val="center"/>
          </w:tcPr>
          <w:p>
            <w:pPr>
              <w:pStyle w:val="17"/>
              <w:bidi w:val="0"/>
              <w:rPr>
                <w:rFonts w:hint="default"/>
              </w:rPr>
            </w:pPr>
            <w:r>
              <w:rPr>
                <w:rFonts w:hint="default"/>
              </w:rPr>
              <w:t>4.91</w:t>
            </w:r>
          </w:p>
        </w:tc>
        <w:tc>
          <w:tcPr>
            <w:tcW w:w="1206" w:type="dxa"/>
            <w:tcBorders>
              <w:tl2br w:val="nil"/>
              <w:tr2bl w:val="nil"/>
            </w:tcBorders>
            <w:vAlign w:val="center"/>
          </w:tcPr>
          <w:p>
            <w:pPr>
              <w:pStyle w:val="17"/>
              <w:bidi w:val="0"/>
              <w:rPr>
                <w:rFonts w:hint="default"/>
              </w:rPr>
            </w:pPr>
            <w:r>
              <w:rPr>
                <w:rFonts w:hint="default"/>
              </w:rPr>
              <w:t>98.16</w:t>
            </w:r>
          </w:p>
        </w:tc>
        <w:tc>
          <w:tcPr>
            <w:tcW w:w="1206" w:type="dxa"/>
            <w:tcBorders>
              <w:tl2br w:val="nil"/>
              <w:tr2bl w:val="nil"/>
            </w:tcBorders>
            <w:vAlign w:val="center"/>
          </w:tcPr>
          <w:p>
            <w:pPr>
              <w:pStyle w:val="17"/>
              <w:bidi w:val="0"/>
              <w:rPr>
                <w:rFonts w:hint="default"/>
              </w:rPr>
            </w:pPr>
            <w:r>
              <w:rPr>
                <w:rFonts w:hint="default"/>
              </w:rPr>
              <w:t>4.91</w:t>
            </w:r>
          </w:p>
        </w:tc>
        <w:tc>
          <w:tcPr>
            <w:tcW w:w="1206" w:type="dxa"/>
            <w:tcBorders>
              <w:tl2br w:val="nil"/>
              <w:tr2bl w:val="nil"/>
            </w:tcBorders>
            <w:vAlign w:val="center"/>
          </w:tcPr>
          <w:p>
            <w:pPr>
              <w:pStyle w:val="17"/>
              <w:bidi w:val="0"/>
              <w:rPr>
                <w:rFonts w:hint="default"/>
              </w:rPr>
            </w:pPr>
            <w:r>
              <w:rPr>
                <w:rFonts w:hint="default"/>
              </w:rPr>
              <w:t>15.8</w:t>
            </w:r>
          </w:p>
        </w:tc>
        <w:tc>
          <w:tcPr>
            <w:tcW w:w="1206" w:type="dxa"/>
            <w:tcBorders>
              <w:tl2br w:val="nil"/>
              <w:tr2bl w:val="nil"/>
            </w:tcBorders>
            <w:vAlign w:val="center"/>
          </w:tcPr>
          <w:p>
            <w:pPr>
              <w:pStyle w:val="17"/>
              <w:bidi w:val="0"/>
              <w:rPr>
                <w:rFonts w:hint="default"/>
              </w:rPr>
            </w:pPr>
            <w:r>
              <w:rPr>
                <w:rFonts w:hint="default"/>
              </w:rPr>
              <w:t>1.76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100</w:t>
            </w:r>
          </w:p>
        </w:tc>
        <w:tc>
          <w:tcPr>
            <w:tcW w:w="1204" w:type="dxa"/>
            <w:tcBorders>
              <w:tl2br w:val="nil"/>
              <w:tr2bl w:val="nil"/>
            </w:tcBorders>
            <w:vAlign w:val="center"/>
          </w:tcPr>
          <w:p>
            <w:pPr>
              <w:pStyle w:val="17"/>
              <w:bidi w:val="0"/>
              <w:rPr>
                <w:rFonts w:hint="default"/>
              </w:rPr>
            </w:pPr>
            <w:r>
              <w:rPr>
                <w:rFonts w:hint="default"/>
              </w:rPr>
              <w:t>83.66</w:t>
            </w:r>
          </w:p>
        </w:tc>
        <w:tc>
          <w:tcPr>
            <w:tcW w:w="1204" w:type="dxa"/>
            <w:tcBorders>
              <w:tl2br w:val="nil"/>
              <w:tr2bl w:val="nil"/>
            </w:tcBorders>
            <w:vAlign w:val="center"/>
          </w:tcPr>
          <w:p>
            <w:pPr>
              <w:pStyle w:val="17"/>
              <w:bidi w:val="0"/>
              <w:rPr>
                <w:rFonts w:hint="default"/>
              </w:rPr>
            </w:pPr>
            <w:r>
              <w:rPr>
                <w:rFonts w:hint="default"/>
              </w:rPr>
              <w:t>4.18</w:t>
            </w:r>
          </w:p>
        </w:tc>
        <w:tc>
          <w:tcPr>
            <w:tcW w:w="1206" w:type="dxa"/>
            <w:tcBorders>
              <w:tl2br w:val="nil"/>
              <w:tr2bl w:val="nil"/>
            </w:tcBorders>
            <w:vAlign w:val="center"/>
          </w:tcPr>
          <w:p>
            <w:pPr>
              <w:pStyle w:val="17"/>
              <w:bidi w:val="0"/>
              <w:rPr>
                <w:rFonts w:hint="default"/>
              </w:rPr>
            </w:pPr>
            <w:r>
              <w:rPr>
                <w:rFonts w:hint="default"/>
              </w:rPr>
              <w:t>83.66</w:t>
            </w:r>
          </w:p>
        </w:tc>
        <w:tc>
          <w:tcPr>
            <w:tcW w:w="1206" w:type="dxa"/>
            <w:tcBorders>
              <w:tl2br w:val="nil"/>
              <w:tr2bl w:val="nil"/>
            </w:tcBorders>
            <w:vAlign w:val="center"/>
          </w:tcPr>
          <w:p>
            <w:pPr>
              <w:pStyle w:val="17"/>
              <w:bidi w:val="0"/>
              <w:rPr>
                <w:rFonts w:hint="default"/>
              </w:rPr>
            </w:pPr>
            <w:r>
              <w:rPr>
                <w:rFonts w:hint="default"/>
              </w:rPr>
              <w:t>4.18</w:t>
            </w:r>
          </w:p>
        </w:tc>
        <w:tc>
          <w:tcPr>
            <w:tcW w:w="1206" w:type="dxa"/>
            <w:tcBorders>
              <w:tl2br w:val="nil"/>
              <w:tr2bl w:val="nil"/>
            </w:tcBorders>
            <w:vAlign w:val="center"/>
          </w:tcPr>
          <w:p>
            <w:pPr>
              <w:pStyle w:val="17"/>
              <w:bidi w:val="0"/>
              <w:rPr>
                <w:rFonts w:hint="default"/>
              </w:rPr>
            </w:pPr>
            <w:r>
              <w:rPr>
                <w:rFonts w:hint="default"/>
              </w:rPr>
              <w:t>13.46</w:t>
            </w:r>
          </w:p>
        </w:tc>
        <w:tc>
          <w:tcPr>
            <w:tcW w:w="1206" w:type="dxa"/>
            <w:tcBorders>
              <w:tl2br w:val="nil"/>
              <w:tr2bl w:val="nil"/>
            </w:tcBorders>
            <w:vAlign w:val="center"/>
          </w:tcPr>
          <w:p>
            <w:pPr>
              <w:pStyle w:val="17"/>
              <w:bidi w:val="0"/>
              <w:rPr>
                <w:rFonts w:hint="default"/>
              </w:rPr>
            </w:pPr>
            <w:r>
              <w:rPr>
                <w:rFonts w:hint="default"/>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200</w:t>
            </w:r>
          </w:p>
        </w:tc>
        <w:tc>
          <w:tcPr>
            <w:tcW w:w="1204" w:type="dxa"/>
            <w:tcBorders>
              <w:tl2br w:val="nil"/>
              <w:tr2bl w:val="nil"/>
            </w:tcBorders>
            <w:vAlign w:val="center"/>
          </w:tcPr>
          <w:p>
            <w:pPr>
              <w:pStyle w:val="17"/>
              <w:bidi w:val="0"/>
              <w:rPr>
                <w:rFonts w:hint="default"/>
              </w:rPr>
            </w:pPr>
            <w:r>
              <w:rPr>
                <w:rFonts w:hint="default"/>
              </w:rPr>
              <w:t>47.11</w:t>
            </w:r>
          </w:p>
        </w:tc>
        <w:tc>
          <w:tcPr>
            <w:tcW w:w="1204" w:type="dxa"/>
            <w:tcBorders>
              <w:tl2br w:val="nil"/>
              <w:tr2bl w:val="nil"/>
            </w:tcBorders>
            <w:vAlign w:val="center"/>
          </w:tcPr>
          <w:p>
            <w:pPr>
              <w:pStyle w:val="17"/>
              <w:bidi w:val="0"/>
              <w:rPr>
                <w:rFonts w:hint="default"/>
              </w:rPr>
            </w:pPr>
            <w:r>
              <w:rPr>
                <w:rFonts w:hint="default"/>
              </w:rPr>
              <w:t>2.36</w:t>
            </w:r>
          </w:p>
        </w:tc>
        <w:tc>
          <w:tcPr>
            <w:tcW w:w="1206" w:type="dxa"/>
            <w:tcBorders>
              <w:tl2br w:val="nil"/>
              <w:tr2bl w:val="nil"/>
            </w:tcBorders>
            <w:vAlign w:val="center"/>
          </w:tcPr>
          <w:p>
            <w:pPr>
              <w:pStyle w:val="17"/>
              <w:bidi w:val="0"/>
              <w:rPr>
                <w:rFonts w:hint="default"/>
              </w:rPr>
            </w:pPr>
            <w:r>
              <w:rPr>
                <w:rFonts w:hint="default"/>
              </w:rPr>
              <w:t>47.11</w:t>
            </w:r>
          </w:p>
        </w:tc>
        <w:tc>
          <w:tcPr>
            <w:tcW w:w="1206" w:type="dxa"/>
            <w:tcBorders>
              <w:tl2br w:val="nil"/>
              <w:tr2bl w:val="nil"/>
            </w:tcBorders>
            <w:vAlign w:val="center"/>
          </w:tcPr>
          <w:p>
            <w:pPr>
              <w:pStyle w:val="17"/>
              <w:bidi w:val="0"/>
              <w:rPr>
                <w:rFonts w:hint="default"/>
              </w:rPr>
            </w:pPr>
            <w:r>
              <w:rPr>
                <w:rFonts w:hint="default"/>
              </w:rPr>
              <w:t>2.36</w:t>
            </w:r>
          </w:p>
        </w:tc>
        <w:tc>
          <w:tcPr>
            <w:tcW w:w="1206" w:type="dxa"/>
            <w:tcBorders>
              <w:tl2br w:val="nil"/>
              <w:tr2bl w:val="nil"/>
            </w:tcBorders>
            <w:vAlign w:val="center"/>
          </w:tcPr>
          <w:p>
            <w:pPr>
              <w:pStyle w:val="17"/>
              <w:bidi w:val="0"/>
              <w:rPr>
                <w:rFonts w:hint="default"/>
              </w:rPr>
            </w:pPr>
            <w:r>
              <w:rPr>
                <w:rFonts w:hint="default"/>
              </w:rPr>
              <w:t>7.582</w:t>
            </w:r>
          </w:p>
        </w:tc>
        <w:tc>
          <w:tcPr>
            <w:tcW w:w="1206" w:type="dxa"/>
            <w:tcBorders>
              <w:tl2br w:val="nil"/>
              <w:tr2bl w:val="nil"/>
            </w:tcBorders>
            <w:vAlign w:val="center"/>
          </w:tcPr>
          <w:p>
            <w:pPr>
              <w:pStyle w:val="17"/>
              <w:bidi w:val="0"/>
              <w:rPr>
                <w:rFonts w:hint="default"/>
              </w:rPr>
            </w:pPr>
            <w:r>
              <w:rPr>
                <w:rFonts w:hint="default"/>
              </w:rPr>
              <w:t>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300</w:t>
            </w:r>
          </w:p>
        </w:tc>
        <w:tc>
          <w:tcPr>
            <w:tcW w:w="1204" w:type="dxa"/>
            <w:tcBorders>
              <w:tl2br w:val="nil"/>
              <w:tr2bl w:val="nil"/>
            </w:tcBorders>
            <w:vAlign w:val="center"/>
          </w:tcPr>
          <w:p>
            <w:pPr>
              <w:pStyle w:val="17"/>
              <w:bidi w:val="0"/>
              <w:rPr>
                <w:rFonts w:hint="default"/>
              </w:rPr>
            </w:pPr>
            <w:r>
              <w:rPr>
                <w:rFonts w:hint="default"/>
              </w:rPr>
              <w:t>35.27</w:t>
            </w:r>
          </w:p>
        </w:tc>
        <w:tc>
          <w:tcPr>
            <w:tcW w:w="1204" w:type="dxa"/>
            <w:tcBorders>
              <w:tl2br w:val="nil"/>
              <w:tr2bl w:val="nil"/>
            </w:tcBorders>
            <w:vAlign w:val="center"/>
          </w:tcPr>
          <w:p>
            <w:pPr>
              <w:pStyle w:val="17"/>
              <w:bidi w:val="0"/>
              <w:rPr>
                <w:rFonts w:hint="default"/>
              </w:rPr>
            </w:pPr>
            <w:r>
              <w:rPr>
                <w:rFonts w:hint="default"/>
              </w:rPr>
              <w:t>1.76</w:t>
            </w:r>
          </w:p>
        </w:tc>
        <w:tc>
          <w:tcPr>
            <w:tcW w:w="1206" w:type="dxa"/>
            <w:tcBorders>
              <w:tl2br w:val="nil"/>
              <w:tr2bl w:val="nil"/>
            </w:tcBorders>
            <w:vAlign w:val="center"/>
          </w:tcPr>
          <w:p>
            <w:pPr>
              <w:pStyle w:val="17"/>
              <w:bidi w:val="0"/>
              <w:rPr>
                <w:rFonts w:hint="default"/>
              </w:rPr>
            </w:pPr>
            <w:r>
              <w:rPr>
                <w:rFonts w:hint="default"/>
              </w:rPr>
              <w:t>35.27</w:t>
            </w:r>
          </w:p>
        </w:tc>
        <w:tc>
          <w:tcPr>
            <w:tcW w:w="1206" w:type="dxa"/>
            <w:tcBorders>
              <w:tl2br w:val="nil"/>
              <w:tr2bl w:val="nil"/>
            </w:tcBorders>
            <w:vAlign w:val="center"/>
          </w:tcPr>
          <w:p>
            <w:pPr>
              <w:pStyle w:val="17"/>
              <w:bidi w:val="0"/>
              <w:rPr>
                <w:rFonts w:hint="default"/>
              </w:rPr>
            </w:pPr>
            <w:r>
              <w:rPr>
                <w:rFonts w:hint="default"/>
              </w:rPr>
              <w:t>1.76</w:t>
            </w:r>
          </w:p>
        </w:tc>
        <w:tc>
          <w:tcPr>
            <w:tcW w:w="1206" w:type="dxa"/>
            <w:tcBorders>
              <w:tl2br w:val="nil"/>
              <w:tr2bl w:val="nil"/>
            </w:tcBorders>
            <w:vAlign w:val="center"/>
          </w:tcPr>
          <w:p>
            <w:pPr>
              <w:pStyle w:val="17"/>
              <w:bidi w:val="0"/>
              <w:rPr>
                <w:rFonts w:hint="default"/>
              </w:rPr>
            </w:pPr>
            <w:r>
              <w:rPr>
                <w:rFonts w:hint="default"/>
              </w:rPr>
              <w:t>5.677</w:t>
            </w:r>
          </w:p>
        </w:tc>
        <w:tc>
          <w:tcPr>
            <w:tcW w:w="1206" w:type="dxa"/>
            <w:tcBorders>
              <w:tl2br w:val="nil"/>
              <w:tr2bl w:val="nil"/>
            </w:tcBorders>
            <w:vAlign w:val="center"/>
          </w:tcPr>
          <w:p>
            <w:pPr>
              <w:pStyle w:val="17"/>
              <w:bidi w:val="0"/>
              <w:rPr>
                <w:rFonts w:hint="default"/>
              </w:rPr>
            </w:pPr>
            <w:r>
              <w:rPr>
                <w:rFonts w:hint="default"/>
              </w:rPr>
              <w:t>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400</w:t>
            </w:r>
          </w:p>
        </w:tc>
        <w:tc>
          <w:tcPr>
            <w:tcW w:w="1204" w:type="dxa"/>
            <w:tcBorders>
              <w:tl2br w:val="nil"/>
              <w:tr2bl w:val="nil"/>
            </w:tcBorders>
            <w:vAlign w:val="center"/>
          </w:tcPr>
          <w:p>
            <w:pPr>
              <w:pStyle w:val="17"/>
              <w:bidi w:val="0"/>
              <w:rPr>
                <w:rFonts w:hint="default"/>
              </w:rPr>
            </w:pPr>
            <w:r>
              <w:rPr>
                <w:rFonts w:hint="default"/>
              </w:rPr>
              <w:t>28.76</w:t>
            </w:r>
          </w:p>
        </w:tc>
        <w:tc>
          <w:tcPr>
            <w:tcW w:w="1204" w:type="dxa"/>
            <w:tcBorders>
              <w:tl2br w:val="nil"/>
              <w:tr2bl w:val="nil"/>
            </w:tcBorders>
            <w:vAlign w:val="center"/>
          </w:tcPr>
          <w:p>
            <w:pPr>
              <w:pStyle w:val="17"/>
              <w:bidi w:val="0"/>
              <w:rPr>
                <w:rFonts w:hint="default"/>
              </w:rPr>
            </w:pPr>
            <w:r>
              <w:rPr>
                <w:rFonts w:hint="default"/>
              </w:rPr>
              <w:t>1.44</w:t>
            </w:r>
          </w:p>
        </w:tc>
        <w:tc>
          <w:tcPr>
            <w:tcW w:w="1206" w:type="dxa"/>
            <w:tcBorders>
              <w:tl2br w:val="nil"/>
              <w:tr2bl w:val="nil"/>
            </w:tcBorders>
            <w:vAlign w:val="center"/>
          </w:tcPr>
          <w:p>
            <w:pPr>
              <w:pStyle w:val="17"/>
              <w:bidi w:val="0"/>
              <w:rPr>
                <w:rFonts w:hint="default"/>
              </w:rPr>
            </w:pPr>
            <w:r>
              <w:rPr>
                <w:rFonts w:hint="default"/>
              </w:rPr>
              <w:t>28.76</w:t>
            </w:r>
          </w:p>
        </w:tc>
        <w:tc>
          <w:tcPr>
            <w:tcW w:w="1206" w:type="dxa"/>
            <w:tcBorders>
              <w:tl2br w:val="nil"/>
              <w:tr2bl w:val="nil"/>
            </w:tcBorders>
            <w:vAlign w:val="center"/>
          </w:tcPr>
          <w:p>
            <w:pPr>
              <w:pStyle w:val="17"/>
              <w:bidi w:val="0"/>
              <w:rPr>
                <w:rFonts w:hint="default"/>
              </w:rPr>
            </w:pPr>
            <w:r>
              <w:rPr>
                <w:rFonts w:hint="default"/>
              </w:rPr>
              <w:t>1.44</w:t>
            </w:r>
          </w:p>
        </w:tc>
        <w:tc>
          <w:tcPr>
            <w:tcW w:w="1206" w:type="dxa"/>
            <w:tcBorders>
              <w:tl2br w:val="nil"/>
              <w:tr2bl w:val="nil"/>
            </w:tcBorders>
            <w:vAlign w:val="center"/>
          </w:tcPr>
          <w:p>
            <w:pPr>
              <w:pStyle w:val="17"/>
              <w:bidi w:val="0"/>
              <w:rPr>
                <w:rFonts w:hint="default"/>
              </w:rPr>
            </w:pPr>
            <w:r>
              <w:rPr>
                <w:rFonts w:hint="default"/>
              </w:rPr>
              <w:t>4.628</w:t>
            </w:r>
          </w:p>
        </w:tc>
        <w:tc>
          <w:tcPr>
            <w:tcW w:w="1206" w:type="dxa"/>
            <w:tcBorders>
              <w:tl2br w:val="nil"/>
              <w:tr2bl w:val="nil"/>
            </w:tcBorders>
            <w:vAlign w:val="center"/>
          </w:tcPr>
          <w:p>
            <w:pPr>
              <w:pStyle w:val="17"/>
              <w:bidi w:val="0"/>
              <w:rPr>
                <w:rFonts w:hint="default"/>
              </w:rPr>
            </w:pPr>
            <w:r>
              <w:rPr>
                <w:rFonts w:hint="default"/>
              </w:rPr>
              <w:t>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500</w:t>
            </w:r>
          </w:p>
        </w:tc>
        <w:tc>
          <w:tcPr>
            <w:tcW w:w="1204" w:type="dxa"/>
            <w:tcBorders>
              <w:tl2br w:val="nil"/>
              <w:tr2bl w:val="nil"/>
            </w:tcBorders>
            <w:vAlign w:val="center"/>
          </w:tcPr>
          <w:p>
            <w:pPr>
              <w:pStyle w:val="17"/>
              <w:bidi w:val="0"/>
              <w:rPr>
                <w:rFonts w:hint="default"/>
              </w:rPr>
            </w:pPr>
            <w:r>
              <w:rPr>
                <w:rFonts w:hint="default"/>
              </w:rPr>
              <w:t>24.56</w:t>
            </w:r>
          </w:p>
        </w:tc>
        <w:tc>
          <w:tcPr>
            <w:tcW w:w="1204" w:type="dxa"/>
            <w:tcBorders>
              <w:tl2br w:val="nil"/>
              <w:tr2bl w:val="nil"/>
            </w:tcBorders>
            <w:vAlign w:val="center"/>
          </w:tcPr>
          <w:p>
            <w:pPr>
              <w:pStyle w:val="17"/>
              <w:bidi w:val="0"/>
              <w:rPr>
                <w:rFonts w:hint="default"/>
              </w:rPr>
            </w:pPr>
            <w:r>
              <w:rPr>
                <w:rFonts w:hint="default"/>
              </w:rPr>
              <w:t>1.23</w:t>
            </w:r>
          </w:p>
        </w:tc>
        <w:tc>
          <w:tcPr>
            <w:tcW w:w="1206" w:type="dxa"/>
            <w:tcBorders>
              <w:tl2br w:val="nil"/>
              <w:tr2bl w:val="nil"/>
            </w:tcBorders>
            <w:vAlign w:val="center"/>
          </w:tcPr>
          <w:p>
            <w:pPr>
              <w:pStyle w:val="17"/>
              <w:bidi w:val="0"/>
              <w:rPr>
                <w:rFonts w:hint="default"/>
              </w:rPr>
            </w:pPr>
            <w:r>
              <w:rPr>
                <w:rFonts w:hint="default"/>
              </w:rPr>
              <w:t>24.56</w:t>
            </w:r>
          </w:p>
        </w:tc>
        <w:tc>
          <w:tcPr>
            <w:tcW w:w="1206" w:type="dxa"/>
            <w:tcBorders>
              <w:tl2br w:val="nil"/>
              <w:tr2bl w:val="nil"/>
            </w:tcBorders>
            <w:vAlign w:val="center"/>
          </w:tcPr>
          <w:p>
            <w:pPr>
              <w:pStyle w:val="17"/>
              <w:bidi w:val="0"/>
              <w:rPr>
                <w:rFonts w:hint="default"/>
              </w:rPr>
            </w:pPr>
            <w:r>
              <w:rPr>
                <w:rFonts w:hint="default"/>
              </w:rPr>
              <w:t>1.23</w:t>
            </w:r>
          </w:p>
        </w:tc>
        <w:tc>
          <w:tcPr>
            <w:tcW w:w="1206" w:type="dxa"/>
            <w:tcBorders>
              <w:tl2br w:val="nil"/>
              <w:tr2bl w:val="nil"/>
            </w:tcBorders>
            <w:vAlign w:val="center"/>
          </w:tcPr>
          <w:p>
            <w:pPr>
              <w:pStyle w:val="17"/>
              <w:bidi w:val="0"/>
              <w:rPr>
                <w:rFonts w:hint="default"/>
              </w:rPr>
            </w:pPr>
            <w:r>
              <w:rPr>
                <w:rFonts w:hint="default"/>
              </w:rPr>
              <w:t>3.952</w:t>
            </w:r>
          </w:p>
        </w:tc>
        <w:tc>
          <w:tcPr>
            <w:tcW w:w="1206" w:type="dxa"/>
            <w:tcBorders>
              <w:tl2br w:val="nil"/>
              <w:tr2bl w:val="nil"/>
            </w:tcBorders>
            <w:vAlign w:val="center"/>
          </w:tcPr>
          <w:p>
            <w:pPr>
              <w:pStyle w:val="17"/>
              <w:bidi w:val="0"/>
              <w:rPr>
                <w:rFonts w:hint="default"/>
              </w:rPr>
            </w:pPr>
            <w:r>
              <w:rPr>
                <w:rFonts w:hint="default"/>
              </w:rPr>
              <w:t>0.44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600</w:t>
            </w:r>
          </w:p>
        </w:tc>
        <w:tc>
          <w:tcPr>
            <w:tcW w:w="1204" w:type="dxa"/>
            <w:tcBorders>
              <w:tl2br w:val="nil"/>
              <w:tr2bl w:val="nil"/>
            </w:tcBorders>
            <w:vAlign w:val="center"/>
          </w:tcPr>
          <w:p>
            <w:pPr>
              <w:pStyle w:val="17"/>
              <w:bidi w:val="0"/>
              <w:rPr>
                <w:rFonts w:hint="default"/>
              </w:rPr>
            </w:pPr>
            <w:r>
              <w:rPr>
                <w:rFonts w:hint="default"/>
              </w:rPr>
              <w:t>21.59</w:t>
            </w:r>
          </w:p>
        </w:tc>
        <w:tc>
          <w:tcPr>
            <w:tcW w:w="1204" w:type="dxa"/>
            <w:tcBorders>
              <w:tl2br w:val="nil"/>
              <w:tr2bl w:val="nil"/>
            </w:tcBorders>
            <w:vAlign w:val="center"/>
          </w:tcPr>
          <w:p>
            <w:pPr>
              <w:pStyle w:val="17"/>
              <w:bidi w:val="0"/>
              <w:rPr>
                <w:rFonts w:hint="default"/>
              </w:rPr>
            </w:pPr>
            <w:r>
              <w:rPr>
                <w:rFonts w:hint="default"/>
              </w:rPr>
              <w:t>1.08</w:t>
            </w:r>
          </w:p>
        </w:tc>
        <w:tc>
          <w:tcPr>
            <w:tcW w:w="1206" w:type="dxa"/>
            <w:tcBorders>
              <w:tl2br w:val="nil"/>
              <w:tr2bl w:val="nil"/>
            </w:tcBorders>
            <w:vAlign w:val="center"/>
          </w:tcPr>
          <w:p>
            <w:pPr>
              <w:pStyle w:val="17"/>
              <w:bidi w:val="0"/>
              <w:rPr>
                <w:rFonts w:hint="default"/>
              </w:rPr>
            </w:pPr>
            <w:r>
              <w:rPr>
                <w:rFonts w:hint="default"/>
              </w:rPr>
              <w:t>21.59</w:t>
            </w:r>
          </w:p>
        </w:tc>
        <w:tc>
          <w:tcPr>
            <w:tcW w:w="1206" w:type="dxa"/>
            <w:tcBorders>
              <w:tl2br w:val="nil"/>
              <w:tr2bl w:val="nil"/>
            </w:tcBorders>
            <w:vAlign w:val="center"/>
          </w:tcPr>
          <w:p>
            <w:pPr>
              <w:pStyle w:val="17"/>
              <w:bidi w:val="0"/>
              <w:rPr>
                <w:rFonts w:hint="default"/>
              </w:rPr>
            </w:pPr>
            <w:r>
              <w:rPr>
                <w:rFonts w:hint="default"/>
              </w:rPr>
              <w:t>1.08</w:t>
            </w:r>
          </w:p>
        </w:tc>
        <w:tc>
          <w:tcPr>
            <w:tcW w:w="1206" w:type="dxa"/>
            <w:tcBorders>
              <w:tl2br w:val="nil"/>
              <w:tr2bl w:val="nil"/>
            </w:tcBorders>
            <w:vAlign w:val="center"/>
          </w:tcPr>
          <w:p>
            <w:pPr>
              <w:pStyle w:val="17"/>
              <w:bidi w:val="0"/>
              <w:rPr>
                <w:rFonts w:hint="default"/>
              </w:rPr>
            </w:pPr>
            <w:r>
              <w:rPr>
                <w:rFonts w:hint="default"/>
              </w:rPr>
              <w:t>3.475</w:t>
            </w:r>
          </w:p>
        </w:tc>
        <w:tc>
          <w:tcPr>
            <w:tcW w:w="1206" w:type="dxa"/>
            <w:tcBorders>
              <w:tl2br w:val="nil"/>
              <w:tr2bl w:val="nil"/>
            </w:tcBorders>
            <w:vAlign w:val="center"/>
          </w:tcPr>
          <w:p>
            <w:pPr>
              <w:pStyle w:val="17"/>
              <w:bidi w:val="0"/>
              <w:rPr>
                <w:rFonts w:hint="default"/>
              </w:rPr>
            </w:pPr>
            <w:r>
              <w:rPr>
                <w:rFonts w:hint="default"/>
              </w:rPr>
              <w:t>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700</w:t>
            </w:r>
          </w:p>
        </w:tc>
        <w:tc>
          <w:tcPr>
            <w:tcW w:w="1204" w:type="dxa"/>
            <w:tcBorders>
              <w:tl2br w:val="nil"/>
              <w:tr2bl w:val="nil"/>
            </w:tcBorders>
            <w:vAlign w:val="center"/>
          </w:tcPr>
          <w:p>
            <w:pPr>
              <w:pStyle w:val="17"/>
              <w:bidi w:val="0"/>
              <w:rPr>
                <w:rFonts w:hint="default"/>
              </w:rPr>
            </w:pPr>
            <w:r>
              <w:rPr>
                <w:rFonts w:hint="default"/>
              </w:rPr>
              <w:t>19.37</w:t>
            </w:r>
          </w:p>
        </w:tc>
        <w:tc>
          <w:tcPr>
            <w:tcW w:w="1204" w:type="dxa"/>
            <w:tcBorders>
              <w:tl2br w:val="nil"/>
              <w:tr2bl w:val="nil"/>
            </w:tcBorders>
            <w:vAlign w:val="center"/>
          </w:tcPr>
          <w:p>
            <w:pPr>
              <w:pStyle w:val="17"/>
              <w:bidi w:val="0"/>
              <w:rPr>
                <w:rFonts w:hint="default"/>
              </w:rPr>
            </w:pPr>
            <w:r>
              <w:rPr>
                <w:rFonts w:hint="default"/>
              </w:rPr>
              <w:t>0.97</w:t>
            </w:r>
          </w:p>
        </w:tc>
        <w:tc>
          <w:tcPr>
            <w:tcW w:w="1206" w:type="dxa"/>
            <w:tcBorders>
              <w:tl2br w:val="nil"/>
              <w:tr2bl w:val="nil"/>
            </w:tcBorders>
            <w:vAlign w:val="center"/>
          </w:tcPr>
          <w:p>
            <w:pPr>
              <w:pStyle w:val="17"/>
              <w:bidi w:val="0"/>
              <w:rPr>
                <w:rFonts w:hint="default"/>
              </w:rPr>
            </w:pPr>
            <w:r>
              <w:rPr>
                <w:rFonts w:hint="default"/>
              </w:rPr>
              <w:t>19.37</w:t>
            </w:r>
          </w:p>
        </w:tc>
        <w:tc>
          <w:tcPr>
            <w:tcW w:w="1206" w:type="dxa"/>
            <w:tcBorders>
              <w:tl2br w:val="nil"/>
              <w:tr2bl w:val="nil"/>
            </w:tcBorders>
            <w:vAlign w:val="center"/>
          </w:tcPr>
          <w:p>
            <w:pPr>
              <w:pStyle w:val="17"/>
              <w:bidi w:val="0"/>
              <w:rPr>
                <w:rFonts w:hint="default"/>
              </w:rPr>
            </w:pPr>
            <w:r>
              <w:rPr>
                <w:rFonts w:hint="default"/>
              </w:rPr>
              <w:t>0.97</w:t>
            </w:r>
          </w:p>
        </w:tc>
        <w:tc>
          <w:tcPr>
            <w:tcW w:w="1206" w:type="dxa"/>
            <w:tcBorders>
              <w:tl2br w:val="nil"/>
              <w:tr2bl w:val="nil"/>
            </w:tcBorders>
            <w:vAlign w:val="center"/>
          </w:tcPr>
          <w:p>
            <w:pPr>
              <w:pStyle w:val="17"/>
              <w:bidi w:val="0"/>
              <w:rPr>
                <w:rFonts w:hint="default"/>
              </w:rPr>
            </w:pPr>
            <w:r>
              <w:rPr>
                <w:rFonts w:hint="default"/>
              </w:rPr>
              <w:t>3.117</w:t>
            </w:r>
          </w:p>
        </w:tc>
        <w:tc>
          <w:tcPr>
            <w:tcW w:w="1206" w:type="dxa"/>
            <w:tcBorders>
              <w:tl2br w:val="nil"/>
              <w:tr2bl w:val="nil"/>
            </w:tcBorders>
            <w:vAlign w:val="center"/>
          </w:tcPr>
          <w:p>
            <w:pPr>
              <w:pStyle w:val="17"/>
              <w:bidi w:val="0"/>
              <w:rPr>
                <w:rFonts w:hint="default"/>
              </w:rPr>
            </w:pPr>
            <w:r>
              <w:rPr>
                <w:rFonts w:hint="default"/>
              </w:rPr>
              <w:t>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800</w:t>
            </w:r>
          </w:p>
        </w:tc>
        <w:tc>
          <w:tcPr>
            <w:tcW w:w="1204" w:type="dxa"/>
            <w:tcBorders>
              <w:tl2br w:val="nil"/>
              <w:tr2bl w:val="nil"/>
            </w:tcBorders>
            <w:vAlign w:val="center"/>
          </w:tcPr>
          <w:p>
            <w:pPr>
              <w:pStyle w:val="17"/>
              <w:bidi w:val="0"/>
              <w:rPr>
                <w:rFonts w:hint="default"/>
              </w:rPr>
            </w:pPr>
            <w:r>
              <w:rPr>
                <w:rFonts w:hint="default"/>
              </w:rPr>
              <w:t>17.63</w:t>
            </w:r>
          </w:p>
        </w:tc>
        <w:tc>
          <w:tcPr>
            <w:tcW w:w="1204" w:type="dxa"/>
            <w:tcBorders>
              <w:tl2br w:val="nil"/>
              <w:tr2bl w:val="nil"/>
            </w:tcBorders>
            <w:vAlign w:val="center"/>
          </w:tcPr>
          <w:p>
            <w:pPr>
              <w:pStyle w:val="17"/>
              <w:bidi w:val="0"/>
              <w:rPr>
                <w:rFonts w:hint="default"/>
              </w:rPr>
            </w:pPr>
            <w:r>
              <w:rPr>
                <w:rFonts w:hint="default"/>
              </w:rPr>
              <w:t>0.88</w:t>
            </w:r>
          </w:p>
        </w:tc>
        <w:tc>
          <w:tcPr>
            <w:tcW w:w="1206" w:type="dxa"/>
            <w:tcBorders>
              <w:tl2br w:val="nil"/>
              <w:tr2bl w:val="nil"/>
            </w:tcBorders>
            <w:vAlign w:val="center"/>
          </w:tcPr>
          <w:p>
            <w:pPr>
              <w:pStyle w:val="17"/>
              <w:bidi w:val="0"/>
              <w:rPr>
                <w:rFonts w:hint="default"/>
              </w:rPr>
            </w:pPr>
            <w:r>
              <w:rPr>
                <w:rFonts w:hint="default"/>
              </w:rPr>
              <w:t>17.63</w:t>
            </w:r>
          </w:p>
        </w:tc>
        <w:tc>
          <w:tcPr>
            <w:tcW w:w="1206" w:type="dxa"/>
            <w:tcBorders>
              <w:tl2br w:val="nil"/>
              <w:tr2bl w:val="nil"/>
            </w:tcBorders>
            <w:vAlign w:val="center"/>
          </w:tcPr>
          <w:p>
            <w:pPr>
              <w:pStyle w:val="17"/>
              <w:bidi w:val="0"/>
              <w:rPr>
                <w:rFonts w:hint="default"/>
              </w:rPr>
            </w:pPr>
            <w:r>
              <w:rPr>
                <w:rFonts w:hint="default"/>
              </w:rPr>
              <w:t>0.88</w:t>
            </w:r>
          </w:p>
        </w:tc>
        <w:tc>
          <w:tcPr>
            <w:tcW w:w="1206" w:type="dxa"/>
            <w:tcBorders>
              <w:tl2br w:val="nil"/>
              <w:tr2bl w:val="nil"/>
            </w:tcBorders>
            <w:vAlign w:val="center"/>
          </w:tcPr>
          <w:p>
            <w:pPr>
              <w:pStyle w:val="17"/>
              <w:bidi w:val="0"/>
              <w:rPr>
                <w:rFonts w:hint="default"/>
              </w:rPr>
            </w:pPr>
            <w:r>
              <w:rPr>
                <w:rFonts w:hint="default"/>
              </w:rPr>
              <w:t>2.837</w:t>
            </w:r>
          </w:p>
        </w:tc>
        <w:tc>
          <w:tcPr>
            <w:tcW w:w="1206" w:type="dxa"/>
            <w:tcBorders>
              <w:tl2br w:val="nil"/>
              <w:tr2bl w:val="nil"/>
            </w:tcBorders>
            <w:vAlign w:val="center"/>
          </w:tcPr>
          <w:p>
            <w:pPr>
              <w:pStyle w:val="17"/>
              <w:bidi w:val="0"/>
              <w:rPr>
                <w:rFonts w:hint="default"/>
              </w:rPr>
            </w:pPr>
            <w:r>
              <w:rPr>
                <w:rFonts w:hint="default"/>
              </w:rPr>
              <w:t>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900</w:t>
            </w:r>
          </w:p>
        </w:tc>
        <w:tc>
          <w:tcPr>
            <w:tcW w:w="1204" w:type="dxa"/>
            <w:tcBorders>
              <w:tl2br w:val="nil"/>
              <w:tr2bl w:val="nil"/>
            </w:tcBorders>
            <w:vAlign w:val="center"/>
          </w:tcPr>
          <w:p>
            <w:pPr>
              <w:pStyle w:val="17"/>
              <w:bidi w:val="0"/>
              <w:rPr>
                <w:rFonts w:hint="default"/>
              </w:rPr>
            </w:pPr>
            <w:r>
              <w:rPr>
                <w:rFonts w:hint="default"/>
              </w:rPr>
              <w:t>16.23</w:t>
            </w:r>
          </w:p>
        </w:tc>
        <w:tc>
          <w:tcPr>
            <w:tcW w:w="1204" w:type="dxa"/>
            <w:tcBorders>
              <w:tl2br w:val="nil"/>
              <w:tr2bl w:val="nil"/>
            </w:tcBorders>
            <w:vAlign w:val="center"/>
          </w:tcPr>
          <w:p>
            <w:pPr>
              <w:pStyle w:val="17"/>
              <w:bidi w:val="0"/>
              <w:rPr>
                <w:rFonts w:hint="default"/>
              </w:rPr>
            </w:pPr>
            <w:r>
              <w:rPr>
                <w:rFonts w:hint="default"/>
              </w:rPr>
              <w:t>0.81</w:t>
            </w:r>
          </w:p>
        </w:tc>
        <w:tc>
          <w:tcPr>
            <w:tcW w:w="1206" w:type="dxa"/>
            <w:tcBorders>
              <w:tl2br w:val="nil"/>
              <w:tr2bl w:val="nil"/>
            </w:tcBorders>
            <w:vAlign w:val="center"/>
          </w:tcPr>
          <w:p>
            <w:pPr>
              <w:pStyle w:val="17"/>
              <w:bidi w:val="0"/>
              <w:rPr>
                <w:rFonts w:hint="default"/>
              </w:rPr>
            </w:pPr>
            <w:r>
              <w:rPr>
                <w:rFonts w:hint="default"/>
              </w:rPr>
              <w:t>16.23</w:t>
            </w:r>
          </w:p>
        </w:tc>
        <w:tc>
          <w:tcPr>
            <w:tcW w:w="1206" w:type="dxa"/>
            <w:tcBorders>
              <w:tl2br w:val="nil"/>
              <w:tr2bl w:val="nil"/>
            </w:tcBorders>
            <w:vAlign w:val="center"/>
          </w:tcPr>
          <w:p>
            <w:pPr>
              <w:pStyle w:val="17"/>
              <w:bidi w:val="0"/>
              <w:rPr>
                <w:rFonts w:hint="default"/>
              </w:rPr>
            </w:pPr>
            <w:r>
              <w:rPr>
                <w:rFonts w:hint="default"/>
              </w:rPr>
              <w:t>0.81</w:t>
            </w:r>
          </w:p>
        </w:tc>
        <w:tc>
          <w:tcPr>
            <w:tcW w:w="1206" w:type="dxa"/>
            <w:tcBorders>
              <w:tl2br w:val="nil"/>
              <w:tr2bl w:val="nil"/>
            </w:tcBorders>
            <w:vAlign w:val="center"/>
          </w:tcPr>
          <w:p>
            <w:pPr>
              <w:pStyle w:val="17"/>
              <w:bidi w:val="0"/>
              <w:rPr>
                <w:rFonts w:hint="default"/>
              </w:rPr>
            </w:pPr>
            <w:r>
              <w:rPr>
                <w:rFonts w:hint="default"/>
              </w:rPr>
              <w:t>2.611</w:t>
            </w:r>
          </w:p>
        </w:tc>
        <w:tc>
          <w:tcPr>
            <w:tcW w:w="1206" w:type="dxa"/>
            <w:tcBorders>
              <w:tl2br w:val="nil"/>
              <w:tr2bl w:val="nil"/>
            </w:tcBorders>
            <w:vAlign w:val="center"/>
          </w:tcPr>
          <w:p>
            <w:pPr>
              <w:pStyle w:val="17"/>
              <w:bidi w:val="0"/>
              <w:rPr>
                <w:rFonts w:hint="default"/>
              </w:rPr>
            </w:pPr>
            <w:r>
              <w:rPr>
                <w:rFonts w:hint="default"/>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1000</w:t>
            </w:r>
          </w:p>
        </w:tc>
        <w:tc>
          <w:tcPr>
            <w:tcW w:w="1204" w:type="dxa"/>
            <w:tcBorders>
              <w:tl2br w:val="nil"/>
              <w:tr2bl w:val="nil"/>
            </w:tcBorders>
            <w:vAlign w:val="center"/>
          </w:tcPr>
          <w:p>
            <w:pPr>
              <w:pStyle w:val="17"/>
              <w:bidi w:val="0"/>
              <w:rPr>
                <w:rFonts w:hint="default"/>
              </w:rPr>
            </w:pPr>
            <w:r>
              <w:rPr>
                <w:rFonts w:hint="default"/>
              </w:rPr>
              <w:t>15.07</w:t>
            </w:r>
          </w:p>
        </w:tc>
        <w:tc>
          <w:tcPr>
            <w:tcW w:w="1204" w:type="dxa"/>
            <w:tcBorders>
              <w:tl2br w:val="nil"/>
              <w:tr2bl w:val="nil"/>
            </w:tcBorders>
            <w:vAlign w:val="center"/>
          </w:tcPr>
          <w:p>
            <w:pPr>
              <w:pStyle w:val="17"/>
              <w:bidi w:val="0"/>
              <w:rPr>
                <w:rFonts w:hint="default"/>
              </w:rPr>
            </w:pPr>
            <w:r>
              <w:rPr>
                <w:rFonts w:hint="default"/>
              </w:rPr>
              <w:t>0.75</w:t>
            </w:r>
          </w:p>
        </w:tc>
        <w:tc>
          <w:tcPr>
            <w:tcW w:w="1206" w:type="dxa"/>
            <w:tcBorders>
              <w:tl2br w:val="nil"/>
              <w:tr2bl w:val="nil"/>
            </w:tcBorders>
            <w:vAlign w:val="center"/>
          </w:tcPr>
          <w:p>
            <w:pPr>
              <w:pStyle w:val="17"/>
              <w:bidi w:val="0"/>
              <w:rPr>
                <w:rFonts w:hint="default"/>
              </w:rPr>
            </w:pPr>
            <w:r>
              <w:rPr>
                <w:rFonts w:hint="default"/>
              </w:rPr>
              <w:t>15.07</w:t>
            </w:r>
          </w:p>
        </w:tc>
        <w:tc>
          <w:tcPr>
            <w:tcW w:w="1206" w:type="dxa"/>
            <w:tcBorders>
              <w:tl2br w:val="nil"/>
              <w:tr2bl w:val="nil"/>
            </w:tcBorders>
            <w:vAlign w:val="center"/>
          </w:tcPr>
          <w:p>
            <w:pPr>
              <w:pStyle w:val="17"/>
              <w:bidi w:val="0"/>
              <w:rPr>
                <w:rFonts w:hint="default"/>
              </w:rPr>
            </w:pPr>
            <w:r>
              <w:rPr>
                <w:rFonts w:hint="default"/>
              </w:rPr>
              <w:t>0.75</w:t>
            </w:r>
          </w:p>
        </w:tc>
        <w:tc>
          <w:tcPr>
            <w:tcW w:w="1206" w:type="dxa"/>
            <w:tcBorders>
              <w:tl2br w:val="nil"/>
              <w:tr2bl w:val="nil"/>
            </w:tcBorders>
            <w:vAlign w:val="center"/>
          </w:tcPr>
          <w:p>
            <w:pPr>
              <w:pStyle w:val="17"/>
              <w:bidi w:val="0"/>
              <w:rPr>
                <w:rFonts w:hint="default"/>
              </w:rPr>
            </w:pPr>
            <w:r>
              <w:rPr>
                <w:rFonts w:hint="default"/>
              </w:rPr>
              <w:t>2.425</w:t>
            </w:r>
          </w:p>
        </w:tc>
        <w:tc>
          <w:tcPr>
            <w:tcW w:w="1206" w:type="dxa"/>
            <w:tcBorders>
              <w:tl2br w:val="nil"/>
              <w:tr2bl w:val="nil"/>
            </w:tcBorders>
            <w:vAlign w:val="center"/>
          </w:tcPr>
          <w:p>
            <w:pPr>
              <w:pStyle w:val="17"/>
              <w:bidi w:val="0"/>
              <w:rPr>
                <w:rFonts w:hint="default"/>
              </w:rPr>
            </w:pPr>
            <w:r>
              <w:rPr>
                <w:rFonts w:hint="default"/>
              </w:rPr>
              <w:t>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1500</w:t>
            </w:r>
          </w:p>
        </w:tc>
        <w:tc>
          <w:tcPr>
            <w:tcW w:w="1204" w:type="dxa"/>
            <w:tcBorders>
              <w:tl2br w:val="nil"/>
              <w:tr2bl w:val="nil"/>
            </w:tcBorders>
            <w:vAlign w:val="center"/>
          </w:tcPr>
          <w:p>
            <w:pPr>
              <w:pStyle w:val="17"/>
              <w:bidi w:val="0"/>
              <w:rPr>
                <w:rFonts w:hint="default"/>
              </w:rPr>
            </w:pPr>
            <w:r>
              <w:rPr>
                <w:rFonts w:hint="default"/>
              </w:rPr>
              <w:t>12.79</w:t>
            </w:r>
          </w:p>
        </w:tc>
        <w:tc>
          <w:tcPr>
            <w:tcW w:w="1204" w:type="dxa"/>
            <w:tcBorders>
              <w:tl2br w:val="nil"/>
              <w:tr2bl w:val="nil"/>
            </w:tcBorders>
            <w:vAlign w:val="center"/>
          </w:tcPr>
          <w:p>
            <w:pPr>
              <w:pStyle w:val="17"/>
              <w:bidi w:val="0"/>
              <w:rPr>
                <w:rFonts w:hint="default"/>
              </w:rPr>
            </w:pPr>
            <w:r>
              <w:rPr>
                <w:rFonts w:hint="default"/>
              </w:rPr>
              <w:t>0.64</w:t>
            </w:r>
          </w:p>
        </w:tc>
        <w:tc>
          <w:tcPr>
            <w:tcW w:w="1206" w:type="dxa"/>
            <w:tcBorders>
              <w:tl2br w:val="nil"/>
              <w:tr2bl w:val="nil"/>
            </w:tcBorders>
            <w:vAlign w:val="center"/>
          </w:tcPr>
          <w:p>
            <w:pPr>
              <w:pStyle w:val="17"/>
              <w:bidi w:val="0"/>
              <w:rPr>
                <w:rFonts w:hint="default"/>
              </w:rPr>
            </w:pPr>
            <w:r>
              <w:rPr>
                <w:rFonts w:hint="default"/>
              </w:rPr>
              <w:t>12.79</w:t>
            </w:r>
          </w:p>
        </w:tc>
        <w:tc>
          <w:tcPr>
            <w:tcW w:w="1206" w:type="dxa"/>
            <w:tcBorders>
              <w:tl2br w:val="nil"/>
              <w:tr2bl w:val="nil"/>
            </w:tcBorders>
            <w:vAlign w:val="center"/>
          </w:tcPr>
          <w:p>
            <w:pPr>
              <w:pStyle w:val="17"/>
              <w:bidi w:val="0"/>
              <w:rPr>
                <w:rFonts w:hint="default"/>
              </w:rPr>
            </w:pPr>
            <w:r>
              <w:rPr>
                <w:rFonts w:hint="default"/>
              </w:rPr>
              <w:t>0.64</w:t>
            </w:r>
          </w:p>
        </w:tc>
        <w:tc>
          <w:tcPr>
            <w:tcW w:w="1206" w:type="dxa"/>
            <w:tcBorders>
              <w:tl2br w:val="nil"/>
              <w:tr2bl w:val="nil"/>
            </w:tcBorders>
            <w:vAlign w:val="center"/>
          </w:tcPr>
          <w:p>
            <w:pPr>
              <w:pStyle w:val="17"/>
              <w:bidi w:val="0"/>
              <w:rPr>
                <w:rFonts w:hint="default"/>
              </w:rPr>
            </w:pPr>
            <w:r>
              <w:rPr>
                <w:rFonts w:hint="default"/>
              </w:rPr>
              <w:t>2.059</w:t>
            </w:r>
          </w:p>
        </w:tc>
        <w:tc>
          <w:tcPr>
            <w:tcW w:w="1206" w:type="dxa"/>
            <w:tcBorders>
              <w:tl2br w:val="nil"/>
              <w:tr2bl w:val="nil"/>
            </w:tcBorders>
            <w:vAlign w:val="center"/>
          </w:tcPr>
          <w:p>
            <w:pPr>
              <w:pStyle w:val="17"/>
              <w:bidi w:val="0"/>
              <w:rPr>
                <w:rFonts w:hint="default"/>
              </w:rPr>
            </w:pPr>
            <w:r>
              <w:rPr>
                <w:rFonts w:hint="default"/>
              </w:rPr>
              <w:t>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2000</w:t>
            </w:r>
          </w:p>
        </w:tc>
        <w:tc>
          <w:tcPr>
            <w:tcW w:w="1204" w:type="dxa"/>
            <w:tcBorders>
              <w:tl2br w:val="nil"/>
              <w:tr2bl w:val="nil"/>
            </w:tcBorders>
            <w:vAlign w:val="center"/>
          </w:tcPr>
          <w:p>
            <w:pPr>
              <w:pStyle w:val="17"/>
              <w:bidi w:val="0"/>
              <w:rPr>
                <w:rFonts w:hint="default"/>
              </w:rPr>
            </w:pPr>
            <w:r>
              <w:rPr>
                <w:rFonts w:hint="default"/>
              </w:rPr>
              <w:t>12.13</w:t>
            </w:r>
          </w:p>
        </w:tc>
        <w:tc>
          <w:tcPr>
            <w:tcW w:w="1204" w:type="dxa"/>
            <w:tcBorders>
              <w:tl2br w:val="nil"/>
              <w:tr2bl w:val="nil"/>
            </w:tcBorders>
            <w:vAlign w:val="center"/>
          </w:tcPr>
          <w:p>
            <w:pPr>
              <w:pStyle w:val="17"/>
              <w:bidi w:val="0"/>
              <w:rPr>
                <w:rFonts w:hint="default"/>
              </w:rPr>
            </w:pPr>
            <w:r>
              <w:rPr>
                <w:rFonts w:hint="default"/>
              </w:rPr>
              <w:t>0.61</w:t>
            </w:r>
          </w:p>
        </w:tc>
        <w:tc>
          <w:tcPr>
            <w:tcW w:w="1206" w:type="dxa"/>
            <w:tcBorders>
              <w:tl2br w:val="nil"/>
              <w:tr2bl w:val="nil"/>
            </w:tcBorders>
            <w:vAlign w:val="center"/>
          </w:tcPr>
          <w:p>
            <w:pPr>
              <w:pStyle w:val="17"/>
              <w:bidi w:val="0"/>
              <w:rPr>
                <w:rFonts w:hint="default"/>
              </w:rPr>
            </w:pPr>
            <w:r>
              <w:rPr>
                <w:rFonts w:hint="default"/>
              </w:rPr>
              <w:t>12.13</w:t>
            </w:r>
          </w:p>
        </w:tc>
        <w:tc>
          <w:tcPr>
            <w:tcW w:w="1206" w:type="dxa"/>
            <w:tcBorders>
              <w:tl2br w:val="nil"/>
              <w:tr2bl w:val="nil"/>
            </w:tcBorders>
            <w:vAlign w:val="center"/>
          </w:tcPr>
          <w:p>
            <w:pPr>
              <w:pStyle w:val="17"/>
              <w:bidi w:val="0"/>
              <w:rPr>
                <w:rFonts w:hint="default"/>
              </w:rPr>
            </w:pPr>
            <w:r>
              <w:rPr>
                <w:rFonts w:hint="default"/>
              </w:rPr>
              <w:t>0.61</w:t>
            </w:r>
          </w:p>
        </w:tc>
        <w:tc>
          <w:tcPr>
            <w:tcW w:w="1206" w:type="dxa"/>
            <w:tcBorders>
              <w:tl2br w:val="nil"/>
              <w:tr2bl w:val="nil"/>
            </w:tcBorders>
            <w:vAlign w:val="center"/>
          </w:tcPr>
          <w:p>
            <w:pPr>
              <w:pStyle w:val="17"/>
              <w:bidi w:val="0"/>
              <w:rPr>
                <w:rFonts w:hint="default"/>
              </w:rPr>
            </w:pPr>
            <w:r>
              <w:rPr>
                <w:rFonts w:hint="default"/>
              </w:rPr>
              <w:t>1.952</w:t>
            </w:r>
          </w:p>
        </w:tc>
        <w:tc>
          <w:tcPr>
            <w:tcW w:w="1206" w:type="dxa"/>
            <w:tcBorders>
              <w:tl2br w:val="nil"/>
              <w:tr2bl w:val="nil"/>
            </w:tcBorders>
            <w:vAlign w:val="center"/>
          </w:tcPr>
          <w:p>
            <w:pPr>
              <w:pStyle w:val="17"/>
              <w:bidi w:val="0"/>
              <w:rPr>
                <w:rFonts w:hint="default"/>
              </w:rPr>
            </w:pPr>
            <w:r>
              <w:rPr>
                <w:rFonts w:hint="default"/>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2500</w:t>
            </w:r>
          </w:p>
        </w:tc>
        <w:tc>
          <w:tcPr>
            <w:tcW w:w="1204" w:type="dxa"/>
            <w:tcBorders>
              <w:tl2br w:val="nil"/>
              <w:tr2bl w:val="nil"/>
            </w:tcBorders>
            <w:vAlign w:val="center"/>
          </w:tcPr>
          <w:p>
            <w:pPr>
              <w:pStyle w:val="17"/>
              <w:bidi w:val="0"/>
              <w:rPr>
                <w:rFonts w:hint="default"/>
              </w:rPr>
            </w:pPr>
            <w:r>
              <w:rPr>
                <w:rFonts w:hint="default"/>
              </w:rPr>
              <w:t>11.07</w:t>
            </w:r>
          </w:p>
        </w:tc>
        <w:tc>
          <w:tcPr>
            <w:tcW w:w="1204" w:type="dxa"/>
            <w:tcBorders>
              <w:tl2br w:val="nil"/>
              <w:tr2bl w:val="nil"/>
            </w:tcBorders>
            <w:vAlign w:val="center"/>
          </w:tcPr>
          <w:p>
            <w:pPr>
              <w:pStyle w:val="17"/>
              <w:bidi w:val="0"/>
              <w:rPr>
                <w:rFonts w:hint="default"/>
              </w:rPr>
            </w:pPr>
            <w:r>
              <w:rPr>
                <w:rFonts w:hint="default"/>
              </w:rPr>
              <w:t>0.55</w:t>
            </w:r>
          </w:p>
        </w:tc>
        <w:tc>
          <w:tcPr>
            <w:tcW w:w="1206" w:type="dxa"/>
            <w:tcBorders>
              <w:tl2br w:val="nil"/>
              <w:tr2bl w:val="nil"/>
            </w:tcBorders>
            <w:vAlign w:val="center"/>
          </w:tcPr>
          <w:p>
            <w:pPr>
              <w:pStyle w:val="17"/>
              <w:bidi w:val="0"/>
              <w:rPr>
                <w:rFonts w:hint="default"/>
              </w:rPr>
            </w:pPr>
            <w:r>
              <w:rPr>
                <w:rFonts w:hint="default"/>
              </w:rPr>
              <w:t>11.07</w:t>
            </w:r>
          </w:p>
        </w:tc>
        <w:tc>
          <w:tcPr>
            <w:tcW w:w="1206" w:type="dxa"/>
            <w:tcBorders>
              <w:tl2br w:val="nil"/>
              <w:tr2bl w:val="nil"/>
            </w:tcBorders>
            <w:vAlign w:val="center"/>
          </w:tcPr>
          <w:p>
            <w:pPr>
              <w:pStyle w:val="17"/>
              <w:bidi w:val="0"/>
              <w:rPr>
                <w:rFonts w:hint="default"/>
              </w:rPr>
            </w:pPr>
            <w:r>
              <w:rPr>
                <w:rFonts w:hint="default"/>
              </w:rPr>
              <w:t>0.55</w:t>
            </w:r>
          </w:p>
        </w:tc>
        <w:tc>
          <w:tcPr>
            <w:tcW w:w="1206" w:type="dxa"/>
            <w:tcBorders>
              <w:tl2br w:val="nil"/>
              <w:tr2bl w:val="nil"/>
            </w:tcBorders>
            <w:vAlign w:val="center"/>
          </w:tcPr>
          <w:p>
            <w:pPr>
              <w:pStyle w:val="17"/>
              <w:bidi w:val="0"/>
              <w:rPr>
                <w:rFonts w:hint="default"/>
              </w:rPr>
            </w:pPr>
            <w:r>
              <w:rPr>
                <w:rFonts w:hint="default"/>
              </w:rPr>
              <w:t>1.781</w:t>
            </w:r>
          </w:p>
        </w:tc>
        <w:tc>
          <w:tcPr>
            <w:tcW w:w="1206" w:type="dxa"/>
            <w:tcBorders>
              <w:tl2br w:val="nil"/>
              <w:tr2bl w:val="nil"/>
            </w:tcBorders>
            <w:vAlign w:val="center"/>
          </w:tcPr>
          <w:p>
            <w:pPr>
              <w:pStyle w:val="17"/>
              <w:bidi w:val="0"/>
              <w:rPr>
                <w:rFonts w:hint="default"/>
              </w:rPr>
            </w:pPr>
            <w:r>
              <w:rPr>
                <w:rFonts w:hint="default"/>
              </w:rPr>
              <w:t>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下风向最大质量</w:t>
            </w:r>
          </w:p>
          <w:p>
            <w:pPr>
              <w:pStyle w:val="17"/>
              <w:bidi w:val="0"/>
              <w:rPr>
                <w:rFonts w:hint="default"/>
              </w:rPr>
            </w:pPr>
            <w:r>
              <w:rPr>
                <w:rFonts w:hint="default"/>
              </w:rPr>
              <w:t>浓度及占标率/%</w:t>
            </w:r>
          </w:p>
        </w:tc>
        <w:tc>
          <w:tcPr>
            <w:tcW w:w="1204" w:type="dxa"/>
            <w:tcBorders>
              <w:tl2br w:val="nil"/>
              <w:tr2bl w:val="nil"/>
            </w:tcBorders>
            <w:vAlign w:val="center"/>
          </w:tcPr>
          <w:p>
            <w:pPr>
              <w:pStyle w:val="17"/>
              <w:bidi w:val="0"/>
              <w:rPr>
                <w:rFonts w:hint="default"/>
              </w:rPr>
            </w:pPr>
            <w:r>
              <w:rPr>
                <w:rFonts w:hint="default"/>
              </w:rPr>
              <w:t>110</w:t>
            </w:r>
          </w:p>
        </w:tc>
        <w:tc>
          <w:tcPr>
            <w:tcW w:w="1204" w:type="dxa"/>
            <w:tcBorders>
              <w:tl2br w:val="nil"/>
              <w:tr2bl w:val="nil"/>
            </w:tcBorders>
            <w:vAlign w:val="center"/>
          </w:tcPr>
          <w:p>
            <w:pPr>
              <w:pStyle w:val="17"/>
              <w:bidi w:val="0"/>
              <w:rPr>
                <w:rFonts w:hint="default"/>
              </w:rPr>
            </w:pPr>
            <w:r>
              <w:rPr>
                <w:rFonts w:hint="default"/>
              </w:rPr>
              <w:t>5.5</w:t>
            </w:r>
          </w:p>
        </w:tc>
        <w:tc>
          <w:tcPr>
            <w:tcW w:w="1206" w:type="dxa"/>
            <w:tcBorders>
              <w:tl2br w:val="nil"/>
              <w:tr2bl w:val="nil"/>
            </w:tcBorders>
            <w:vAlign w:val="center"/>
          </w:tcPr>
          <w:p>
            <w:pPr>
              <w:pStyle w:val="17"/>
              <w:bidi w:val="0"/>
              <w:rPr>
                <w:rFonts w:hint="default"/>
              </w:rPr>
            </w:pPr>
            <w:r>
              <w:rPr>
                <w:rFonts w:hint="default"/>
              </w:rPr>
              <w:t>110</w:t>
            </w:r>
          </w:p>
        </w:tc>
        <w:tc>
          <w:tcPr>
            <w:tcW w:w="1206" w:type="dxa"/>
            <w:tcBorders>
              <w:tl2br w:val="nil"/>
              <w:tr2bl w:val="nil"/>
            </w:tcBorders>
            <w:vAlign w:val="center"/>
          </w:tcPr>
          <w:p>
            <w:pPr>
              <w:pStyle w:val="17"/>
              <w:bidi w:val="0"/>
              <w:rPr>
                <w:rFonts w:hint="default"/>
              </w:rPr>
            </w:pPr>
            <w:r>
              <w:rPr>
                <w:rFonts w:hint="default"/>
              </w:rPr>
              <w:t>5.5</w:t>
            </w:r>
          </w:p>
        </w:tc>
        <w:tc>
          <w:tcPr>
            <w:tcW w:w="1206" w:type="dxa"/>
            <w:tcBorders>
              <w:tl2br w:val="nil"/>
              <w:tr2bl w:val="nil"/>
            </w:tcBorders>
            <w:vAlign w:val="center"/>
          </w:tcPr>
          <w:p>
            <w:pPr>
              <w:pStyle w:val="17"/>
              <w:bidi w:val="0"/>
              <w:rPr>
                <w:rFonts w:hint="default"/>
              </w:rPr>
            </w:pPr>
            <w:r>
              <w:rPr>
                <w:rFonts w:hint="default"/>
              </w:rPr>
              <w:t>17.7</w:t>
            </w:r>
          </w:p>
        </w:tc>
        <w:tc>
          <w:tcPr>
            <w:tcW w:w="1206" w:type="dxa"/>
            <w:tcBorders>
              <w:tl2br w:val="nil"/>
              <w:tr2bl w:val="nil"/>
            </w:tcBorders>
            <w:vAlign w:val="center"/>
          </w:tcPr>
          <w:p>
            <w:pPr>
              <w:pStyle w:val="17"/>
              <w:bidi w:val="0"/>
              <w:rPr>
                <w:rFonts w:hint="default"/>
              </w:rPr>
            </w:pPr>
            <w:r>
              <w:rPr>
                <w:rFonts w:hint="default"/>
              </w:rPr>
              <w:t>1.97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272" w:type="dxa"/>
            <w:tcBorders>
              <w:tl2br w:val="nil"/>
              <w:tr2bl w:val="nil"/>
            </w:tcBorders>
            <w:vAlign w:val="center"/>
          </w:tcPr>
          <w:p>
            <w:pPr>
              <w:pStyle w:val="17"/>
              <w:bidi w:val="0"/>
              <w:rPr>
                <w:rFonts w:hint="default"/>
              </w:rPr>
            </w:pPr>
            <w:r>
              <w:rPr>
                <w:rFonts w:hint="default"/>
              </w:rPr>
              <w:t>D10%最远距离/m</w:t>
            </w:r>
          </w:p>
        </w:tc>
        <w:tc>
          <w:tcPr>
            <w:tcW w:w="2408" w:type="dxa"/>
            <w:gridSpan w:val="2"/>
            <w:tcBorders>
              <w:tl2br w:val="nil"/>
              <w:tr2bl w:val="nil"/>
            </w:tcBorders>
            <w:vAlign w:val="center"/>
          </w:tcPr>
          <w:p>
            <w:pPr>
              <w:pStyle w:val="17"/>
              <w:bidi w:val="0"/>
              <w:rPr>
                <w:rFonts w:hint="default"/>
              </w:rPr>
            </w:pPr>
            <w:r>
              <w:rPr>
                <w:rFonts w:hint="default"/>
              </w:rPr>
              <w:t>42</w:t>
            </w:r>
          </w:p>
        </w:tc>
        <w:tc>
          <w:tcPr>
            <w:tcW w:w="2412" w:type="dxa"/>
            <w:gridSpan w:val="2"/>
            <w:tcBorders>
              <w:tl2br w:val="nil"/>
              <w:tr2bl w:val="nil"/>
            </w:tcBorders>
            <w:vAlign w:val="center"/>
          </w:tcPr>
          <w:p>
            <w:pPr>
              <w:pStyle w:val="17"/>
              <w:bidi w:val="0"/>
              <w:rPr>
                <w:rFonts w:hint="default"/>
              </w:rPr>
            </w:pPr>
            <w:r>
              <w:rPr>
                <w:rFonts w:hint="default"/>
              </w:rPr>
              <w:t>42</w:t>
            </w:r>
          </w:p>
        </w:tc>
        <w:tc>
          <w:tcPr>
            <w:tcW w:w="2412" w:type="dxa"/>
            <w:gridSpan w:val="2"/>
            <w:tcBorders>
              <w:tl2br w:val="nil"/>
              <w:tr2bl w:val="nil"/>
            </w:tcBorders>
            <w:vAlign w:val="center"/>
          </w:tcPr>
          <w:p>
            <w:pPr>
              <w:pStyle w:val="17"/>
              <w:bidi w:val="0"/>
              <w:rPr>
                <w:rFonts w:hint="default"/>
              </w:rPr>
            </w:pPr>
            <w:r>
              <w:rPr>
                <w:rFonts w:hint="default"/>
              </w:rPr>
              <w:t>42</w:t>
            </w:r>
          </w:p>
        </w:tc>
      </w:tr>
    </w:tbl>
    <w:p>
      <w:pPr>
        <w:bidi w:val="0"/>
        <w:rPr>
          <w:rFonts w:hint="default"/>
        </w:rPr>
      </w:pPr>
      <w:r>
        <w:rPr>
          <w:rFonts w:hint="default"/>
        </w:rPr>
        <w:t>从估算结果可以看出，项目正常工况下排放的废气对区域大气环境贡献值很小，对厂址附近大气环境空气敏感点影响较小。</w:t>
      </w:r>
    </w:p>
    <w:p>
      <w:pPr>
        <w:pStyle w:val="6"/>
        <w:bidi w:val="0"/>
        <w:rPr>
          <w:rFonts w:hint="default"/>
        </w:rPr>
      </w:pPr>
      <w:r>
        <w:rPr>
          <w:rFonts w:hint="default"/>
        </w:rPr>
        <w:t>5.1.3.2</w:t>
      </w:r>
      <w:r>
        <w:rPr>
          <w:rFonts w:hint="eastAsia"/>
          <w:lang w:eastAsia="zh-CN"/>
        </w:rPr>
        <w:t>、</w:t>
      </w:r>
      <w:r>
        <w:rPr>
          <w:rFonts w:hint="default"/>
        </w:rPr>
        <w:t>非正常工况大气污染物预测分析</w:t>
      </w:r>
    </w:p>
    <w:p>
      <w:pPr>
        <w:bidi w:val="0"/>
        <w:rPr>
          <w:rFonts w:hint="default"/>
        </w:rPr>
      </w:pPr>
      <w:r>
        <w:rPr>
          <w:rFonts w:hint="default"/>
        </w:rPr>
        <w:t>非正常工况下，</w:t>
      </w:r>
      <w:r>
        <w:rPr>
          <w:rFonts w:hint="eastAsia"/>
          <w:lang w:val="en-US" w:eastAsia="zh-CN"/>
        </w:rPr>
        <w:t>选择生产车间</w:t>
      </w:r>
      <w:r>
        <w:rPr>
          <w:rFonts w:hint="default"/>
        </w:rPr>
        <w:t>排放口预测结果，废气污染物落地浓度估算见表5.1-</w:t>
      </w:r>
      <w:r>
        <w:rPr>
          <w:rFonts w:hint="eastAsia"/>
          <w:lang w:val="en-US" w:eastAsia="zh-CN"/>
        </w:rPr>
        <w:t>8</w:t>
      </w:r>
      <w:r>
        <w:rPr>
          <w:rFonts w:hint="default"/>
        </w:rPr>
        <w:t>。</w:t>
      </w:r>
    </w:p>
    <w:p>
      <w:pPr>
        <w:pStyle w:val="17"/>
        <w:bidi w:val="0"/>
        <w:rPr>
          <w:rFonts w:hint="default"/>
          <w:b/>
          <w:bCs/>
        </w:rPr>
      </w:pPr>
      <w:r>
        <w:rPr>
          <w:rFonts w:hint="default"/>
          <w:b/>
          <w:bCs/>
        </w:rPr>
        <w:t>表5.1-</w:t>
      </w:r>
      <w:r>
        <w:rPr>
          <w:rFonts w:hint="eastAsia"/>
          <w:b/>
          <w:bCs/>
          <w:lang w:val="en-US" w:eastAsia="zh-CN"/>
        </w:rPr>
        <w:t xml:space="preserve">8 </w:t>
      </w:r>
      <w:r>
        <w:rPr>
          <w:rFonts w:hint="default"/>
          <w:b/>
          <w:bCs/>
          <w:lang w:val="en-US" w:eastAsia="zh-CN"/>
        </w:rPr>
        <w:t xml:space="preserve"> </w:t>
      </w:r>
      <w:r>
        <w:rPr>
          <w:rFonts w:hint="default"/>
          <w:b/>
          <w:bCs/>
        </w:rPr>
        <w:t xml:space="preserve"> 非正常工况下有组织废气大气污染物落地浓度估算</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557"/>
        <w:gridCol w:w="3253"/>
        <w:gridCol w:w="22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vMerge w:val="restart"/>
            <w:tcBorders>
              <w:tl2br w:val="nil"/>
              <w:tr2bl w:val="nil"/>
            </w:tcBorders>
            <w:vAlign w:val="center"/>
          </w:tcPr>
          <w:p>
            <w:pPr>
              <w:pStyle w:val="17"/>
              <w:bidi w:val="0"/>
              <w:rPr>
                <w:rFonts w:hint="default"/>
                <w:b/>
                <w:bCs/>
              </w:rPr>
            </w:pPr>
            <w:r>
              <w:rPr>
                <w:rFonts w:hint="default"/>
                <w:b/>
                <w:bCs/>
              </w:rPr>
              <w:t>下风向距离（m）</w:t>
            </w:r>
          </w:p>
        </w:tc>
        <w:tc>
          <w:tcPr>
            <w:tcW w:w="5514" w:type="dxa"/>
            <w:gridSpan w:val="2"/>
            <w:tcBorders>
              <w:tl2br w:val="nil"/>
              <w:tr2bl w:val="nil"/>
            </w:tcBorders>
            <w:vAlign w:val="center"/>
          </w:tcPr>
          <w:p>
            <w:pPr>
              <w:pStyle w:val="17"/>
              <w:bidi w:val="0"/>
              <w:rPr>
                <w:rFonts w:hint="default"/>
                <w:b/>
                <w:bCs/>
              </w:rPr>
            </w:pPr>
            <w:r>
              <w:rPr>
                <w:rFonts w:hint="default"/>
                <w:b/>
                <w:bCs/>
              </w:rPr>
              <w:t>1#车间非甲烷总烃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vMerge w:val="continue"/>
            <w:tcBorders>
              <w:tl2br w:val="nil"/>
              <w:tr2bl w:val="nil"/>
            </w:tcBorders>
            <w:vAlign w:val="center"/>
          </w:tcPr>
          <w:p>
            <w:pPr>
              <w:pStyle w:val="17"/>
              <w:bidi w:val="0"/>
              <w:rPr>
                <w:rFonts w:hint="default"/>
                <w:b/>
                <w:bCs/>
              </w:rPr>
            </w:pPr>
          </w:p>
        </w:tc>
        <w:tc>
          <w:tcPr>
            <w:tcW w:w="3253" w:type="dxa"/>
            <w:tcBorders>
              <w:tl2br w:val="nil"/>
              <w:tr2bl w:val="nil"/>
            </w:tcBorders>
            <w:vAlign w:val="center"/>
          </w:tcPr>
          <w:p>
            <w:pPr>
              <w:pStyle w:val="17"/>
              <w:bidi w:val="0"/>
              <w:rPr>
                <w:rFonts w:hint="default"/>
                <w:b/>
                <w:bCs/>
              </w:rPr>
            </w:pPr>
            <w:r>
              <w:rPr>
                <w:rFonts w:hint="default"/>
                <w:b/>
                <w:bCs/>
              </w:rPr>
              <w:t>预测质量浓度（μg/</w:t>
            </w:r>
            <w:r>
              <w:rPr>
                <w:rFonts w:hint="eastAsia"/>
                <w:b/>
                <w:bCs/>
                <w:lang w:eastAsia="zh-CN"/>
              </w:rPr>
              <w:t>m³</w:t>
            </w:r>
            <w:r>
              <w:rPr>
                <w:rFonts w:hint="default"/>
                <w:b/>
                <w:bCs/>
              </w:rPr>
              <w:t>）</w:t>
            </w:r>
          </w:p>
        </w:tc>
        <w:tc>
          <w:tcPr>
            <w:tcW w:w="2261" w:type="dxa"/>
            <w:tcBorders>
              <w:tl2br w:val="nil"/>
              <w:tr2bl w:val="nil"/>
            </w:tcBorders>
            <w:vAlign w:val="center"/>
          </w:tcPr>
          <w:p>
            <w:pPr>
              <w:pStyle w:val="17"/>
              <w:bidi w:val="0"/>
              <w:rPr>
                <w:rFonts w:hint="default"/>
                <w:b/>
                <w:bCs/>
              </w:rPr>
            </w:pPr>
            <w:r>
              <w:rPr>
                <w:rFonts w:hint="default"/>
                <w:b/>
                <w:bCs/>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10</w:t>
            </w:r>
          </w:p>
        </w:tc>
        <w:tc>
          <w:tcPr>
            <w:tcW w:w="3253" w:type="dxa"/>
            <w:tcBorders>
              <w:tl2br w:val="nil"/>
              <w:tr2bl w:val="nil"/>
            </w:tcBorders>
            <w:vAlign w:val="center"/>
          </w:tcPr>
          <w:p>
            <w:pPr>
              <w:pStyle w:val="17"/>
              <w:bidi w:val="0"/>
              <w:rPr>
                <w:rFonts w:hint="default"/>
              </w:rPr>
            </w:pPr>
            <w:r>
              <w:rPr>
                <w:rFonts w:hint="default"/>
              </w:rPr>
              <w:t>3.41</w:t>
            </w:r>
          </w:p>
        </w:tc>
        <w:tc>
          <w:tcPr>
            <w:tcW w:w="2261" w:type="dxa"/>
            <w:tcBorders>
              <w:tl2br w:val="nil"/>
              <w:tr2bl w:val="nil"/>
            </w:tcBorders>
            <w:vAlign w:val="center"/>
          </w:tcPr>
          <w:p>
            <w:pPr>
              <w:pStyle w:val="17"/>
              <w:bidi w:val="0"/>
              <w:rPr>
                <w:rFonts w:hint="default"/>
              </w:rPr>
            </w:pPr>
            <w:r>
              <w:rPr>
                <w:rFonts w:hint="default"/>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50</w:t>
            </w:r>
          </w:p>
        </w:tc>
        <w:tc>
          <w:tcPr>
            <w:tcW w:w="3253" w:type="dxa"/>
            <w:tcBorders>
              <w:tl2br w:val="nil"/>
              <w:tr2bl w:val="nil"/>
            </w:tcBorders>
            <w:vAlign w:val="center"/>
          </w:tcPr>
          <w:p>
            <w:pPr>
              <w:pStyle w:val="17"/>
              <w:bidi w:val="0"/>
              <w:rPr>
                <w:rFonts w:hint="default"/>
              </w:rPr>
            </w:pPr>
            <w:r>
              <w:rPr>
                <w:rFonts w:hint="default"/>
              </w:rPr>
              <w:t>121.10</w:t>
            </w:r>
          </w:p>
        </w:tc>
        <w:tc>
          <w:tcPr>
            <w:tcW w:w="2261" w:type="dxa"/>
            <w:tcBorders>
              <w:tl2br w:val="nil"/>
              <w:tr2bl w:val="nil"/>
            </w:tcBorders>
            <w:vAlign w:val="center"/>
          </w:tcPr>
          <w:p>
            <w:pPr>
              <w:pStyle w:val="17"/>
              <w:bidi w:val="0"/>
              <w:rPr>
                <w:rFonts w:hint="default"/>
              </w:rPr>
            </w:pPr>
            <w:r>
              <w:rPr>
                <w:rFonts w:hint="default"/>
              </w:rPr>
              <w:t>6.06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100</w:t>
            </w:r>
          </w:p>
        </w:tc>
        <w:tc>
          <w:tcPr>
            <w:tcW w:w="3253" w:type="dxa"/>
            <w:tcBorders>
              <w:tl2br w:val="nil"/>
              <w:tr2bl w:val="nil"/>
            </w:tcBorders>
            <w:vAlign w:val="center"/>
          </w:tcPr>
          <w:p>
            <w:pPr>
              <w:pStyle w:val="17"/>
              <w:bidi w:val="0"/>
              <w:rPr>
                <w:rFonts w:hint="default"/>
              </w:rPr>
            </w:pPr>
            <w:r>
              <w:rPr>
                <w:rFonts w:hint="default"/>
              </w:rPr>
              <w:t>205.10</w:t>
            </w:r>
          </w:p>
        </w:tc>
        <w:tc>
          <w:tcPr>
            <w:tcW w:w="2261" w:type="dxa"/>
            <w:tcBorders>
              <w:tl2br w:val="nil"/>
              <w:tr2bl w:val="nil"/>
            </w:tcBorders>
            <w:vAlign w:val="center"/>
          </w:tcPr>
          <w:p>
            <w:pPr>
              <w:pStyle w:val="17"/>
              <w:bidi w:val="0"/>
              <w:rPr>
                <w:rFonts w:hint="default"/>
              </w:rPr>
            </w:pPr>
            <w:r>
              <w:rPr>
                <w:rFonts w:hint="default"/>
              </w:rPr>
              <w:t>10.26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200</w:t>
            </w:r>
          </w:p>
        </w:tc>
        <w:tc>
          <w:tcPr>
            <w:tcW w:w="3253" w:type="dxa"/>
            <w:tcBorders>
              <w:tl2br w:val="nil"/>
              <w:tr2bl w:val="nil"/>
            </w:tcBorders>
            <w:vAlign w:val="center"/>
          </w:tcPr>
          <w:p>
            <w:pPr>
              <w:pStyle w:val="17"/>
              <w:bidi w:val="0"/>
              <w:rPr>
                <w:rFonts w:hint="default"/>
              </w:rPr>
            </w:pPr>
            <w:r>
              <w:rPr>
                <w:rFonts w:hint="default"/>
              </w:rPr>
              <w:t>214.30</w:t>
            </w:r>
          </w:p>
        </w:tc>
        <w:tc>
          <w:tcPr>
            <w:tcW w:w="2261" w:type="dxa"/>
            <w:tcBorders>
              <w:tl2br w:val="nil"/>
              <w:tr2bl w:val="nil"/>
            </w:tcBorders>
            <w:vAlign w:val="center"/>
          </w:tcPr>
          <w:p>
            <w:pPr>
              <w:pStyle w:val="17"/>
              <w:bidi w:val="0"/>
              <w:rPr>
                <w:rFonts w:hint="default"/>
              </w:rPr>
            </w:pPr>
            <w:r>
              <w:rPr>
                <w:rFonts w:hint="default"/>
              </w:rPr>
              <w:t>10.72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300</w:t>
            </w:r>
          </w:p>
        </w:tc>
        <w:tc>
          <w:tcPr>
            <w:tcW w:w="3253" w:type="dxa"/>
            <w:tcBorders>
              <w:tl2br w:val="nil"/>
              <w:tr2bl w:val="nil"/>
            </w:tcBorders>
            <w:vAlign w:val="center"/>
          </w:tcPr>
          <w:p>
            <w:pPr>
              <w:pStyle w:val="17"/>
              <w:bidi w:val="0"/>
              <w:rPr>
                <w:rFonts w:hint="default"/>
              </w:rPr>
            </w:pPr>
            <w:r>
              <w:rPr>
                <w:rFonts w:hint="default"/>
              </w:rPr>
              <w:t>185.20</w:t>
            </w:r>
          </w:p>
        </w:tc>
        <w:tc>
          <w:tcPr>
            <w:tcW w:w="2261" w:type="dxa"/>
            <w:tcBorders>
              <w:tl2br w:val="nil"/>
              <w:tr2bl w:val="nil"/>
            </w:tcBorders>
            <w:vAlign w:val="center"/>
          </w:tcPr>
          <w:p>
            <w:pPr>
              <w:pStyle w:val="17"/>
              <w:bidi w:val="0"/>
              <w:rPr>
                <w:rFonts w:hint="default"/>
              </w:rPr>
            </w:pPr>
            <w:r>
              <w:rPr>
                <w:rFonts w:hint="default"/>
              </w:rPr>
              <w:t>9.26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400</w:t>
            </w:r>
          </w:p>
        </w:tc>
        <w:tc>
          <w:tcPr>
            <w:tcW w:w="3253" w:type="dxa"/>
            <w:tcBorders>
              <w:tl2br w:val="nil"/>
              <w:tr2bl w:val="nil"/>
            </w:tcBorders>
            <w:vAlign w:val="center"/>
          </w:tcPr>
          <w:p>
            <w:pPr>
              <w:pStyle w:val="17"/>
              <w:bidi w:val="0"/>
              <w:rPr>
                <w:rFonts w:hint="default"/>
              </w:rPr>
            </w:pPr>
            <w:r>
              <w:rPr>
                <w:rFonts w:hint="default"/>
              </w:rPr>
              <w:t>147.40</w:t>
            </w:r>
          </w:p>
        </w:tc>
        <w:tc>
          <w:tcPr>
            <w:tcW w:w="2261" w:type="dxa"/>
            <w:tcBorders>
              <w:tl2br w:val="nil"/>
              <w:tr2bl w:val="nil"/>
            </w:tcBorders>
            <w:vAlign w:val="center"/>
          </w:tcPr>
          <w:p>
            <w:pPr>
              <w:pStyle w:val="17"/>
              <w:bidi w:val="0"/>
              <w:rPr>
                <w:rFonts w:hint="default"/>
              </w:rPr>
            </w:pPr>
            <w:r>
              <w:rPr>
                <w:rFonts w:hint="default"/>
              </w:rPr>
              <w:t>7.37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500</w:t>
            </w:r>
          </w:p>
        </w:tc>
        <w:tc>
          <w:tcPr>
            <w:tcW w:w="3253" w:type="dxa"/>
            <w:tcBorders>
              <w:tl2br w:val="nil"/>
              <w:tr2bl w:val="nil"/>
            </w:tcBorders>
            <w:vAlign w:val="center"/>
          </w:tcPr>
          <w:p>
            <w:pPr>
              <w:pStyle w:val="17"/>
              <w:bidi w:val="0"/>
              <w:rPr>
                <w:rFonts w:hint="default"/>
              </w:rPr>
            </w:pPr>
            <w:r>
              <w:rPr>
                <w:rFonts w:hint="default"/>
              </w:rPr>
              <w:t>118.30</w:t>
            </w:r>
          </w:p>
        </w:tc>
        <w:tc>
          <w:tcPr>
            <w:tcW w:w="2261" w:type="dxa"/>
            <w:tcBorders>
              <w:tl2br w:val="nil"/>
              <w:tr2bl w:val="nil"/>
            </w:tcBorders>
            <w:vAlign w:val="center"/>
          </w:tcPr>
          <w:p>
            <w:pPr>
              <w:pStyle w:val="17"/>
              <w:bidi w:val="0"/>
              <w:rPr>
                <w:rFonts w:hint="default"/>
              </w:rPr>
            </w:pPr>
            <w:r>
              <w:rPr>
                <w:rFonts w:hint="default"/>
              </w:rPr>
              <w:t>5.92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600</w:t>
            </w:r>
          </w:p>
        </w:tc>
        <w:tc>
          <w:tcPr>
            <w:tcW w:w="3253" w:type="dxa"/>
            <w:tcBorders>
              <w:tl2br w:val="nil"/>
              <w:tr2bl w:val="nil"/>
            </w:tcBorders>
            <w:vAlign w:val="center"/>
          </w:tcPr>
          <w:p>
            <w:pPr>
              <w:pStyle w:val="17"/>
              <w:bidi w:val="0"/>
              <w:rPr>
                <w:rFonts w:hint="default"/>
              </w:rPr>
            </w:pPr>
            <w:r>
              <w:rPr>
                <w:rFonts w:hint="default"/>
              </w:rPr>
              <w:t>114.50</w:t>
            </w:r>
          </w:p>
        </w:tc>
        <w:tc>
          <w:tcPr>
            <w:tcW w:w="2261" w:type="dxa"/>
            <w:tcBorders>
              <w:tl2br w:val="nil"/>
              <w:tr2bl w:val="nil"/>
            </w:tcBorders>
            <w:vAlign w:val="center"/>
          </w:tcPr>
          <w:p>
            <w:pPr>
              <w:pStyle w:val="17"/>
              <w:bidi w:val="0"/>
              <w:rPr>
                <w:rFonts w:hint="default"/>
              </w:rPr>
            </w:pPr>
            <w:r>
              <w:rPr>
                <w:rFonts w:hint="default"/>
              </w:rPr>
              <w:t>5.73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700</w:t>
            </w:r>
          </w:p>
        </w:tc>
        <w:tc>
          <w:tcPr>
            <w:tcW w:w="3253" w:type="dxa"/>
            <w:tcBorders>
              <w:tl2br w:val="nil"/>
              <w:tr2bl w:val="nil"/>
            </w:tcBorders>
            <w:vAlign w:val="center"/>
          </w:tcPr>
          <w:p>
            <w:pPr>
              <w:pStyle w:val="17"/>
              <w:bidi w:val="0"/>
              <w:rPr>
                <w:rFonts w:hint="default"/>
              </w:rPr>
            </w:pPr>
            <w:r>
              <w:rPr>
                <w:rFonts w:hint="default"/>
              </w:rPr>
              <w:t>109.00</w:t>
            </w:r>
          </w:p>
        </w:tc>
        <w:tc>
          <w:tcPr>
            <w:tcW w:w="2261" w:type="dxa"/>
            <w:tcBorders>
              <w:tl2br w:val="nil"/>
              <w:tr2bl w:val="nil"/>
            </w:tcBorders>
            <w:vAlign w:val="center"/>
          </w:tcPr>
          <w:p>
            <w:pPr>
              <w:pStyle w:val="17"/>
              <w:bidi w:val="0"/>
              <w:rPr>
                <w:rFonts w:hint="default"/>
              </w:rPr>
            </w:pPr>
            <w:r>
              <w:rPr>
                <w:rFonts w:hint="default"/>
              </w:rPr>
              <w:t>5.45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800</w:t>
            </w:r>
          </w:p>
        </w:tc>
        <w:tc>
          <w:tcPr>
            <w:tcW w:w="3253" w:type="dxa"/>
            <w:tcBorders>
              <w:tl2br w:val="nil"/>
              <w:tr2bl w:val="nil"/>
            </w:tcBorders>
            <w:vAlign w:val="center"/>
          </w:tcPr>
          <w:p>
            <w:pPr>
              <w:pStyle w:val="17"/>
              <w:bidi w:val="0"/>
              <w:rPr>
                <w:rFonts w:hint="default"/>
              </w:rPr>
            </w:pPr>
            <w:r>
              <w:rPr>
                <w:rFonts w:hint="default"/>
              </w:rPr>
              <w:t>102.10</w:t>
            </w:r>
          </w:p>
        </w:tc>
        <w:tc>
          <w:tcPr>
            <w:tcW w:w="2261" w:type="dxa"/>
            <w:tcBorders>
              <w:tl2br w:val="nil"/>
              <w:tr2bl w:val="nil"/>
            </w:tcBorders>
            <w:vAlign w:val="center"/>
          </w:tcPr>
          <w:p>
            <w:pPr>
              <w:pStyle w:val="17"/>
              <w:bidi w:val="0"/>
              <w:rPr>
                <w:rFonts w:hint="default"/>
              </w:rPr>
            </w:pPr>
            <w:r>
              <w:rPr>
                <w:rFonts w:hint="default"/>
              </w:rPr>
              <w:t>5.11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900</w:t>
            </w:r>
          </w:p>
        </w:tc>
        <w:tc>
          <w:tcPr>
            <w:tcW w:w="3253" w:type="dxa"/>
            <w:tcBorders>
              <w:tl2br w:val="nil"/>
              <w:tr2bl w:val="nil"/>
            </w:tcBorders>
            <w:vAlign w:val="center"/>
          </w:tcPr>
          <w:p>
            <w:pPr>
              <w:pStyle w:val="17"/>
              <w:bidi w:val="0"/>
              <w:rPr>
                <w:rFonts w:hint="default"/>
              </w:rPr>
            </w:pPr>
            <w:r>
              <w:rPr>
                <w:rFonts w:hint="default"/>
              </w:rPr>
              <w:t>94.99</w:t>
            </w:r>
          </w:p>
        </w:tc>
        <w:tc>
          <w:tcPr>
            <w:tcW w:w="2261" w:type="dxa"/>
            <w:tcBorders>
              <w:tl2br w:val="nil"/>
              <w:tr2bl w:val="nil"/>
            </w:tcBorders>
            <w:vAlign w:val="center"/>
          </w:tcPr>
          <w:p>
            <w:pPr>
              <w:pStyle w:val="17"/>
              <w:bidi w:val="0"/>
              <w:rPr>
                <w:rFonts w:hint="default"/>
              </w:rPr>
            </w:pPr>
            <w:r>
              <w:rPr>
                <w:rFonts w:hint="default"/>
              </w:rPr>
              <w:t>4.75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1000</w:t>
            </w:r>
          </w:p>
        </w:tc>
        <w:tc>
          <w:tcPr>
            <w:tcW w:w="3253" w:type="dxa"/>
            <w:tcBorders>
              <w:tl2br w:val="nil"/>
              <w:tr2bl w:val="nil"/>
            </w:tcBorders>
            <w:vAlign w:val="center"/>
          </w:tcPr>
          <w:p>
            <w:pPr>
              <w:pStyle w:val="17"/>
              <w:bidi w:val="0"/>
              <w:rPr>
                <w:rFonts w:hint="default"/>
              </w:rPr>
            </w:pPr>
            <w:r>
              <w:rPr>
                <w:rFonts w:hint="default"/>
              </w:rPr>
              <w:t>88.17</w:t>
            </w:r>
          </w:p>
        </w:tc>
        <w:tc>
          <w:tcPr>
            <w:tcW w:w="2261" w:type="dxa"/>
            <w:tcBorders>
              <w:tl2br w:val="nil"/>
              <w:tr2bl w:val="nil"/>
            </w:tcBorders>
            <w:vAlign w:val="center"/>
          </w:tcPr>
          <w:p>
            <w:pPr>
              <w:pStyle w:val="17"/>
              <w:bidi w:val="0"/>
              <w:rPr>
                <w:rFonts w:hint="default"/>
              </w:rPr>
            </w:pPr>
            <w:r>
              <w:rPr>
                <w:rFonts w:hint="default"/>
              </w:rPr>
              <w:t>4.41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1500</w:t>
            </w:r>
          </w:p>
        </w:tc>
        <w:tc>
          <w:tcPr>
            <w:tcW w:w="3253" w:type="dxa"/>
            <w:tcBorders>
              <w:tl2br w:val="nil"/>
              <w:tr2bl w:val="nil"/>
            </w:tcBorders>
            <w:vAlign w:val="center"/>
          </w:tcPr>
          <w:p>
            <w:pPr>
              <w:pStyle w:val="17"/>
              <w:bidi w:val="0"/>
              <w:rPr>
                <w:rFonts w:hint="default"/>
              </w:rPr>
            </w:pPr>
            <w:r>
              <w:rPr>
                <w:rFonts w:hint="default"/>
              </w:rPr>
              <w:t>69.61</w:t>
            </w:r>
          </w:p>
        </w:tc>
        <w:tc>
          <w:tcPr>
            <w:tcW w:w="2261" w:type="dxa"/>
            <w:tcBorders>
              <w:tl2br w:val="nil"/>
              <w:tr2bl w:val="nil"/>
            </w:tcBorders>
            <w:vAlign w:val="center"/>
          </w:tcPr>
          <w:p>
            <w:pPr>
              <w:pStyle w:val="17"/>
              <w:bidi w:val="0"/>
              <w:rPr>
                <w:rFonts w:hint="default"/>
              </w:rPr>
            </w:pPr>
            <w:r>
              <w:rPr>
                <w:rFonts w:hint="default"/>
              </w:rPr>
              <w:t>3.48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2000</w:t>
            </w:r>
          </w:p>
        </w:tc>
        <w:tc>
          <w:tcPr>
            <w:tcW w:w="3253" w:type="dxa"/>
            <w:tcBorders>
              <w:tl2br w:val="nil"/>
              <w:tr2bl w:val="nil"/>
            </w:tcBorders>
            <w:vAlign w:val="center"/>
          </w:tcPr>
          <w:p>
            <w:pPr>
              <w:pStyle w:val="17"/>
              <w:bidi w:val="0"/>
              <w:rPr>
                <w:rFonts w:hint="default"/>
              </w:rPr>
            </w:pPr>
            <w:r>
              <w:rPr>
                <w:rFonts w:hint="default"/>
              </w:rPr>
              <w:t>55.08</w:t>
            </w:r>
          </w:p>
        </w:tc>
        <w:tc>
          <w:tcPr>
            <w:tcW w:w="2261" w:type="dxa"/>
            <w:tcBorders>
              <w:tl2br w:val="nil"/>
              <w:tr2bl w:val="nil"/>
            </w:tcBorders>
            <w:vAlign w:val="center"/>
          </w:tcPr>
          <w:p>
            <w:pPr>
              <w:pStyle w:val="17"/>
              <w:bidi w:val="0"/>
              <w:rPr>
                <w:rFonts w:hint="default"/>
              </w:rPr>
            </w:pPr>
            <w:r>
              <w:rPr>
                <w:rFonts w:hint="default"/>
              </w:rPr>
              <w:t>2.75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2500</w:t>
            </w:r>
          </w:p>
        </w:tc>
        <w:tc>
          <w:tcPr>
            <w:tcW w:w="3253" w:type="dxa"/>
            <w:tcBorders>
              <w:tl2br w:val="nil"/>
              <w:tr2bl w:val="nil"/>
            </w:tcBorders>
            <w:vAlign w:val="center"/>
          </w:tcPr>
          <w:p>
            <w:pPr>
              <w:pStyle w:val="17"/>
              <w:bidi w:val="0"/>
              <w:rPr>
                <w:rFonts w:hint="default"/>
              </w:rPr>
            </w:pPr>
            <w:r>
              <w:rPr>
                <w:rFonts w:hint="default"/>
              </w:rPr>
              <w:t>47.43</w:t>
            </w:r>
          </w:p>
        </w:tc>
        <w:tc>
          <w:tcPr>
            <w:tcW w:w="2261" w:type="dxa"/>
            <w:tcBorders>
              <w:tl2br w:val="nil"/>
              <w:tr2bl w:val="nil"/>
            </w:tcBorders>
            <w:vAlign w:val="center"/>
          </w:tcPr>
          <w:p>
            <w:pPr>
              <w:pStyle w:val="17"/>
              <w:bidi w:val="0"/>
              <w:rPr>
                <w:rFonts w:hint="default"/>
              </w:rPr>
            </w:pPr>
            <w:r>
              <w:rPr>
                <w:rFonts w:hint="default"/>
              </w:rPr>
              <w:t>2.37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下风向最大质量浓度及占标率/%</w:t>
            </w:r>
          </w:p>
        </w:tc>
        <w:tc>
          <w:tcPr>
            <w:tcW w:w="3253" w:type="dxa"/>
            <w:tcBorders>
              <w:tl2br w:val="nil"/>
              <w:tr2bl w:val="nil"/>
            </w:tcBorders>
            <w:vAlign w:val="center"/>
          </w:tcPr>
          <w:p>
            <w:pPr>
              <w:pStyle w:val="17"/>
              <w:bidi w:val="0"/>
              <w:rPr>
                <w:rFonts w:hint="default"/>
              </w:rPr>
            </w:pPr>
            <w:r>
              <w:rPr>
                <w:rFonts w:hint="default"/>
              </w:rPr>
              <w:t>214.3</w:t>
            </w:r>
          </w:p>
        </w:tc>
        <w:tc>
          <w:tcPr>
            <w:tcW w:w="2261" w:type="dxa"/>
            <w:tcBorders>
              <w:tl2br w:val="nil"/>
              <w:tr2bl w:val="nil"/>
            </w:tcBorders>
            <w:vAlign w:val="center"/>
          </w:tcPr>
          <w:p>
            <w:pPr>
              <w:pStyle w:val="17"/>
              <w:bidi w:val="0"/>
              <w:rPr>
                <w:rFonts w:hint="default"/>
              </w:rPr>
            </w:pPr>
            <w:r>
              <w:rPr>
                <w:rFonts w:hint="default"/>
              </w:rPr>
              <w:t>10.72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557" w:type="dxa"/>
            <w:tcBorders>
              <w:tl2br w:val="nil"/>
              <w:tr2bl w:val="nil"/>
            </w:tcBorders>
            <w:vAlign w:val="center"/>
          </w:tcPr>
          <w:p>
            <w:pPr>
              <w:pStyle w:val="17"/>
              <w:bidi w:val="0"/>
              <w:rPr>
                <w:rFonts w:hint="default"/>
              </w:rPr>
            </w:pPr>
            <w:r>
              <w:rPr>
                <w:rFonts w:hint="default"/>
              </w:rPr>
              <w:t>D10%最远距离/m</w:t>
            </w:r>
          </w:p>
        </w:tc>
        <w:tc>
          <w:tcPr>
            <w:tcW w:w="5514" w:type="dxa"/>
            <w:gridSpan w:val="2"/>
            <w:tcBorders>
              <w:tl2br w:val="nil"/>
              <w:tr2bl w:val="nil"/>
            </w:tcBorders>
            <w:vAlign w:val="center"/>
          </w:tcPr>
          <w:p>
            <w:pPr>
              <w:pStyle w:val="17"/>
              <w:bidi w:val="0"/>
              <w:rPr>
                <w:rFonts w:hint="default"/>
              </w:rPr>
            </w:pPr>
            <w:r>
              <w:rPr>
                <w:rFonts w:hint="default"/>
              </w:rPr>
              <w:t>201</w:t>
            </w:r>
          </w:p>
        </w:tc>
      </w:tr>
    </w:tbl>
    <w:p>
      <w:pPr>
        <w:bidi w:val="0"/>
        <w:rPr>
          <w:rFonts w:hint="default"/>
        </w:rPr>
      </w:pPr>
      <w:r>
        <w:rPr>
          <w:rFonts w:hint="default"/>
        </w:rPr>
        <w:t>预测结果</w:t>
      </w:r>
      <w:r>
        <w:rPr>
          <w:rFonts w:hint="default"/>
          <w:lang w:val="en-US" w:eastAsia="zh-CN"/>
        </w:rPr>
        <w:t>表明，</w:t>
      </w:r>
      <w:r>
        <w:rPr>
          <w:rFonts w:hint="default"/>
        </w:rPr>
        <w:t>占标率明显提高，对大气环境不利影响加重，因此，在生产中应尽量避免出现非正常工况排放。</w:t>
      </w:r>
    </w:p>
    <w:p>
      <w:pPr>
        <w:pStyle w:val="5"/>
        <w:bidi w:val="0"/>
        <w:rPr>
          <w:rFonts w:hint="default"/>
        </w:rPr>
      </w:pPr>
      <w:r>
        <w:rPr>
          <w:rFonts w:hint="default"/>
        </w:rPr>
        <w:t>5.1.4</w:t>
      </w:r>
      <w:r>
        <w:rPr>
          <w:rFonts w:hint="eastAsia"/>
          <w:lang w:eastAsia="zh-CN"/>
        </w:rPr>
        <w:t>、</w:t>
      </w:r>
      <w:r>
        <w:rPr>
          <w:rFonts w:hint="default"/>
        </w:rPr>
        <w:t>污染物排放量核算</w:t>
      </w:r>
    </w:p>
    <w:p>
      <w:pPr>
        <w:pStyle w:val="6"/>
        <w:bidi w:val="0"/>
        <w:rPr>
          <w:rFonts w:hint="default"/>
        </w:rPr>
      </w:pPr>
      <w:r>
        <w:rPr>
          <w:rFonts w:hint="default"/>
        </w:rPr>
        <w:t>5.1.4.1</w:t>
      </w:r>
      <w:r>
        <w:rPr>
          <w:rFonts w:hint="eastAsia"/>
          <w:lang w:eastAsia="zh-CN"/>
        </w:rPr>
        <w:t>、</w:t>
      </w:r>
      <w:r>
        <w:rPr>
          <w:rFonts w:hint="default"/>
        </w:rPr>
        <w:t>有组织废气排放量核算</w:t>
      </w:r>
    </w:p>
    <w:p>
      <w:pPr>
        <w:bidi w:val="0"/>
        <w:rPr>
          <w:rFonts w:hint="default"/>
        </w:rPr>
      </w:pPr>
      <w:r>
        <w:rPr>
          <w:rFonts w:hint="default"/>
        </w:rPr>
        <w:t>根据《环境影响评价技术导则—大气环境》（HJ/T2.2-2018）的要求，二级评级对污染源的排放量进行核算，项目有组织排放核算见表5.1-</w:t>
      </w:r>
      <w:r>
        <w:rPr>
          <w:rFonts w:hint="eastAsia"/>
          <w:lang w:val="en-US" w:eastAsia="zh-CN"/>
        </w:rPr>
        <w:t>9</w:t>
      </w:r>
      <w:r>
        <w:rPr>
          <w:rFonts w:hint="default"/>
        </w:rPr>
        <w:t>。</w:t>
      </w:r>
    </w:p>
    <w:p>
      <w:pPr>
        <w:pStyle w:val="17"/>
        <w:bidi w:val="0"/>
        <w:rPr>
          <w:rFonts w:hint="default"/>
          <w:b/>
          <w:bCs/>
        </w:rPr>
      </w:pPr>
      <w:r>
        <w:rPr>
          <w:rFonts w:hint="default"/>
          <w:b/>
          <w:bCs/>
        </w:rPr>
        <w:t>表5.1-</w:t>
      </w:r>
      <w:r>
        <w:rPr>
          <w:rFonts w:hint="eastAsia"/>
          <w:b/>
          <w:bCs/>
          <w:lang w:val="en-US" w:eastAsia="zh-CN"/>
        </w:rPr>
        <w:t xml:space="preserve">9 </w:t>
      </w:r>
      <w:r>
        <w:rPr>
          <w:rFonts w:hint="default"/>
          <w:b/>
          <w:bCs/>
        </w:rPr>
        <w:t xml:space="preserve">  本项目</w:t>
      </w:r>
      <w:r>
        <w:rPr>
          <w:rFonts w:hint="eastAsia"/>
          <w:b/>
          <w:bCs/>
          <w:lang w:val="en-US" w:eastAsia="zh-CN"/>
        </w:rPr>
        <w:t>有组织</w:t>
      </w:r>
      <w:r>
        <w:rPr>
          <w:rFonts w:hint="default"/>
          <w:b/>
          <w:bCs/>
        </w:rPr>
        <w:t>废气排放核算表</w:t>
      </w:r>
    </w:p>
    <w:tbl>
      <w:tblPr>
        <w:tblStyle w:val="12"/>
        <w:tblW w:w="9071"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13"/>
        <w:gridCol w:w="1420"/>
        <w:gridCol w:w="1562"/>
        <w:gridCol w:w="2351"/>
        <w:gridCol w:w="1512"/>
        <w:gridCol w:w="15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713" w:type="dxa"/>
            <w:tcBorders>
              <w:tl2br w:val="nil"/>
              <w:tr2bl w:val="nil"/>
            </w:tcBorders>
            <w:vAlign w:val="center"/>
          </w:tcPr>
          <w:p>
            <w:pPr>
              <w:pStyle w:val="17"/>
              <w:bidi w:val="0"/>
              <w:rPr>
                <w:rFonts w:hint="default"/>
                <w:b/>
                <w:bCs/>
              </w:rPr>
            </w:pPr>
            <w:r>
              <w:rPr>
                <w:rFonts w:hint="default"/>
                <w:b/>
                <w:bCs/>
              </w:rPr>
              <w:t>序号</w:t>
            </w:r>
          </w:p>
        </w:tc>
        <w:tc>
          <w:tcPr>
            <w:tcW w:w="1420" w:type="dxa"/>
            <w:tcBorders>
              <w:tl2br w:val="nil"/>
              <w:tr2bl w:val="nil"/>
            </w:tcBorders>
            <w:vAlign w:val="center"/>
          </w:tcPr>
          <w:p>
            <w:pPr>
              <w:pStyle w:val="17"/>
              <w:bidi w:val="0"/>
              <w:rPr>
                <w:rFonts w:hint="default"/>
                <w:b/>
                <w:bCs/>
              </w:rPr>
            </w:pPr>
            <w:r>
              <w:rPr>
                <w:rFonts w:hint="default"/>
                <w:b/>
                <w:bCs/>
              </w:rPr>
              <w:t>排放口编号</w:t>
            </w:r>
          </w:p>
        </w:tc>
        <w:tc>
          <w:tcPr>
            <w:tcW w:w="1562" w:type="dxa"/>
            <w:tcBorders>
              <w:tl2br w:val="nil"/>
              <w:tr2bl w:val="nil"/>
            </w:tcBorders>
            <w:vAlign w:val="center"/>
          </w:tcPr>
          <w:p>
            <w:pPr>
              <w:pStyle w:val="17"/>
              <w:bidi w:val="0"/>
              <w:rPr>
                <w:rFonts w:hint="default"/>
                <w:b/>
                <w:bCs/>
              </w:rPr>
            </w:pPr>
            <w:r>
              <w:rPr>
                <w:rFonts w:hint="default"/>
                <w:b/>
                <w:bCs/>
              </w:rPr>
              <w:t>污染物</w:t>
            </w:r>
          </w:p>
        </w:tc>
        <w:tc>
          <w:tcPr>
            <w:tcW w:w="2351" w:type="dxa"/>
            <w:tcBorders>
              <w:tl2br w:val="nil"/>
              <w:tr2bl w:val="nil"/>
            </w:tcBorders>
            <w:vAlign w:val="center"/>
          </w:tcPr>
          <w:p>
            <w:pPr>
              <w:pStyle w:val="17"/>
              <w:bidi w:val="0"/>
              <w:rPr>
                <w:rFonts w:hint="default"/>
                <w:b/>
                <w:bCs/>
              </w:rPr>
            </w:pPr>
            <w:r>
              <w:rPr>
                <w:rFonts w:hint="default"/>
                <w:b/>
                <w:bCs/>
              </w:rPr>
              <w:t>核算排放浓度/(mg/</w:t>
            </w:r>
            <w:r>
              <w:rPr>
                <w:rFonts w:hint="eastAsia"/>
                <w:b/>
                <w:bCs/>
                <w:lang w:eastAsia="zh-CN"/>
              </w:rPr>
              <w:t>m³</w:t>
            </w:r>
            <w:r>
              <w:rPr>
                <w:rFonts w:hint="default"/>
                <w:b/>
                <w:bCs/>
              </w:rPr>
              <w:t>)</w:t>
            </w:r>
          </w:p>
        </w:tc>
        <w:tc>
          <w:tcPr>
            <w:tcW w:w="1512" w:type="dxa"/>
            <w:tcBorders>
              <w:tl2br w:val="nil"/>
              <w:tr2bl w:val="nil"/>
            </w:tcBorders>
            <w:vAlign w:val="center"/>
          </w:tcPr>
          <w:p>
            <w:pPr>
              <w:pStyle w:val="17"/>
              <w:bidi w:val="0"/>
              <w:rPr>
                <w:rFonts w:hint="default"/>
                <w:b/>
                <w:bCs/>
              </w:rPr>
            </w:pPr>
            <w:r>
              <w:rPr>
                <w:rFonts w:hint="default"/>
                <w:b/>
                <w:bCs/>
              </w:rPr>
              <w:t>核算排放速率/(kg/h)</w:t>
            </w:r>
          </w:p>
        </w:tc>
        <w:tc>
          <w:tcPr>
            <w:tcW w:w="1513" w:type="dxa"/>
            <w:tcBorders>
              <w:tl2br w:val="nil"/>
              <w:tr2bl w:val="nil"/>
            </w:tcBorders>
            <w:vAlign w:val="center"/>
          </w:tcPr>
          <w:p>
            <w:pPr>
              <w:pStyle w:val="17"/>
              <w:bidi w:val="0"/>
              <w:rPr>
                <w:rFonts w:hint="default"/>
                <w:b/>
                <w:bCs/>
              </w:rPr>
            </w:pPr>
            <w:r>
              <w:rPr>
                <w:rFonts w:hint="default"/>
                <w:b/>
                <w:bCs/>
              </w:rPr>
              <w:t>核算年排放量/(t/a)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9071" w:type="dxa"/>
            <w:gridSpan w:val="6"/>
            <w:tcBorders>
              <w:tl2br w:val="nil"/>
              <w:tr2bl w:val="nil"/>
            </w:tcBorders>
            <w:vAlign w:val="center"/>
          </w:tcPr>
          <w:p>
            <w:pPr>
              <w:pStyle w:val="17"/>
              <w:bidi w:val="0"/>
              <w:rPr>
                <w:rFonts w:hint="default"/>
              </w:rPr>
            </w:pPr>
            <w:r>
              <w:rPr>
                <w:rFonts w:hint="default"/>
              </w:rPr>
              <w:t>主要排放口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713" w:type="dxa"/>
            <w:tcBorders>
              <w:tl2br w:val="nil"/>
              <w:tr2bl w:val="nil"/>
            </w:tcBorders>
            <w:vAlign w:val="center"/>
          </w:tcPr>
          <w:p>
            <w:pPr>
              <w:pStyle w:val="17"/>
              <w:bidi w:val="0"/>
              <w:rPr>
                <w:rFonts w:hint="default"/>
              </w:rPr>
            </w:pPr>
            <w:r>
              <w:rPr>
                <w:rFonts w:hint="default"/>
              </w:rPr>
              <w:t>1</w:t>
            </w:r>
          </w:p>
        </w:tc>
        <w:tc>
          <w:tcPr>
            <w:tcW w:w="1420" w:type="dxa"/>
            <w:tcBorders>
              <w:tl2br w:val="nil"/>
              <w:tr2bl w:val="nil"/>
            </w:tcBorders>
            <w:vAlign w:val="center"/>
          </w:tcPr>
          <w:p>
            <w:pPr>
              <w:pStyle w:val="17"/>
              <w:bidi w:val="0"/>
              <w:rPr>
                <w:rFonts w:hint="default"/>
              </w:rPr>
            </w:pPr>
            <w:r>
              <w:rPr>
                <w:rFonts w:hint="default"/>
              </w:rPr>
              <w:t>DA001</w:t>
            </w:r>
          </w:p>
        </w:tc>
        <w:tc>
          <w:tcPr>
            <w:tcW w:w="1562" w:type="dxa"/>
            <w:tcBorders>
              <w:tl2br w:val="nil"/>
              <w:tr2bl w:val="nil"/>
            </w:tcBorders>
            <w:vAlign w:val="center"/>
          </w:tcPr>
          <w:p>
            <w:pPr>
              <w:pStyle w:val="17"/>
              <w:bidi w:val="0"/>
              <w:rPr>
                <w:rFonts w:hint="default" w:eastAsia="宋体"/>
                <w:lang w:val="en-US" w:eastAsia="zh-CN"/>
              </w:rPr>
            </w:pPr>
            <w:r>
              <w:rPr>
                <w:rFonts w:hint="eastAsia"/>
                <w:lang w:val="en-US" w:eastAsia="zh-CN"/>
              </w:rPr>
              <w:t>造粒车间</w:t>
            </w:r>
          </w:p>
        </w:tc>
        <w:tc>
          <w:tcPr>
            <w:tcW w:w="2351" w:type="dxa"/>
            <w:tcBorders>
              <w:tl2br w:val="nil"/>
              <w:tr2bl w:val="nil"/>
            </w:tcBorders>
            <w:vAlign w:val="center"/>
          </w:tcPr>
          <w:p>
            <w:pPr>
              <w:pStyle w:val="17"/>
              <w:bidi w:val="0"/>
              <w:rPr>
                <w:rFonts w:hint="default"/>
                <w:lang w:val="en-US" w:eastAsia="zh-CN"/>
              </w:rPr>
            </w:pPr>
            <w:r>
              <w:rPr>
                <w:rFonts w:hint="eastAsia"/>
                <w:lang w:val="en-US" w:eastAsia="zh-CN"/>
              </w:rPr>
              <w:t>11.3</w:t>
            </w:r>
          </w:p>
        </w:tc>
        <w:tc>
          <w:tcPr>
            <w:tcW w:w="1512" w:type="dxa"/>
            <w:tcBorders>
              <w:tl2br w:val="nil"/>
              <w:tr2bl w:val="nil"/>
            </w:tcBorders>
            <w:vAlign w:val="center"/>
          </w:tcPr>
          <w:p>
            <w:pPr>
              <w:pStyle w:val="17"/>
              <w:bidi w:val="0"/>
              <w:rPr>
                <w:rFonts w:hint="default"/>
                <w:lang w:val="en-US" w:eastAsia="zh-CN"/>
              </w:rPr>
            </w:pPr>
            <w:r>
              <w:rPr>
                <w:rFonts w:hint="eastAsia"/>
                <w:lang w:val="en-US" w:eastAsia="zh-CN"/>
              </w:rPr>
              <w:t>0.113</w:t>
            </w:r>
          </w:p>
        </w:tc>
        <w:tc>
          <w:tcPr>
            <w:tcW w:w="1513" w:type="dxa"/>
            <w:tcBorders>
              <w:tl2br w:val="nil"/>
              <w:tr2bl w:val="nil"/>
            </w:tcBorders>
            <w:vAlign w:val="center"/>
          </w:tcPr>
          <w:p>
            <w:pPr>
              <w:pStyle w:val="17"/>
              <w:bidi w:val="0"/>
              <w:rPr>
                <w:rFonts w:hint="default"/>
                <w:lang w:val="en-US" w:eastAsia="zh-CN"/>
              </w:rPr>
            </w:pPr>
            <w:r>
              <w:rPr>
                <w:rFonts w:hint="eastAsia"/>
                <w:lang w:val="en-US" w:eastAsia="zh-CN"/>
              </w:rPr>
              <w:t>0.284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713" w:type="dxa"/>
            <w:tcBorders>
              <w:tl2br w:val="nil"/>
              <w:tr2bl w:val="nil"/>
            </w:tcBorders>
            <w:vAlign w:val="center"/>
          </w:tcPr>
          <w:p>
            <w:pPr>
              <w:pStyle w:val="17"/>
              <w:bidi w:val="0"/>
              <w:rPr>
                <w:rFonts w:hint="default"/>
              </w:rPr>
            </w:pPr>
            <w:r>
              <w:rPr>
                <w:rFonts w:hint="default"/>
              </w:rPr>
              <w:t>2</w:t>
            </w:r>
          </w:p>
        </w:tc>
        <w:tc>
          <w:tcPr>
            <w:tcW w:w="1420" w:type="dxa"/>
            <w:tcBorders>
              <w:tl2br w:val="nil"/>
              <w:tr2bl w:val="nil"/>
            </w:tcBorders>
            <w:vAlign w:val="center"/>
          </w:tcPr>
          <w:p>
            <w:pPr>
              <w:pStyle w:val="17"/>
              <w:bidi w:val="0"/>
              <w:rPr>
                <w:rFonts w:hint="default"/>
              </w:rPr>
            </w:pPr>
            <w:r>
              <w:rPr>
                <w:rFonts w:hint="default"/>
              </w:rPr>
              <w:t>DA002</w:t>
            </w:r>
          </w:p>
        </w:tc>
        <w:tc>
          <w:tcPr>
            <w:tcW w:w="1562" w:type="dxa"/>
            <w:tcBorders>
              <w:tl2br w:val="nil"/>
              <w:tr2bl w:val="nil"/>
            </w:tcBorders>
            <w:vAlign w:val="center"/>
          </w:tcPr>
          <w:p>
            <w:pPr>
              <w:pStyle w:val="17"/>
              <w:bidi w:val="0"/>
              <w:rPr>
                <w:rFonts w:hint="default" w:eastAsia="宋体"/>
                <w:lang w:val="en-US" w:eastAsia="zh-CN"/>
              </w:rPr>
            </w:pPr>
            <w:r>
              <w:rPr>
                <w:rFonts w:hint="eastAsia"/>
                <w:lang w:val="en-US" w:eastAsia="zh-CN"/>
              </w:rPr>
              <w:t>生产车间</w:t>
            </w:r>
          </w:p>
        </w:tc>
        <w:tc>
          <w:tcPr>
            <w:tcW w:w="2351" w:type="dxa"/>
            <w:tcBorders>
              <w:tl2br w:val="nil"/>
              <w:tr2bl w:val="nil"/>
            </w:tcBorders>
            <w:vAlign w:val="center"/>
          </w:tcPr>
          <w:p>
            <w:pPr>
              <w:pStyle w:val="17"/>
              <w:bidi w:val="0"/>
              <w:rPr>
                <w:rFonts w:hint="default"/>
                <w:lang w:val="en-US"/>
              </w:rPr>
            </w:pPr>
            <w:r>
              <w:rPr>
                <w:rFonts w:hint="eastAsia"/>
                <w:lang w:val="en-US" w:eastAsia="zh-CN"/>
              </w:rPr>
              <w:t>11.3</w:t>
            </w:r>
          </w:p>
        </w:tc>
        <w:tc>
          <w:tcPr>
            <w:tcW w:w="1512" w:type="dxa"/>
            <w:tcBorders>
              <w:tl2br w:val="nil"/>
              <w:tr2bl w:val="nil"/>
            </w:tcBorders>
            <w:vAlign w:val="center"/>
          </w:tcPr>
          <w:p>
            <w:pPr>
              <w:pStyle w:val="17"/>
              <w:bidi w:val="0"/>
              <w:rPr>
                <w:rFonts w:hint="default"/>
                <w:lang w:val="en-US"/>
              </w:rPr>
            </w:pPr>
            <w:r>
              <w:rPr>
                <w:rFonts w:hint="eastAsia"/>
                <w:lang w:val="en-US" w:eastAsia="zh-CN"/>
              </w:rPr>
              <w:t>0.535</w:t>
            </w:r>
          </w:p>
        </w:tc>
        <w:tc>
          <w:tcPr>
            <w:tcW w:w="1513" w:type="dxa"/>
            <w:tcBorders>
              <w:tl2br w:val="nil"/>
              <w:tr2bl w:val="nil"/>
            </w:tcBorders>
            <w:vAlign w:val="center"/>
          </w:tcPr>
          <w:p>
            <w:pPr>
              <w:pStyle w:val="17"/>
              <w:bidi w:val="0"/>
              <w:rPr>
                <w:rFonts w:hint="default"/>
                <w:lang w:val="en-US" w:eastAsia="zh-CN"/>
              </w:rPr>
            </w:pPr>
            <w:r>
              <w:rPr>
                <w:rFonts w:hint="eastAsia"/>
                <w:lang w:val="en-US" w:eastAsia="zh-CN"/>
              </w:rPr>
              <w:t>1.35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2133" w:type="dxa"/>
            <w:gridSpan w:val="2"/>
            <w:tcBorders>
              <w:tl2br w:val="nil"/>
              <w:tr2bl w:val="nil"/>
            </w:tcBorders>
            <w:vAlign w:val="center"/>
          </w:tcPr>
          <w:p>
            <w:pPr>
              <w:pStyle w:val="17"/>
              <w:bidi w:val="0"/>
              <w:rPr>
                <w:rFonts w:hint="default"/>
              </w:rPr>
            </w:pPr>
            <w:r>
              <w:rPr>
                <w:rFonts w:hint="default"/>
              </w:rPr>
              <w:t>主要排放口合计</w:t>
            </w:r>
          </w:p>
        </w:tc>
        <w:tc>
          <w:tcPr>
            <w:tcW w:w="5425" w:type="dxa"/>
            <w:gridSpan w:val="3"/>
            <w:tcBorders>
              <w:tl2br w:val="nil"/>
              <w:tr2bl w:val="nil"/>
            </w:tcBorders>
            <w:vAlign w:val="center"/>
          </w:tcPr>
          <w:p>
            <w:pPr>
              <w:pStyle w:val="17"/>
              <w:bidi w:val="0"/>
              <w:rPr>
                <w:rFonts w:hint="default"/>
              </w:rPr>
            </w:pPr>
            <w:r>
              <w:rPr>
                <w:rFonts w:hint="default"/>
              </w:rPr>
              <w:t>非甲烷总烃</w:t>
            </w:r>
          </w:p>
        </w:tc>
        <w:tc>
          <w:tcPr>
            <w:tcW w:w="1513" w:type="dxa"/>
            <w:tcBorders>
              <w:tl2br w:val="nil"/>
              <w:tr2bl w:val="nil"/>
            </w:tcBorders>
            <w:vAlign w:val="center"/>
          </w:tcPr>
          <w:p>
            <w:pPr>
              <w:pStyle w:val="17"/>
              <w:bidi w:val="0"/>
              <w:rPr>
                <w:rFonts w:hint="default"/>
                <w:lang w:val="en-US" w:eastAsia="zh-CN"/>
              </w:rPr>
            </w:pPr>
            <w:r>
              <w:rPr>
                <w:rFonts w:hint="eastAsia"/>
                <w:lang w:val="en-US" w:eastAsia="zh-CN"/>
              </w:rPr>
              <w:t>1.634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9071" w:type="dxa"/>
            <w:gridSpan w:val="6"/>
            <w:tcBorders>
              <w:tl2br w:val="nil"/>
              <w:tr2bl w:val="nil"/>
            </w:tcBorders>
            <w:vAlign w:val="center"/>
          </w:tcPr>
          <w:p>
            <w:pPr>
              <w:pStyle w:val="17"/>
              <w:bidi w:val="0"/>
              <w:rPr>
                <w:rFonts w:hint="default"/>
              </w:rPr>
            </w:pPr>
            <w:r>
              <w:rPr>
                <w:rFonts w:hint="default"/>
              </w:rPr>
              <w:t>一般排放口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713" w:type="dxa"/>
            <w:tcBorders>
              <w:tl2br w:val="nil"/>
              <w:tr2bl w:val="nil"/>
            </w:tcBorders>
            <w:vAlign w:val="center"/>
          </w:tcPr>
          <w:p>
            <w:pPr>
              <w:pStyle w:val="17"/>
              <w:bidi w:val="0"/>
              <w:rPr>
                <w:rFonts w:hint="default"/>
              </w:rPr>
            </w:pPr>
            <w:r>
              <w:rPr>
                <w:rFonts w:hint="default"/>
              </w:rPr>
              <w:t>/</w:t>
            </w:r>
          </w:p>
        </w:tc>
        <w:tc>
          <w:tcPr>
            <w:tcW w:w="1420" w:type="dxa"/>
            <w:tcBorders>
              <w:tl2br w:val="nil"/>
              <w:tr2bl w:val="nil"/>
            </w:tcBorders>
            <w:vAlign w:val="center"/>
          </w:tcPr>
          <w:p>
            <w:pPr>
              <w:pStyle w:val="17"/>
              <w:bidi w:val="0"/>
              <w:rPr>
                <w:rFonts w:hint="default"/>
              </w:rPr>
            </w:pPr>
            <w:r>
              <w:rPr>
                <w:rFonts w:hint="default"/>
              </w:rPr>
              <w:t>/</w:t>
            </w:r>
          </w:p>
        </w:tc>
        <w:tc>
          <w:tcPr>
            <w:tcW w:w="1562" w:type="dxa"/>
            <w:tcBorders>
              <w:tl2br w:val="nil"/>
              <w:tr2bl w:val="nil"/>
            </w:tcBorders>
            <w:vAlign w:val="center"/>
          </w:tcPr>
          <w:p>
            <w:pPr>
              <w:pStyle w:val="17"/>
              <w:bidi w:val="0"/>
              <w:rPr>
                <w:rFonts w:hint="default"/>
              </w:rPr>
            </w:pPr>
            <w:r>
              <w:rPr>
                <w:rFonts w:hint="default"/>
              </w:rPr>
              <w:t>/</w:t>
            </w:r>
          </w:p>
        </w:tc>
        <w:tc>
          <w:tcPr>
            <w:tcW w:w="2351" w:type="dxa"/>
            <w:tcBorders>
              <w:tl2br w:val="nil"/>
              <w:tr2bl w:val="nil"/>
            </w:tcBorders>
            <w:vAlign w:val="center"/>
          </w:tcPr>
          <w:p>
            <w:pPr>
              <w:pStyle w:val="17"/>
              <w:bidi w:val="0"/>
              <w:rPr>
                <w:rFonts w:hint="default"/>
              </w:rPr>
            </w:pPr>
            <w:r>
              <w:rPr>
                <w:rFonts w:hint="default"/>
              </w:rPr>
              <w:t>/</w:t>
            </w:r>
          </w:p>
        </w:tc>
        <w:tc>
          <w:tcPr>
            <w:tcW w:w="1512" w:type="dxa"/>
            <w:tcBorders>
              <w:tl2br w:val="nil"/>
              <w:tr2bl w:val="nil"/>
            </w:tcBorders>
            <w:vAlign w:val="center"/>
          </w:tcPr>
          <w:p>
            <w:pPr>
              <w:pStyle w:val="17"/>
              <w:bidi w:val="0"/>
              <w:rPr>
                <w:rFonts w:hint="default"/>
              </w:rPr>
            </w:pPr>
            <w:r>
              <w:rPr>
                <w:rFonts w:hint="default"/>
              </w:rPr>
              <w:t>/</w:t>
            </w:r>
          </w:p>
        </w:tc>
        <w:tc>
          <w:tcPr>
            <w:tcW w:w="1513" w:type="dxa"/>
            <w:tcBorders>
              <w:tl2br w:val="nil"/>
              <w:tr2bl w:val="nil"/>
            </w:tcBorders>
            <w:vAlign w:val="center"/>
          </w:tcPr>
          <w:p>
            <w:pPr>
              <w:pStyle w:val="17"/>
              <w:bidi w:val="0"/>
              <w:rPr>
                <w:rFonts w:hint="default"/>
              </w:rPr>
            </w:pPr>
            <w:r>
              <w:rPr>
                <w:rFonts w:hint="default"/>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2133" w:type="dxa"/>
            <w:gridSpan w:val="2"/>
            <w:tcBorders>
              <w:tl2br w:val="nil"/>
              <w:tr2bl w:val="nil"/>
            </w:tcBorders>
            <w:vAlign w:val="center"/>
          </w:tcPr>
          <w:p>
            <w:pPr>
              <w:pStyle w:val="17"/>
              <w:bidi w:val="0"/>
              <w:rPr>
                <w:rFonts w:hint="default"/>
              </w:rPr>
            </w:pPr>
            <w:r>
              <w:rPr>
                <w:rFonts w:hint="default"/>
              </w:rPr>
              <w:t>一般排放口</w:t>
            </w:r>
          </w:p>
        </w:tc>
        <w:tc>
          <w:tcPr>
            <w:tcW w:w="5425" w:type="dxa"/>
            <w:gridSpan w:val="3"/>
            <w:tcBorders>
              <w:tl2br w:val="nil"/>
              <w:tr2bl w:val="nil"/>
            </w:tcBorders>
            <w:vAlign w:val="center"/>
          </w:tcPr>
          <w:p>
            <w:pPr>
              <w:pStyle w:val="17"/>
              <w:bidi w:val="0"/>
              <w:rPr>
                <w:rFonts w:hint="default"/>
              </w:rPr>
            </w:pPr>
          </w:p>
        </w:tc>
        <w:tc>
          <w:tcPr>
            <w:tcW w:w="1513" w:type="dxa"/>
            <w:tcBorders>
              <w:tl2br w:val="nil"/>
              <w:tr2bl w:val="nil"/>
            </w:tcBorders>
            <w:vAlign w:val="center"/>
          </w:tcPr>
          <w:p>
            <w:pPr>
              <w:pStyle w:val="17"/>
              <w:bidi w:val="0"/>
              <w:rPr>
                <w:rFonts w:hint="default"/>
              </w:rPr>
            </w:pPr>
            <w:r>
              <w:rPr>
                <w:rFonts w:hint="default"/>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071" w:type="dxa"/>
            <w:gridSpan w:val="6"/>
            <w:tcBorders>
              <w:tl2br w:val="nil"/>
              <w:tr2bl w:val="nil"/>
            </w:tcBorders>
            <w:vAlign w:val="center"/>
          </w:tcPr>
          <w:p>
            <w:pPr>
              <w:pStyle w:val="17"/>
              <w:bidi w:val="0"/>
              <w:rPr>
                <w:rFonts w:hint="default"/>
              </w:rPr>
            </w:pPr>
            <w:r>
              <w:rPr>
                <w:rFonts w:hint="default"/>
              </w:rPr>
              <w:t>有组织排放总计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2133" w:type="dxa"/>
            <w:gridSpan w:val="2"/>
            <w:tcBorders>
              <w:tl2br w:val="nil"/>
              <w:tr2bl w:val="nil"/>
            </w:tcBorders>
            <w:vAlign w:val="center"/>
          </w:tcPr>
          <w:p>
            <w:pPr>
              <w:pStyle w:val="17"/>
              <w:bidi w:val="0"/>
              <w:rPr>
                <w:rFonts w:hint="default"/>
              </w:rPr>
            </w:pPr>
            <w:r>
              <w:rPr>
                <w:rFonts w:hint="default"/>
              </w:rPr>
              <w:t>有组织排放总计</w:t>
            </w:r>
          </w:p>
        </w:tc>
        <w:tc>
          <w:tcPr>
            <w:tcW w:w="5425" w:type="dxa"/>
            <w:gridSpan w:val="3"/>
            <w:tcBorders>
              <w:tl2br w:val="nil"/>
              <w:tr2bl w:val="nil"/>
            </w:tcBorders>
            <w:vAlign w:val="center"/>
          </w:tcPr>
          <w:p>
            <w:pPr>
              <w:pStyle w:val="17"/>
              <w:bidi w:val="0"/>
              <w:rPr>
                <w:rFonts w:hint="default"/>
              </w:rPr>
            </w:pPr>
            <w:r>
              <w:rPr>
                <w:rFonts w:hint="default"/>
              </w:rPr>
              <w:t>非甲烷总烃</w:t>
            </w:r>
          </w:p>
        </w:tc>
        <w:tc>
          <w:tcPr>
            <w:tcW w:w="1513" w:type="dxa"/>
            <w:tcBorders>
              <w:tl2br w:val="nil"/>
              <w:tr2bl w:val="nil"/>
            </w:tcBorders>
            <w:vAlign w:val="center"/>
          </w:tcPr>
          <w:p>
            <w:pPr>
              <w:pStyle w:val="17"/>
              <w:bidi w:val="0"/>
              <w:rPr>
                <w:rFonts w:hint="default"/>
                <w:lang w:val="en-US" w:eastAsia="zh-CN"/>
              </w:rPr>
            </w:pPr>
            <w:r>
              <w:rPr>
                <w:rFonts w:hint="eastAsia"/>
                <w:lang w:val="en-US" w:eastAsia="zh-CN"/>
              </w:rPr>
              <w:t>1.634</w:t>
            </w:r>
          </w:p>
        </w:tc>
      </w:tr>
    </w:tbl>
    <w:p>
      <w:pPr>
        <w:pStyle w:val="6"/>
        <w:bidi w:val="0"/>
        <w:rPr>
          <w:rFonts w:hint="eastAsia"/>
          <w:lang w:val="en-US" w:eastAsia="zh-CN"/>
        </w:rPr>
      </w:pPr>
      <w:r>
        <w:rPr>
          <w:rFonts w:hint="eastAsia"/>
          <w:lang w:val="en-US" w:eastAsia="zh-CN"/>
        </w:rPr>
        <w:t>5.1.4.2、无组织废气排放量核算</w:t>
      </w:r>
    </w:p>
    <w:p>
      <w:pPr>
        <w:bidi w:val="0"/>
        <w:rPr>
          <w:rFonts w:hint="default"/>
        </w:rPr>
      </w:pPr>
      <w:r>
        <w:rPr>
          <w:rFonts w:hint="default"/>
        </w:rPr>
        <w:t>根据《环境影响评价技术导则—大气环境》（HJ/T2.2-2018）的要求，二级评级对污染源的排放量进行核算，项目</w:t>
      </w:r>
      <w:r>
        <w:rPr>
          <w:rFonts w:hint="eastAsia"/>
          <w:lang w:val="en-US" w:eastAsia="zh-CN"/>
        </w:rPr>
        <w:t>无</w:t>
      </w:r>
      <w:r>
        <w:rPr>
          <w:rFonts w:hint="default"/>
        </w:rPr>
        <w:t>组织排放核算见表5.1-</w:t>
      </w:r>
      <w:r>
        <w:rPr>
          <w:rFonts w:hint="eastAsia"/>
          <w:lang w:val="en-US" w:eastAsia="zh-CN"/>
        </w:rPr>
        <w:t>10</w:t>
      </w:r>
      <w:r>
        <w:rPr>
          <w:rFonts w:hint="default"/>
        </w:rPr>
        <w:t>。</w:t>
      </w:r>
    </w:p>
    <w:p>
      <w:pPr>
        <w:pStyle w:val="17"/>
        <w:bidi w:val="0"/>
        <w:rPr>
          <w:rFonts w:hint="default"/>
          <w:b/>
          <w:bCs/>
        </w:rPr>
      </w:pPr>
      <w:r>
        <w:rPr>
          <w:rFonts w:hint="default"/>
          <w:b/>
          <w:bCs/>
        </w:rPr>
        <w:t>表5.1-</w:t>
      </w:r>
      <w:r>
        <w:rPr>
          <w:rFonts w:hint="eastAsia"/>
          <w:b/>
          <w:bCs/>
          <w:lang w:val="en-US" w:eastAsia="zh-CN"/>
        </w:rPr>
        <w:t xml:space="preserve">10 </w:t>
      </w:r>
      <w:r>
        <w:rPr>
          <w:rFonts w:hint="default"/>
          <w:b/>
          <w:bCs/>
        </w:rPr>
        <w:t xml:space="preserve">  本项目</w:t>
      </w:r>
      <w:r>
        <w:rPr>
          <w:rFonts w:hint="eastAsia"/>
          <w:b/>
          <w:bCs/>
          <w:lang w:val="en-US" w:eastAsia="zh-CN"/>
        </w:rPr>
        <w:t>无组织</w:t>
      </w:r>
      <w:r>
        <w:rPr>
          <w:rFonts w:hint="default"/>
          <w:b/>
          <w:bCs/>
        </w:rPr>
        <w:t>废气排放核算表</w:t>
      </w:r>
    </w:p>
    <w:tbl>
      <w:tblPr>
        <w:tblStyle w:val="12"/>
        <w:tblpPr w:leftFromText="180" w:rightFromText="180" w:vertAnchor="text" w:horzAnchor="page" w:tblpXSpec="center" w:tblpY="123"/>
        <w:tblOverlap w:val="never"/>
        <w:tblW w:w="9071"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12"/>
        <w:gridCol w:w="1421"/>
        <w:gridCol w:w="1562"/>
        <w:gridCol w:w="1026"/>
        <w:gridCol w:w="1364"/>
        <w:gridCol w:w="1992"/>
        <w:gridCol w:w="9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712" w:type="dxa"/>
            <w:vMerge w:val="restart"/>
            <w:tcBorders>
              <w:tl2br w:val="nil"/>
              <w:tr2bl w:val="nil"/>
            </w:tcBorders>
            <w:vAlign w:val="center"/>
          </w:tcPr>
          <w:p>
            <w:pPr>
              <w:pStyle w:val="17"/>
              <w:bidi w:val="0"/>
              <w:rPr>
                <w:rFonts w:hint="default"/>
                <w:b/>
                <w:bCs/>
              </w:rPr>
            </w:pPr>
            <w:r>
              <w:rPr>
                <w:rFonts w:hint="default"/>
                <w:b/>
                <w:bCs/>
              </w:rPr>
              <w:t>序号</w:t>
            </w:r>
          </w:p>
        </w:tc>
        <w:tc>
          <w:tcPr>
            <w:tcW w:w="1421" w:type="dxa"/>
            <w:vMerge w:val="restart"/>
            <w:tcBorders>
              <w:tl2br w:val="nil"/>
              <w:tr2bl w:val="nil"/>
            </w:tcBorders>
            <w:vAlign w:val="center"/>
          </w:tcPr>
          <w:p>
            <w:pPr>
              <w:pStyle w:val="17"/>
              <w:bidi w:val="0"/>
              <w:rPr>
                <w:rFonts w:hint="default"/>
                <w:b/>
                <w:bCs/>
              </w:rPr>
            </w:pPr>
            <w:r>
              <w:rPr>
                <w:rFonts w:hint="default"/>
                <w:b/>
                <w:bCs/>
              </w:rPr>
              <w:t>排放口编号</w:t>
            </w:r>
          </w:p>
        </w:tc>
        <w:tc>
          <w:tcPr>
            <w:tcW w:w="1562" w:type="dxa"/>
            <w:vMerge w:val="restart"/>
            <w:tcBorders>
              <w:tl2br w:val="nil"/>
              <w:tr2bl w:val="nil"/>
            </w:tcBorders>
            <w:vAlign w:val="center"/>
          </w:tcPr>
          <w:p>
            <w:pPr>
              <w:pStyle w:val="17"/>
              <w:bidi w:val="0"/>
              <w:rPr>
                <w:rFonts w:hint="default"/>
                <w:b/>
                <w:bCs/>
              </w:rPr>
            </w:pPr>
            <w:r>
              <w:rPr>
                <w:rFonts w:hint="default"/>
                <w:b/>
                <w:bCs/>
              </w:rPr>
              <w:t>污染物</w:t>
            </w:r>
          </w:p>
        </w:tc>
        <w:tc>
          <w:tcPr>
            <w:tcW w:w="1026" w:type="dxa"/>
            <w:vMerge w:val="restart"/>
            <w:tcBorders>
              <w:tl2br w:val="nil"/>
              <w:tr2bl w:val="nil"/>
            </w:tcBorders>
            <w:vAlign w:val="center"/>
          </w:tcPr>
          <w:p>
            <w:pPr>
              <w:pStyle w:val="17"/>
              <w:bidi w:val="0"/>
              <w:rPr>
                <w:rFonts w:hint="default"/>
                <w:b/>
                <w:bCs/>
              </w:rPr>
            </w:pPr>
            <w:r>
              <w:rPr>
                <w:rFonts w:hint="default"/>
                <w:b/>
                <w:bCs/>
              </w:rPr>
              <w:t>主要污染防治措施</w:t>
            </w:r>
          </w:p>
        </w:tc>
        <w:tc>
          <w:tcPr>
            <w:tcW w:w="3356" w:type="dxa"/>
            <w:gridSpan w:val="2"/>
            <w:tcBorders>
              <w:tl2br w:val="nil"/>
              <w:tr2bl w:val="nil"/>
            </w:tcBorders>
            <w:vAlign w:val="center"/>
          </w:tcPr>
          <w:p>
            <w:pPr>
              <w:pStyle w:val="17"/>
              <w:bidi w:val="0"/>
              <w:rPr>
                <w:rFonts w:hint="default"/>
                <w:b/>
                <w:bCs/>
              </w:rPr>
            </w:pPr>
            <w:r>
              <w:rPr>
                <w:rFonts w:hint="default"/>
                <w:b/>
                <w:bCs/>
              </w:rPr>
              <w:t>国家或地方污染物排放标准</w:t>
            </w:r>
          </w:p>
        </w:tc>
        <w:tc>
          <w:tcPr>
            <w:tcW w:w="994" w:type="dxa"/>
            <w:vMerge w:val="restart"/>
            <w:tcBorders>
              <w:tl2br w:val="nil"/>
              <w:tr2bl w:val="nil"/>
            </w:tcBorders>
            <w:vAlign w:val="center"/>
          </w:tcPr>
          <w:p>
            <w:pPr>
              <w:pStyle w:val="17"/>
              <w:bidi w:val="0"/>
              <w:rPr>
                <w:rFonts w:hint="default"/>
                <w:b/>
                <w:bCs/>
              </w:rPr>
            </w:pPr>
            <w:r>
              <w:rPr>
                <w:rFonts w:hint="default"/>
                <w:b/>
                <w:bCs/>
              </w:rPr>
              <w:t>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712" w:type="dxa"/>
            <w:vMerge w:val="continue"/>
            <w:tcBorders>
              <w:tl2br w:val="nil"/>
              <w:tr2bl w:val="nil"/>
            </w:tcBorders>
            <w:vAlign w:val="center"/>
          </w:tcPr>
          <w:p>
            <w:pPr>
              <w:pStyle w:val="17"/>
              <w:bidi w:val="0"/>
              <w:rPr>
                <w:rFonts w:hint="default"/>
                <w:b/>
                <w:bCs/>
              </w:rPr>
            </w:pPr>
          </w:p>
        </w:tc>
        <w:tc>
          <w:tcPr>
            <w:tcW w:w="1421" w:type="dxa"/>
            <w:vMerge w:val="continue"/>
            <w:tcBorders>
              <w:tl2br w:val="nil"/>
              <w:tr2bl w:val="nil"/>
            </w:tcBorders>
            <w:vAlign w:val="center"/>
          </w:tcPr>
          <w:p>
            <w:pPr>
              <w:pStyle w:val="17"/>
              <w:bidi w:val="0"/>
              <w:rPr>
                <w:rFonts w:hint="default"/>
                <w:b/>
                <w:bCs/>
              </w:rPr>
            </w:pPr>
          </w:p>
        </w:tc>
        <w:tc>
          <w:tcPr>
            <w:tcW w:w="1562" w:type="dxa"/>
            <w:vMerge w:val="continue"/>
            <w:tcBorders>
              <w:tl2br w:val="nil"/>
              <w:tr2bl w:val="nil"/>
            </w:tcBorders>
            <w:vAlign w:val="center"/>
          </w:tcPr>
          <w:p>
            <w:pPr>
              <w:pStyle w:val="17"/>
              <w:bidi w:val="0"/>
              <w:rPr>
                <w:rFonts w:hint="default"/>
                <w:b/>
                <w:bCs/>
              </w:rPr>
            </w:pPr>
          </w:p>
        </w:tc>
        <w:tc>
          <w:tcPr>
            <w:tcW w:w="1026" w:type="dxa"/>
            <w:vMerge w:val="continue"/>
            <w:tcBorders>
              <w:tl2br w:val="nil"/>
              <w:tr2bl w:val="nil"/>
            </w:tcBorders>
            <w:vAlign w:val="center"/>
          </w:tcPr>
          <w:p>
            <w:pPr>
              <w:pStyle w:val="17"/>
              <w:bidi w:val="0"/>
              <w:rPr>
                <w:rFonts w:hint="default"/>
                <w:b/>
                <w:bCs/>
              </w:rPr>
            </w:pPr>
          </w:p>
        </w:tc>
        <w:tc>
          <w:tcPr>
            <w:tcW w:w="1364" w:type="dxa"/>
            <w:tcBorders>
              <w:tl2br w:val="nil"/>
              <w:tr2bl w:val="nil"/>
            </w:tcBorders>
            <w:vAlign w:val="center"/>
          </w:tcPr>
          <w:p>
            <w:pPr>
              <w:pStyle w:val="17"/>
              <w:bidi w:val="0"/>
              <w:rPr>
                <w:rFonts w:hint="default"/>
                <w:b/>
                <w:bCs/>
              </w:rPr>
            </w:pPr>
            <w:r>
              <w:rPr>
                <w:rFonts w:hint="default"/>
                <w:b/>
                <w:bCs/>
              </w:rPr>
              <w:t>标准名称</w:t>
            </w:r>
          </w:p>
        </w:tc>
        <w:tc>
          <w:tcPr>
            <w:tcW w:w="1992" w:type="dxa"/>
            <w:tcBorders>
              <w:tl2br w:val="nil"/>
              <w:tr2bl w:val="nil"/>
            </w:tcBorders>
            <w:vAlign w:val="center"/>
          </w:tcPr>
          <w:p>
            <w:pPr>
              <w:pStyle w:val="17"/>
              <w:bidi w:val="0"/>
              <w:rPr>
                <w:rFonts w:hint="default"/>
                <w:b/>
                <w:bCs/>
              </w:rPr>
            </w:pPr>
            <w:r>
              <w:rPr>
                <w:rFonts w:hint="default"/>
                <w:b/>
                <w:bCs/>
              </w:rPr>
              <w:t>浓度限值/(mg/</w:t>
            </w:r>
            <w:r>
              <w:rPr>
                <w:rFonts w:hint="eastAsia"/>
                <w:b/>
                <w:bCs/>
                <w:lang w:eastAsia="zh-CN"/>
              </w:rPr>
              <w:t>m³</w:t>
            </w:r>
            <w:r>
              <w:rPr>
                <w:rFonts w:hint="default"/>
                <w:b/>
                <w:bCs/>
              </w:rPr>
              <w:t>)</w:t>
            </w:r>
          </w:p>
        </w:tc>
        <w:tc>
          <w:tcPr>
            <w:tcW w:w="994" w:type="dxa"/>
            <w:vMerge w:val="continue"/>
            <w:tcBorders>
              <w:tl2br w:val="nil"/>
              <w:tr2bl w:val="nil"/>
            </w:tcBorders>
            <w:vAlign w:val="center"/>
          </w:tcPr>
          <w:p>
            <w:pPr>
              <w:pStyle w:val="17"/>
              <w:bidi w:val="0"/>
              <w:rPr>
                <w:rFonts w:hint="default"/>
                <w:b/>
                <w:bC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712" w:type="dxa"/>
            <w:vMerge w:val="restart"/>
            <w:tcBorders>
              <w:tl2br w:val="nil"/>
              <w:tr2bl w:val="nil"/>
            </w:tcBorders>
            <w:vAlign w:val="center"/>
          </w:tcPr>
          <w:p>
            <w:pPr>
              <w:pStyle w:val="17"/>
              <w:bidi w:val="0"/>
              <w:rPr>
                <w:rFonts w:hint="default"/>
              </w:rPr>
            </w:pPr>
            <w:r>
              <w:rPr>
                <w:rFonts w:hint="default"/>
              </w:rPr>
              <w:t>1</w:t>
            </w:r>
          </w:p>
        </w:tc>
        <w:tc>
          <w:tcPr>
            <w:tcW w:w="1421"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造粒车间</w:t>
            </w:r>
          </w:p>
        </w:tc>
        <w:tc>
          <w:tcPr>
            <w:tcW w:w="1562" w:type="dxa"/>
            <w:tcBorders>
              <w:tl2br w:val="nil"/>
              <w:tr2bl w:val="nil"/>
            </w:tcBorders>
            <w:vAlign w:val="center"/>
          </w:tcPr>
          <w:p>
            <w:pPr>
              <w:pStyle w:val="17"/>
              <w:bidi w:val="0"/>
              <w:rPr>
                <w:rFonts w:hint="default"/>
              </w:rPr>
            </w:pPr>
            <w:r>
              <w:rPr>
                <w:rFonts w:hint="default"/>
              </w:rPr>
              <w:t>非甲烷总烃</w:t>
            </w:r>
          </w:p>
        </w:tc>
        <w:tc>
          <w:tcPr>
            <w:tcW w:w="1026" w:type="dxa"/>
            <w:vMerge w:val="restart"/>
            <w:tcBorders>
              <w:tl2br w:val="nil"/>
              <w:tr2bl w:val="nil"/>
            </w:tcBorders>
            <w:vAlign w:val="center"/>
          </w:tcPr>
          <w:p>
            <w:pPr>
              <w:pStyle w:val="17"/>
              <w:bidi w:val="0"/>
              <w:rPr>
                <w:rFonts w:hint="default"/>
              </w:rPr>
            </w:pPr>
            <w:r>
              <w:rPr>
                <w:rFonts w:hint="default"/>
              </w:rPr>
              <w:t>加强设备维护及管理</w:t>
            </w:r>
          </w:p>
        </w:tc>
        <w:tc>
          <w:tcPr>
            <w:tcW w:w="1364" w:type="dxa"/>
            <w:vMerge w:val="restart"/>
            <w:tcBorders>
              <w:tl2br w:val="nil"/>
              <w:tr2bl w:val="nil"/>
            </w:tcBorders>
            <w:vAlign w:val="center"/>
          </w:tcPr>
          <w:p>
            <w:pPr>
              <w:pStyle w:val="17"/>
              <w:bidi w:val="0"/>
              <w:rPr>
                <w:rFonts w:hint="default"/>
              </w:rPr>
            </w:pPr>
            <w:r>
              <w:rPr>
                <w:rFonts w:hint="default"/>
              </w:rPr>
              <w:t>《合成树脂工业污染物排放标准》GB31572-2015</w:t>
            </w:r>
          </w:p>
        </w:tc>
        <w:tc>
          <w:tcPr>
            <w:tcW w:w="1992" w:type="dxa"/>
            <w:tcBorders>
              <w:tl2br w:val="nil"/>
              <w:tr2bl w:val="nil"/>
            </w:tcBorders>
            <w:vAlign w:val="center"/>
          </w:tcPr>
          <w:p>
            <w:pPr>
              <w:pStyle w:val="17"/>
              <w:bidi w:val="0"/>
              <w:rPr>
                <w:rFonts w:hint="default"/>
              </w:rPr>
            </w:pPr>
            <w:r>
              <w:rPr>
                <w:rFonts w:hint="default"/>
              </w:rPr>
              <w:t>4.0</w:t>
            </w:r>
          </w:p>
        </w:tc>
        <w:tc>
          <w:tcPr>
            <w:tcW w:w="994" w:type="dxa"/>
            <w:tcBorders>
              <w:tl2br w:val="nil"/>
              <w:tr2bl w:val="nil"/>
            </w:tcBorders>
            <w:vAlign w:val="center"/>
          </w:tcPr>
          <w:p>
            <w:pPr>
              <w:pStyle w:val="17"/>
              <w:bidi w:val="0"/>
              <w:rPr>
                <w:rFonts w:hint="default"/>
                <w:lang w:val="en-US"/>
              </w:rPr>
            </w:pPr>
            <w:r>
              <w:rPr>
                <w:rFonts w:hint="eastAsia"/>
                <w:lang w:val="en-US" w:eastAsia="zh-CN"/>
              </w:rPr>
              <w:t>0.158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712" w:type="dxa"/>
            <w:vMerge w:val="continue"/>
            <w:tcBorders>
              <w:tl2br w:val="nil"/>
              <w:tr2bl w:val="nil"/>
            </w:tcBorders>
            <w:vAlign w:val="center"/>
          </w:tcPr>
          <w:p>
            <w:pPr>
              <w:pStyle w:val="17"/>
              <w:bidi w:val="0"/>
              <w:rPr>
                <w:rFonts w:hint="default"/>
              </w:rPr>
            </w:pPr>
          </w:p>
        </w:tc>
        <w:tc>
          <w:tcPr>
            <w:tcW w:w="1421" w:type="dxa"/>
            <w:vMerge w:val="continue"/>
            <w:tcBorders>
              <w:tl2br w:val="nil"/>
              <w:tr2bl w:val="nil"/>
            </w:tcBorders>
            <w:vAlign w:val="center"/>
          </w:tcPr>
          <w:p>
            <w:pPr>
              <w:pStyle w:val="17"/>
              <w:bidi w:val="0"/>
              <w:rPr>
                <w:rFonts w:hint="default"/>
              </w:rPr>
            </w:pPr>
          </w:p>
        </w:tc>
        <w:tc>
          <w:tcPr>
            <w:tcW w:w="1562" w:type="dxa"/>
            <w:tcBorders>
              <w:tl2br w:val="nil"/>
              <w:tr2bl w:val="nil"/>
            </w:tcBorders>
            <w:vAlign w:val="center"/>
          </w:tcPr>
          <w:p>
            <w:pPr>
              <w:pStyle w:val="17"/>
              <w:bidi w:val="0"/>
              <w:rPr>
                <w:rFonts w:hint="default"/>
              </w:rPr>
            </w:pPr>
            <w:r>
              <w:rPr>
                <w:rFonts w:hint="default"/>
              </w:rPr>
              <w:t>颗粒物</w:t>
            </w:r>
          </w:p>
        </w:tc>
        <w:tc>
          <w:tcPr>
            <w:tcW w:w="1026" w:type="dxa"/>
            <w:vMerge w:val="continue"/>
            <w:tcBorders>
              <w:tl2br w:val="nil"/>
              <w:tr2bl w:val="nil"/>
            </w:tcBorders>
            <w:vAlign w:val="center"/>
          </w:tcPr>
          <w:p>
            <w:pPr>
              <w:pStyle w:val="17"/>
              <w:bidi w:val="0"/>
              <w:rPr>
                <w:rFonts w:hint="default"/>
              </w:rPr>
            </w:pPr>
          </w:p>
        </w:tc>
        <w:tc>
          <w:tcPr>
            <w:tcW w:w="1364" w:type="dxa"/>
            <w:vMerge w:val="continue"/>
            <w:tcBorders>
              <w:tl2br w:val="nil"/>
              <w:tr2bl w:val="nil"/>
            </w:tcBorders>
            <w:vAlign w:val="center"/>
          </w:tcPr>
          <w:p>
            <w:pPr>
              <w:pStyle w:val="17"/>
              <w:bidi w:val="0"/>
              <w:rPr>
                <w:rFonts w:hint="default"/>
              </w:rPr>
            </w:pPr>
          </w:p>
        </w:tc>
        <w:tc>
          <w:tcPr>
            <w:tcW w:w="1992" w:type="dxa"/>
            <w:tcBorders>
              <w:tl2br w:val="nil"/>
              <w:tr2bl w:val="nil"/>
            </w:tcBorders>
            <w:vAlign w:val="center"/>
          </w:tcPr>
          <w:p>
            <w:pPr>
              <w:pStyle w:val="17"/>
              <w:bidi w:val="0"/>
              <w:rPr>
                <w:rFonts w:hint="default"/>
              </w:rPr>
            </w:pPr>
            <w:r>
              <w:rPr>
                <w:rFonts w:hint="default"/>
              </w:rPr>
              <w:t>1.0</w:t>
            </w:r>
          </w:p>
        </w:tc>
        <w:tc>
          <w:tcPr>
            <w:tcW w:w="994" w:type="dxa"/>
            <w:tcBorders>
              <w:tl2br w:val="nil"/>
              <w:tr2bl w:val="nil"/>
            </w:tcBorders>
            <w:vAlign w:val="center"/>
          </w:tcPr>
          <w:p>
            <w:pPr>
              <w:pStyle w:val="17"/>
              <w:bidi w:val="0"/>
              <w:rPr>
                <w:rFonts w:hint="default"/>
                <w:lang w:val="en-US"/>
              </w:rPr>
            </w:pPr>
            <w:r>
              <w:rPr>
                <w:rFonts w:hint="eastAsia"/>
                <w:lang w:val="en-US" w:eastAsia="zh-CN"/>
              </w:rPr>
              <w:t>0.033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712" w:type="dxa"/>
            <w:tcBorders>
              <w:tl2br w:val="nil"/>
              <w:tr2bl w:val="nil"/>
            </w:tcBorders>
            <w:vAlign w:val="center"/>
          </w:tcPr>
          <w:p>
            <w:pPr>
              <w:pStyle w:val="17"/>
              <w:bidi w:val="0"/>
              <w:rPr>
                <w:rFonts w:hint="default"/>
              </w:rPr>
            </w:pPr>
            <w:r>
              <w:rPr>
                <w:rFonts w:hint="default"/>
              </w:rPr>
              <w:t>2</w:t>
            </w:r>
          </w:p>
        </w:tc>
        <w:tc>
          <w:tcPr>
            <w:tcW w:w="1421" w:type="dxa"/>
            <w:tcBorders>
              <w:tl2br w:val="nil"/>
              <w:tr2bl w:val="nil"/>
            </w:tcBorders>
            <w:vAlign w:val="center"/>
          </w:tcPr>
          <w:p>
            <w:pPr>
              <w:pStyle w:val="17"/>
              <w:bidi w:val="0"/>
              <w:rPr>
                <w:rFonts w:hint="eastAsia" w:eastAsia="宋体"/>
                <w:lang w:val="en-US" w:eastAsia="zh-CN"/>
              </w:rPr>
            </w:pPr>
            <w:r>
              <w:rPr>
                <w:rFonts w:hint="eastAsia"/>
                <w:lang w:val="en-US" w:eastAsia="zh-CN"/>
              </w:rPr>
              <w:t>生产车间</w:t>
            </w:r>
          </w:p>
        </w:tc>
        <w:tc>
          <w:tcPr>
            <w:tcW w:w="1562" w:type="dxa"/>
            <w:tcBorders>
              <w:tl2br w:val="nil"/>
              <w:tr2bl w:val="nil"/>
            </w:tcBorders>
            <w:vAlign w:val="center"/>
          </w:tcPr>
          <w:p>
            <w:pPr>
              <w:pStyle w:val="17"/>
              <w:bidi w:val="0"/>
              <w:rPr>
                <w:rFonts w:hint="default"/>
              </w:rPr>
            </w:pPr>
            <w:r>
              <w:rPr>
                <w:rFonts w:hint="default"/>
              </w:rPr>
              <w:t>非甲烷总烃</w:t>
            </w:r>
          </w:p>
        </w:tc>
        <w:tc>
          <w:tcPr>
            <w:tcW w:w="1026" w:type="dxa"/>
            <w:vMerge w:val="continue"/>
            <w:tcBorders>
              <w:tl2br w:val="nil"/>
              <w:tr2bl w:val="nil"/>
            </w:tcBorders>
            <w:vAlign w:val="center"/>
          </w:tcPr>
          <w:p>
            <w:pPr>
              <w:pStyle w:val="17"/>
              <w:bidi w:val="0"/>
              <w:rPr>
                <w:rFonts w:hint="default"/>
              </w:rPr>
            </w:pPr>
          </w:p>
        </w:tc>
        <w:tc>
          <w:tcPr>
            <w:tcW w:w="1364" w:type="dxa"/>
            <w:vMerge w:val="continue"/>
            <w:tcBorders>
              <w:tl2br w:val="nil"/>
              <w:tr2bl w:val="nil"/>
            </w:tcBorders>
            <w:vAlign w:val="center"/>
          </w:tcPr>
          <w:p>
            <w:pPr>
              <w:pStyle w:val="17"/>
              <w:bidi w:val="0"/>
              <w:rPr>
                <w:rFonts w:hint="default"/>
              </w:rPr>
            </w:pPr>
          </w:p>
        </w:tc>
        <w:tc>
          <w:tcPr>
            <w:tcW w:w="1992" w:type="dxa"/>
            <w:tcBorders>
              <w:tl2br w:val="nil"/>
              <w:tr2bl w:val="nil"/>
            </w:tcBorders>
            <w:vAlign w:val="center"/>
          </w:tcPr>
          <w:p>
            <w:pPr>
              <w:pStyle w:val="17"/>
              <w:bidi w:val="0"/>
              <w:rPr>
                <w:rFonts w:hint="default"/>
              </w:rPr>
            </w:pPr>
            <w:r>
              <w:rPr>
                <w:rFonts w:hint="default"/>
              </w:rPr>
              <w:t>4.0</w:t>
            </w:r>
          </w:p>
        </w:tc>
        <w:tc>
          <w:tcPr>
            <w:tcW w:w="994" w:type="dxa"/>
            <w:tcBorders>
              <w:tl2br w:val="nil"/>
              <w:tr2bl w:val="nil"/>
            </w:tcBorders>
            <w:vAlign w:val="center"/>
          </w:tcPr>
          <w:p>
            <w:pPr>
              <w:pStyle w:val="17"/>
              <w:bidi w:val="0"/>
              <w:ind w:firstLine="0" w:firstLineChars="0"/>
              <w:rPr>
                <w:rFonts w:hint="default"/>
                <w:lang w:val="en-US"/>
              </w:rPr>
            </w:pPr>
            <w:r>
              <w:rPr>
                <w:rFonts w:hint="eastAsia"/>
                <w:lang w:val="en-US" w:eastAsia="zh-CN"/>
              </w:rPr>
              <w:t>0.57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9071" w:type="dxa"/>
            <w:gridSpan w:val="7"/>
            <w:tcBorders>
              <w:tl2br w:val="nil"/>
              <w:tr2bl w:val="nil"/>
            </w:tcBorders>
            <w:vAlign w:val="center"/>
          </w:tcPr>
          <w:p>
            <w:pPr>
              <w:pStyle w:val="17"/>
              <w:bidi w:val="0"/>
              <w:rPr>
                <w:rFonts w:hint="default"/>
              </w:rPr>
            </w:pPr>
            <w:r>
              <w:rPr>
                <w:rFonts w:hint="default"/>
              </w:rPr>
              <w:t>无组织排放总计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2133" w:type="dxa"/>
            <w:gridSpan w:val="2"/>
            <w:vMerge w:val="restart"/>
            <w:tcBorders>
              <w:tl2br w:val="nil"/>
              <w:tr2bl w:val="nil"/>
            </w:tcBorders>
            <w:vAlign w:val="center"/>
          </w:tcPr>
          <w:p>
            <w:pPr>
              <w:pStyle w:val="17"/>
              <w:bidi w:val="0"/>
              <w:rPr>
                <w:rFonts w:hint="default"/>
              </w:rPr>
            </w:pPr>
            <w:r>
              <w:rPr>
                <w:rFonts w:hint="default"/>
              </w:rPr>
              <w:t>无组织排放总计</w:t>
            </w:r>
          </w:p>
        </w:tc>
        <w:tc>
          <w:tcPr>
            <w:tcW w:w="5944" w:type="dxa"/>
            <w:gridSpan w:val="4"/>
            <w:tcBorders>
              <w:tl2br w:val="nil"/>
              <w:tr2bl w:val="nil"/>
            </w:tcBorders>
            <w:vAlign w:val="center"/>
          </w:tcPr>
          <w:p>
            <w:pPr>
              <w:pStyle w:val="17"/>
              <w:bidi w:val="0"/>
              <w:rPr>
                <w:rFonts w:hint="default"/>
              </w:rPr>
            </w:pPr>
            <w:r>
              <w:rPr>
                <w:rFonts w:hint="default"/>
              </w:rPr>
              <w:t>非甲烷总烃</w:t>
            </w:r>
          </w:p>
        </w:tc>
        <w:tc>
          <w:tcPr>
            <w:tcW w:w="994" w:type="dxa"/>
            <w:tcBorders>
              <w:tl2br w:val="nil"/>
              <w:tr2bl w:val="nil"/>
            </w:tcBorders>
            <w:vAlign w:val="center"/>
          </w:tcPr>
          <w:p>
            <w:pPr>
              <w:pStyle w:val="17"/>
              <w:bidi w:val="0"/>
              <w:rPr>
                <w:rFonts w:hint="default"/>
                <w:lang w:val="en-US" w:eastAsia="zh-CN"/>
              </w:rPr>
            </w:pPr>
            <w:r>
              <w:rPr>
                <w:rFonts w:hint="eastAsia"/>
                <w:lang w:val="en-US" w:eastAsia="zh-CN"/>
              </w:rPr>
              <w:t>0.728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2133" w:type="dxa"/>
            <w:gridSpan w:val="2"/>
            <w:vMerge w:val="continue"/>
            <w:tcBorders>
              <w:tl2br w:val="nil"/>
              <w:tr2bl w:val="nil"/>
            </w:tcBorders>
            <w:vAlign w:val="center"/>
          </w:tcPr>
          <w:p>
            <w:pPr>
              <w:pStyle w:val="17"/>
              <w:bidi w:val="0"/>
              <w:rPr>
                <w:rFonts w:hint="default"/>
              </w:rPr>
            </w:pPr>
          </w:p>
        </w:tc>
        <w:tc>
          <w:tcPr>
            <w:tcW w:w="5944" w:type="dxa"/>
            <w:gridSpan w:val="4"/>
            <w:tcBorders>
              <w:tl2br w:val="nil"/>
              <w:tr2bl w:val="nil"/>
            </w:tcBorders>
            <w:vAlign w:val="center"/>
          </w:tcPr>
          <w:p>
            <w:pPr>
              <w:pStyle w:val="17"/>
              <w:bidi w:val="0"/>
              <w:rPr>
                <w:rFonts w:hint="default"/>
              </w:rPr>
            </w:pPr>
            <w:r>
              <w:rPr>
                <w:rFonts w:hint="default"/>
              </w:rPr>
              <w:t>颗粒物</w:t>
            </w:r>
          </w:p>
        </w:tc>
        <w:tc>
          <w:tcPr>
            <w:tcW w:w="994" w:type="dxa"/>
            <w:tcBorders>
              <w:tl2br w:val="nil"/>
              <w:tr2bl w:val="nil"/>
            </w:tcBorders>
            <w:vAlign w:val="center"/>
          </w:tcPr>
          <w:p>
            <w:pPr>
              <w:pStyle w:val="17"/>
              <w:bidi w:val="0"/>
              <w:rPr>
                <w:rFonts w:hint="default" w:eastAsia="宋体"/>
                <w:lang w:val="en-US" w:eastAsia="zh-CN"/>
              </w:rPr>
            </w:pPr>
            <w:r>
              <w:rPr>
                <w:rFonts w:hint="eastAsia"/>
                <w:lang w:val="en-US" w:eastAsia="zh-CN"/>
              </w:rPr>
              <w:t>0.033</w:t>
            </w:r>
          </w:p>
        </w:tc>
      </w:tr>
    </w:tbl>
    <w:p>
      <w:pPr>
        <w:pStyle w:val="5"/>
        <w:bidi w:val="0"/>
        <w:rPr>
          <w:rFonts w:hint="default"/>
        </w:rPr>
      </w:pPr>
      <w:r>
        <w:rPr>
          <w:rFonts w:hint="default"/>
        </w:rPr>
        <w:t>5.1.6</w:t>
      </w:r>
      <w:r>
        <w:rPr>
          <w:rFonts w:hint="eastAsia"/>
          <w:lang w:eastAsia="zh-CN"/>
        </w:rPr>
        <w:t>、</w:t>
      </w:r>
      <w:r>
        <w:rPr>
          <w:rFonts w:hint="default"/>
        </w:rPr>
        <w:t>大气防护距离</w:t>
      </w:r>
    </w:p>
    <w:p>
      <w:pPr>
        <w:pStyle w:val="6"/>
        <w:bidi w:val="0"/>
        <w:rPr>
          <w:rFonts w:hint="default"/>
        </w:rPr>
      </w:pPr>
      <w:r>
        <w:rPr>
          <w:rFonts w:hint="default"/>
        </w:rPr>
        <w:t>5.1.6.1</w:t>
      </w:r>
      <w:r>
        <w:rPr>
          <w:rFonts w:hint="eastAsia"/>
          <w:lang w:eastAsia="zh-CN"/>
        </w:rPr>
        <w:t>、</w:t>
      </w:r>
      <w:r>
        <w:rPr>
          <w:rFonts w:hint="default"/>
        </w:rPr>
        <w:t>大气环境防护距离</w:t>
      </w:r>
    </w:p>
    <w:p>
      <w:pPr>
        <w:bidi w:val="0"/>
        <w:rPr>
          <w:rFonts w:hint="default"/>
        </w:rPr>
      </w:pPr>
      <w:r>
        <w:rPr>
          <w:rFonts w:hint="default"/>
        </w:rPr>
        <w:t>根据《环境影响评价技术导则大气环境》（HJ2.2-2018）中的大气环境防护距离的要求，本项目厂界浓度满足大气污染物厂界浓度限值，因此本项目的不设置大气环境防护距离。</w:t>
      </w:r>
    </w:p>
    <w:p>
      <w:pPr>
        <w:pStyle w:val="6"/>
        <w:bidi w:val="0"/>
        <w:rPr>
          <w:rFonts w:hint="default"/>
        </w:rPr>
      </w:pPr>
      <w:r>
        <w:rPr>
          <w:rFonts w:hint="default"/>
        </w:rPr>
        <w:t>5.1.6.2</w:t>
      </w:r>
      <w:r>
        <w:rPr>
          <w:rFonts w:hint="eastAsia"/>
          <w:lang w:eastAsia="zh-CN"/>
        </w:rPr>
        <w:t>、</w:t>
      </w:r>
      <w:r>
        <w:rPr>
          <w:rFonts w:hint="default"/>
        </w:rPr>
        <w:t>卫生防护距离</w:t>
      </w:r>
    </w:p>
    <w:p>
      <w:pPr>
        <w:bidi w:val="0"/>
        <w:rPr>
          <w:rFonts w:hint="default"/>
        </w:rPr>
      </w:pPr>
      <w:r>
        <w:rPr>
          <w:rFonts w:hint="default"/>
          <w:lang w:val="en-US"/>
        </w:rPr>
        <w:t>根据《塑料厂卫生防护距离标准》的要求对于生产规模&lt;1000t 塑料厂的卫生防护距离为100m，本项目生产规模为</w:t>
      </w:r>
      <w:r>
        <w:rPr>
          <w:rFonts w:hint="eastAsia"/>
          <w:lang w:val="en-US" w:eastAsia="zh-CN"/>
        </w:rPr>
        <w:t>6100</w:t>
      </w:r>
      <w:r>
        <w:rPr>
          <w:rFonts w:hint="default"/>
          <w:lang w:val="en-US"/>
        </w:rPr>
        <w:t>t/a，超过限制，故</w:t>
      </w:r>
      <w:r>
        <w:rPr>
          <w:rFonts w:hint="default"/>
        </w:rPr>
        <w:fldChar w:fldCharType="begin"/>
      </w:r>
      <w:r>
        <w:rPr>
          <w:rFonts w:hint="default"/>
        </w:rPr>
        <w:instrText xml:space="preserve"> HYPERLINK "https://www.baidu.com/s?wd=%E5%8D%AB%E7%94%9F%E9%98%B2%E6%8A%A4%E8%B7%9D%E7%A6%BB&amp;tn=SE_PcZhidaonwhc_ngpagmjz&amp;rsv_dl=gh_pc_zhidao" \t "_blank" </w:instrText>
      </w:r>
      <w:r>
        <w:rPr>
          <w:rFonts w:hint="default"/>
        </w:rPr>
        <w:fldChar w:fldCharType="separate"/>
      </w:r>
      <w:r>
        <w:rPr>
          <w:rFonts w:hint="default"/>
          <w:lang w:val="en-US"/>
        </w:rPr>
        <w:t>卫生防护距离</w:t>
      </w:r>
      <w:r>
        <w:rPr>
          <w:rFonts w:hint="default"/>
          <w:lang w:val="en-US"/>
        </w:rPr>
        <w:fldChar w:fldCharType="end"/>
      </w:r>
      <w:r>
        <w:rPr>
          <w:rFonts w:hint="default"/>
          <w:lang w:val="en-US"/>
        </w:rPr>
        <w:t>设置是根据《</w:t>
      </w:r>
      <w:r>
        <w:rPr>
          <w:rFonts w:hint="eastAsia"/>
          <w:lang w:val="en-US" w:eastAsia="zh-CN"/>
        </w:rPr>
        <w:t>大气有害物质无组织排放卫生防护就推导技术导则</w:t>
      </w:r>
      <w:r>
        <w:rPr>
          <w:rFonts w:hint="default"/>
          <w:lang w:val="en-US"/>
        </w:rPr>
        <w:t>》中计算公式进行计算</w:t>
      </w:r>
      <w:r>
        <w:rPr>
          <w:rFonts w:hint="default"/>
        </w:rPr>
        <w:t>。</w:t>
      </w:r>
    </w:p>
    <w:p>
      <w:pPr>
        <w:bidi w:val="0"/>
        <w:rPr>
          <w:rFonts w:hint="default"/>
        </w:rPr>
      </w:pPr>
      <w:r>
        <w:rPr>
          <w:rFonts w:hint="default"/>
        </w:rPr>
        <w:t>卫生防护距离计算公式如下：</w:t>
      </w:r>
    </w:p>
    <w:p>
      <w:pPr>
        <w:bidi w:val="0"/>
        <w:rPr>
          <w:rFonts w:hint="default"/>
        </w:rPr>
      </w:pPr>
      <w:r>
        <w:rPr>
          <w:rFonts w:hint="default"/>
          <w:lang w:val="en-US"/>
        </w:rPr>
        <w:drawing>
          <wp:inline distT="0" distB="0" distL="114300" distR="114300">
            <wp:extent cx="1819910" cy="447675"/>
            <wp:effectExtent l="0" t="0" r="8890"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41" cstate="print"/>
                    <a:stretch>
                      <a:fillRect/>
                    </a:stretch>
                  </pic:blipFill>
                  <pic:spPr>
                    <a:xfrm>
                      <a:off x="0" y="0"/>
                      <a:ext cx="1819910" cy="447675"/>
                    </a:xfrm>
                    <a:prstGeom prst="rect">
                      <a:avLst/>
                    </a:prstGeom>
                    <a:noFill/>
                    <a:ln>
                      <a:noFill/>
                    </a:ln>
                  </pic:spPr>
                </pic:pic>
              </a:graphicData>
            </a:graphic>
          </wp:inline>
        </w:drawing>
      </w:r>
    </w:p>
    <w:p>
      <w:pPr>
        <w:bidi w:val="0"/>
        <w:rPr>
          <w:rFonts w:hint="default"/>
        </w:rPr>
      </w:pPr>
      <w:r>
        <w:rPr>
          <w:rFonts w:hint="default"/>
        </w:rPr>
        <w:t>式中：Cm——标准浓度限值，mg/</w:t>
      </w:r>
      <w:r>
        <w:rPr>
          <w:rFonts w:hint="eastAsia"/>
          <w:lang w:eastAsia="zh-CN"/>
        </w:rPr>
        <w:t>m³</w:t>
      </w:r>
      <w:r>
        <w:rPr>
          <w:rFonts w:hint="default"/>
        </w:rPr>
        <w:t>；</w:t>
      </w:r>
    </w:p>
    <w:p>
      <w:pPr>
        <w:bidi w:val="0"/>
        <w:rPr>
          <w:rFonts w:hint="default"/>
        </w:rPr>
      </w:pPr>
      <w:r>
        <w:rPr>
          <w:rFonts w:hint="default"/>
        </w:rPr>
        <w:t xml:space="preserve">       L护距工业企业所需卫生防护距离，m；</w:t>
      </w:r>
    </w:p>
    <w:p>
      <w:pPr>
        <w:bidi w:val="0"/>
        <w:rPr>
          <w:rFonts w:hint="default"/>
        </w:rPr>
      </w:pPr>
      <w:r>
        <w:rPr>
          <w:rFonts w:hint="default"/>
        </w:rPr>
        <w:t xml:space="preserve">       r 护距无组织排放面源等效半径，m；有害气体无组织排放源所在生产单元的等效半径（m）根据生产单元的占地面积S（</w:t>
      </w:r>
      <w:r>
        <w:rPr>
          <w:rFonts w:hint="eastAsia"/>
          <w:lang w:eastAsia="zh-CN"/>
        </w:rPr>
        <w:t>m²</w:t>
      </w:r>
      <w:r>
        <w:rPr>
          <w:rFonts w:hint="default"/>
        </w:rPr>
        <w:t>）计算，r=（S/算）0.5。</w:t>
      </w:r>
    </w:p>
    <w:p>
      <w:pPr>
        <w:bidi w:val="0"/>
        <w:rPr>
          <w:rFonts w:hint="default"/>
        </w:rPr>
      </w:pPr>
      <w:r>
        <w:rPr>
          <w:rFonts w:hint="default"/>
        </w:rPr>
        <w:t xml:space="preserve">       A，B，C，D  卫生防护距离计算系数，根据建设项目所在地区近五年平均风速及工业企业大气污染源构成类别从表5.1-</w:t>
      </w:r>
      <w:r>
        <w:rPr>
          <w:rFonts w:hint="eastAsia"/>
          <w:lang w:val="en-US" w:eastAsia="zh-CN"/>
        </w:rPr>
        <w:t>11</w:t>
      </w:r>
      <w:r>
        <w:rPr>
          <w:rFonts w:hint="default"/>
        </w:rPr>
        <w:t>中选取；</w:t>
      </w:r>
    </w:p>
    <w:p>
      <w:pPr>
        <w:bidi w:val="0"/>
        <w:rPr>
          <w:rFonts w:hint="default"/>
        </w:rPr>
      </w:pPr>
      <w:r>
        <w:rPr>
          <w:rFonts w:hint="default"/>
        </w:rPr>
        <w:t xml:space="preserve">       Qc——工业企业有害气体无组织排放量可以达到的控制水平，kg/h。</w:t>
      </w:r>
    </w:p>
    <w:p>
      <w:pPr>
        <w:pStyle w:val="17"/>
        <w:bidi w:val="0"/>
        <w:rPr>
          <w:rFonts w:hint="default"/>
          <w:b/>
          <w:bCs/>
        </w:rPr>
      </w:pPr>
      <w:r>
        <w:rPr>
          <w:rFonts w:hint="default"/>
          <w:b/>
          <w:bCs/>
        </w:rPr>
        <w:t>表5.1-</w:t>
      </w:r>
      <w:r>
        <w:rPr>
          <w:rFonts w:hint="eastAsia"/>
          <w:b/>
          <w:bCs/>
          <w:lang w:val="en-US" w:eastAsia="zh-CN"/>
        </w:rPr>
        <w:t>11</w:t>
      </w:r>
      <w:r>
        <w:rPr>
          <w:rFonts w:hint="default"/>
          <w:b/>
          <w:bCs/>
        </w:rPr>
        <w:t xml:space="preserve">  </w:t>
      </w:r>
      <w:r>
        <w:rPr>
          <w:rFonts w:hint="eastAsia"/>
          <w:b/>
          <w:bCs/>
          <w:lang w:val="en-US" w:eastAsia="zh-CN"/>
        </w:rPr>
        <w:t xml:space="preserve"> </w:t>
      </w:r>
      <w:r>
        <w:rPr>
          <w:rFonts w:hint="default"/>
          <w:b/>
          <w:bCs/>
        </w:rPr>
        <w:t>卫生防护距离计算系数</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338"/>
        <w:gridCol w:w="715"/>
        <w:gridCol w:w="715"/>
        <w:gridCol w:w="853"/>
        <w:gridCol w:w="817"/>
        <w:gridCol w:w="816"/>
        <w:gridCol w:w="817"/>
        <w:gridCol w:w="817"/>
        <w:gridCol w:w="818"/>
        <w:gridCol w:w="8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47" w:type="dxa"/>
            <w:vMerge w:val="restart"/>
            <w:tcBorders>
              <w:tl2br w:val="nil"/>
              <w:tr2bl w:val="nil"/>
            </w:tcBorders>
            <w:vAlign w:val="center"/>
          </w:tcPr>
          <w:p>
            <w:pPr>
              <w:pStyle w:val="17"/>
              <w:bidi w:val="0"/>
              <w:rPr>
                <w:rFonts w:hint="default"/>
                <w:b/>
                <w:bCs/>
              </w:rPr>
            </w:pPr>
            <w:r>
              <w:rPr>
                <w:rFonts w:hint="default"/>
                <w:b/>
                <w:bCs/>
              </w:rPr>
              <w:t>计算系数</w:t>
            </w:r>
          </w:p>
        </w:tc>
        <w:tc>
          <w:tcPr>
            <w:tcW w:w="1338" w:type="dxa"/>
            <w:vMerge w:val="restart"/>
            <w:tcBorders>
              <w:tl2br w:val="nil"/>
              <w:tr2bl w:val="nil"/>
            </w:tcBorders>
            <w:vAlign w:val="center"/>
          </w:tcPr>
          <w:p>
            <w:pPr>
              <w:pStyle w:val="17"/>
              <w:bidi w:val="0"/>
              <w:rPr>
                <w:rFonts w:hint="default"/>
                <w:b/>
                <w:bCs/>
              </w:rPr>
            </w:pPr>
            <w:r>
              <w:rPr>
                <w:rFonts w:hint="default"/>
                <w:b/>
                <w:bCs/>
              </w:rPr>
              <w:t>工业企业所在地区近五年平均风速m业企业所</w:t>
            </w:r>
          </w:p>
        </w:tc>
        <w:tc>
          <w:tcPr>
            <w:tcW w:w="7186" w:type="dxa"/>
            <w:gridSpan w:val="9"/>
            <w:tcBorders>
              <w:tl2br w:val="nil"/>
              <w:tr2bl w:val="nil"/>
            </w:tcBorders>
            <w:vAlign w:val="center"/>
          </w:tcPr>
          <w:p>
            <w:pPr>
              <w:pStyle w:val="17"/>
              <w:bidi w:val="0"/>
              <w:rPr>
                <w:rFonts w:hint="default"/>
                <w:b/>
                <w:bCs/>
              </w:rPr>
            </w:pPr>
            <w:r>
              <w:rPr>
                <w:rFonts w:hint="default"/>
                <w:b/>
                <w:bCs/>
              </w:rPr>
              <w:t>卫生防护距离(L)/m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47" w:type="dxa"/>
            <w:vMerge w:val="continue"/>
            <w:tcBorders>
              <w:tl2br w:val="nil"/>
              <w:tr2bl w:val="nil"/>
            </w:tcBorders>
            <w:vAlign w:val="center"/>
          </w:tcPr>
          <w:p>
            <w:pPr>
              <w:pStyle w:val="17"/>
              <w:bidi w:val="0"/>
              <w:rPr>
                <w:rFonts w:hint="default"/>
                <w:b/>
                <w:bCs/>
              </w:rPr>
            </w:pPr>
          </w:p>
        </w:tc>
        <w:tc>
          <w:tcPr>
            <w:tcW w:w="1338" w:type="dxa"/>
            <w:vMerge w:val="continue"/>
            <w:tcBorders>
              <w:tl2br w:val="nil"/>
              <w:tr2bl w:val="nil"/>
            </w:tcBorders>
            <w:vAlign w:val="center"/>
          </w:tcPr>
          <w:p>
            <w:pPr>
              <w:pStyle w:val="17"/>
              <w:bidi w:val="0"/>
              <w:rPr>
                <w:rFonts w:hint="default"/>
                <w:b/>
                <w:bCs/>
              </w:rPr>
            </w:pPr>
          </w:p>
        </w:tc>
        <w:tc>
          <w:tcPr>
            <w:tcW w:w="2283" w:type="dxa"/>
            <w:gridSpan w:val="3"/>
            <w:tcBorders>
              <w:tl2br w:val="nil"/>
              <w:tr2bl w:val="nil"/>
            </w:tcBorders>
            <w:vAlign w:val="center"/>
          </w:tcPr>
          <w:p>
            <w:pPr>
              <w:pStyle w:val="17"/>
              <w:bidi w:val="0"/>
              <w:rPr>
                <w:rFonts w:hint="default"/>
                <w:b/>
                <w:bCs/>
              </w:rPr>
            </w:pPr>
            <w:r>
              <w:rPr>
                <w:rFonts w:hint="default"/>
                <w:b/>
                <w:bCs/>
              </w:rPr>
              <w:t>L</w:t>
            </w:r>
            <w:r>
              <w:rPr>
                <w:rFonts w:hint="default"/>
                <w:b/>
                <w:bCs/>
                <w:lang w:val="en-GB"/>
              </w:rPr>
              <w:t>≤</w:t>
            </w:r>
            <w:r>
              <w:rPr>
                <w:rFonts w:hint="default"/>
                <w:b/>
                <w:bCs/>
              </w:rPr>
              <w:t>1000</w:t>
            </w:r>
          </w:p>
        </w:tc>
        <w:tc>
          <w:tcPr>
            <w:tcW w:w="2450" w:type="dxa"/>
            <w:gridSpan w:val="3"/>
            <w:tcBorders>
              <w:tl2br w:val="nil"/>
              <w:tr2bl w:val="nil"/>
            </w:tcBorders>
            <w:vAlign w:val="center"/>
          </w:tcPr>
          <w:p>
            <w:pPr>
              <w:pStyle w:val="17"/>
              <w:bidi w:val="0"/>
              <w:rPr>
                <w:rFonts w:hint="default"/>
                <w:b/>
                <w:bCs/>
              </w:rPr>
            </w:pPr>
            <w:r>
              <w:rPr>
                <w:rFonts w:hint="default"/>
                <w:b/>
                <w:bCs/>
              </w:rPr>
              <w:t>1000</w:t>
            </w:r>
            <w:r>
              <w:rPr>
                <w:rFonts w:hint="default"/>
                <w:b/>
                <w:bCs/>
                <w:lang w:val="en-GB"/>
              </w:rPr>
              <w:t>＜</w:t>
            </w:r>
            <w:r>
              <w:rPr>
                <w:rFonts w:hint="default"/>
                <w:b/>
                <w:bCs/>
              </w:rPr>
              <w:t>L</w:t>
            </w:r>
            <w:r>
              <w:rPr>
                <w:rFonts w:hint="default"/>
                <w:b/>
                <w:bCs/>
                <w:lang w:val="en-GB"/>
              </w:rPr>
              <w:t>≤</w:t>
            </w:r>
            <w:r>
              <w:rPr>
                <w:rFonts w:hint="default"/>
                <w:b/>
                <w:bCs/>
              </w:rPr>
              <w:t>2000</w:t>
            </w:r>
          </w:p>
        </w:tc>
        <w:tc>
          <w:tcPr>
            <w:tcW w:w="2453" w:type="dxa"/>
            <w:gridSpan w:val="3"/>
            <w:tcBorders>
              <w:tl2br w:val="nil"/>
              <w:tr2bl w:val="nil"/>
            </w:tcBorders>
            <w:vAlign w:val="center"/>
          </w:tcPr>
          <w:p>
            <w:pPr>
              <w:pStyle w:val="17"/>
              <w:bidi w:val="0"/>
              <w:rPr>
                <w:rFonts w:hint="default"/>
                <w:b/>
                <w:bCs/>
              </w:rPr>
            </w:pPr>
            <w:r>
              <w:rPr>
                <w:rFonts w:hint="default"/>
                <w:b/>
                <w:bCs/>
              </w:rPr>
              <w:t>L＞2000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47" w:type="dxa"/>
            <w:vMerge w:val="continue"/>
            <w:tcBorders>
              <w:tl2br w:val="nil"/>
              <w:tr2bl w:val="nil"/>
            </w:tcBorders>
            <w:vAlign w:val="center"/>
          </w:tcPr>
          <w:p>
            <w:pPr>
              <w:pStyle w:val="17"/>
              <w:bidi w:val="0"/>
              <w:rPr>
                <w:rFonts w:hint="default"/>
                <w:b/>
                <w:bCs/>
              </w:rPr>
            </w:pPr>
          </w:p>
        </w:tc>
        <w:tc>
          <w:tcPr>
            <w:tcW w:w="1338" w:type="dxa"/>
            <w:vMerge w:val="continue"/>
            <w:tcBorders>
              <w:tl2br w:val="nil"/>
              <w:tr2bl w:val="nil"/>
            </w:tcBorders>
            <w:vAlign w:val="center"/>
          </w:tcPr>
          <w:p>
            <w:pPr>
              <w:pStyle w:val="17"/>
              <w:bidi w:val="0"/>
              <w:rPr>
                <w:rFonts w:hint="default"/>
                <w:b/>
                <w:bCs/>
              </w:rPr>
            </w:pPr>
          </w:p>
        </w:tc>
        <w:tc>
          <w:tcPr>
            <w:tcW w:w="7186" w:type="dxa"/>
            <w:gridSpan w:val="9"/>
            <w:tcBorders>
              <w:tl2br w:val="nil"/>
              <w:tr2bl w:val="nil"/>
            </w:tcBorders>
            <w:vAlign w:val="center"/>
          </w:tcPr>
          <w:p>
            <w:pPr>
              <w:pStyle w:val="17"/>
              <w:bidi w:val="0"/>
              <w:rPr>
                <w:rFonts w:hint="default"/>
                <w:b/>
                <w:bCs/>
              </w:rPr>
            </w:pPr>
            <w:r>
              <w:rPr>
                <w:rFonts w:hint="default"/>
                <w:b/>
                <w:bCs/>
              </w:rPr>
              <w:t>工业企业大气污染源构成类别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47" w:type="dxa"/>
            <w:vMerge w:val="continue"/>
            <w:tcBorders>
              <w:tl2br w:val="nil"/>
              <w:tr2bl w:val="nil"/>
            </w:tcBorders>
            <w:vAlign w:val="center"/>
          </w:tcPr>
          <w:p>
            <w:pPr>
              <w:pStyle w:val="17"/>
              <w:bidi w:val="0"/>
              <w:rPr>
                <w:rFonts w:hint="default"/>
                <w:b/>
                <w:bCs/>
              </w:rPr>
            </w:pPr>
          </w:p>
        </w:tc>
        <w:tc>
          <w:tcPr>
            <w:tcW w:w="1338" w:type="dxa"/>
            <w:vMerge w:val="continue"/>
            <w:tcBorders>
              <w:tl2br w:val="nil"/>
              <w:tr2bl w:val="nil"/>
            </w:tcBorders>
            <w:vAlign w:val="center"/>
          </w:tcPr>
          <w:p>
            <w:pPr>
              <w:pStyle w:val="17"/>
              <w:bidi w:val="0"/>
              <w:rPr>
                <w:rFonts w:hint="default"/>
                <w:b/>
                <w:bCs/>
              </w:rPr>
            </w:pPr>
          </w:p>
        </w:tc>
        <w:tc>
          <w:tcPr>
            <w:tcW w:w="715" w:type="dxa"/>
            <w:tcBorders>
              <w:tl2br w:val="nil"/>
              <w:tr2bl w:val="nil"/>
            </w:tcBorders>
            <w:vAlign w:val="center"/>
          </w:tcPr>
          <w:p>
            <w:pPr>
              <w:pStyle w:val="17"/>
              <w:bidi w:val="0"/>
              <w:rPr>
                <w:rFonts w:hint="default"/>
                <w:b/>
                <w:bCs/>
              </w:rPr>
            </w:pPr>
            <w:r>
              <w:rPr>
                <w:rFonts w:hint="default"/>
                <w:b/>
                <w:bCs/>
              </w:rPr>
              <w:t>Ⅰ</w:t>
            </w:r>
          </w:p>
        </w:tc>
        <w:tc>
          <w:tcPr>
            <w:tcW w:w="715" w:type="dxa"/>
            <w:tcBorders>
              <w:tl2br w:val="nil"/>
              <w:tr2bl w:val="nil"/>
            </w:tcBorders>
            <w:vAlign w:val="center"/>
          </w:tcPr>
          <w:p>
            <w:pPr>
              <w:pStyle w:val="17"/>
              <w:bidi w:val="0"/>
              <w:rPr>
                <w:rFonts w:hint="default"/>
                <w:b/>
                <w:bCs/>
              </w:rPr>
            </w:pPr>
            <w:r>
              <w:rPr>
                <w:rFonts w:hint="default"/>
                <w:b/>
                <w:bCs/>
              </w:rPr>
              <w:t>Ⅱ</w:t>
            </w:r>
          </w:p>
        </w:tc>
        <w:tc>
          <w:tcPr>
            <w:tcW w:w="853" w:type="dxa"/>
            <w:tcBorders>
              <w:tl2br w:val="nil"/>
              <w:tr2bl w:val="nil"/>
            </w:tcBorders>
            <w:vAlign w:val="center"/>
          </w:tcPr>
          <w:p>
            <w:pPr>
              <w:pStyle w:val="17"/>
              <w:bidi w:val="0"/>
              <w:rPr>
                <w:rFonts w:hint="default"/>
                <w:b/>
                <w:bCs/>
              </w:rPr>
            </w:pPr>
            <w:r>
              <w:rPr>
                <w:rFonts w:hint="default"/>
                <w:b/>
                <w:bCs/>
              </w:rPr>
              <w:t>Ⅲ</w:t>
            </w:r>
          </w:p>
        </w:tc>
        <w:tc>
          <w:tcPr>
            <w:tcW w:w="817" w:type="dxa"/>
            <w:tcBorders>
              <w:tl2br w:val="nil"/>
              <w:tr2bl w:val="nil"/>
            </w:tcBorders>
            <w:vAlign w:val="center"/>
          </w:tcPr>
          <w:p>
            <w:pPr>
              <w:pStyle w:val="17"/>
              <w:bidi w:val="0"/>
              <w:rPr>
                <w:rFonts w:hint="default"/>
                <w:b/>
                <w:bCs/>
              </w:rPr>
            </w:pPr>
            <w:r>
              <w:rPr>
                <w:rFonts w:hint="default"/>
                <w:b/>
                <w:bCs/>
              </w:rPr>
              <w:t>Ⅰ</w:t>
            </w:r>
          </w:p>
        </w:tc>
        <w:tc>
          <w:tcPr>
            <w:tcW w:w="816" w:type="dxa"/>
            <w:tcBorders>
              <w:tl2br w:val="nil"/>
              <w:tr2bl w:val="nil"/>
            </w:tcBorders>
            <w:vAlign w:val="center"/>
          </w:tcPr>
          <w:p>
            <w:pPr>
              <w:pStyle w:val="17"/>
              <w:bidi w:val="0"/>
              <w:rPr>
                <w:rFonts w:hint="default"/>
                <w:b/>
                <w:bCs/>
              </w:rPr>
            </w:pPr>
            <w:r>
              <w:rPr>
                <w:rFonts w:hint="default"/>
                <w:b/>
                <w:bCs/>
              </w:rPr>
              <w:t>Ⅱ</w:t>
            </w:r>
          </w:p>
        </w:tc>
        <w:tc>
          <w:tcPr>
            <w:tcW w:w="817" w:type="dxa"/>
            <w:tcBorders>
              <w:tl2br w:val="nil"/>
              <w:tr2bl w:val="nil"/>
            </w:tcBorders>
            <w:vAlign w:val="center"/>
          </w:tcPr>
          <w:p>
            <w:pPr>
              <w:pStyle w:val="17"/>
              <w:bidi w:val="0"/>
              <w:rPr>
                <w:rFonts w:hint="default"/>
                <w:b/>
                <w:bCs/>
              </w:rPr>
            </w:pPr>
            <w:r>
              <w:rPr>
                <w:rFonts w:hint="default"/>
                <w:b/>
                <w:bCs/>
              </w:rPr>
              <w:t>Ⅲ</w:t>
            </w:r>
          </w:p>
        </w:tc>
        <w:tc>
          <w:tcPr>
            <w:tcW w:w="817" w:type="dxa"/>
            <w:tcBorders>
              <w:tl2br w:val="nil"/>
              <w:tr2bl w:val="nil"/>
            </w:tcBorders>
            <w:vAlign w:val="center"/>
          </w:tcPr>
          <w:p>
            <w:pPr>
              <w:pStyle w:val="17"/>
              <w:bidi w:val="0"/>
              <w:rPr>
                <w:rFonts w:hint="default"/>
                <w:b/>
                <w:bCs/>
              </w:rPr>
            </w:pPr>
            <w:r>
              <w:rPr>
                <w:rFonts w:hint="default"/>
                <w:b/>
                <w:bCs/>
              </w:rPr>
              <w:t>Ⅰ</w:t>
            </w:r>
          </w:p>
        </w:tc>
        <w:tc>
          <w:tcPr>
            <w:tcW w:w="818" w:type="dxa"/>
            <w:tcBorders>
              <w:tl2br w:val="nil"/>
              <w:tr2bl w:val="nil"/>
            </w:tcBorders>
            <w:vAlign w:val="center"/>
          </w:tcPr>
          <w:p>
            <w:pPr>
              <w:pStyle w:val="17"/>
              <w:bidi w:val="0"/>
              <w:rPr>
                <w:rFonts w:hint="default"/>
                <w:b/>
                <w:bCs/>
              </w:rPr>
            </w:pPr>
            <w:r>
              <w:rPr>
                <w:rFonts w:hint="default"/>
                <w:b/>
                <w:bCs/>
              </w:rPr>
              <w:t>Ⅱ</w:t>
            </w:r>
          </w:p>
        </w:tc>
        <w:tc>
          <w:tcPr>
            <w:tcW w:w="818" w:type="dxa"/>
            <w:tcBorders>
              <w:tl2br w:val="nil"/>
              <w:tr2bl w:val="nil"/>
            </w:tcBorders>
            <w:vAlign w:val="center"/>
          </w:tcPr>
          <w:p>
            <w:pPr>
              <w:pStyle w:val="17"/>
              <w:bidi w:val="0"/>
              <w:rPr>
                <w:rFonts w:hint="default"/>
                <w:b/>
                <w:bCs/>
              </w:rPr>
            </w:pPr>
            <w:r>
              <w:rPr>
                <w:rFonts w:hint="default"/>
                <w:b/>
                <w:bCs/>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47" w:type="dxa"/>
            <w:vMerge w:val="restart"/>
            <w:tcBorders>
              <w:tl2br w:val="nil"/>
              <w:tr2bl w:val="nil"/>
            </w:tcBorders>
            <w:vAlign w:val="center"/>
          </w:tcPr>
          <w:p>
            <w:pPr>
              <w:pStyle w:val="17"/>
              <w:bidi w:val="0"/>
              <w:rPr>
                <w:rFonts w:hint="default"/>
              </w:rPr>
            </w:pPr>
            <w:r>
              <w:rPr>
                <w:rFonts w:hint="default"/>
              </w:rPr>
              <w:t>A</w:t>
            </w:r>
          </w:p>
        </w:tc>
        <w:tc>
          <w:tcPr>
            <w:tcW w:w="1338" w:type="dxa"/>
            <w:tcBorders>
              <w:tl2br w:val="nil"/>
              <w:tr2bl w:val="nil"/>
            </w:tcBorders>
            <w:vAlign w:val="center"/>
          </w:tcPr>
          <w:p>
            <w:pPr>
              <w:pStyle w:val="17"/>
              <w:bidi w:val="0"/>
              <w:rPr>
                <w:rFonts w:hint="default"/>
              </w:rPr>
            </w:pPr>
            <w:r>
              <w:rPr>
                <w:rFonts w:hint="default"/>
              </w:rPr>
              <w:t>＜2</w:t>
            </w:r>
          </w:p>
        </w:tc>
        <w:tc>
          <w:tcPr>
            <w:tcW w:w="715" w:type="dxa"/>
            <w:tcBorders>
              <w:tl2br w:val="nil"/>
              <w:tr2bl w:val="nil"/>
            </w:tcBorders>
            <w:vAlign w:val="center"/>
          </w:tcPr>
          <w:p>
            <w:pPr>
              <w:pStyle w:val="17"/>
              <w:bidi w:val="0"/>
              <w:rPr>
                <w:rFonts w:hint="default"/>
              </w:rPr>
            </w:pPr>
            <w:r>
              <w:rPr>
                <w:rFonts w:hint="default"/>
              </w:rPr>
              <w:t>400</w:t>
            </w:r>
          </w:p>
        </w:tc>
        <w:tc>
          <w:tcPr>
            <w:tcW w:w="715" w:type="dxa"/>
            <w:tcBorders>
              <w:tl2br w:val="nil"/>
              <w:tr2bl w:val="nil"/>
            </w:tcBorders>
            <w:vAlign w:val="center"/>
          </w:tcPr>
          <w:p>
            <w:pPr>
              <w:pStyle w:val="17"/>
              <w:bidi w:val="0"/>
              <w:rPr>
                <w:rFonts w:hint="default"/>
              </w:rPr>
            </w:pPr>
            <w:r>
              <w:rPr>
                <w:rFonts w:hint="default"/>
              </w:rPr>
              <w:t>400</w:t>
            </w:r>
          </w:p>
        </w:tc>
        <w:tc>
          <w:tcPr>
            <w:tcW w:w="853" w:type="dxa"/>
            <w:tcBorders>
              <w:tl2br w:val="nil"/>
              <w:tr2bl w:val="nil"/>
            </w:tcBorders>
            <w:vAlign w:val="center"/>
          </w:tcPr>
          <w:p>
            <w:pPr>
              <w:pStyle w:val="17"/>
              <w:bidi w:val="0"/>
              <w:rPr>
                <w:rFonts w:hint="default"/>
              </w:rPr>
            </w:pPr>
            <w:r>
              <w:rPr>
                <w:rFonts w:hint="default"/>
              </w:rPr>
              <w:t>400</w:t>
            </w:r>
          </w:p>
        </w:tc>
        <w:tc>
          <w:tcPr>
            <w:tcW w:w="817" w:type="dxa"/>
            <w:tcBorders>
              <w:tl2br w:val="nil"/>
              <w:tr2bl w:val="nil"/>
            </w:tcBorders>
            <w:vAlign w:val="center"/>
          </w:tcPr>
          <w:p>
            <w:pPr>
              <w:pStyle w:val="17"/>
              <w:bidi w:val="0"/>
              <w:rPr>
                <w:rFonts w:hint="default"/>
              </w:rPr>
            </w:pPr>
            <w:r>
              <w:rPr>
                <w:rFonts w:hint="default"/>
              </w:rPr>
              <w:t>400</w:t>
            </w:r>
          </w:p>
        </w:tc>
        <w:tc>
          <w:tcPr>
            <w:tcW w:w="816" w:type="dxa"/>
            <w:tcBorders>
              <w:tl2br w:val="nil"/>
              <w:tr2bl w:val="nil"/>
            </w:tcBorders>
            <w:vAlign w:val="center"/>
          </w:tcPr>
          <w:p>
            <w:pPr>
              <w:pStyle w:val="17"/>
              <w:bidi w:val="0"/>
              <w:rPr>
                <w:rFonts w:hint="default"/>
              </w:rPr>
            </w:pPr>
            <w:r>
              <w:rPr>
                <w:rFonts w:hint="default"/>
              </w:rPr>
              <w:t>400</w:t>
            </w:r>
          </w:p>
        </w:tc>
        <w:tc>
          <w:tcPr>
            <w:tcW w:w="817" w:type="dxa"/>
            <w:tcBorders>
              <w:tl2br w:val="nil"/>
              <w:tr2bl w:val="nil"/>
            </w:tcBorders>
            <w:vAlign w:val="center"/>
          </w:tcPr>
          <w:p>
            <w:pPr>
              <w:pStyle w:val="17"/>
              <w:bidi w:val="0"/>
              <w:rPr>
                <w:rFonts w:hint="default"/>
              </w:rPr>
            </w:pPr>
            <w:r>
              <w:rPr>
                <w:rFonts w:hint="default"/>
              </w:rPr>
              <w:t>400</w:t>
            </w:r>
          </w:p>
        </w:tc>
        <w:tc>
          <w:tcPr>
            <w:tcW w:w="817" w:type="dxa"/>
            <w:tcBorders>
              <w:tl2br w:val="nil"/>
              <w:tr2bl w:val="nil"/>
            </w:tcBorders>
            <w:vAlign w:val="center"/>
          </w:tcPr>
          <w:p>
            <w:pPr>
              <w:pStyle w:val="17"/>
              <w:bidi w:val="0"/>
              <w:rPr>
                <w:rFonts w:hint="default"/>
              </w:rPr>
            </w:pPr>
            <w:r>
              <w:rPr>
                <w:rFonts w:hint="default"/>
              </w:rPr>
              <w:t>80</w:t>
            </w:r>
          </w:p>
        </w:tc>
        <w:tc>
          <w:tcPr>
            <w:tcW w:w="818" w:type="dxa"/>
            <w:tcBorders>
              <w:tl2br w:val="nil"/>
              <w:tr2bl w:val="nil"/>
            </w:tcBorders>
            <w:vAlign w:val="center"/>
          </w:tcPr>
          <w:p>
            <w:pPr>
              <w:pStyle w:val="17"/>
              <w:bidi w:val="0"/>
              <w:rPr>
                <w:rFonts w:hint="default"/>
              </w:rPr>
            </w:pPr>
            <w:r>
              <w:rPr>
                <w:rFonts w:hint="default"/>
              </w:rPr>
              <w:t>80</w:t>
            </w:r>
          </w:p>
        </w:tc>
        <w:tc>
          <w:tcPr>
            <w:tcW w:w="818" w:type="dxa"/>
            <w:tcBorders>
              <w:tl2br w:val="nil"/>
              <w:tr2bl w:val="nil"/>
            </w:tcBorders>
            <w:vAlign w:val="center"/>
          </w:tcPr>
          <w:p>
            <w:pPr>
              <w:pStyle w:val="17"/>
              <w:bidi w:val="0"/>
              <w:rPr>
                <w:rFonts w:hint="default"/>
              </w:rPr>
            </w:pPr>
            <w:r>
              <w:rPr>
                <w:rFonts w:hint="default"/>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47" w:type="dxa"/>
            <w:vMerge w:val="continue"/>
            <w:tcBorders>
              <w:tl2br w:val="nil"/>
              <w:tr2bl w:val="nil"/>
            </w:tcBorders>
            <w:vAlign w:val="center"/>
          </w:tcPr>
          <w:p>
            <w:pPr>
              <w:pStyle w:val="17"/>
              <w:bidi w:val="0"/>
              <w:rPr>
                <w:rFonts w:hint="default"/>
              </w:rPr>
            </w:pPr>
          </w:p>
        </w:tc>
        <w:tc>
          <w:tcPr>
            <w:tcW w:w="1338" w:type="dxa"/>
            <w:tcBorders>
              <w:tl2br w:val="nil"/>
              <w:tr2bl w:val="nil"/>
            </w:tcBorders>
            <w:vAlign w:val="center"/>
          </w:tcPr>
          <w:p>
            <w:pPr>
              <w:pStyle w:val="17"/>
              <w:bidi w:val="0"/>
              <w:rPr>
                <w:rFonts w:hint="default"/>
              </w:rPr>
            </w:pPr>
            <w:r>
              <w:rPr>
                <w:rFonts w:hint="default"/>
              </w:rPr>
              <w:t>2~4</w:t>
            </w:r>
          </w:p>
        </w:tc>
        <w:tc>
          <w:tcPr>
            <w:tcW w:w="715" w:type="dxa"/>
            <w:tcBorders>
              <w:tl2br w:val="nil"/>
              <w:tr2bl w:val="nil"/>
            </w:tcBorders>
            <w:vAlign w:val="center"/>
          </w:tcPr>
          <w:p>
            <w:pPr>
              <w:pStyle w:val="17"/>
              <w:bidi w:val="0"/>
              <w:rPr>
                <w:rFonts w:hint="default"/>
              </w:rPr>
            </w:pPr>
            <w:r>
              <w:rPr>
                <w:rFonts w:hint="default"/>
              </w:rPr>
              <w:t>700</w:t>
            </w:r>
          </w:p>
        </w:tc>
        <w:tc>
          <w:tcPr>
            <w:tcW w:w="715" w:type="dxa"/>
            <w:tcBorders>
              <w:tl2br w:val="nil"/>
              <w:tr2bl w:val="nil"/>
            </w:tcBorders>
            <w:vAlign w:val="center"/>
          </w:tcPr>
          <w:p>
            <w:pPr>
              <w:pStyle w:val="17"/>
              <w:bidi w:val="0"/>
              <w:rPr>
                <w:rFonts w:hint="default"/>
              </w:rPr>
            </w:pPr>
            <w:r>
              <w:rPr>
                <w:rFonts w:hint="default"/>
              </w:rPr>
              <w:t>470</w:t>
            </w:r>
          </w:p>
        </w:tc>
        <w:tc>
          <w:tcPr>
            <w:tcW w:w="853" w:type="dxa"/>
            <w:tcBorders>
              <w:tl2br w:val="nil"/>
              <w:tr2bl w:val="nil"/>
            </w:tcBorders>
            <w:vAlign w:val="center"/>
          </w:tcPr>
          <w:p>
            <w:pPr>
              <w:pStyle w:val="17"/>
              <w:bidi w:val="0"/>
              <w:rPr>
                <w:rFonts w:hint="default"/>
              </w:rPr>
            </w:pPr>
            <w:r>
              <w:rPr>
                <w:rFonts w:hint="default"/>
              </w:rPr>
              <w:t>350</w:t>
            </w:r>
          </w:p>
        </w:tc>
        <w:tc>
          <w:tcPr>
            <w:tcW w:w="817" w:type="dxa"/>
            <w:tcBorders>
              <w:tl2br w:val="nil"/>
              <w:tr2bl w:val="nil"/>
            </w:tcBorders>
            <w:vAlign w:val="center"/>
          </w:tcPr>
          <w:p>
            <w:pPr>
              <w:pStyle w:val="17"/>
              <w:bidi w:val="0"/>
              <w:rPr>
                <w:rFonts w:hint="default"/>
              </w:rPr>
            </w:pPr>
            <w:r>
              <w:rPr>
                <w:rFonts w:hint="default"/>
              </w:rPr>
              <w:t>700</w:t>
            </w:r>
          </w:p>
        </w:tc>
        <w:tc>
          <w:tcPr>
            <w:tcW w:w="816" w:type="dxa"/>
            <w:tcBorders>
              <w:tl2br w:val="nil"/>
              <w:tr2bl w:val="nil"/>
            </w:tcBorders>
            <w:vAlign w:val="center"/>
          </w:tcPr>
          <w:p>
            <w:pPr>
              <w:pStyle w:val="17"/>
              <w:bidi w:val="0"/>
              <w:rPr>
                <w:rFonts w:hint="default"/>
              </w:rPr>
            </w:pPr>
            <w:r>
              <w:rPr>
                <w:rFonts w:hint="default"/>
              </w:rPr>
              <w:t>470</w:t>
            </w:r>
          </w:p>
        </w:tc>
        <w:tc>
          <w:tcPr>
            <w:tcW w:w="817" w:type="dxa"/>
            <w:tcBorders>
              <w:tl2br w:val="nil"/>
              <w:tr2bl w:val="nil"/>
            </w:tcBorders>
            <w:vAlign w:val="center"/>
          </w:tcPr>
          <w:p>
            <w:pPr>
              <w:pStyle w:val="17"/>
              <w:bidi w:val="0"/>
              <w:rPr>
                <w:rFonts w:hint="default"/>
              </w:rPr>
            </w:pPr>
            <w:r>
              <w:rPr>
                <w:rFonts w:hint="default"/>
              </w:rPr>
              <w:t>350</w:t>
            </w:r>
          </w:p>
        </w:tc>
        <w:tc>
          <w:tcPr>
            <w:tcW w:w="817" w:type="dxa"/>
            <w:tcBorders>
              <w:tl2br w:val="nil"/>
              <w:tr2bl w:val="nil"/>
            </w:tcBorders>
            <w:vAlign w:val="center"/>
          </w:tcPr>
          <w:p>
            <w:pPr>
              <w:pStyle w:val="17"/>
              <w:bidi w:val="0"/>
              <w:rPr>
                <w:rFonts w:hint="default"/>
              </w:rPr>
            </w:pPr>
            <w:r>
              <w:rPr>
                <w:rFonts w:hint="default"/>
              </w:rPr>
              <w:t>380</w:t>
            </w:r>
          </w:p>
        </w:tc>
        <w:tc>
          <w:tcPr>
            <w:tcW w:w="818" w:type="dxa"/>
            <w:tcBorders>
              <w:tl2br w:val="nil"/>
              <w:tr2bl w:val="nil"/>
            </w:tcBorders>
            <w:vAlign w:val="center"/>
          </w:tcPr>
          <w:p>
            <w:pPr>
              <w:pStyle w:val="17"/>
              <w:bidi w:val="0"/>
              <w:rPr>
                <w:rFonts w:hint="default"/>
              </w:rPr>
            </w:pPr>
            <w:r>
              <w:rPr>
                <w:rFonts w:hint="default"/>
              </w:rPr>
              <w:t>250</w:t>
            </w:r>
          </w:p>
        </w:tc>
        <w:tc>
          <w:tcPr>
            <w:tcW w:w="818" w:type="dxa"/>
            <w:tcBorders>
              <w:tl2br w:val="nil"/>
              <w:tr2bl w:val="nil"/>
            </w:tcBorders>
            <w:vAlign w:val="center"/>
          </w:tcPr>
          <w:p>
            <w:pPr>
              <w:pStyle w:val="17"/>
              <w:bidi w:val="0"/>
              <w:rPr>
                <w:rFonts w:hint="default"/>
              </w:rPr>
            </w:pPr>
            <w:r>
              <w:rPr>
                <w:rFonts w:hint="default"/>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47" w:type="dxa"/>
            <w:vMerge w:val="continue"/>
            <w:tcBorders>
              <w:tl2br w:val="nil"/>
              <w:tr2bl w:val="nil"/>
            </w:tcBorders>
            <w:vAlign w:val="center"/>
          </w:tcPr>
          <w:p>
            <w:pPr>
              <w:pStyle w:val="17"/>
              <w:bidi w:val="0"/>
              <w:rPr>
                <w:rFonts w:hint="default"/>
              </w:rPr>
            </w:pPr>
          </w:p>
        </w:tc>
        <w:tc>
          <w:tcPr>
            <w:tcW w:w="1338" w:type="dxa"/>
            <w:tcBorders>
              <w:tl2br w:val="nil"/>
              <w:tr2bl w:val="nil"/>
            </w:tcBorders>
            <w:vAlign w:val="center"/>
          </w:tcPr>
          <w:p>
            <w:pPr>
              <w:pStyle w:val="17"/>
              <w:bidi w:val="0"/>
              <w:rPr>
                <w:rFonts w:hint="default"/>
              </w:rPr>
            </w:pPr>
            <w:r>
              <w:rPr>
                <w:rFonts w:hint="default"/>
              </w:rPr>
              <w:t>＞4</w:t>
            </w:r>
          </w:p>
        </w:tc>
        <w:tc>
          <w:tcPr>
            <w:tcW w:w="715" w:type="dxa"/>
            <w:tcBorders>
              <w:tl2br w:val="nil"/>
              <w:tr2bl w:val="nil"/>
            </w:tcBorders>
            <w:vAlign w:val="center"/>
          </w:tcPr>
          <w:p>
            <w:pPr>
              <w:pStyle w:val="17"/>
              <w:bidi w:val="0"/>
              <w:rPr>
                <w:rFonts w:hint="default"/>
              </w:rPr>
            </w:pPr>
            <w:r>
              <w:rPr>
                <w:rFonts w:hint="default"/>
              </w:rPr>
              <w:t>530</w:t>
            </w:r>
          </w:p>
        </w:tc>
        <w:tc>
          <w:tcPr>
            <w:tcW w:w="715" w:type="dxa"/>
            <w:tcBorders>
              <w:tl2br w:val="nil"/>
              <w:tr2bl w:val="nil"/>
            </w:tcBorders>
            <w:vAlign w:val="center"/>
          </w:tcPr>
          <w:p>
            <w:pPr>
              <w:pStyle w:val="17"/>
              <w:bidi w:val="0"/>
              <w:rPr>
                <w:rFonts w:hint="default"/>
              </w:rPr>
            </w:pPr>
            <w:r>
              <w:rPr>
                <w:rFonts w:hint="default"/>
              </w:rPr>
              <w:t>350</w:t>
            </w:r>
          </w:p>
        </w:tc>
        <w:tc>
          <w:tcPr>
            <w:tcW w:w="853" w:type="dxa"/>
            <w:tcBorders>
              <w:tl2br w:val="nil"/>
              <w:tr2bl w:val="nil"/>
            </w:tcBorders>
            <w:vAlign w:val="center"/>
          </w:tcPr>
          <w:p>
            <w:pPr>
              <w:pStyle w:val="17"/>
              <w:bidi w:val="0"/>
              <w:rPr>
                <w:rFonts w:hint="default"/>
              </w:rPr>
            </w:pPr>
            <w:r>
              <w:rPr>
                <w:rFonts w:hint="default"/>
              </w:rPr>
              <w:t>260</w:t>
            </w:r>
          </w:p>
        </w:tc>
        <w:tc>
          <w:tcPr>
            <w:tcW w:w="817" w:type="dxa"/>
            <w:tcBorders>
              <w:tl2br w:val="nil"/>
              <w:tr2bl w:val="nil"/>
            </w:tcBorders>
            <w:vAlign w:val="center"/>
          </w:tcPr>
          <w:p>
            <w:pPr>
              <w:pStyle w:val="17"/>
              <w:bidi w:val="0"/>
              <w:rPr>
                <w:rFonts w:hint="default"/>
              </w:rPr>
            </w:pPr>
            <w:r>
              <w:rPr>
                <w:rFonts w:hint="default"/>
              </w:rPr>
              <w:t>530</w:t>
            </w:r>
          </w:p>
        </w:tc>
        <w:tc>
          <w:tcPr>
            <w:tcW w:w="816" w:type="dxa"/>
            <w:tcBorders>
              <w:tl2br w:val="nil"/>
              <w:tr2bl w:val="nil"/>
            </w:tcBorders>
            <w:vAlign w:val="center"/>
          </w:tcPr>
          <w:p>
            <w:pPr>
              <w:pStyle w:val="17"/>
              <w:bidi w:val="0"/>
              <w:rPr>
                <w:rFonts w:hint="default"/>
              </w:rPr>
            </w:pPr>
            <w:r>
              <w:rPr>
                <w:rFonts w:hint="default"/>
              </w:rPr>
              <w:t>350</w:t>
            </w:r>
          </w:p>
        </w:tc>
        <w:tc>
          <w:tcPr>
            <w:tcW w:w="817" w:type="dxa"/>
            <w:tcBorders>
              <w:tl2br w:val="nil"/>
              <w:tr2bl w:val="nil"/>
            </w:tcBorders>
            <w:vAlign w:val="center"/>
          </w:tcPr>
          <w:p>
            <w:pPr>
              <w:pStyle w:val="17"/>
              <w:bidi w:val="0"/>
              <w:rPr>
                <w:rFonts w:hint="default"/>
              </w:rPr>
            </w:pPr>
            <w:r>
              <w:rPr>
                <w:rFonts w:hint="default"/>
              </w:rPr>
              <w:t>260</w:t>
            </w:r>
          </w:p>
        </w:tc>
        <w:tc>
          <w:tcPr>
            <w:tcW w:w="817" w:type="dxa"/>
            <w:tcBorders>
              <w:tl2br w:val="nil"/>
              <w:tr2bl w:val="nil"/>
            </w:tcBorders>
            <w:vAlign w:val="center"/>
          </w:tcPr>
          <w:p>
            <w:pPr>
              <w:pStyle w:val="17"/>
              <w:bidi w:val="0"/>
              <w:rPr>
                <w:rFonts w:hint="default"/>
              </w:rPr>
            </w:pPr>
            <w:r>
              <w:rPr>
                <w:rFonts w:hint="default"/>
              </w:rPr>
              <w:t>290</w:t>
            </w:r>
          </w:p>
        </w:tc>
        <w:tc>
          <w:tcPr>
            <w:tcW w:w="818" w:type="dxa"/>
            <w:tcBorders>
              <w:tl2br w:val="nil"/>
              <w:tr2bl w:val="nil"/>
            </w:tcBorders>
            <w:vAlign w:val="center"/>
          </w:tcPr>
          <w:p>
            <w:pPr>
              <w:pStyle w:val="17"/>
              <w:bidi w:val="0"/>
              <w:rPr>
                <w:rFonts w:hint="default"/>
              </w:rPr>
            </w:pPr>
            <w:r>
              <w:rPr>
                <w:rFonts w:hint="default"/>
              </w:rPr>
              <w:t>190</w:t>
            </w:r>
          </w:p>
        </w:tc>
        <w:tc>
          <w:tcPr>
            <w:tcW w:w="818" w:type="dxa"/>
            <w:tcBorders>
              <w:tl2br w:val="nil"/>
              <w:tr2bl w:val="nil"/>
            </w:tcBorders>
            <w:vAlign w:val="center"/>
          </w:tcPr>
          <w:p>
            <w:pPr>
              <w:pStyle w:val="17"/>
              <w:bidi w:val="0"/>
              <w:rPr>
                <w:rFonts w:hint="default"/>
              </w:rPr>
            </w:pPr>
            <w:r>
              <w:rPr>
                <w:rFonts w:hint="default"/>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47" w:type="dxa"/>
            <w:vMerge w:val="restart"/>
            <w:tcBorders>
              <w:tl2br w:val="nil"/>
              <w:tr2bl w:val="nil"/>
            </w:tcBorders>
            <w:vAlign w:val="center"/>
          </w:tcPr>
          <w:p>
            <w:pPr>
              <w:pStyle w:val="17"/>
              <w:bidi w:val="0"/>
              <w:rPr>
                <w:rFonts w:hint="default"/>
              </w:rPr>
            </w:pPr>
            <w:r>
              <w:rPr>
                <w:rFonts w:hint="default"/>
              </w:rPr>
              <w:t>B</w:t>
            </w:r>
          </w:p>
        </w:tc>
        <w:tc>
          <w:tcPr>
            <w:tcW w:w="1338" w:type="dxa"/>
            <w:tcBorders>
              <w:tl2br w:val="nil"/>
              <w:tr2bl w:val="nil"/>
            </w:tcBorders>
            <w:vAlign w:val="center"/>
          </w:tcPr>
          <w:p>
            <w:pPr>
              <w:pStyle w:val="17"/>
              <w:bidi w:val="0"/>
              <w:rPr>
                <w:rFonts w:hint="default"/>
              </w:rPr>
            </w:pPr>
            <w:r>
              <w:rPr>
                <w:rFonts w:hint="default"/>
              </w:rPr>
              <w:t>＜2</w:t>
            </w:r>
          </w:p>
        </w:tc>
        <w:tc>
          <w:tcPr>
            <w:tcW w:w="2283" w:type="dxa"/>
            <w:gridSpan w:val="3"/>
            <w:tcBorders>
              <w:tl2br w:val="nil"/>
              <w:tr2bl w:val="nil"/>
            </w:tcBorders>
            <w:vAlign w:val="center"/>
          </w:tcPr>
          <w:p>
            <w:pPr>
              <w:pStyle w:val="17"/>
              <w:bidi w:val="0"/>
              <w:rPr>
                <w:rFonts w:hint="default"/>
              </w:rPr>
            </w:pPr>
            <w:r>
              <w:rPr>
                <w:rFonts w:hint="default"/>
              </w:rPr>
              <w:t>0.01</w:t>
            </w:r>
          </w:p>
        </w:tc>
        <w:tc>
          <w:tcPr>
            <w:tcW w:w="2450" w:type="dxa"/>
            <w:gridSpan w:val="3"/>
            <w:tcBorders>
              <w:tl2br w:val="nil"/>
              <w:tr2bl w:val="nil"/>
            </w:tcBorders>
            <w:vAlign w:val="center"/>
          </w:tcPr>
          <w:p>
            <w:pPr>
              <w:pStyle w:val="17"/>
              <w:bidi w:val="0"/>
              <w:rPr>
                <w:rFonts w:hint="default"/>
              </w:rPr>
            </w:pPr>
            <w:r>
              <w:rPr>
                <w:rFonts w:hint="default"/>
              </w:rPr>
              <w:t>0.015</w:t>
            </w:r>
          </w:p>
        </w:tc>
        <w:tc>
          <w:tcPr>
            <w:tcW w:w="2453" w:type="dxa"/>
            <w:gridSpan w:val="3"/>
            <w:tcBorders>
              <w:tl2br w:val="nil"/>
              <w:tr2bl w:val="nil"/>
            </w:tcBorders>
            <w:vAlign w:val="center"/>
          </w:tcPr>
          <w:p>
            <w:pPr>
              <w:pStyle w:val="17"/>
              <w:bidi w:val="0"/>
              <w:rPr>
                <w:rFonts w:hint="default"/>
              </w:rPr>
            </w:pPr>
            <w:r>
              <w:rPr>
                <w:rFonts w:hint="default"/>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47" w:type="dxa"/>
            <w:vMerge w:val="continue"/>
            <w:tcBorders>
              <w:tl2br w:val="nil"/>
              <w:tr2bl w:val="nil"/>
            </w:tcBorders>
            <w:vAlign w:val="center"/>
          </w:tcPr>
          <w:p>
            <w:pPr>
              <w:pStyle w:val="17"/>
              <w:bidi w:val="0"/>
              <w:rPr>
                <w:rFonts w:hint="default"/>
              </w:rPr>
            </w:pPr>
          </w:p>
        </w:tc>
        <w:tc>
          <w:tcPr>
            <w:tcW w:w="1338" w:type="dxa"/>
            <w:tcBorders>
              <w:tl2br w:val="nil"/>
              <w:tr2bl w:val="nil"/>
            </w:tcBorders>
            <w:vAlign w:val="center"/>
          </w:tcPr>
          <w:p>
            <w:pPr>
              <w:pStyle w:val="17"/>
              <w:bidi w:val="0"/>
              <w:rPr>
                <w:rFonts w:hint="default"/>
              </w:rPr>
            </w:pPr>
            <w:r>
              <w:rPr>
                <w:rFonts w:hint="default"/>
              </w:rPr>
              <w:t>＞2</w:t>
            </w:r>
          </w:p>
        </w:tc>
        <w:tc>
          <w:tcPr>
            <w:tcW w:w="2283" w:type="dxa"/>
            <w:gridSpan w:val="3"/>
            <w:tcBorders>
              <w:tl2br w:val="nil"/>
              <w:tr2bl w:val="nil"/>
            </w:tcBorders>
            <w:vAlign w:val="center"/>
          </w:tcPr>
          <w:p>
            <w:pPr>
              <w:pStyle w:val="17"/>
              <w:bidi w:val="0"/>
              <w:rPr>
                <w:rFonts w:hint="default"/>
              </w:rPr>
            </w:pPr>
            <w:r>
              <w:rPr>
                <w:rFonts w:hint="default"/>
              </w:rPr>
              <w:t>0.021</w:t>
            </w:r>
          </w:p>
        </w:tc>
        <w:tc>
          <w:tcPr>
            <w:tcW w:w="2450" w:type="dxa"/>
            <w:gridSpan w:val="3"/>
            <w:tcBorders>
              <w:tl2br w:val="nil"/>
              <w:tr2bl w:val="nil"/>
            </w:tcBorders>
            <w:vAlign w:val="center"/>
          </w:tcPr>
          <w:p>
            <w:pPr>
              <w:pStyle w:val="17"/>
              <w:bidi w:val="0"/>
              <w:rPr>
                <w:rFonts w:hint="default"/>
              </w:rPr>
            </w:pPr>
            <w:r>
              <w:rPr>
                <w:rFonts w:hint="default"/>
              </w:rPr>
              <w:t>0.036</w:t>
            </w:r>
          </w:p>
        </w:tc>
        <w:tc>
          <w:tcPr>
            <w:tcW w:w="2453" w:type="dxa"/>
            <w:gridSpan w:val="3"/>
            <w:tcBorders>
              <w:tl2br w:val="nil"/>
              <w:tr2bl w:val="nil"/>
            </w:tcBorders>
            <w:vAlign w:val="center"/>
          </w:tcPr>
          <w:p>
            <w:pPr>
              <w:pStyle w:val="17"/>
              <w:bidi w:val="0"/>
              <w:rPr>
                <w:rFonts w:hint="default"/>
              </w:rPr>
            </w:pPr>
            <w:r>
              <w:rPr>
                <w:rFonts w:hint="default"/>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47" w:type="dxa"/>
            <w:vMerge w:val="restart"/>
            <w:tcBorders>
              <w:tl2br w:val="nil"/>
              <w:tr2bl w:val="nil"/>
            </w:tcBorders>
            <w:vAlign w:val="center"/>
          </w:tcPr>
          <w:p>
            <w:pPr>
              <w:pStyle w:val="17"/>
              <w:bidi w:val="0"/>
              <w:rPr>
                <w:rFonts w:hint="default"/>
              </w:rPr>
            </w:pPr>
            <w:r>
              <w:rPr>
                <w:rFonts w:hint="default"/>
              </w:rPr>
              <w:t>C</w:t>
            </w:r>
          </w:p>
        </w:tc>
        <w:tc>
          <w:tcPr>
            <w:tcW w:w="1338" w:type="dxa"/>
            <w:tcBorders>
              <w:tl2br w:val="nil"/>
              <w:tr2bl w:val="nil"/>
            </w:tcBorders>
            <w:vAlign w:val="center"/>
          </w:tcPr>
          <w:p>
            <w:pPr>
              <w:pStyle w:val="17"/>
              <w:bidi w:val="0"/>
              <w:rPr>
                <w:rFonts w:hint="default"/>
              </w:rPr>
            </w:pPr>
            <w:r>
              <w:rPr>
                <w:rFonts w:hint="default"/>
              </w:rPr>
              <w:t>＜2</w:t>
            </w:r>
          </w:p>
        </w:tc>
        <w:tc>
          <w:tcPr>
            <w:tcW w:w="2283" w:type="dxa"/>
            <w:gridSpan w:val="3"/>
            <w:tcBorders>
              <w:tl2br w:val="nil"/>
              <w:tr2bl w:val="nil"/>
            </w:tcBorders>
            <w:vAlign w:val="center"/>
          </w:tcPr>
          <w:p>
            <w:pPr>
              <w:pStyle w:val="17"/>
              <w:bidi w:val="0"/>
              <w:rPr>
                <w:rFonts w:hint="default"/>
              </w:rPr>
            </w:pPr>
            <w:r>
              <w:rPr>
                <w:rFonts w:hint="default"/>
              </w:rPr>
              <w:t>1.85</w:t>
            </w:r>
          </w:p>
        </w:tc>
        <w:tc>
          <w:tcPr>
            <w:tcW w:w="2450" w:type="dxa"/>
            <w:gridSpan w:val="3"/>
            <w:tcBorders>
              <w:tl2br w:val="nil"/>
              <w:tr2bl w:val="nil"/>
            </w:tcBorders>
            <w:vAlign w:val="center"/>
          </w:tcPr>
          <w:p>
            <w:pPr>
              <w:pStyle w:val="17"/>
              <w:bidi w:val="0"/>
              <w:rPr>
                <w:rFonts w:hint="default"/>
              </w:rPr>
            </w:pPr>
            <w:r>
              <w:rPr>
                <w:rFonts w:hint="default"/>
              </w:rPr>
              <w:t>1.79</w:t>
            </w:r>
          </w:p>
        </w:tc>
        <w:tc>
          <w:tcPr>
            <w:tcW w:w="2453" w:type="dxa"/>
            <w:gridSpan w:val="3"/>
            <w:tcBorders>
              <w:tl2br w:val="nil"/>
              <w:tr2bl w:val="nil"/>
            </w:tcBorders>
            <w:vAlign w:val="center"/>
          </w:tcPr>
          <w:p>
            <w:pPr>
              <w:pStyle w:val="17"/>
              <w:bidi w:val="0"/>
              <w:rPr>
                <w:rFonts w:hint="default"/>
              </w:rPr>
            </w:pPr>
            <w:r>
              <w:rPr>
                <w:rFonts w:hint="default"/>
              </w:rPr>
              <w:t>1.79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47" w:type="dxa"/>
            <w:vMerge w:val="continue"/>
            <w:tcBorders>
              <w:tl2br w:val="nil"/>
              <w:tr2bl w:val="nil"/>
            </w:tcBorders>
            <w:vAlign w:val="center"/>
          </w:tcPr>
          <w:p>
            <w:pPr>
              <w:pStyle w:val="17"/>
              <w:bidi w:val="0"/>
              <w:rPr>
                <w:rFonts w:hint="default"/>
              </w:rPr>
            </w:pPr>
          </w:p>
        </w:tc>
        <w:tc>
          <w:tcPr>
            <w:tcW w:w="1338" w:type="dxa"/>
            <w:tcBorders>
              <w:tl2br w:val="nil"/>
              <w:tr2bl w:val="nil"/>
            </w:tcBorders>
            <w:vAlign w:val="center"/>
          </w:tcPr>
          <w:p>
            <w:pPr>
              <w:pStyle w:val="17"/>
              <w:bidi w:val="0"/>
              <w:rPr>
                <w:rFonts w:hint="default"/>
              </w:rPr>
            </w:pPr>
            <w:r>
              <w:rPr>
                <w:rFonts w:hint="default"/>
              </w:rPr>
              <w:t>＞2</w:t>
            </w:r>
          </w:p>
        </w:tc>
        <w:tc>
          <w:tcPr>
            <w:tcW w:w="2283" w:type="dxa"/>
            <w:gridSpan w:val="3"/>
            <w:tcBorders>
              <w:tl2br w:val="nil"/>
              <w:tr2bl w:val="nil"/>
            </w:tcBorders>
            <w:vAlign w:val="center"/>
          </w:tcPr>
          <w:p>
            <w:pPr>
              <w:pStyle w:val="17"/>
              <w:bidi w:val="0"/>
              <w:rPr>
                <w:rFonts w:hint="default"/>
              </w:rPr>
            </w:pPr>
            <w:r>
              <w:rPr>
                <w:rFonts w:hint="default"/>
              </w:rPr>
              <w:t>1.85</w:t>
            </w:r>
          </w:p>
        </w:tc>
        <w:tc>
          <w:tcPr>
            <w:tcW w:w="2450" w:type="dxa"/>
            <w:gridSpan w:val="3"/>
            <w:tcBorders>
              <w:tl2br w:val="nil"/>
              <w:tr2bl w:val="nil"/>
            </w:tcBorders>
            <w:vAlign w:val="center"/>
          </w:tcPr>
          <w:p>
            <w:pPr>
              <w:pStyle w:val="17"/>
              <w:bidi w:val="0"/>
              <w:rPr>
                <w:rFonts w:hint="default"/>
              </w:rPr>
            </w:pPr>
            <w:r>
              <w:rPr>
                <w:rFonts w:hint="default"/>
              </w:rPr>
              <w:t>1.77</w:t>
            </w:r>
          </w:p>
        </w:tc>
        <w:tc>
          <w:tcPr>
            <w:tcW w:w="2453" w:type="dxa"/>
            <w:gridSpan w:val="3"/>
            <w:tcBorders>
              <w:tl2br w:val="nil"/>
              <w:tr2bl w:val="nil"/>
            </w:tcBorders>
            <w:vAlign w:val="center"/>
          </w:tcPr>
          <w:p>
            <w:pPr>
              <w:pStyle w:val="17"/>
              <w:bidi w:val="0"/>
              <w:rPr>
                <w:rFonts w:hint="default"/>
              </w:rPr>
            </w:pPr>
            <w:r>
              <w:rPr>
                <w:rFonts w:hint="default"/>
              </w:rPr>
              <w:t>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47" w:type="dxa"/>
            <w:vMerge w:val="restart"/>
            <w:tcBorders>
              <w:tl2br w:val="nil"/>
              <w:tr2bl w:val="nil"/>
            </w:tcBorders>
            <w:vAlign w:val="center"/>
          </w:tcPr>
          <w:p>
            <w:pPr>
              <w:pStyle w:val="17"/>
              <w:bidi w:val="0"/>
              <w:rPr>
                <w:rFonts w:hint="default"/>
              </w:rPr>
            </w:pPr>
            <w:r>
              <w:rPr>
                <w:rFonts w:hint="default"/>
              </w:rPr>
              <w:t>D</w:t>
            </w:r>
          </w:p>
        </w:tc>
        <w:tc>
          <w:tcPr>
            <w:tcW w:w="1338" w:type="dxa"/>
            <w:tcBorders>
              <w:tl2br w:val="nil"/>
              <w:tr2bl w:val="nil"/>
            </w:tcBorders>
            <w:vAlign w:val="center"/>
          </w:tcPr>
          <w:p>
            <w:pPr>
              <w:pStyle w:val="17"/>
              <w:bidi w:val="0"/>
              <w:rPr>
                <w:rFonts w:hint="default"/>
              </w:rPr>
            </w:pPr>
            <w:r>
              <w:rPr>
                <w:rFonts w:hint="default"/>
              </w:rPr>
              <w:t>＜2</w:t>
            </w:r>
          </w:p>
        </w:tc>
        <w:tc>
          <w:tcPr>
            <w:tcW w:w="2283" w:type="dxa"/>
            <w:gridSpan w:val="3"/>
            <w:tcBorders>
              <w:tl2br w:val="nil"/>
              <w:tr2bl w:val="nil"/>
            </w:tcBorders>
            <w:vAlign w:val="center"/>
          </w:tcPr>
          <w:p>
            <w:pPr>
              <w:pStyle w:val="17"/>
              <w:bidi w:val="0"/>
              <w:rPr>
                <w:rFonts w:hint="default"/>
              </w:rPr>
            </w:pPr>
            <w:r>
              <w:rPr>
                <w:rFonts w:hint="default"/>
              </w:rPr>
              <w:t>0.78</w:t>
            </w:r>
          </w:p>
        </w:tc>
        <w:tc>
          <w:tcPr>
            <w:tcW w:w="2450" w:type="dxa"/>
            <w:gridSpan w:val="3"/>
            <w:tcBorders>
              <w:tl2br w:val="nil"/>
              <w:tr2bl w:val="nil"/>
            </w:tcBorders>
            <w:vAlign w:val="center"/>
          </w:tcPr>
          <w:p>
            <w:pPr>
              <w:pStyle w:val="17"/>
              <w:bidi w:val="0"/>
              <w:rPr>
                <w:rFonts w:hint="default"/>
              </w:rPr>
            </w:pPr>
            <w:r>
              <w:rPr>
                <w:rFonts w:hint="default"/>
              </w:rPr>
              <w:t>0.78</w:t>
            </w:r>
          </w:p>
        </w:tc>
        <w:tc>
          <w:tcPr>
            <w:tcW w:w="2453" w:type="dxa"/>
            <w:gridSpan w:val="3"/>
            <w:tcBorders>
              <w:tl2br w:val="nil"/>
              <w:tr2bl w:val="nil"/>
            </w:tcBorders>
            <w:vAlign w:val="center"/>
          </w:tcPr>
          <w:p>
            <w:pPr>
              <w:pStyle w:val="17"/>
              <w:bidi w:val="0"/>
              <w:rPr>
                <w:rFonts w:hint="default"/>
              </w:rPr>
            </w:pPr>
            <w:r>
              <w:rPr>
                <w:rFonts w:hint="default"/>
              </w:rPr>
              <w:t>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547" w:type="dxa"/>
            <w:vMerge w:val="continue"/>
            <w:tcBorders>
              <w:tl2br w:val="nil"/>
              <w:tr2bl w:val="nil"/>
            </w:tcBorders>
            <w:vAlign w:val="center"/>
          </w:tcPr>
          <w:p>
            <w:pPr>
              <w:pStyle w:val="17"/>
              <w:bidi w:val="0"/>
              <w:rPr>
                <w:rFonts w:hint="default"/>
              </w:rPr>
            </w:pPr>
          </w:p>
        </w:tc>
        <w:tc>
          <w:tcPr>
            <w:tcW w:w="1338" w:type="dxa"/>
            <w:tcBorders>
              <w:tl2br w:val="nil"/>
              <w:tr2bl w:val="nil"/>
            </w:tcBorders>
            <w:vAlign w:val="center"/>
          </w:tcPr>
          <w:p>
            <w:pPr>
              <w:pStyle w:val="17"/>
              <w:bidi w:val="0"/>
              <w:rPr>
                <w:rFonts w:hint="default"/>
              </w:rPr>
            </w:pPr>
            <w:r>
              <w:rPr>
                <w:rFonts w:hint="default"/>
              </w:rPr>
              <w:t>＞2</w:t>
            </w:r>
          </w:p>
        </w:tc>
        <w:tc>
          <w:tcPr>
            <w:tcW w:w="2283" w:type="dxa"/>
            <w:gridSpan w:val="3"/>
            <w:tcBorders>
              <w:tl2br w:val="nil"/>
              <w:tr2bl w:val="nil"/>
            </w:tcBorders>
            <w:vAlign w:val="center"/>
          </w:tcPr>
          <w:p>
            <w:pPr>
              <w:pStyle w:val="17"/>
              <w:bidi w:val="0"/>
              <w:rPr>
                <w:rFonts w:hint="default"/>
              </w:rPr>
            </w:pPr>
            <w:r>
              <w:rPr>
                <w:rFonts w:hint="default"/>
              </w:rPr>
              <w:t>0.84</w:t>
            </w:r>
          </w:p>
        </w:tc>
        <w:tc>
          <w:tcPr>
            <w:tcW w:w="2450" w:type="dxa"/>
            <w:gridSpan w:val="3"/>
            <w:tcBorders>
              <w:tl2br w:val="nil"/>
              <w:tr2bl w:val="nil"/>
            </w:tcBorders>
            <w:vAlign w:val="center"/>
          </w:tcPr>
          <w:p>
            <w:pPr>
              <w:pStyle w:val="17"/>
              <w:bidi w:val="0"/>
              <w:rPr>
                <w:rFonts w:hint="default"/>
              </w:rPr>
            </w:pPr>
            <w:r>
              <w:rPr>
                <w:rFonts w:hint="default"/>
              </w:rPr>
              <w:t>0.84</w:t>
            </w:r>
          </w:p>
        </w:tc>
        <w:tc>
          <w:tcPr>
            <w:tcW w:w="2453" w:type="dxa"/>
            <w:gridSpan w:val="3"/>
            <w:tcBorders>
              <w:tl2br w:val="nil"/>
              <w:tr2bl w:val="nil"/>
            </w:tcBorders>
            <w:vAlign w:val="center"/>
          </w:tcPr>
          <w:p>
            <w:pPr>
              <w:pStyle w:val="17"/>
              <w:bidi w:val="0"/>
              <w:rPr>
                <w:rFonts w:hint="default"/>
              </w:rPr>
            </w:pPr>
            <w:r>
              <w:rPr>
                <w:rFonts w:hint="default"/>
              </w:rPr>
              <w:t>0.76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9071" w:type="dxa"/>
            <w:gridSpan w:val="11"/>
            <w:tcBorders>
              <w:tl2br w:val="nil"/>
              <w:tr2bl w:val="nil"/>
            </w:tcBorders>
            <w:vAlign w:val="center"/>
          </w:tcPr>
          <w:p>
            <w:pPr>
              <w:pStyle w:val="17"/>
              <w:bidi w:val="0"/>
              <w:rPr>
                <w:rFonts w:hint="default"/>
              </w:rPr>
            </w:pPr>
            <w:r>
              <w:rPr>
                <w:rFonts w:hint="default"/>
              </w:rPr>
              <w:t>注：表中工业企业大气污染源构成分为三类：Ⅰ类：与无组织排放源共存的排放同种有害气体的排气筒的排放量，大于标准规定的允许排放量的三分之一者；Ⅱ类：与无组织排放源共存的排放同种有害气体的排气筒的排放量，小于标准规定的允许排放量的三分之一，或虽无排放同种大气污染物之排气筒共存，但无组织排放的有害物质的容许浓度是按急性反应指标确定者；Ⅲ类：无排放同种有害气体的排气筒与无组织排放源共存，且无组织排放的有害气体的容许浓度是按慢性反应指标确定者。</w:t>
            </w:r>
          </w:p>
        </w:tc>
      </w:tr>
    </w:tbl>
    <w:p>
      <w:pPr>
        <w:bidi w:val="0"/>
        <w:rPr>
          <w:rFonts w:hint="default"/>
        </w:rPr>
      </w:pPr>
      <w:r>
        <w:rPr>
          <w:rFonts w:hint="default"/>
        </w:rPr>
        <w:t>本项目卫生防护距离计算结果详见表5.1-</w:t>
      </w:r>
      <w:r>
        <w:rPr>
          <w:rFonts w:hint="eastAsia"/>
          <w:lang w:val="en-US" w:eastAsia="zh-CN"/>
        </w:rPr>
        <w:t>12</w:t>
      </w:r>
      <w:r>
        <w:rPr>
          <w:rFonts w:hint="default"/>
        </w:rPr>
        <w:t>。</w:t>
      </w:r>
    </w:p>
    <w:p>
      <w:pPr>
        <w:pStyle w:val="17"/>
        <w:bidi w:val="0"/>
        <w:rPr>
          <w:rFonts w:hint="default"/>
          <w:b/>
          <w:bCs/>
        </w:rPr>
      </w:pPr>
      <w:r>
        <w:rPr>
          <w:rFonts w:hint="default"/>
          <w:b/>
          <w:bCs/>
        </w:rPr>
        <w:t>表5.1-1</w:t>
      </w:r>
      <w:r>
        <w:rPr>
          <w:rFonts w:hint="eastAsia"/>
          <w:b/>
          <w:bCs/>
          <w:lang w:val="en-US" w:eastAsia="zh-CN"/>
        </w:rPr>
        <w:t>2</w:t>
      </w:r>
      <w:r>
        <w:rPr>
          <w:rFonts w:hint="default"/>
          <w:b/>
          <w:bCs/>
        </w:rPr>
        <w:t xml:space="preserve"> </w:t>
      </w:r>
      <w:r>
        <w:rPr>
          <w:rFonts w:hint="eastAsia"/>
          <w:b/>
          <w:bCs/>
          <w:lang w:val="en-US" w:eastAsia="zh-CN"/>
        </w:rPr>
        <w:t xml:space="preserve"> </w:t>
      </w:r>
      <w:r>
        <w:rPr>
          <w:rFonts w:hint="default"/>
          <w:b/>
          <w:bCs/>
        </w:rPr>
        <w:t xml:space="preserve"> 卫生防护距离计算表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356"/>
        <w:gridCol w:w="1207"/>
        <w:gridCol w:w="1056"/>
        <w:gridCol w:w="1206"/>
        <w:gridCol w:w="1809"/>
        <w:gridCol w:w="12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71" w:type="dxa"/>
            <w:tcBorders>
              <w:tl2br w:val="nil"/>
              <w:tr2bl w:val="nil"/>
            </w:tcBorders>
            <w:vAlign w:val="center"/>
          </w:tcPr>
          <w:p>
            <w:pPr>
              <w:pStyle w:val="17"/>
              <w:bidi w:val="0"/>
              <w:rPr>
                <w:rFonts w:hint="default"/>
                <w:b/>
                <w:bCs/>
              </w:rPr>
            </w:pPr>
            <w:r>
              <w:rPr>
                <w:rFonts w:hint="default"/>
                <w:b/>
                <w:bCs/>
              </w:rPr>
              <w:t>污染源</w:t>
            </w:r>
          </w:p>
        </w:tc>
        <w:tc>
          <w:tcPr>
            <w:tcW w:w="1356" w:type="dxa"/>
            <w:tcBorders>
              <w:tl2br w:val="nil"/>
              <w:tr2bl w:val="nil"/>
            </w:tcBorders>
            <w:vAlign w:val="center"/>
          </w:tcPr>
          <w:p>
            <w:pPr>
              <w:pStyle w:val="17"/>
              <w:bidi w:val="0"/>
              <w:rPr>
                <w:rFonts w:hint="default"/>
                <w:b/>
                <w:bCs/>
              </w:rPr>
            </w:pPr>
            <w:r>
              <w:rPr>
                <w:rFonts w:hint="default"/>
                <w:b/>
                <w:bCs/>
              </w:rPr>
              <w:t>污染物</w:t>
            </w:r>
          </w:p>
        </w:tc>
        <w:tc>
          <w:tcPr>
            <w:tcW w:w="1207" w:type="dxa"/>
            <w:tcBorders>
              <w:tl2br w:val="nil"/>
              <w:tr2bl w:val="nil"/>
            </w:tcBorders>
            <w:vAlign w:val="center"/>
          </w:tcPr>
          <w:p>
            <w:pPr>
              <w:pStyle w:val="17"/>
              <w:bidi w:val="0"/>
              <w:rPr>
                <w:rFonts w:hint="default"/>
                <w:b/>
                <w:bCs/>
              </w:rPr>
            </w:pPr>
            <w:r>
              <w:rPr>
                <w:rFonts w:hint="default"/>
                <w:b/>
                <w:bCs/>
              </w:rPr>
              <w:t>排放源强(kg/h)</w:t>
            </w:r>
          </w:p>
        </w:tc>
        <w:tc>
          <w:tcPr>
            <w:tcW w:w="1056" w:type="dxa"/>
            <w:tcBorders>
              <w:tl2br w:val="nil"/>
              <w:tr2bl w:val="nil"/>
            </w:tcBorders>
            <w:vAlign w:val="center"/>
          </w:tcPr>
          <w:p>
            <w:pPr>
              <w:pStyle w:val="17"/>
              <w:bidi w:val="0"/>
              <w:rPr>
                <w:rFonts w:hint="default"/>
                <w:b/>
                <w:bCs/>
              </w:rPr>
            </w:pPr>
            <w:r>
              <w:rPr>
                <w:rFonts w:hint="default"/>
                <w:b/>
                <w:bCs/>
              </w:rPr>
              <w:t>面源面积(</w:t>
            </w:r>
            <w:r>
              <w:rPr>
                <w:rFonts w:hint="eastAsia"/>
                <w:b/>
                <w:bCs/>
                <w:lang w:eastAsia="zh-CN"/>
              </w:rPr>
              <w:t>m²</w:t>
            </w:r>
            <w:r>
              <w:rPr>
                <w:rFonts w:hint="default"/>
                <w:b/>
                <w:bCs/>
              </w:rPr>
              <w:t>)</w:t>
            </w:r>
          </w:p>
        </w:tc>
        <w:tc>
          <w:tcPr>
            <w:tcW w:w="1206" w:type="dxa"/>
            <w:tcBorders>
              <w:tl2br w:val="nil"/>
              <w:tr2bl w:val="nil"/>
            </w:tcBorders>
            <w:vAlign w:val="center"/>
          </w:tcPr>
          <w:p>
            <w:pPr>
              <w:pStyle w:val="17"/>
              <w:bidi w:val="0"/>
              <w:rPr>
                <w:rFonts w:hint="default"/>
                <w:b/>
                <w:bCs/>
              </w:rPr>
            </w:pPr>
            <w:r>
              <w:rPr>
                <w:rFonts w:hint="default"/>
                <w:b/>
                <w:bCs/>
              </w:rPr>
              <w:t>标准限值(mg/</w:t>
            </w:r>
            <w:r>
              <w:rPr>
                <w:rFonts w:hint="eastAsia"/>
                <w:b/>
                <w:bCs/>
                <w:lang w:eastAsia="zh-CN"/>
              </w:rPr>
              <w:t>m³</w:t>
            </w:r>
            <w:r>
              <w:rPr>
                <w:rFonts w:hint="default"/>
                <w:b/>
                <w:bCs/>
              </w:rPr>
              <w:t>)</w:t>
            </w:r>
          </w:p>
        </w:tc>
        <w:tc>
          <w:tcPr>
            <w:tcW w:w="1809" w:type="dxa"/>
            <w:tcBorders>
              <w:tl2br w:val="nil"/>
              <w:tr2bl w:val="nil"/>
            </w:tcBorders>
            <w:vAlign w:val="center"/>
          </w:tcPr>
          <w:p>
            <w:pPr>
              <w:pStyle w:val="17"/>
              <w:bidi w:val="0"/>
              <w:rPr>
                <w:rFonts w:hint="default"/>
                <w:b/>
                <w:bCs/>
              </w:rPr>
            </w:pPr>
            <w:r>
              <w:rPr>
                <w:rFonts w:hint="default"/>
                <w:b/>
                <w:bCs/>
              </w:rPr>
              <w:t>卫生防护距离初步计算值(m)</w:t>
            </w:r>
          </w:p>
        </w:tc>
        <w:tc>
          <w:tcPr>
            <w:tcW w:w="1266" w:type="dxa"/>
            <w:tcBorders>
              <w:tl2br w:val="nil"/>
              <w:tr2bl w:val="nil"/>
            </w:tcBorders>
            <w:vAlign w:val="center"/>
          </w:tcPr>
          <w:p>
            <w:pPr>
              <w:pStyle w:val="17"/>
              <w:bidi w:val="0"/>
              <w:rPr>
                <w:rFonts w:hint="default"/>
                <w:b/>
                <w:bCs/>
              </w:rPr>
            </w:pPr>
            <w:r>
              <w:rPr>
                <w:rFonts w:hint="default"/>
                <w:b/>
                <w:bCs/>
              </w:rPr>
              <w:t>卫生防护距离(m)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71"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造粒车间</w:t>
            </w:r>
          </w:p>
        </w:tc>
        <w:tc>
          <w:tcPr>
            <w:tcW w:w="1356" w:type="dxa"/>
            <w:tcBorders>
              <w:tl2br w:val="nil"/>
              <w:tr2bl w:val="nil"/>
            </w:tcBorders>
            <w:vAlign w:val="center"/>
          </w:tcPr>
          <w:p>
            <w:pPr>
              <w:pStyle w:val="17"/>
              <w:bidi w:val="0"/>
              <w:rPr>
                <w:rFonts w:hint="default"/>
              </w:rPr>
            </w:pPr>
            <w:r>
              <w:rPr>
                <w:rFonts w:hint="default"/>
              </w:rPr>
              <w:t>非甲烷总烃</w:t>
            </w:r>
          </w:p>
        </w:tc>
        <w:tc>
          <w:tcPr>
            <w:tcW w:w="1207" w:type="dxa"/>
            <w:tcBorders>
              <w:tl2br w:val="nil"/>
              <w:tr2bl w:val="nil"/>
            </w:tcBorders>
            <w:vAlign w:val="center"/>
          </w:tcPr>
          <w:p>
            <w:pPr>
              <w:pStyle w:val="17"/>
              <w:bidi w:val="0"/>
              <w:rPr>
                <w:rFonts w:hint="default" w:eastAsia="宋体"/>
                <w:lang w:val="en-US" w:eastAsia="zh-CN"/>
              </w:rPr>
            </w:pPr>
            <w:r>
              <w:rPr>
                <w:rFonts w:hint="eastAsia"/>
                <w:lang w:val="en-US" w:eastAsia="zh-CN"/>
              </w:rPr>
              <w:t>0.113</w:t>
            </w:r>
          </w:p>
        </w:tc>
        <w:tc>
          <w:tcPr>
            <w:tcW w:w="1056" w:type="dxa"/>
            <w:tcBorders>
              <w:tl2br w:val="nil"/>
              <w:tr2bl w:val="nil"/>
            </w:tcBorders>
            <w:vAlign w:val="center"/>
          </w:tcPr>
          <w:p>
            <w:pPr>
              <w:pStyle w:val="17"/>
              <w:bidi w:val="0"/>
              <w:ind w:firstLine="0" w:firstLineChars="0"/>
              <w:rPr>
                <w:rFonts w:hint="default"/>
                <w:lang w:val="en-US" w:eastAsia="zh-CN"/>
              </w:rPr>
            </w:pPr>
            <w:r>
              <w:rPr>
                <w:rFonts w:hint="eastAsia"/>
                <w:lang w:val="en-US" w:eastAsia="zh-CN"/>
              </w:rPr>
              <w:t>390</w:t>
            </w:r>
          </w:p>
        </w:tc>
        <w:tc>
          <w:tcPr>
            <w:tcW w:w="1206" w:type="dxa"/>
            <w:tcBorders>
              <w:tl2br w:val="nil"/>
              <w:tr2bl w:val="nil"/>
            </w:tcBorders>
            <w:vAlign w:val="center"/>
          </w:tcPr>
          <w:p>
            <w:pPr>
              <w:pStyle w:val="17"/>
              <w:bidi w:val="0"/>
              <w:rPr>
                <w:rFonts w:hint="default"/>
              </w:rPr>
            </w:pPr>
            <w:r>
              <w:rPr>
                <w:rFonts w:hint="default"/>
              </w:rPr>
              <w:t>2</w:t>
            </w:r>
          </w:p>
        </w:tc>
        <w:tc>
          <w:tcPr>
            <w:tcW w:w="1809" w:type="dxa"/>
            <w:tcBorders>
              <w:tl2br w:val="nil"/>
              <w:tr2bl w:val="nil"/>
            </w:tcBorders>
            <w:vAlign w:val="center"/>
          </w:tcPr>
          <w:p>
            <w:pPr>
              <w:pStyle w:val="17"/>
              <w:bidi w:val="0"/>
              <w:rPr>
                <w:rFonts w:hint="default" w:eastAsia="宋体"/>
                <w:lang w:val="en-US" w:eastAsia="zh-CN"/>
              </w:rPr>
            </w:pPr>
            <w:r>
              <w:rPr>
                <w:rFonts w:hint="default"/>
              </w:rPr>
              <w:t>0.8</w:t>
            </w:r>
            <w:r>
              <w:rPr>
                <w:rFonts w:hint="eastAsia"/>
                <w:lang w:val="en-US" w:eastAsia="zh-CN"/>
              </w:rPr>
              <w:t>53</w:t>
            </w:r>
          </w:p>
        </w:tc>
        <w:tc>
          <w:tcPr>
            <w:tcW w:w="1266" w:type="dxa"/>
            <w:vMerge w:val="restart"/>
            <w:tcBorders>
              <w:tl2br w:val="nil"/>
              <w:tr2bl w:val="nil"/>
            </w:tcBorders>
            <w:vAlign w:val="center"/>
          </w:tcPr>
          <w:p>
            <w:pPr>
              <w:pStyle w:val="17"/>
              <w:bidi w:val="0"/>
              <w:rPr>
                <w:rFonts w:hint="default"/>
              </w:rPr>
            </w:pPr>
            <w:r>
              <w:rPr>
                <w:rFonts w:hint="default"/>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71" w:type="dxa"/>
            <w:vMerge w:val="continue"/>
            <w:tcBorders>
              <w:tl2br w:val="nil"/>
              <w:tr2bl w:val="nil"/>
            </w:tcBorders>
            <w:vAlign w:val="center"/>
          </w:tcPr>
          <w:p>
            <w:pPr>
              <w:pStyle w:val="17"/>
              <w:bidi w:val="0"/>
              <w:rPr>
                <w:rFonts w:hint="default"/>
              </w:rPr>
            </w:pPr>
          </w:p>
        </w:tc>
        <w:tc>
          <w:tcPr>
            <w:tcW w:w="1356" w:type="dxa"/>
            <w:tcBorders>
              <w:tl2br w:val="nil"/>
              <w:tr2bl w:val="nil"/>
            </w:tcBorders>
            <w:vAlign w:val="center"/>
          </w:tcPr>
          <w:p>
            <w:pPr>
              <w:pStyle w:val="17"/>
              <w:bidi w:val="0"/>
              <w:rPr>
                <w:rFonts w:hint="default"/>
              </w:rPr>
            </w:pPr>
            <w:r>
              <w:rPr>
                <w:rFonts w:hint="default"/>
              </w:rPr>
              <w:t>颗粒物</w:t>
            </w:r>
          </w:p>
        </w:tc>
        <w:tc>
          <w:tcPr>
            <w:tcW w:w="1207" w:type="dxa"/>
            <w:tcBorders>
              <w:tl2br w:val="nil"/>
              <w:tr2bl w:val="nil"/>
            </w:tcBorders>
            <w:vAlign w:val="center"/>
          </w:tcPr>
          <w:p>
            <w:pPr>
              <w:pStyle w:val="17"/>
              <w:bidi w:val="0"/>
              <w:rPr>
                <w:rFonts w:hint="default"/>
                <w:lang w:val="en-US"/>
              </w:rPr>
            </w:pPr>
            <w:r>
              <w:rPr>
                <w:rFonts w:hint="eastAsia"/>
                <w:lang w:val="en-US" w:eastAsia="zh-CN"/>
              </w:rPr>
              <w:t>0.033</w:t>
            </w:r>
          </w:p>
        </w:tc>
        <w:tc>
          <w:tcPr>
            <w:tcW w:w="1056" w:type="dxa"/>
            <w:tcBorders>
              <w:tl2br w:val="nil"/>
              <w:tr2bl w:val="nil"/>
            </w:tcBorders>
            <w:vAlign w:val="center"/>
          </w:tcPr>
          <w:p>
            <w:pPr>
              <w:pStyle w:val="17"/>
              <w:bidi w:val="0"/>
              <w:ind w:firstLine="0" w:firstLineChars="0"/>
              <w:rPr>
                <w:rFonts w:hint="default"/>
              </w:rPr>
            </w:pPr>
            <w:r>
              <w:rPr>
                <w:rFonts w:hint="eastAsia"/>
                <w:lang w:val="en-US" w:eastAsia="zh-CN"/>
              </w:rPr>
              <w:t>390</w:t>
            </w:r>
          </w:p>
        </w:tc>
        <w:tc>
          <w:tcPr>
            <w:tcW w:w="1206" w:type="dxa"/>
            <w:tcBorders>
              <w:tl2br w:val="nil"/>
              <w:tr2bl w:val="nil"/>
            </w:tcBorders>
            <w:vAlign w:val="center"/>
          </w:tcPr>
          <w:p>
            <w:pPr>
              <w:pStyle w:val="17"/>
              <w:bidi w:val="0"/>
              <w:rPr>
                <w:rFonts w:hint="default"/>
              </w:rPr>
            </w:pPr>
            <w:r>
              <w:rPr>
                <w:rFonts w:hint="default"/>
              </w:rPr>
              <w:t>0.9</w:t>
            </w:r>
          </w:p>
        </w:tc>
        <w:tc>
          <w:tcPr>
            <w:tcW w:w="1809" w:type="dxa"/>
            <w:tcBorders>
              <w:tl2br w:val="nil"/>
              <w:tr2bl w:val="nil"/>
            </w:tcBorders>
            <w:vAlign w:val="center"/>
          </w:tcPr>
          <w:p>
            <w:pPr>
              <w:pStyle w:val="17"/>
              <w:bidi w:val="0"/>
              <w:rPr>
                <w:rFonts w:hint="default" w:eastAsia="宋体"/>
                <w:lang w:val="en-US" w:eastAsia="zh-CN"/>
              </w:rPr>
            </w:pPr>
            <w:r>
              <w:rPr>
                <w:rFonts w:hint="default"/>
              </w:rPr>
              <w:t>0.2</w:t>
            </w:r>
            <w:r>
              <w:rPr>
                <w:rFonts w:hint="eastAsia"/>
                <w:lang w:val="en-US" w:eastAsia="zh-CN"/>
              </w:rPr>
              <w:t>12</w:t>
            </w:r>
          </w:p>
        </w:tc>
        <w:tc>
          <w:tcPr>
            <w:tcW w:w="1266"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71" w:type="dxa"/>
            <w:tcBorders>
              <w:tl2br w:val="nil"/>
              <w:tr2bl w:val="nil"/>
            </w:tcBorders>
            <w:vAlign w:val="center"/>
          </w:tcPr>
          <w:p>
            <w:pPr>
              <w:pStyle w:val="17"/>
              <w:bidi w:val="0"/>
              <w:rPr>
                <w:rFonts w:hint="default" w:eastAsia="宋体"/>
                <w:lang w:val="en-US" w:eastAsia="zh-CN"/>
              </w:rPr>
            </w:pPr>
            <w:r>
              <w:rPr>
                <w:rFonts w:hint="eastAsia"/>
                <w:lang w:val="en-US" w:eastAsia="zh-CN"/>
              </w:rPr>
              <w:t>生产车间</w:t>
            </w:r>
          </w:p>
        </w:tc>
        <w:tc>
          <w:tcPr>
            <w:tcW w:w="1356" w:type="dxa"/>
            <w:tcBorders>
              <w:tl2br w:val="nil"/>
              <w:tr2bl w:val="nil"/>
            </w:tcBorders>
            <w:vAlign w:val="center"/>
          </w:tcPr>
          <w:p>
            <w:pPr>
              <w:pStyle w:val="17"/>
              <w:bidi w:val="0"/>
              <w:rPr>
                <w:rFonts w:hint="default"/>
              </w:rPr>
            </w:pPr>
            <w:r>
              <w:rPr>
                <w:rFonts w:hint="default"/>
              </w:rPr>
              <w:t>非甲烷总烃</w:t>
            </w:r>
          </w:p>
        </w:tc>
        <w:tc>
          <w:tcPr>
            <w:tcW w:w="1207" w:type="dxa"/>
            <w:tcBorders>
              <w:tl2br w:val="nil"/>
              <w:tr2bl w:val="nil"/>
            </w:tcBorders>
            <w:vAlign w:val="center"/>
          </w:tcPr>
          <w:p>
            <w:pPr>
              <w:pStyle w:val="17"/>
              <w:bidi w:val="0"/>
              <w:ind w:firstLine="0" w:firstLineChars="0"/>
              <w:rPr>
                <w:rFonts w:hint="default"/>
                <w:lang w:val="en-US"/>
              </w:rPr>
            </w:pPr>
            <w:r>
              <w:rPr>
                <w:rFonts w:hint="eastAsia"/>
                <w:lang w:val="en-US" w:eastAsia="zh-CN"/>
              </w:rPr>
              <w:t>0.535</w:t>
            </w:r>
          </w:p>
        </w:tc>
        <w:tc>
          <w:tcPr>
            <w:tcW w:w="1056" w:type="dxa"/>
            <w:tcBorders>
              <w:tl2br w:val="nil"/>
              <w:tr2bl w:val="nil"/>
            </w:tcBorders>
            <w:vAlign w:val="center"/>
          </w:tcPr>
          <w:p>
            <w:pPr>
              <w:pStyle w:val="17"/>
              <w:bidi w:val="0"/>
              <w:rPr>
                <w:rFonts w:hint="default"/>
                <w:lang w:val="en-US" w:eastAsia="zh-CN"/>
              </w:rPr>
            </w:pPr>
            <w:r>
              <w:rPr>
                <w:rFonts w:hint="eastAsia"/>
                <w:lang w:val="en-US" w:eastAsia="zh-CN"/>
              </w:rPr>
              <w:t>320</w:t>
            </w:r>
          </w:p>
        </w:tc>
        <w:tc>
          <w:tcPr>
            <w:tcW w:w="1206" w:type="dxa"/>
            <w:tcBorders>
              <w:tl2br w:val="nil"/>
              <w:tr2bl w:val="nil"/>
            </w:tcBorders>
            <w:vAlign w:val="center"/>
          </w:tcPr>
          <w:p>
            <w:pPr>
              <w:pStyle w:val="17"/>
              <w:bidi w:val="0"/>
              <w:rPr>
                <w:rFonts w:hint="default"/>
              </w:rPr>
            </w:pPr>
            <w:r>
              <w:rPr>
                <w:rFonts w:hint="default"/>
              </w:rPr>
              <w:t>2</w:t>
            </w:r>
          </w:p>
        </w:tc>
        <w:tc>
          <w:tcPr>
            <w:tcW w:w="1809" w:type="dxa"/>
            <w:tcBorders>
              <w:tl2br w:val="nil"/>
              <w:tr2bl w:val="nil"/>
            </w:tcBorders>
            <w:vAlign w:val="center"/>
          </w:tcPr>
          <w:p>
            <w:pPr>
              <w:pStyle w:val="17"/>
              <w:bidi w:val="0"/>
              <w:rPr>
                <w:rFonts w:hint="default" w:eastAsia="宋体"/>
                <w:lang w:val="en-US" w:eastAsia="zh-CN"/>
              </w:rPr>
            </w:pPr>
            <w:r>
              <w:rPr>
                <w:rFonts w:hint="default"/>
              </w:rPr>
              <w:t>0.</w:t>
            </w:r>
            <w:r>
              <w:rPr>
                <w:rFonts w:hint="eastAsia"/>
                <w:lang w:val="en-US" w:eastAsia="zh-CN"/>
              </w:rPr>
              <w:t>831</w:t>
            </w:r>
          </w:p>
        </w:tc>
        <w:tc>
          <w:tcPr>
            <w:tcW w:w="1266" w:type="dxa"/>
            <w:vMerge w:val="continue"/>
            <w:tcBorders>
              <w:tl2br w:val="nil"/>
              <w:tr2bl w:val="nil"/>
            </w:tcBorders>
            <w:vAlign w:val="center"/>
          </w:tcPr>
          <w:p>
            <w:pPr>
              <w:pStyle w:val="17"/>
              <w:bidi w:val="0"/>
              <w:rPr>
                <w:rFonts w:hint="default"/>
              </w:rPr>
            </w:pPr>
          </w:p>
        </w:tc>
      </w:tr>
    </w:tbl>
    <w:p>
      <w:pPr>
        <w:bidi w:val="0"/>
        <w:rPr>
          <w:rFonts w:hint="default"/>
        </w:rPr>
      </w:pPr>
      <w:r>
        <w:rPr>
          <w:rFonts w:hint="default"/>
        </w:rPr>
        <w:t>根据《制定地方大气污染物排放标准的技术方法》（GB/T13201-91）中有害气体无组织排放控制与工业企业卫生防护距离标准化制定方法，卫生防护距离在100m以内时，级差为50m；超过100m，但小于或等于1000m时，级差为100m；超过1000m以上，级差为200m。此外，当按两种或两种以上的有害气体的Qc/Cm值计算的卫生防护距离在同一级别时，该工业企业的卫生防护距离级别应提高一级。本项目无组织排放的污染物主要包括非甲烷总烃和颗粒物2种，因此确定本项目卫生防护距离为厂房边界外100m范围内的区域。</w:t>
      </w:r>
    </w:p>
    <w:p>
      <w:pPr>
        <w:bidi w:val="0"/>
        <w:rPr>
          <w:rFonts w:hint="default"/>
        </w:rPr>
      </w:pPr>
      <w:r>
        <w:rPr>
          <w:rFonts w:hint="default"/>
        </w:rPr>
        <w:t>本项目无组织排放源需设置的卫生防护距离为100m。根据现场勘查可知，本项目卫生防护距离内无敏感点，故符合卫生防护距离的要求。</w:t>
      </w:r>
    </w:p>
    <w:p>
      <w:pPr>
        <w:pStyle w:val="5"/>
        <w:bidi w:val="0"/>
        <w:rPr>
          <w:rFonts w:hint="eastAsia"/>
          <w:lang w:val="en-US" w:eastAsia="zh-CN"/>
        </w:rPr>
      </w:pPr>
      <w:r>
        <w:rPr>
          <w:rFonts w:hint="eastAsia"/>
          <w:lang w:val="en-US" w:eastAsia="zh-CN"/>
        </w:rPr>
        <w:t>5.1.7、大气环境影响评价自查</w:t>
      </w:r>
    </w:p>
    <w:p>
      <w:pPr>
        <w:bidi w:val="0"/>
        <w:rPr>
          <w:rFonts w:hint="eastAsia"/>
          <w:lang w:val="en-US" w:eastAsia="zh-CN"/>
        </w:rPr>
      </w:pPr>
      <w:r>
        <w:rPr>
          <w:rFonts w:hint="eastAsia"/>
          <w:lang w:val="en-US" w:eastAsia="zh-CN"/>
        </w:rPr>
        <w:t>本项目大气环境影响评价自查如下表。</w:t>
      </w:r>
    </w:p>
    <w:p>
      <w:pPr>
        <w:pStyle w:val="17"/>
        <w:bidi w:val="0"/>
        <w:rPr>
          <w:rFonts w:hint="eastAsia"/>
          <w:b/>
          <w:bCs/>
          <w:lang w:val="en-US" w:eastAsia="zh-CN"/>
        </w:rPr>
      </w:pPr>
      <w:r>
        <w:rPr>
          <w:rFonts w:hint="eastAsia"/>
          <w:b/>
          <w:bCs/>
          <w:lang w:val="en-US" w:eastAsia="zh-CN"/>
        </w:rPr>
        <w:t>表5.1-13   大气环境影响评价自查表</w:t>
      </w:r>
    </w:p>
    <w:tbl>
      <w:tblPr>
        <w:tblStyle w:val="12"/>
        <w:tblW w:w="9072"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83"/>
        <w:gridCol w:w="1691"/>
        <w:gridCol w:w="979"/>
        <w:gridCol w:w="376"/>
        <w:gridCol w:w="114"/>
        <w:gridCol w:w="261"/>
        <w:gridCol w:w="126"/>
        <w:gridCol w:w="117"/>
        <w:gridCol w:w="284"/>
        <w:gridCol w:w="281"/>
        <w:gridCol w:w="265"/>
        <w:gridCol w:w="117"/>
        <w:gridCol w:w="106"/>
        <w:gridCol w:w="210"/>
        <w:gridCol w:w="305"/>
        <w:gridCol w:w="417"/>
        <w:gridCol w:w="181"/>
        <w:gridCol w:w="569"/>
        <w:gridCol w:w="69"/>
        <w:gridCol w:w="408"/>
        <w:gridCol w:w="92"/>
        <w:gridCol w:w="395"/>
        <w:gridCol w:w="72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2674" w:type="dxa"/>
            <w:gridSpan w:val="2"/>
            <w:tcBorders>
              <w:tl2br w:val="nil"/>
              <w:tr2bl w:val="nil"/>
            </w:tcBorders>
            <w:vAlign w:val="center"/>
          </w:tcPr>
          <w:p>
            <w:pPr>
              <w:pStyle w:val="17"/>
              <w:bidi w:val="0"/>
              <w:rPr>
                <w:rFonts w:hint="default"/>
                <w:b/>
                <w:bCs/>
              </w:rPr>
            </w:pPr>
            <w:r>
              <w:rPr>
                <w:rFonts w:hint="default"/>
                <w:b/>
                <w:bCs/>
              </w:rPr>
              <w:t>工作内容</w:t>
            </w:r>
          </w:p>
        </w:tc>
        <w:tc>
          <w:tcPr>
            <w:tcW w:w="6398" w:type="dxa"/>
            <w:gridSpan w:val="21"/>
            <w:tcBorders>
              <w:tl2br w:val="nil"/>
              <w:tr2bl w:val="nil"/>
            </w:tcBorders>
            <w:vAlign w:val="center"/>
          </w:tcPr>
          <w:p>
            <w:pPr>
              <w:pStyle w:val="17"/>
              <w:bidi w:val="0"/>
              <w:rPr>
                <w:rFonts w:hint="default"/>
                <w:b/>
                <w:bCs/>
              </w:rPr>
            </w:pPr>
            <w:r>
              <w:rPr>
                <w:rFonts w:hint="default"/>
                <w:b/>
                <w:bCs/>
              </w:rPr>
              <w:t>自查项目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restart"/>
            <w:tcBorders>
              <w:tl2br w:val="nil"/>
              <w:tr2bl w:val="nil"/>
            </w:tcBorders>
            <w:vAlign w:val="center"/>
          </w:tcPr>
          <w:p>
            <w:pPr>
              <w:pStyle w:val="17"/>
              <w:bidi w:val="0"/>
              <w:rPr>
                <w:rFonts w:hint="default"/>
              </w:rPr>
            </w:pPr>
            <w:r>
              <w:rPr>
                <w:rFonts w:hint="default"/>
              </w:rPr>
              <w:t>评价等级与范围</w:t>
            </w:r>
          </w:p>
        </w:tc>
        <w:tc>
          <w:tcPr>
            <w:tcW w:w="1691" w:type="dxa"/>
            <w:tcBorders>
              <w:tl2br w:val="nil"/>
              <w:tr2bl w:val="nil"/>
            </w:tcBorders>
            <w:vAlign w:val="center"/>
          </w:tcPr>
          <w:p>
            <w:pPr>
              <w:pStyle w:val="17"/>
              <w:bidi w:val="0"/>
              <w:rPr>
                <w:rFonts w:hint="default"/>
              </w:rPr>
            </w:pPr>
            <w:r>
              <w:rPr>
                <w:rFonts w:hint="default"/>
              </w:rPr>
              <w:t>评价等级</w:t>
            </w:r>
          </w:p>
        </w:tc>
        <w:tc>
          <w:tcPr>
            <w:tcW w:w="2538" w:type="dxa"/>
            <w:gridSpan w:val="8"/>
            <w:tcBorders>
              <w:tl2br w:val="nil"/>
              <w:tr2bl w:val="nil"/>
            </w:tcBorders>
            <w:vAlign w:val="center"/>
          </w:tcPr>
          <w:p>
            <w:pPr>
              <w:pStyle w:val="17"/>
              <w:bidi w:val="0"/>
              <w:rPr>
                <w:rFonts w:hint="default"/>
              </w:rPr>
            </w:pPr>
            <w:r>
              <w:rPr>
                <w:rFonts w:hint="default"/>
              </w:rPr>
              <w:t>一级</w:t>
            </w:r>
            <w:r>
              <w:rPr>
                <w:rFonts w:hint="default"/>
              </w:rPr>
              <w:sym w:font="Wingdings" w:char="F0A8"/>
            </w:r>
          </w:p>
        </w:tc>
        <w:tc>
          <w:tcPr>
            <w:tcW w:w="2239" w:type="dxa"/>
            <w:gridSpan w:val="9"/>
            <w:tcBorders>
              <w:tl2br w:val="nil"/>
              <w:tr2bl w:val="nil"/>
            </w:tcBorders>
            <w:vAlign w:val="center"/>
          </w:tcPr>
          <w:p>
            <w:pPr>
              <w:pStyle w:val="17"/>
              <w:bidi w:val="0"/>
              <w:rPr>
                <w:rFonts w:hint="default"/>
              </w:rPr>
            </w:pPr>
            <w:r>
              <w:rPr>
                <w:rFonts w:hint="default"/>
              </w:rPr>
              <w:t>二级</w:t>
            </w:r>
            <w:r>
              <w:rPr>
                <w:rFonts w:hint="default"/>
              </w:rPr>
              <w:sym w:font="Wingdings" w:char="00FE"/>
            </w:r>
          </w:p>
        </w:tc>
        <w:tc>
          <w:tcPr>
            <w:tcW w:w="1621" w:type="dxa"/>
            <w:gridSpan w:val="4"/>
            <w:tcBorders>
              <w:tl2br w:val="nil"/>
              <w:tr2bl w:val="nil"/>
            </w:tcBorders>
            <w:vAlign w:val="center"/>
          </w:tcPr>
          <w:p>
            <w:pPr>
              <w:pStyle w:val="17"/>
              <w:bidi w:val="0"/>
              <w:rPr>
                <w:rFonts w:hint="default"/>
              </w:rPr>
            </w:pPr>
            <w:r>
              <w:rPr>
                <w:rFonts w:hint="default"/>
              </w:rPr>
              <w:t>三级</w:t>
            </w:r>
            <w:r>
              <w:rPr>
                <w:rFonts w:hint="default"/>
              </w:rPr>
              <w:sym w:font="Wingdings" w:char="0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continue"/>
            <w:tcBorders>
              <w:tl2br w:val="nil"/>
              <w:tr2bl w:val="nil"/>
            </w:tcBorders>
            <w:vAlign w:val="center"/>
          </w:tcPr>
          <w:p>
            <w:pPr>
              <w:pStyle w:val="17"/>
              <w:bidi w:val="0"/>
              <w:rPr>
                <w:rFonts w:hint="default"/>
              </w:rPr>
            </w:pPr>
          </w:p>
        </w:tc>
        <w:tc>
          <w:tcPr>
            <w:tcW w:w="1691" w:type="dxa"/>
            <w:tcBorders>
              <w:tl2br w:val="nil"/>
              <w:tr2bl w:val="nil"/>
            </w:tcBorders>
            <w:vAlign w:val="center"/>
          </w:tcPr>
          <w:p>
            <w:pPr>
              <w:pStyle w:val="17"/>
              <w:bidi w:val="0"/>
              <w:rPr>
                <w:rFonts w:hint="default"/>
              </w:rPr>
            </w:pPr>
            <w:r>
              <w:rPr>
                <w:rFonts w:hint="default"/>
              </w:rPr>
              <w:t>评价范围</w:t>
            </w:r>
          </w:p>
        </w:tc>
        <w:tc>
          <w:tcPr>
            <w:tcW w:w="2538" w:type="dxa"/>
            <w:gridSpan w:val="8"/>
            <w:tcBorders>
              <w:tl2br w:val="nil"/>
              <w:tr2bl w:val="nil"/>
            </w:tcBorders>
            <w:vAlign w:val="center"/>
          </w:tcPr>
          <w:p>
            <w:pPr>
              <w:pStyle w:val="17"/>
              <w:bidi w:val="0"/>
              <w:rPr>
                <w:rFonts w:hint="default"/>
              </w:rPr>
            </w:pPr>
            <w:r>
              <w:rPr>
                <w:rFonts w:hint="default"/>
              </w:rPr>
              <w:t>边长=50km</w:t>
            </w:r>
            <w:r>
              <w:rPr>
                <w:rFonts w:hint="default"/>
              </w:rPr>
              <w:sym w:font="Wingdings" w:char="F0A8"/>
            </w:r>
          </w:p>
        </w:tc>
        <w:tc>
          <w:tcPr>
            <w:tcW w:w="2239" w:type="dxa"/>
            <w:gridSpan w:val="9"/>
            <w:tcBorders>
              <w:tl2br w:val="nil"/>
              <w:tr2bl w:val="nil"/>
            </w:tcBorders>
            <w:vAlign w:val="center"/>
          </w:tcPr>
          <w:p>
            <w:pPr>
              <w:pStyle w:val="17"/>
              <w:bidi w:val="0"/>
              <w:rPr>
                <w:rFonts w:hint="default"/>
              </w:rPr>
            </w:pPr>
            <w:r>
              <w:rPr>
                <w:rFonts w:hint="default"/>
              </w:rPr>
              <w:t>边长 5～50km</w:t>
            </w:r>
            <w:r>
              <w:rPr>
                <w:rFonts w:hint="default"/>
              </w:rPr>
              <w:sym w:font="Wingdings" w:char="00A8"/>
            </w:r>
          </w:p>
        </w:tc>
        <w:tc>
          <w:tcPr>
            <w:tcW w:w="1621" w:type="dxa"/>
            <w:gridSpan w:val="4"/>
            <w:tcBorders>
              <w:tl2br w:val="nil"/>
              <w:tr2bl w:val="nil"/>
            </w:tcBorders>
            <w:vAlign w:val="center"/>
          </w:tcPr>
          <w:p>
            <w:pPr>
              <w:pStyle w:val="17"/>
              <w:bidi w:val="0"/>
              <w:rPr>
                <w:rFonts w:hint="default"/>
              </w:rPr>
            </w:pPr>
            <w:r>
              <w:rPr>
                <w:rFonts w:hint="default"/>
              </w:rPr>
              <w:t>边长=5 km</w:t>
            </w:r>
            <w:r>
              <w:rPr>
                <w:rFonts w:hint="default"/>
              </w:rPr>
              <w:sym w:font="Wingdings" w:char="00FE"/>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restart"/>
            <w:tcBorders>
              <w:tl2br w:val="nil"/>
              <w:tr2bl w:val="nil"/>
            </w:tcBorders>
            <w:vAlign w:val="center"/>
          </w:tcPr>
          <w:p>
            <w:pPr>
              <w:pStyle w:val="17"/>
              <w:bidi w:val="0"/>
              <w:rPr>
                <w:rFonts w:hint="default"/>
              </w:rPr>
            </w:pPr>
            <w:r>
              <w:rPr>
                <w:rFonts w:hint="default"/>
              </w:rPr>
              <w:t>评价因子</w:t>
            </w:r>
          </w:p>
        </w:tc>
        <w:tc>
          <w:tcPr>
            <w:tcW w:w="1691" w:type="dxa"/>
            <w:tcBorders>
              <w:tl2br w:val="nil"/>
              <w:tr2bl w:val="nil"/>
            </w:tcBorders>
            <w:vAlign w:val="center"/>
          </w:tcPr>
          <w:p>
            <w:pPr>
              <w:pStyle w:val="17"/>
              <w:bidi w:val="0"/>
              <w:rPr>
                <w:rFonts w:hint="default"/>
              </w:rPr>
            </w:pPr>
            <w:r>
              <w:rPr>
                <w:rFonts w:hint="default"/>
              </w:rPr>
              <w:t>SO2+NOx排放量</w:t>
            </w:r>
          </w:p>
        </w:tc>
        <w:tc>
          <w:tcPr>
            <w:tcW w:w="1355" w:type="dxa"/>
            <w:gridSpan w:val="2"/>
            <w:tcBorders>
              <w:tl2br w:val="nil"/>
              <w:tr2bl w:val="nil"/>
            </w:tcBorders>
            <w:vAlign w:val="center"/>
          </w:tcPr>
          <w:p>
            <w:pPr>
              <w:pStyle w:val="17"/>
              <w:bidi w:val="0"/>
              <w:rPr>
                <w:rFonts w:hint="default"/>
              </w:rPr>
            </w:pPr>
            <w:r>
              <w:rPr>
                <w:rFonts w:hint="default"/>
              </w:rPr>
              <w:t>≥2000t/a□</w:t>
            </w:r>
          </w:p>
        </w:tc>
        <w:tc>
          <w:tcPr>
            <w:tcW w:w="3422" w:type="dxa"/>
            <w:gridSpan w:val="15"/>
            <w:tcBorders>
              <w:tl2br w:val="nil"/>
              <w:tr2bl w:val="nil"/>
            </w:tcBorders>
            <w:vAlign w:val="center"/>
          </w:tcPr>
          <w:p>
            <w:pPr>
              <w:pStyle w:val="17"/>
              <w:bidi w:val="0"/>
              <w:rPr>
                <w:rFonts w:hint="default"/>
              </w:rPr>
            </w:pPr>
            <w:r>
              <w:rPr>
                <w:rFonts w:hint="default"/>
              </w:rPr>
              <w:t>500 ~ 2000t/a□</w:t>
            </w:r>
          </w:p>
        </w:tc>
        <w:tc>
          <w:tcPr>
            <w:tcW w:w="1621" w:type="dxa"/>
            <w:gridSpan w:val="4"/>
            <w:tcBorders>
              <w:tl2br w:val="nil"/>
              <w:tr2bl w:val="nil"/>
            </w:tcBorders>
            <w:vAlign w:val="center"/>
          </w:tcPr>
          <w:p>
            <w:pPr>
              <w:pStyle w:val="17"/>
              <w:bidi w:val="0"/>
              <w:rPr>
                <w:rFonts w:hint="default"/>
              </w:rPr>
            </w:pPr>
            <w:r>
              <w:rPr>
                <w:rFonts w:hint="default"/>
              </w:rPr>
              <w:t>＜500 t/a</w:t>
            </w:r>
            <w:r>
              <w:rPr>
                <w:rFonts w:hint="default"/>
              </w:rPr>
              <w:sym w:font="Wingdings" w:char="00FE"/>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continue"/>
            <w:tcBorders>
              <w:tl2br w:val="nil"/>
              <w:tr2bl w:val="nil"/>
            </w:tcBorders>
            <w:vAlign w:val="center"/>
          </w:tcPr>
          <w:p>
            <w:pPr>
              <w:pStyle w:val="17"/>
              <w:bidi w:val="0"/>
              <w:rPr>
                <w:rFonts w:hint="default"/>
              </w:rPr>
            </w:pPr>
          </w:p>
        </w:tc>
        <w:tc>
          <w:tcPr>
            <w:tcW w:w="1691" w:type="dxa"/>
            <w:tcBorders>
              <w:tl2br w:val="nil"/>
              <w:tr2bl w:val="nil"/>
            </w:tcBorders>
            <w:vAlign w:val="center"/>
          </w:tcPr>
          <w:p>
            <w:pPr>
              <w:pStyle w:val="17"/>
              <w:bidi w:val="0"/>
              <w:rPr>
                <w:rFonts w:hint="default"/>
              </w:rPr>
            </w:pPr>
            <w:r>
              <w:rPr>
                <w:rFonts w:hint="default"/>
              </w:rPr>
              <w:t>评价因子</w:t>
            </w:r>
          </w:p>
        </w:tc>
        <w:tc>
          <w:tcPr>
            <w:tcW w:w="3541" w:type="dxa"/>
            <w:gridSpan w:val="13"/>
            <w:tcBorders>
              <w:tl2br w:val="nil"/>
              <w:tr2bl w:val="nil"/>
            </w:tcBorders>
            <w:vAlign w:val="center"/>
          </w:tcPr>
          <w:p>
            <w:pPr>
              <w:pStyle w:val="17"/>
              <w:bidi w:val="0"/>
              <w:rPr>
                <w:rFonts w:hint="default"/>
              </w:rPr>
            </w:pPr>
            <w:r>
              <w:rPr>
                <w:rFonts w:hint="default"/>
              </w:rPr>
              <w:t>基本污染物（</w:t>
            </w:r>
            <w:r>
              <w:rPr>
                <w:rFonts w:hint="default"/>
                <w:lang w:val="en-US" w:eastAsia="zh-CN"/>
              </w:rPr>
              <w:t>TSP</w:t>
            </w:r>
            <w:r>
              <w:rPr>
                <w:rFonts w:hint="default"/>
              </w:rPr>
              <w:t>）</w:t>
            </w:r>
          </w:p>
          <w:p>
            <w:pPr>
              <w:pStyle w:val="17"/>
              <w:bidi w:val="0"/>
              <w:rPr>
                <w:rFonts w:hint="default"/>
              </w:rPr>
            </w:pPr>
            <w:r>
              <w:rPr>
                <w:rFonts w:hint="default"/>
              </w:rPr>
              <w:t>其他污染物（</w:t>
            </w:r>
            <w:r>
              <w:rPr>
                <w:rFonts w:hint="eastAsia"/>
                <w:lang w:val="en-US" w:eastAsia="zh-CN"/>
              </w:rPr>
              <w:t>非甲烷总烃</w:t>
            </w:r>
            <w:r>
              <w:rPr>
                <w:rFonts w:hint="default"/>
              </w:rPr>
              <w:t>）</w:t>
            </w:r>
          </w:p>
        </w:tc>
        <w:tc>
          <w:tcPr>
            <w:tcW w:w="2857" w:type="dxa"/>
            <w:gridSpan w:val="8"/>
            <w:tcBorders>
              <w:tl2br w:val="nil"/>
              <w:tr2bl w:val="nil"/>
            </w:tcBorders>
            <w:vAlign w:val="center"/>
          </w:tcPr>
          <w:p>
            <w:pPr>
              <w:pStyle w:val="17"/>
              <w:bidi w:val="0"/>
              <w:rPr>
                <w:rFonts w:hint="default"/>
              </w:rPr>
            </w:pPr>
            <w:r>
              <w:rPr>
                <w:rFonts w:hint="default"/>
              </w:rPr>
              <w:t>包括二次 PM</w:t>
            </w:r>
            <w:r>
              <w:rPr>
                <w:rFonts w:hint="default"/>
                <w:vertAlign w:val="subscript"/>
              </w:rPr>
              <w:t>2.5</w:t>
            </w:r>
            <w:r>
              <w:rPr>
                <w:rFonts w:hint="default"/>
              </w:rPr>
              <w:sym w:font="Wingdings" w:char="F0A8"/>
            </w:r>
          </w:p>
          <w:p>
            <w:pPr>
              <w:pStyle w:val="17"/>
              <w:bidi w:val="0"/>
              <w:rPr>
                <w:rFonts w:hint="default"/>
              </w:rPr>
            </w:pPr>
            <w:r>
              <w:rPr>
                <w:rFonts w:hint="default"/>
              </w:rPr>
              <w:t>不包括二次 PM</w:t>
            </w:r>
            <w:r>
              <w:rPr>
                <w:rFonts w:hint="default"/>
                <w:vertAlign w:val="subscript"/>
              </w:rPr>
              <w:t>2.5</w:t>
            </w:r>
            <w:r>
              <w:rPr>
                <w:rFonts w:hint="default"/>
              </w:rPr>
              <w:sym w:font="Wingdings" w:char="00FE"/>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tcBorders>
              <w:tl2br w:val="nil"/>
              <w:tr2bl w:val="nil"/>
            </w:tcBorders>
            <w:vAlign w:val="center"/>
          </w:tcPr>
          <w:p>
            <w:pPr>
              <w:pStyle w:val="17"/>
              <w:bidi w:val="0"/>
              <w:rPr>
                <w:rFonts w:hint="default"/>
              </w:rPr>
            </w:pPr>
            <w:r>
              <w:rPr>
                <w:rFonts w:hint="default"/>
              </w:rPr>
              <w:t>评价标准</w:t>
            </w:r>
          </w:p>
        </w:tc>
        <w:tc>
          <w:tcPr>
            <w:tcW w:w="1691" w:type="dxa"/>
            <w:tcBorders>
              <w:tl2br w:val="nil"/>
              <w:tr2bl w:val="nil"/>
            </w:tcBorders>
            <w:vAlign w:val="center"/>
          </w:tcPr>
          <w:p>
            <w:pPr>
              <w:pStyle w:val="17"/>
              <w:bidi w:val="0"/>
              <w:rPr>
                <w:rFonts w:hint="default"/>
              </w:rPr>
            </w:pPr>
            <w:r>
              <w:rPr>
                <w:rFonts w:hint="default"/>
              </w:rPr>
              <w:t>评价标准</w:t>
            </w:r>
          </w:p>
        </w:tc>
        <w:tc>
          <w:tcPr>
            <w:tcW w:w="1973" w:type="dxa"/>
            <w:gridSpan w:val="6"/>
            <w:tcBorders>
              <w:tl2br w:val="nil"/>
              <w:tr2bl w:val="nil"/>
            </w:tcBorders>
            <w:vAlign w:val="center"/>
          </w:tcPr>
          <w:p>
            <w:pPr>
              <w:pStyle w:val="17"/>
              <w:bidi w:val="0"/>
              <w:rPr>
                <w:rFonts w:hint="default"/>
              </w:rPr>
            </w:pPr>
            <w:r>
              <w:rPr>
                <w:rFonts w:hint="default"/>
              </w:rPr>
              <w:t>国家标准</w:t>
            </w:r>
            <w:r>
              <w:rPr>
                <w:rFonts w:hint="default"/>
              </w:rPr>
              <w:sym w:font="Wingdings" w:char="00FE"/>
            </w:r>
          </w:p>
        </w:tc>
        <w:tc>
          <w:tcPr>
            <w:tcW w:w="1568" w:type="dxa"/>
            <w:gridSpan w:val="7"/>
            <w:tcBorders>
              <w:tl2br w:val="nil"/>
              <w:tr2bl w:val="nil"/>
            </w:tcBorders>
            <w:vAlign w:val="center"/>
          </w:tcPr>
          <w:p>
            <w:pPr>
              <w:pStyle w:val="17"/>
              <w:bidi w:val="0"/>
              <w:rPr>
                <w:rFonts w:hint="default"/>
              </w:rPr>
            </w:pPr>
            <w:r>
              <w:rPr>
                <w:rFonts w:hint="default"/>
              </w:rPr>
              <w:t>地方标准</w:t>
            </w:r>
            <w:r>
              <w:rPr>
                <w:rFonts w:hint="default"/>
              </w:rPr>
              <w:sym w:font="Wingdings" w:char="00A8"/>
            </w:r>
          </w:p>
        </w:tc>
        <w:tc>
          <w:tcPr>
            <w:tcW w:w="1644" w:type="dxa"/>
            <w:gridSpan w:val="5"/>
            <w:tcBorders>
              <w:tl2br w:val="nil"/>
              <w:tr2bl w:val="nil"/>
            </w:tcBorders>
            <w:vAlign w:val="center"/>
          </w:tcPr>
          <w:p>
            <w:pPr>
              <w:pStyle w:val="17"/>
              <w:bidi w:val="0"/>
              <w:rPr>
                <w:rFonts w:hint="default"/>
              </w:rPr>
            </w:pPr>
            <w:r>
              <w:rPr>
                <w:rFonts w:hint="default"/>
              </w:rPr>
              <w:t>附录D</w:t>
            </w:r>
            <w:r>
              <w:rPr>
                <w:rFonts w:hint="default"/>
              </w:rPr>
              <w:sym w:font="Wingdings" w:char="00A8"/>
            </w:r>
          </w:p>
        </w:tc>
        <w:tc>
          <w:tcPr>
            <w:tcW w:w="1213" w:type="dxa"/>
            <w:gridSpan w:val="3"/>
            <w:tcBorders>
              <w:tl2br w:val="nil"/>
              <w:tr2bl w:val="nil"/>
            </w:tcBorders>
            <w:vAlign w:val="center"/>
          </w:tcPr>
          <w:p>
            <w:pPr>
              <w:pStyle w:val="17"/>
              <w:bidi w:val="0"/>
              <w:rPr>
                <w:rFonts w:hint="default"/>
              </w:rPr>
            </w:pPr>
            <w:r>
              <w:rPr>
                <w:rFonts w:hint="default"/>
              </w:rPr>
              <w:t>其他标准</w:t>
            </w:r>
            <w:r>
              <w:rPr>
                <w:rFonts w:hint="default"/>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restart"/>
            <w:tcBorders>
              <w:tl2br w:val="nil"/>
              <w:tr2bl w:val="nil"/>
            </w:tcBorders>
            <w:vAlign w:val="center"/>
          </w:tcPr>
          <w:p>
            <w:pPr>
              <w:pStyle w:val="17"/>
              <w:bidi w:val="0"/>
              <w:rPr>
                <w:rFonts w:hint="default"/>
              </w:rPr>
            </w:pPr>
            <w:r>
              <w:rPr>
                <w:rFonts w:hint="default"/>
              </w:rPr>
              <w:t>现状评价</w:t>
            </w:r>
          </w:p>
        </w:tc>
        <w:tc>
          <w:tcPr>
            <w:tcW w:w="1691" w:type="dxa"/>
            <w:tcBorders>
              <w:tl2br w:val="nil"/>
              <w:tr2bl w:val="nil"/>
            </w:tcBorders>
            <w:vAlign w:val="center"/>
          </w:tcPr>
          <w:p>
            <w:pPr>
              <w:pStyle w:val="17"/>
              <w:bidi w:val="0"/>
              <w:rPr>
                <w:rFonts w:hint="default"/>
              </w:rPr>
            </w:pPr>
            <w:r>
              <w:rPr>
                <w:rFonts w:hint="default"/>
              </w:rPr>
              <w:t>环境功能区</w:t>
            </w:r>
          </w:p>
        </w:tc>
        <w:tc>
          <w:tcPr>
            <w:tcW w:w="2538" w:type="dxa"/>
            <w:gridSpan w:val="8"/>
            <w:tcBorders>
              <w:tl2br w:val="nil"/>
              <w:tr2bl w:val="nil"/>
            </w:tcBorders>
            <w:vAlign w:val="center"/>
          </w:tcPr>
          <w:p>
            <w:pPr>
              <w:pStyle w:val="17"/>
              <w:bidi w:val="0"/>
              <w:rPr>
                <w:rFonts w:hint="default"/>
              </w:rPr>
            </w:pPr>
            <w:r>
              <w:rPr>
                <w:rFonts w:hint="default"/>
              </w:rPr>
              <w:t>一类区</w:t>
            </w:r>
            <w:r>
              <w:rPr>
                <w:rFonts w:hint="default"/>
              </w:rPr>
              <w:sym w:font="Wingdings" w:char="F0A8"/>
            </w:r>
          </w:p>
        </w:tc>
        <w:tc>
          <w:tcPr>
            <w:tcW w:w="2170" w:type="dxa"/>
            <w:gridSpan w:val="8"/>
            <w:tcBorders>
              <w:tl2br w:val="nil"/>
              <w:tr2bl w:val="nil"/>
            </w:tcBorders>
            <w:vAlign w:val="center"/>
          </w:tcPr>
          <w:p>
            <w:pPr>
              <w:pStyle w:val="17"/>
              <w:bidi w:val="0"/>
              <w:rPr>
                <w:rFonts w:hint="default"/>
              </w:rPr>
            </w:pPr>
            <w:r>
              <w:rPr>
                <w:rFonts w:hint="default"/>
              </w:rPr>
              <w:t>二类区</w:t>
            </w:r>
            <w:r>
              <w:rPr>
                <w:rFonts w:hint="default"/>
              </w:rPr>
              <w:sym w:font="Wingdings" w:char="00FE"/>
            </w:r>
          </w:p>
        </w:tc>
        <w:tc>
          <w:tcPr>
            <w:tcW w:w="1690" w:type="dxa"/>
            <w:gridSpan w:val="5"/>
            <w:tcBorders>
              <w:tl2br w:val="nil"/>
              <w:tr2bl w:val="nil"/>
            </w:tcBorders>
            <w:vAlign w:val="center"/>
          </w:tcPr>
          <w:p>
            <w:pPr>
              <w:pStyle w:val="17"/>
              <w:bidi w:val="0"/>
              <w:rPr>
                <w:rFonts w:hint="default"/>
              </w:rPr>
            </w:pPr>
            <w:r>
              <w:rPr>
                <w:rFonts w:hint="default"/>
              </w:rPr>
              <w:t>一类区和二类区</w:t>
            </w:r>
            <w:r>
              <w:rPr>
                <w:rFonts w:hint="default"/>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continue"/>
            <w:tcBorders>
              <w:tl2br w:val="nil"/>
              <w:tr2bl w:val="nil"/>
            </w:tcBorders>
            <w:vAlign w:val="center"/>
          </w:tcPr>
          <w:p>
            <w:pPr>
              <w:pStyle w:val="17"/>
              <w:bidi w:val="0"/>
              <w:rPr>
                <w:rFonts w:hint="default"/>
              </w:rPr>
            </w:pPr>
          </w:p>
        </w:tc>
        <w:tc>
          <w:tcPr>
            <w:tcW w:w="1691" w:type="dxa"/>
            <w:tcBorders>
              <w:tl2br w:val="nil"/>
              <w:tr2bl w:val="nil"/>
            </w:tcBorders>
            <w:vAlign w:val="center"/>
          </w:tcPr>
          <w:p>
            <w:pPr>
              <w:pStyle w:val="17"/>
              <w:bidi w:val="0"/>
              <w:rPr>
                <w:rFonts w:hint="default"/>
              </w:rPr>
            </w:pPr>
            <w:r>
              <w:rPr>
                <w:rFonts w:hint="default"/>
              </w:rPr>
              <w:t>评价基准年</w:t>
            </w:r>
          </w:p>
        </w:tc>
        <w:tc>
          <w:tcPr>
            <w:tcW w:w="6398" w:type="dxa"/>
            <w:gridSpan w:val="21"/>
            <w:tcBorders>
              <w:tl2br w:val="nil"/>
              <w:tr2bl w:val="nil"/>
            </w:tcBorders>
            <w:vAlign w:val="center"/>
          </w:tcPr>
          <w:p>
            <w:pPr>
              <w:pStyle w:val="17"/>
              <w:bidi w:val="0"/>
              <w:rPr>
                <w:rFonts w:hint="default"/>
              </w:rPr>
            </w:pPr>
            <w:r>
              <w:rPr>
                <w:rFonts w:hint="default"/>
              </w:rPr>
              <w:t>（20</w:t>
            </w:r>
            <w:r>
              <w:rPr>
                <w:rFonts w:hint="eastAsia"/>
                <w:lang w:val="en-US" w:eastAsia="zh-CN"/>
              </w:rPr>
              <w:t>20</w:t>
            </w:r>
            <w:r>
              <w:rPr>
                <w:rFonts w:hint="default"/>
              </w:rPr>
              <w:t>）年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continue"/>
            <w:tcBorders>
              <w:tl2br w:val="nil"/>
              <w:tr2bl w:val="nil"/>
            </w:tcBorders>
            <w:vAlign w:val="center"/>
          </w:tcPr>
          <w:p>
            <w:pPr>
              <w:pStyle w:val="17"/>
              <w:bidi w:val="0"/>
              <w:rPr>
                <w:rFonts w:hint="default"/>
              </w:rPr>
            </w:pPr>
          </w:p>
        </w:tc>
        <w:tc>
          <w:tcPr>
            <w:tcW w:w="1691" w:type="dxa"/>
            <w:tcBorders>
              <w:tl2br w:val="nil"/>
              <w:tr2bl w:val="nil"/>
            </w:tcBorders>
            <w:vAlign w:val="center"/>
          </w:tcPr>
          <w:p>
            <w:pPr>
              <w:pStyle w:val="17"/>
              <w:bidi w:val="0"/>
              <w:rPr>
                <w:rFonts w:hint="default"/>
              </w:rPr>
            </w:pPr>
            <w:r>
              <w:rPr>
                <w:rFonts w:hint="default"/>
              </w:rPr>
              <w:t>环境空气质量</w:t>
            </w:r>
          </w:p>
          <w:p>
            <w:pPr>
              <w:pStyle w:val="17"/>
              <w:bidi w:val="0"/>
              <w:rPr>
                <w:rFonts w:hint="default"/>
              </w:rPr>
            </w:pPr>
            <w:r>
              <w:rPr>
                <w:rFonts w:hint="default"/>
              </w:rPr>
              <w:t>现状调查数据来源</w:t>
            </w:r>
          </w:p>
        </w:tc>
        <w:tc>
          <w:tcPr>
            <w:tcW w:w="2538" w:type="dxa"/>
            <w:gridSpan w:val="8"/>
            <w:tcBorders>
              <w:tl2br w:val="nil"/>
              <w:tr2bl w:val="nil"/>
            </w:tcBorders>
            <w:vAlign w:val="center"/>
          </w:tcPr>
          <w:p>
            <w:pPr>
              <w:pStyle w:val="17"/>
              <w:bidi w:val="0"/>
              <w:rPr>
                <w:rFonts w:hint="default"/>
              </w:rPr>
            </w:pPr>
            <w:r>
              <w:rPr>
                <w:rFonts w:hint="default"/>
              </w:rPr>
              <w:t>长期例行监测数据</w:t>
            </w:r>
            <w:r>
              <w:rPr>
                <w:rFonts w:hint="default"/>
              </w:rPr>
              <w:sym w:font="Wingdings" w:char="F0A8"/>
            </w:r>
          </w:p>
        </w:tc>
        <w:tc>
          <w:tcPr>
            <w:tcW w:w="2239" w:type="dxa"/>
            <w:gridSpan w:val="9"/>
            <w:tcBorders>
              <w:tl2br w:val="nil"/>
              <w:tr2bl w:val="nil"/>
            </w:tcBorders>
            <w:vAlign w:val="center"/>
          </w:tcPr>
          <w:p>
            <w:pPr>
              <w:pStyle w:val="17"/>
              <w:bidi w:val="0"/>
              <w:rPr>
                <w:rFonts w:hint="default"/>
              </w:rPr>
            </w:pPr>
            <w:r>
              <w:rPr>
                <w:rFonts w:hint="default"/>
              </w:rPr>
              <w:t>主管部门发布的数据</w:t>
            </w:r>
            <w:r>
              <w:rPr>
                <w:rFonts w:hint="default"/>
              </w:rPr>
              <w:sym w:font="Wingdings" w:char="00FE"/>
            </w:r>
          </w:p>
        </w:tc>
        <w:tc>
          <w:tcPr>
            <w:tcW w:w="1621" w:type="dxa"/>
            <w:gridSpan w:val="4"/>
            <w:tcBorders>
              <w:tl2br w:val="nil"/>
              <w:tr2bl w:val="nil"/>
            </w:tcBorders>
            <w:vAlign w:val="center"/>
          </w:tcPr>
          <w:p>
            <w:pPr>
              <w:pStyle w:val="17"/>
              <w:bidi w:val="0"/>
              <w:rPr>
                <w:rFonts w:hint="default"/>
              </w:rPr>
            </w:pPr>
            <w:r>
              <w:rPr>
                <w:rFonts w:hint="default"/>
              </w:rPr>
              <w:t>现状补充监测</w:t>
            </w:r>
            <w:r>
              <w:rPr>
                <w:rFonts w:hint="default"/>
              </w:rPr>
              <w:sym w:font="Wingdings" w:char="00FE"/>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continue"/>
            <w:tcBorders>
              <w:tl2br w:val="nil"/>
              <w:tr2bl w:val="nil"/>
            </w:tcBorders>
            <w:vAlign w:val="center"/>
          </w:tcPr>
          <w:p>
            <w:pPr>
              <w:pStyle w:val="17"/>
              <w:bidi w:val="0"/>
              <w:rPr>
                <w:rFonts w:hint="default"/>
              </w:rPr>
            </w:pPr>
          </w:p>
        </w:tc>
        <w:tc>
          <w:tcPr>
            <w:tcW w:w="1691" w:type="dxa"/>
            <w:tcBorders>
              <w:tl2br w:val="nil"/>
              <w:tr2bl w:val="nil"/>
            </w:tcBorders>
            <w:vAlign w:val="center"/>
          </w:tcPr>
          <w:p>
            <w:pPr>
              <w:pStyle w:val="17"/>
              <w:bidi w:val="0"/>
              <w:rPr>
                <w:rFonts w:hint="default"/>
              </w:rPr>
            </w:pPr>
            <w:r>
              <w:rPr>
                <w:rFonts w:hint="default"/>
              </w:rPr>
              <w:t>现状评价</w:t>
            </w:r>
          </w:p>
        </w:tc>
        <w:tc>
          <w:tcPr>
            <w:tcW w:w="3541" w:type="dxa"/>
            <w:gridSpan w:val="13"/>
            <w:tcBorders>
              <w:tl2br w:val="nil"/>
              <w:tr2bl w:val="nil"/>
            </w:tcBorders>
            <w:vAlign w:val="center"/>
          </w:tcPr>
          <w:p>
            <w:pPr>
              <w:pStyle w:val="17"/>
              <w:bidi w:val="0"/>
              <w:rPr>
                <w:rFonts w:hint="default"/>
              </w:rPr>
            </w:pPr>
            <w:r>
              <w:rPr>
                <w:rFonts w:hint="default"/>
              </w:rPr>
              <w:t>达标区</w:t>
            </w:r>
            <w:r>
              <w:rPr>
                <w:rFonts w:hint="default"/>
              </w:rPr>
              <w:sym w:font="Wingdings" w:char="F0A8"/>
            </w:r>
          </w:p>
        </w:tc>
        <w:tc>
          <w:tcPr>
            <w:tcW w:w="2857" w:type="dxa"/>
            <w:gridSpan w:val="8"/>
            <w:tcBorders>
              <w:tl2br w:val="nil"/>
              <w:tr2bl w:val="nil"/>
            </w:tcBorders>
            <w:vAlign w:val="center"/>
          </w:tcPr>
          <w:p>
            <w:pPr>
              <w:pStyle w:val="17"/>
              <w:bidi w:val="0"/>
              <w:rPr>
                <w:rFonts w:hint="default"/>
              </w:rPr>
            </w:pPr>
            <w:r>
              <w:rPr>
                <w:rFonts w:hint="default"/>
              </w:rPr>
              <w:t>不达标区</w:t>
            </w:r>
            <w:r>
              <w:rPr>
                <w:rFonts w:hint="default"/>
              </w:rPr>
              <w:sym w:font="Wingdings" w:char="00FE"/>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tcBorders>
              <w:tl2br w:val="nil"/>
              <w:tr2bl w:val="nil"/>
            </w:tcBorders>
            <w:vAlign w:val="center"/>
          </w:tcPr>
          <w:p>
            <w:pPr>
              <w:pStyle w:val="17"/>
              <w:bidi w:val="0"/>
              <w:rPr>
                <w:rFonts w:hint="default"/>
              </w:rPr>
            </w:pPr>
            <w:r>
              <w:rPr>
                <w:rFonts w:hint="default"/>
              </w:rPr>
              <w:t>污染源调查</w:t>
            </w:r>
          </w:p>
        </w:tc>
        <w:tc>
          <w:tcPr>
            <w:tcW w:w="1691" w:type="dxa"/>
            <w:tcBorders>
              <w:tl2br w:val="nil"/>
              <w:tr2bl w:val="nil"/>
            </w:tcBorders>
            <w:vAlign w:val="center"/>
          </w:tcPr>
          <w:p>
            <w:pPr>
              <w:pStyle w:val="17"/>
              <w:bidi w:val="0"/>
              <w:rPr>
                <w:rFonts w:hint="default"/>
              </w:rPr>
            </w:pPr>
            <w:r>
              <w:rPr>
                <w:rFonts w:hint="default"/>
              </w:rPr>
              <w:t>调查内容</w:t>
            </w:r>
          </w:p>
        </w:tc>
        <w:tc>
          <w:tcPr>
            <w:tcW w:w="2257" w:type="dxa"/>
            <w:gridSpan w:val="7"/>
            <w:tcBorders>
              <w:tl2br w:val="nil"/>
              <w:tr2bl w:val="nil"/>
            </w:tcBorders>
            <w:vAlign w:val="center"/>
          </w:tcPr>
          <w:p>
            <w:pPr>
              <w:pStyle w:val="17"/>
              <w:bidi w:val="0"/>
              <w:rPr>
                <w:rFonts w:hint="default"/>
              </w:rPr>
            </w:pPr>
            <w:r>
              <w:rPr>
                <w:rFonts w:hint="default"/>
              </w:rPr>
              <w:t>本项目正常排放源</w:t>
            </w:r>
            <w:r>
              <w:rPr>
                <w:rFonts w:hint="default"/>
              </w:rPr>
              <w:sym w:font="Wingdings" w:char="00FE"/>
            </w:r>
          </w:p>
          <w:p>
            <w:pPr>
              <w:pStyle w:val="17"/>
              <w:bidi w:val="0"/>
              <w:rPr>
                <w:rFonts w:hint="default"/>
              </w:rPr>
            </w:pPr>
            <w:r>
              <w:rPr>
                <w:rFonts w:hint="default"/>
              </w:rPr>
              <w:t>本项目非正常排放源□</w:t>
            </w:r>
          </w:p>
          <w:p>
            <w:pPr>
              <w:pStyle w:val="17"/>
              <w:bidi w:val="0"/>
              <w:rPr>
                <w:rFonts w:hint="default"/>
              </w:rPr>
            </w:pPr>
            <w:r>
              <w:rPr>
                <w:rFonts w:hint="default"/>
              </w:rPr>
              <w:t>现有污染源□</w:t>
            </w:r>
          </w:p>
        </w:tc>
        <w:tc>
          <w:tcPr>
            <w:tcW w:w="1284" w:type="dxa"/>
            <w:gridSpan w:val="6"/>
            <w:tcBorders>
              <w:tl2br w:val="nil"/>
              <w:tr2bl w:val="nil"/>
            </w:tcBorders>
            <w:vAlign w:val="center"/>
          </w:tcPr>
          <w:p>
            <w:pPr>
              <w:pStyle w:val="17"/>
              <w:bidi w:val="0"/>
              <w:rPr>
                <w:rFonts w:hint="default"/>
              </w:rPr>
            </w:pPr>
            <w:r>
              <w:rPr>
                <w:rFonts w:hint="default"/>
              </w:rPr>
              <w:t>拟替代的污染源</w:t>
            </w:r>
            <w:r>
              <w:rPr>
                <w:rFonts w:hint="default"/>
              </w:rPr>
              <w:sym w:font="Wingdings" w:char="F0A8"/>
            </w:r>
          </w:p>
        </w:tc>
        <w:tc>
          <w:tcPr>
            <w:tcW w:w="1644" w:type="dxa"/>
            <w:gridSpan w:val="5"/>
            <w:tcBorders>
              <w:tl2br w:val="nil"/>
              <w:tr2bl w:val="nil"/>
            </w:tcBorders>
            <w:vAlign w:val="center"/>
          </w:tcPr>
          <w:p>
            <w:pPr>
              <w:pStyle w:val="17"/>
              <w:bidi w:val="0"/>
              <w:rPr>
                <w:rFonts w:hint="default"/>
              </w:rPr>
            </w:pPr>
            <w:r>
              <w:rPr>
                <w:rFonts w:hint="default"/>
              </w:rPr>
              <w:t>其他在建、拟建项目污染源</w:t>
            </w:r>
            <w:r>
              <w:rPr>
                <w:rFonts w:hint="default"/>
              </w:rPr>
              <w:sym w:font="Wingdings" w:char="F0A8"/>
            </w:r>
          </w:p>
        </w:tc>
        <w:tc>
          <w:tcPr>
            <w:tcW w:w="1213" w:type="dxa"/>
            <w:gridSpan w:val="3"/>
            <w:tcBorders>
              <w:tl2br w:val="nil"/>
              <w:tr2bl w:val="nil"/>
            </w:tcBorders>
            <w:vAlign w:val="center"/>
          </w:tcPr>
          <w:p>
            <w:pPr>
              <w:pStyle w:val="17"/>
              <w:bidi w:val="0"/>
              <w:rPr>
                <w:rFonts w:hint="default"/>
              </w:rPr>
            </w:pPr>
            <w:r>
              <w:rPr>
                <w:rFonts w:hint="default"/>
              </w:rPr>
              <w:t>区域污染源</w:t>
            </w:r>
            <w:r>
              <w:rPr>
                <w:rFonts w:hint="default"/>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restart"/>
            <w:tcBorders>
              <w:tl2br w:val="nil"/>
              <w:tr2bl w:val="nil"/>
            </w:tcBorders>
            <w:vAlign w:val="center"/>
          </w:tcPr>
          <w:p>
            <w:pPr>
              <w:pStyle w:val="17"/>
              <w:bidi w:val="0"/>
              <w:rPr>
                <w:rFonts w:hint="default"/>
              </w:rPr>
            </w:pPr>
            <w:r>
              <w:rPr>
                <w:rFonts w:hint="default"/>
              </w:rPr>
              <w:t>大气环境影响预测与评价</w:t>
            </w:r>
          </w:p>
        </w:tc>
        <w:tc>
          <w:tcPr>
            <w:tcW w:w="1691" w:type="dxa"/>
            <w:tcBorders>
              <w:tl2br w:val="nil"/>
              <w:tr2bl w:val="nil"/>
            </w:tcBorders>
            <w:vAlign w:val="center"/>
          </w:tcPr>
          <w:p>
            <w:pPr>
              <w:pStyle w:val="17"/>
              <w:bidi w:val="0"/>
              <w:rPr>
                <w:rFonts w:hint="default"/>
              </w:rPr>
            </w:pPr>
            <w:r>
              <w:rPr>
                <w:rFonts w:hint="default"/>
              </w:rPr>
              <w:t>预测模型</w:t>
            </w:r>
          </w:p>
        </w:tc>
        <w:tc>
          <w:tcPr>
            <w:tcW w:w="979" w:type="dxa"/>
            <w:tcBorders>
              <w:tl2br w:val="nil"/>
              <w:tr2bl w:val="nil"/>
            </w:tcBorders>
            <w:vAlign w:val="center"/>
          </w:tcPr>
          <w:p>
            <w:pPr>
              <w:pStyle w:val="17"/>
              <w:bidi w:val="0"/>
              <w:rPr>
                <w:rFonts w:hint="default"/>
              </w:rPr>
            </w:pPr>
            <w:r>
              <w:rPr>
                <w:rFonts w:hint="default"/>
              </w:rPr>
              <w:t>AERMOD</w:t>
            </w:r>
          </w:p>
          <w:p>
            <w:pPr>
              <w:pStyle w:val="17"/>
              <w:bidi w:val="0"/>
              <w:rPr>
                <w:rFonts w:hint="default"/>
              </w:rPr>
            </w:pPr>
            <w:r>
              <w:rPr>
                <w:rFonts w:hint="default"/>
              </w:rPr>
              <w:sym w:font="Wingdings" w:char="F0A8"/>
            </w:r>
          </w:p>
        </w:tc>
        <w:tc>
          <w:tcPr>
            <w:tcW w:w="877" w:type="dxa"/>
            <w:gridSpan w:val="4"/>
            <w:tcBorders>
              <w:tl2br w:val="nil"/>
              <w:tr2bl w:val="nil"/>
            </w:tcBorders>
            <w:vAlign w:val="center"/>
          </w:tcPr>
          <w:p>
            <w:pPr>
              <w:pStyle w:val="17"/>
              <w:bidi w:val="0"/>
              <w:rPr>
                <w:rFonts w:hint="default"/>
              </w:rPr>
            </w:pPr>
            <w:r>
              <w:rPr>
                <w:rFonts w:hint="default"/>
              </w:rPr>
              <w:t>ADMS</w:t>
            </w:r>
          </w:p>
          <w:p>
            <w:pPr>
              <w:pStyle w:val="17"/>
              <w:bidi w:val="0"/>
              <w:rPr>
                <w:rFonts w:hint="default"/>
              </w:rPr>
            </w:pPr>
            <w:r>
              <w:rPr>
                <w:rFonts w:hint="default"/>
              </w:rPr>
              <w:sym w:font="Wingdings" w:char="F0A8"/>
            </w:r>
          </w:p>
        </w:tc>
        <w:tc>
          <w:tcPr>
            <w:tcW w:w="1064" w:type="dxa"/>
            <w:gridSpan w:val="5"/>
            <w:tcBorders>
              <w:tl2br w:val="nil"/>
              <w:tr2bl w:val="nil"/>
            </w:tcBorders>
            <w:vAlign w:val="center"/>
          </w:tcPr>
          <w:p>
            <w:pPr>
              <w:pStyle w:val="17"/>
              <w:bidi w:val="0"/>
              <w:rPr>
                <w:rFonts w:hint="default"/>
              </w:rPr>
            </w:pPr>
            <w:r>
              <w:rPr>
                <w:rFonts w:hint="default"/>
              </w:rPr>
              <w:t>AUSTAL2000</w:t>
            </w:r>
            <w:r>
              <w:rPr>
                <w:rFonts w:hint="default"/>
              </w:rPr>
              <w:sym w:font="Wingdings" w:char="F0A8"/>
            </w:r>
          </w:p>
        </w:tc>
        <w:tc>
          <w:tcPr>
            <w:tcW w:w="1038" w:type="dxa"/>
            <w:gridSpan w:val="4"/>
            <w:tcBorders>
              <w:tl2br w:val="nil"/>
              <w:tr2bl w:val="nil"/>
            </w:tcBorders>
            <w:vAlign w:val="center"/>
          </w:tcPr>
          <w:p>
            <w:pPr>
              <w:pStyle w:val="17"/>
              <w:bidi w:val="0"/>
              <w:rPr>
                <w:rFonts w:hint="default"/>
              </w:rPr>
            </w:pPr>
            <w:r>
              <w:rPr>
                <w:rFonts w:hint="default"/>
              </w:rPr>
              <w:t>EDMS/AEDT</w:t>
            </w:r>
            <w:r>
              <w:rPr>
                <w:rFonts w:hint="default"/>
              </w:rPr>
              <w:sym w:font="Wingdings" w:char="F0A8"/>
            </w:r>
          </w:p>
        </w:tc>
        <w:tc>
          <w:tcPr>
            <w:tcW w:w="819" w:type="dxa"/>
            <w:gridSpan w:val="3"/>
            <w:tcBorders>
              <w:tl2br w:val="nil"/>
              <w:tr2bl w:val="nil"/>
            </w:tcBorders>
            <w:vAlign w:val="center"/>
          </w:tcPr>
          <w:p>
            <w:pPr>
              <w:pStyle w:val="17"/>
              <w:bidi w:val="0"/>
              <w:rPr>
                <w:rFonts w:hint="default"/>
              </w:rPr>
            </w:pPr>
            <w:r>
              <w:rPr>
                <w:rFonts w:hint="default"/>
              </w:rPr>
              <w:t>CALPUFF</w:t>
            </w:r>
            <w:r>
              <w:rPr>
                <w:rFonts w:hint="default"/>
              </w:rPr>
              <w:sym w:font="Wingdings" w:char="F0A8"/>
            </w:r>
          </w:p>
        </w:tc>
        <w:tc>
          <w:tcPr>
            <w:tcW w:w="895" w:type="dxa"/>
            <w:gridSpan w:val="3"/>
            <w:tcBorders>
              <w:tl2br w:val="nil"/>
              <w:tr2bl w:val="nil"/>
            </w:tcBorders>
            <w:vAlign w:val="center"/>
          </w:tcPr>
          <w:p>
            <w:pPr>
              <w:pStyle w:val="17"/>
              <w:bidi w:val="0"/>
              <w:rPr>
                <w:rFonts w:hint="default"/>
              </w:rPr>
            </w:pPr>
            <w:r>
              <w:rPr>
                <w:rFonts w:hint="default"/>
              </w:rPr>
              <w:t>网格模型</w:t>
            </w:r>
            <w:r>
              <w:rPr>
                <w:rFonts w:hint="default"/>
              </w:rPr>
              <w:sym w:font="Wingdings" w:char="F0A8"/>
            </w:r>
          </w:p>
        </w:tc>
        <w:tc>
          <w:tcPr>
            <w:tcW w:w="726" w:type="dxa"/>
            <w:tcBorders>
              <w:tl2br w:val="nil"/>
              <w:tr2bl w:val="nil"/>
            </w:tcBorders>
            <w:vAlign w:val="center"/>
          </w:tcPr>
          <w:p>
            <w:pPr>
              <w:pStyle w:val="17"/>
              <w:bidi w:val="0"/>
              <w:rPr>
                <w:rFonts w:hint="default"/>
              </w:rPr>
            </w:pPr>
            <w:r>
              <w:rPr>
                <w:rFonts w:hint="default"/>
              </w:rPr>
              <w:t>其他</w:t>
            </w:r>
            <w:r>
              <w:rPr>
                <w:rFonts w:hint="default"/>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continue"/>
            <w:tcBorders>
              <w:tl2br w:val="nil"/>
              <w:tr2bl w:val="nil"/>
            </w:tcBorders>
            <w:vAlign w:val="center"/>
          </w:tcPr>
          <w:p>
            <w:pPr>
              <w:pStyle w:val="17"/>
              <w:bidi w:val="0"/>
              <w:rPr>
                <w:rFonts w:hint="default"/>
              </w:rPr>
            </w:pPr>
          </w:p>
        </w:tc>
        <w:tc>
          <w:tcPr>
            <w:tcW w:w="1691" w:type="dxa"/>
            <w:tcBorders>
              <w:tl2br w:val="nil"/>
              <w:tr2bl w:val="nil"/>
            </w:tcBorders>
            <w:vAlign w:val="center"/>
          </w:tcPr>
          <w:p>
            <w:pPr>
              <w:pStyle w:val="17"/>
              <w:bidi w:val="0"/>
              <w:rPr>
                <w:rFonts w:hint="default"/>
              </w:rPr>
            </w:pPr>
            <w:r>
              <w:rPr>
                <w:rFonts w:hint="default"/>
              </w:rPr>
              <w:t>预测范围</w:t>
            </w:r>
          </w:p>
        </w:tc>
        <w:tc>
          <w:tcPr>
            <w:tcW w:w="1856" w:type="dxa"/>
            <w:gridSpan w:val="5"/>
            <w:tcBorders>
              <w:tl2br w:val="nil"/>
              <w:tr2bl w:val="nil"/>
            </w:tcBorders>
            <w:vAlign w:val="center"/>
          </w:tcPr>
          <w:p>
            <w:pPr>
              <w:pStyle w:val="17"/>
              <w:bidi w:val="0"/>
              <w:rPr>
                <w:rFonts w:hint="default"/>
              </w:rPr>
            </w:pPr>
            <w:r>
              <w:rPr>
                <w:rFonts w:hint="default"/>
              </w:rPr>
              <w:t>边长≥50km</w:t>
            </w:r>
            <w:r>
              <w:rPr>
                <w:rFonts w:hint="default"/>
              </w:rPr>
              <w:sym w:font="Wingdings" w:char="F0A8"/>
            </w:r>
          </w:p>
        </w:tc>
        <w:tc>
          <w:tcPr>
            <w:tcW w:w="2921" w:type="dxa"/>
            <w:gridSpan w:val="12"/>
            <w:tcBorders>
              <w:tl2br w:val="nil"/>
              <w:tr2bl w:val="nil"/>
            </w:tcBorders>
            <w:vAlign w:val="center"/>
          </w:tcPr>
          <w:p>
            <w:pPr>
              <w:pStyle w:val="17"/>
              <w:bidi w:val="0"/>
              <w:rPr>
                <w:rFonts w:hint="default"/>
              </w:rPr>
            </w:pPr>
            <w:r>
              <w:rPr>
                <w:rFonts w:hint="default"/>
              </w:rPr>
              <w:t>边长5～50km</w:t>
            </w:r>
            <w:r>
              <w:rPr>
                <w:rFonts w:hint="default"/>
              </w:rPr>
              <w:sym w:font="Wingdings" w:char="F0A8"/>
            </w:r>
          </w:p>
        </w:tc>
        <w:tc>
          <w:tcPr>
            <w:tcW w:w="1621" w:type="dxa"/>
            <w:gridSpan w:val="4"/>
            <w:tcBorders>
              <w:tl2br w:val="nil"/>
              <w:tr2bl w:val="nil"/>
            </w:tcBorders>
            <w:vAlign w:val="center"/>
          </w:tcPr>
          <w:p>
            <w:pPr>
              <w:pStyle w:val="17"/>
              <w:bidi w:val="0"/>
              <w:rPr>
                <w:rFonts w:hint="default"/>
              </w:rPr>
            </w:pPr>
            <w:r>
              <w:rPr>
                <w:rFonts w:hint="default"/>
              </w:rPr>
              <w:t>边长= 5km</w:t>
            </w:r>
            <w:r>
              <w:rPr>
                <w:rFonts w:hint="default"/>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continue"/>
            <w:tcBorders>
              <w:tl2br w:val="nil"/>
              <w:tr2bl w:val="nil"/>
            </w:tcBorders>
            <w:vAlign w:val="center"/>
          </w:tcPr>
          <w:p>
            <w:pPr>
              <w:pStyle w:val="17"/>
              <w:bidi w:val="0"/>
              <w:rPr>
                <w:rFonts w:hint="default"/>
              </w:rPr>
            </w:pPr>
          </w:p>
        </w:tc>
        <w:tc>
          <w:tcPr>
            <w:tcW w:w="1691" w:type="dxa"/>
            <w:tcBorders>
              <w:tl2br w:val="nil"/>
              <w:tr2bl w:val="nil"/>
            </w:tcBorders>
            <w:vAlign w:val="center"/>
          </w:tcPr>
          <w:p>
            <w:pPr>
              <w:pStyle w:val="17"/>
              <w:bidi w:val="0"/>
              <w:rPr>
                <w:rFonts w:hint="default"/>
              </w:rPr>
            </w:pPr>
            <w:r>
              <w:rPr>
                <w:rFonts w:hint="default"/>
              </w:rPr>
              <w:t>预测因子</w:t>
            </w:r>
          </w:p>
        </w:tc>
        <w:tc>
          <w:tcPr>
            <w:tcW w:w="3541" w:type="dxa"/>
            <w:gridSpan w:val="13"/>
            <w:tcBorders>
              <w:tl2br w:val="nil"/>
              <w:tr2bl w:val="nil"/>
            </w:tcBorders>
            <w:vAlign w:val="center"/>
          </w:tcPr>
          <w:p>
            <w:pPr>
              <w:pStyle w:val="17"/>
              <w:bidi w:val="0"/>
              <w:rPr>
                <w:rFonts w:hint="default"/>
              </w:rPr>
            </w:pPr>
            <w:r>
              <w:rPr>
                <w:rFonts w:hint="default"/>
              </w:rPr>
              <w:t>预测因子（TSP</w:t>
            </w:r>
            <w:r>
              <w:rPr>
                <w:rFonts w:hint="eastAsia"/>
                <w:lang w:val="en-US" w:eastAsia="zh-CN"/>
              </w:rPr>
              <w:t>、非甲烷总烃</w:t>
            </w:r>
            <w:r>
              <w:rPr>
                <w:rFonts w:hint="default"/>
              </w:rPr>
              <w:t>）</w:t>
            </w:r>
          </w:p>
        </w:tc>
        <w:tc>
          <w:tcPr>
            <w:tcW w:w="2857" w:type="dxa"/>
            <w:gridSpan w:val="8"/>
            <w:tcBorders>
              <w:tl2br w:val="nil"/>
              <w:tr2bl w:val="nil"/>
            </w:tcBorders>
            <w:vAlign w:val="center"/>
          </w:tcPr>
          <w:p>
            <w:pPr>
              <w:pStyle w:val="17"/>
              <w:bidi w:val="0"/>
              <w:rPr>
                <w:rFonts w:hint="default"/>
              </w:rPr>
            </w:pPr>
            <w:r>
              <w:rPr>
                <w:rFonts w:hint="default"/>
              </w:rPr>
              <w:t>包括二次PM</w:t>
            </w:r>
            <w:r>
              <w:rPr>
                <w:rFonts w:hint="default"/>
                <w:vertAlign w:val="subscript"/>
              </w:rPr>
              <w:t>2.5</w:t>
            </w:r>
            <w:r>
              <w:rPr>
                <w:rFonts w:hint="default"/>
              </w:rPr>
              <w:sym w:font="Wingdings" w:char="F0A8"/>
            </w:r>
          </w:p>
          <w:p>
            <w:pPr>
              <w:pStyle w:val="17"/>
              <w:bidi w:val="0"/>
              <w:rPr>
                <w:rFonts w:hint="default"/>
              </w:rPr>
            </w:pPr>
            <w:r>
              <w:rPr>
                <w:rFonts w:hint="default"/>
              </w:rPr>
              <w:t>不包括二次PM</w:t>
            </w:r>
            <w:r>
              <w:rPr>
                <w:rFonts w:hint="default"/>
                <w:vertAlign w:val="subscript"/>
              </w:rPr>
              <w:t>2.5</w:t>
            </w:r>
            <w:r>
              <w:rPr>
                <w:rFonts w:hint="default"/>
              </w:rPr>
              <w:sym w:font="Wingdings" w:char="00FE"/>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continue"/>
            <w:tcBorders>
              <w:tl2br w:val="nil"/>
              <w:tr2bl w:val="nil"/>
            </w:tcBorders>
            <w:vAlign w:val="center"/>
          </w:tcPr>
          <w:p>
            <w:pPr>
              <w:pStyle w:val="17"/>
              <w:bidi w:val="0"/>
              <w:rPr>
                <w:rFonts w:hint="default"/>
              </w:rPr>
            </w:pPr>
          </w:p>
        </w:tc>
        <w:tc>
          <w:tcPr>
            <w:tcW w:w="1691" w:type="dxa"/>
            <w:tcBorders>
              <w:tl2br w:val="nil"/>
              <w:tr2bl w:val="nil"/>
            </w:tcBorders>
            <w:vAlign w:val="center"/>
          </w:tcPr>
          <w:p>
            <w:pPr>
              <w:pStyle w:val="17"/>
              <w:bidi w:val="0"/>
              <w:rPr>
                <w:rFonts w:hint="default"/>
              </w:rPr>
            </w:pPr>
            <w:r>
              <w:rPr>
                <w:rFonts w:hint="default"/>
              </w:rPr>
              <w:t>正常排放短期浓度贡献值</w:t>
            </w:r>
          </w:p>
        </w:tc>
        <w:tc>
          <w:tcPr>
            <w:tcW w:w="3541" w:type="dxa"/>
            <w:gridSpan w:val="13"/>
            <w:tcBorders>
              <w:tl2br w:val="nil"/>
              <w:tr2bl w:val="nil"/>
            </w:tcBorders>
            <w:vAlign w:val="center"/>
          </w:tcPr>
          <w:p>
            <w:pPr>
              <w:pStyle w:val="17"/>
              <w:bidi w:val="0"/>
              <w:rPr>
                <w:rFonts w:hint="default"/>
              </w:rPr>
            </w:pPr>
            <w:r>
              <w:rPr>
                <w:rFonts w:hint="default"/>
              </w:rPr>
              <w:t>C本项目最大占标率≤100%</w:t>
            </w:r>
            <w:r>
              <w:rPr>
                <w:rFonts w:hint="default"/>
              </w:rPr>
              <w:sym w:font="Wingdings" w:char="F0A8"/>
            </w:r>
          </w:p>
        </w:tc>
        <w:tc>
          <w:tcPr>
            <w:tcW w:w="2857" w:type="dxa"/>
            <w:gridSpan w:val="8"/>
            <w:tcBorders>
              <w:tl2br w:val="nil"/>
              <w:tr2bl w:val="nil"/>
            </w:tcBorders>
            <w:vAlign w:val="center"/>
          </w:tcPr>
          <w:p>
            <w:pPr>
              <w:pStyle w:val="17"/>
              <w:bidi w:val="0"/>
              <w:rPr>
                <w:rFonts w:hint="default"/>
              </w:rPr>
            </w:pPr>
            <w:r>
              <w:rPr>
                <w:rFonts w:hint="default"/>
              </w:rPr>
              <w:t>C本项目最大占标率＞100%</w:t>
            </w:r>
            <w:r>
              <w:rPr>
                <w:rFonts w:hint="default"/>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continue"/>
            <w:tcBorders>
              <w:tl2br w:val="nil"/>
              <w:tr2bl w:val="nil"/>
            </w:tcBorders>
            <w:vAlign w:val="center"/>
          </w:tcPr>
          <w:p>
            <w:pPr>
              <w:pStyle w:val="17"/>
              <w:bidi w:val="0"/>
              <w:rPr>
                <w:rFonts w:hint="default"/>
              </w:rPr>
            </w:pPr>
          </w:p>
        </w:tc>
        <w:tc>
          <w:tcPr>
            <w:tcW w:w="1691" w:type="dxa"/>
            <w:vMerge w:val="restart"/>
            <w:tcBorders>
              <w:tl2br w:val="nil"/>
              <w:tr2bl w:val="nil"/>
            </w:tcBorders>
            <w:vAlign w:val="center"/>
          </w:tcPr>
          <w:p>
            <w:pPr>
              <w:pStyle w:val="17"/>
              <w:bidi w:val="0"/>
              <w:rPr>
                <w:rFonts w:hint="default"/>
              </w:rPr>
            </w:pPr>
            <w:r>
              <w:rPr>
                <w:rFonts w:hint="default"/>
              </w:rPr>
              <w:t>正常排放年均浓度贡献值</w:t>
            </w:r>
          </w:p>
        </w:tc>
        <w:tc>
          <w:tcPr>
            <w:tcW w:w="979" w:type="dxa"/>
            <w:tcBorders>
              <w:tl2br w:val="nil"/>
              <w:tr2bl w:val="nil"/>
            </w:tcBorders>
            <w:vAlign w:val="center"/>
          </w:tcPr>
          <w:p>
            <w:pPr>
              <w:pStyle w:val="17"/>
              <w:bidi w:val="0"/>
              <w:rPr>
                <w:rFonts w:hint="default"/>
              </w:rPr>
            </w:pPr>
            <w:r>
              <w:rPr>
                <w:rFonts w:hint="default"/>
              </w:rPr>
              <w:t>一类区</w:t>
            </w:r>
          </w:p>
        </w:tc>
        <w:tc>
          <w:tcPr>
            <w:tcW w:w="2562" w:type="dxa"/>
            <w:gridSpan w:val="12"/>
            <w:tcBorders>
              <w:tl2br w:val="nil"/>
              <w:tr2bl w:val="nil"/>
            </w:tcBorders>
            <w:vAlign w:val="center"/>
          </w:tcPr>
          <w:p>
            <w:pPr>
              <w:pStyle w:val="17"/>
              <w:bidi w:val="0"/>
              <w:rPr>
                <w:rFonts w:hint="default"/>
              </w:rPr>
            </w:pPr>
            <w:r>
              <w:rPr>
                <w:rFonts w:hint="default"/>
              </w:rPr>
              <w:t>C本项目最大占标率≤10%</w:t>
            </w:r>
            <w:r>
              <w:rPr>
                <w:rFonts w:hint="default"/>
              </w:rPr>
              <w:sym w:font="Wingdings" w:char="F0A8"/>
            </w:r>
          </w:p>
        </w:tc>
        <w:tc>
          <w:tcPr>
            <w:tcW w:w="2857" w:type="dxa"/>
            <w:gridSpan w:val="8"/>
            <w:tcBorders>
              <w:tl2br w:val="nil"/>
              <w:tr2bl w:val="nil"/>
            </w:tcBorders>
            <w:vAlign w:val="center"/>
          </w:tcPr>
          <w:p>
            <w:pPr>
              <w:pStyle w:val="17"/>
              <w:bidi w:val="0"/>
              <w:rPr>
                <w:rFonts w:hint="default"/>
              </w:rPr>
            </w:pPr>
            <w:r>
              <w:rPr>
                <w:rFonts w:hint="default"/>
              </w:rPr>
              <w:t xml:space="preserve">C本项目最大标率＞10% </w:t>
            </w:r>
            <w:r>
              <w:rPr>
                <w:rFonts w:hint="default"/>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continue"/>
            <w:tcBorders>
              <w:tl2br w:val="nil"/>
              <w:tr2bl w:val="nil"/>
            </w:tcBorders>
            <w:vAlign w:val="center"/>
          </w:tcPr>
          <w:p>
            <w:pPr>
              <w:pStyle w:val="17"/>
              <w:bidi w:val="0"/>
              <w:rPr>
                <w:rFonts w:hint="default"/>
              </w:rPr>
            </w:pPr>
          </w:p>
        </w:tc>
        <w:tc>
          <w:tcPr>
            <w:tcW w:w="1691" w:type="dxa"/>
            <w:vMerge w:val="continue"/>
            <w:tcBorders>
              <w:tl2br w:val="nil"/>
              <w:tr2bl w:val="nil"/>
            </w:tcBorders>
            <w:vAlign w:val="center"/>
          </w:tcPr>
          <w:p>
            <w:pPr>
              <w:pStyle w:val="17"/>
              <w:bidi w:val="0"/>
              <w:rPr>
                <w:rFonts w:hint="default"/>
              </w:rPr>
            </w:pPr>
          </w:p>
        </w:tc>
        <w:tc>
          <w:tcPr>
            <w:tcW w:w="979" w:type="dxa"/>
            <w:tcBorders>
              <w:tl2br w:val="nil"/>
              <w:tr2bl w:val="nil"/>
            </w:tcBorders>
            <w:vAlign w:val="center"/>
          </w:tcPr>
          <w:p>
            <w:pPr>
              <w:pStyle w:val="17"/>
              <w:bidi w:val="0"/>
              <w:rPr>
                <w:rFonts w:hint="default"/>
              </w:rPr>
            </w:pPr>
            <w:r>
              <w:rPr>
                <w:rFonts w:hint="default"/>
              </w:rPr>
              <w:t>二类区</w:t>
            </w:r>
          </w:p>
        </w:tc>
        <w:tc>
          <w:tcPr>
            <w:tcW w:w="2562" w:type="dxa"/>
            <w:gridSpan w:val="12"/>
            <w:tcBorders>
              <w:tl2br w:val="nil"/>
              <w:tr2bl w:val="nil"/>
            </w:tcBorders>
            <w:vAlign w:val="center"/>
          </w:tcPr>
          <w:p>
            <w:pPr>
              <w:pStyle w:val="17"/>
              <w:bidi w:val="0"/>
              <w:rPr>
                <w:rFonts w:hint="default"/>
              </w:rPr>
            </w:pPr>
            <w:r>
              <w:rPr>
                <w:rFonts w:hint="default"/>
              </w:rPr>
              <w:t>C本项目最大占标率≤30%</w:t>
            </w:r>
            <w:r>
              <w:rPr>
                <w:rFonts w:hint="default"/>
              </w:rPr>
              <w:sym w:font="Wingdings" w:char="F0A8"/>
            </w:r>
          </w:p>
        </w:tc>
        <w:tc>
          <w:tcPr>
            <w:tcW w:w="2857" w:type="dxa"/>
            <w:gridSpan w:val="8"/>
            <w:tcBorders>
              <w:tl2br w:val="nil"/>
              <w:tr2bl w:val="nil"/>
            </w:tcBorders>
            <w:vAlign w:val="center"/>
          </w:tcPr>
          <w:p>
            <w:pPr>
              <w:pStyle w:val="17"/>
              <w:bidi w:val="0"/>
              <w:rPr>
                <w:rFonts w:hint="default"/>
              </w:rPr>
            </w:pPr>
            <w:r>
              <w:rPr>
                <w:rFonts w:hint="default"/>
              </w:rPr>
              <w:t>C本项目最大标率＞30%</w:t>
            </w:r>
            <w:r>
              <w:rPr>
                <w:rFonts w:hint="default"/>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continue"/>
            <w:tcBorders>
              <w:tl2br w:val="nil"/>
              <w:tr2bl w:val="nil"/>
            </w:tcBorders>
            <w:vAlign w:val="center"/>
          </w:tcPr>
          <w:p>
            <w:pPr>
              <w:pStyle w:val="17"/>
              <w:bidi w:val="0"/>
              <w:rPr>
                <w:rFonts w:hint="default"/>
              </w:rPr>
            </w:pPr>
          </w:p>
        </w:tc>
        <w:tc>
          <w:tcPr>
            <w:tcW w:w="1691" w:type="dxa"/>
            <w:tcBorders>
              <w:tl2br w:val="nil"/>
              <w:tr2bl w:val="nil"/>
            </w:tcBorders>
            <w:vAlign w:val="center"/>
          </w:tcPr>
          <w:p>
            <w:pPr>
              <w:pStyle w:val="17"/>
              <w:bidi w:val="0"/>
              <w:rPr>
                <w:rFonts w:hint="default"/>
              </w:rPr>
            </w:pPr>
            <w:r>
              <w:rPr>
                <w:rFonts w:hint="default"/>
              </w:rPr>
              <w:t>非正常排放1h浓度贡献值</w:t>
            </w:r>
          </w:p>
        </w:tc>
        <w:tc>
          <w:tcPr>
            <w:tcW w:w="1469" w:type="dxa"/>
            <w:gridSpan w:val="3"/>
            <w:tcBorders>
              <w:tl2br w:val="nil"/>
              <w:tr2bl w:val="nil"/>
            </w:tcBorders>
            <w:vAlign w:val="center"/>
          </w:tcPr>
          <w:p>
            <w:pPr>
              <w:pStyle w:val="17"/>
              <w:bidi w:val="0"/>
              <w:rPr>
                <w:rFonts w:hint="default"/>
              </w:rPr>
            </w:pPr>
            <w:r>
              <w:rPr>
                <w:rFonts w:hint="default"/>
              </w:rPr>
              <w:t>非正常持续时长（）h</w:t>
            </w:r>
          </w:p>
        </w:tc>
        <w:tc>
          <w:tcPr>
            <w:tcW w:w="2670" w:type="dxa"/>
            <w:gridSpan w:val="12"/>
            <w:tcBorders>
              <w:tl2br w:val="nil"/>
              <w:tr2bl w:val="nil"/>
            </w:tcBorders>
            <w:vAlign w:val="center"/>
          </w:tcPr>
          <w:p>
            <w:pPr>
              <w:pStyle w:val="17"/>
              <w:bidi w:val="0"/>
              <w:rPr>
                <w:rFonts w:hint="default"/>
              </w:rPr>
            </w:pPr>
            <w:r>
              <w:rPr>
                <w:rFonts w:hint="default"/>
              </w:rPr>
              <w:t>C非正常占标率≤100%</w:t>
            </w:r>
            <w:r>
              <w:rPr>
                <w:rFonts w:hint="default"/>
              </w:rPr>
              <w:sym w:font="Wingdings" w:char="F0A8"/>
            </w:r>
          </w:p>
        </w:tc>
        <w:tc>
          <w:tcPr>
            <w:tcW w:w="2259" w:type="dxa"/>
            <w:gridSpan w:val="6"/>
            <w:tcBorders>
              <w:tl2br w:val="nil"/>
              <w:tr2bl w:val="nil"/>
            </w:tcBorders>
            <w:vAlign w:val="center"/>
          </w:tcPr>
          <w:p>
            <w:pPr>
              <w:pStyle w:val="17"/>
              <w:bidi w:val="0"/>
              <w:rPr>
                <w:rFonts w:hint="default"/>
              </w:rPr>
            </w:pPr>
            <w:r>
              <w:rPr>
                <w:rFonts w:hint="default"/>
              </w:rPr>
              <w:t>占标率＞100%</w:t>
            </w:r>
            <w:r>
              <w:rPr>
                <w:rFonts w:hint="default"/>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continue"/>
            <w:tcBorders>
              <w:tl2br w:val="nil"/>
              <w:tr2bl w:val="nil"/>
            </w:tcBorders>
            <w:vAlign w:val="center"/>
          </w:tcPr>
          <w:p>
            <w:pPr>
              <w:pStyle w:val="17"/>
              <w:bidi w:val="0"/>
              <w:rPr>
                <w:rFonts w:hint="default"/>
              </w:rPr>
            </w:pPr>
          </w:p>
        </w:tc>
        <w:tc>
          <w:tcPr>
            <w:tcW w:w="1691" w:type="dxa"/>
            <w:tcBorders>
              <w:tl2br w:val="nil"/>
              <w:tr2bl w:val="nil"/>
            </w:tcBorders>
            <w:vAlign w:val="center"/>
          </w:tcPr>
          <w:p>
            <w:pPr>
              <w:pStyle w:val="17"/>
              <w:bidi w:val="0"/>
              <w:rPr>
                <w:rFonts w:hint="default"/>
              </w:rPr>
            </w:pPr>
            <w:r>
              <w:rPr>
                <w:rFonts w:hint="default"/>
              </w:rPr>
              <w:t>保证率日平均浓度和年平均浓度叠加值</w:t>
            </w:r>
          </w:p>
        </w:tc>
        <w:tc>
          <w:tcPr>
            <w:tcW w:w="3026" w:type="dxa"/>
            <w:gridSpan w:val="11"/>
            <w:tcBorders>
              <w:tl2br w:val="nil"/>
              <w:tr2bl w:val="nil"/>
            </w:tcBorders>
            <w:vAlign w:val="center"/>
          </w:tcPr>
          <w:p>
            <w:pPr>
              <w:pStyle w:val="17"/>
              <w:bidi w:val="0"/>
              <w:rPr>
                <w:rFonts w:hint="default"/>
              </w:rPr>
            </w:pPr>
            <w:r>
              <w:rPr>
                <w:rFonts w:hint="default"/>
              </w:rPr>
              <w:t>C叠加达标</w:t>
            </w:r>
            <w:r>
              <w:rPr>
                <w:rFonts w:hint="default"/>
              </w:rPr>
              <w:sym w:font="Wingdings" w:char="F0A8"/>
            </w:r>
          </w:p>
        </w:tc>
        <w:tc>
          <w:tcPr>
            <w:tcW w:w="3372" w:type="dxa"/>
            <w:gridSpan w:val="10"/>
            <w:tcBorders>
              <w:tl2br w:val="nil"/>
              <w:tr2bl w:val="nil"/>
            </w:tcBorders>
            <w:vAlign w:val="center"/>
          </w:tcPr>
          <w:p>
            <w:pPr>
              <w:pStyle w:val="17"/>
              <w:bidi w:val="0"/>
              <w:rPr>
                <w:rFonts w:hint="default"/>
              </w:rPr>
            </w:pPr>
            <w:r>
              <w:rPr>
                <w:rFonts w:hint="default"/>
              </w:rPr>
              <w:t>C叠加不达标</w:t>
            </w:r>
            <w:r>
              <w:rPr>
                <w:rFonts w:hint="default"/>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continue"/>
            <w:tcBorders>
              <w:tl2br w:val="nil"/>
              <w:tr2bl w:val="nil"/>
            </w:tcBorders>
            <w:vAlign w:val="center"/>
          </w:tcPr>
          <w:p>
            <w:pPr>
              <w:pStyle w:val="17"/>
              <w:bidi w:val="0"/>
              <w:rPr>
                <w:rFonts w:hint="default"/>
              </w:rPr>
            </w:pPr>
          </w:p>
        </w:tc>
        <w:tc>
          <w:tcPr>
            <w:tcW w:w="1691" w:type="dxa"/>
            <w:tcBorders>
              <w:tl2br w:val="nil"/>
              <w:tr2bl w:val="nil"/>
            </w:tcBorders>
            <w:vAlign w:val="center"/>
          </w:tcPr>
          <w:p>
            <w:pPr>
              <w:pStyle w:val="17"/>
              <w:bidi w:val="0"/>
              <w:rPr>
                <w:rFonts w:hint="default"/>
              </w:rPr>
            </w:pPr>
            <w:r>
              <w:rPr>
                <w:rFonts w:hint="default"/>
              </w:rPr>
              <w:t>区域环境质量的整体变化情况</w:t>
            </w:r>
          </w:p>
        </w:tc>
        <w:tc>
          <w:tcPr>
            <w:tcW w:w="3026" w:type="dxa"/>
            <w:gridSpan w:val="11"/>
            <w:tcBorders>
              <w:tl2br w:val="nil"/>
              <w:tr2bl w:val="nil"/>
            </w:tcBorders>
            <w:vAlign w:val="center"/>
          </w:tcPr>
          <w:p>
            <w:pPr>
              <w:pStyle w:val="17"/>
              <w:bidi w:val="0"/>
              <w:rPr>
                <w:rFonts w:hint="default"/>
              </w:rPr>
            </w:pPr>
            <w:r>
              <w:rPr>
                <w:rFonts w:hint="default"/>
              </w:rPr>
              <w:t>k≤-20%</w:t>
            </w:r>
            <w:r>
              <w:rPr>
                <w:rFonts w:hint="default"/>
              </w:rPr>
              <w:sym w:font="Wingdings" w:char="F0A8"/>
            </w:r>
          </w:p>
        </w:tc>
        <w:tc>
          <w:tcPr>
            <w:tcW w:w="3372" w:type="dxa"/>
            <w:gridSpan w:val="10"/>
            <w:tcBorders>
              <w:tl2br w:val="nil"/>
              <w:tr2bl w:val="nil"/>
            </w:tcBorders>
            <w:vAlign w:val="center"/>
          </w:tcPr>
          <w:p>
            <w:pPr>
              <w:pStyle w:val="17"/>
              <w:bidi w:val="0"/>
              <w:rPr>
                <w:rFonts w:hint="default"/>
              </w:rPr>
            </w:pPr>
            <w:r>
              <w:rPr>
                <w:rFonts w:hint="default"/>
              </w:rPr>
              <w:t>k＞-20%</w:t>
            </w:r>
            <w:r>
              <w:rPr>
                <w:rFonts w:hint="default"/>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restart"/>
            <w:tcBorders>
              <w:tl2br w:val="nil"/>
              <w:tr2bl w:val="nil"/>
            </w:tcBorders>
            <w:vAlign w:val="center"/>
          </w:tcPr>
          <w:p>
            <w:pPr>
              <w:pStyle w:val="17"/>
              <w:bidi w:val="0"/>
              <w:rPr>
                <w:rFonts w:hint="default"/>
              </w:rPr>
            </w:pPr>
            <w:r>
              <w:rPr>
                <w:rFonts w:hint="default"/>
              </w:rPr>
              <w:t>环境监测 计划</w:t>
            </w:r>
          </w:p>
        </w:tc>
        <w:tc>
          <w:tcPr>
            <w:tcW w:w="1691" w:type="dxa"/>
            <w:tcBorders>
              <w:tl2br w:val="nil"/>
              <w:tr2bl w:val="nil"/>
            </w:tcBorders>
            <w:vAlign w:val="center"/>
          </w:tcPr>
          <w:p>
            <w:pPr>
              <w:pStyle w:val="17"/>
              <w:bidi w:val="0"/>
              <w:rPr>
                <w:rFonts w:hint="default"/>
              </w:rPr>
            </w:pPr>
            <w:r>
              <w:rPr>
                <w:rFonts w:hint="default"/>
              </w:rPr>
              <w:t>污染源监测</w:t>
            </w:r>
          </w:p>
        </w:tc>
        <w:tc>
          <w:tcPr>
            <w:tcW w:w="2803" w:type="dxa"/>
            <w:gridSpan w:val="9"/>
            <w:tcBorders>
              <w:tl2br w:val="nil"/>
              <w:tr2bl w:val="nil"/>
            </w:tcBorders>
            <w:vAlign w:val="center"/>
          </w:tcPr>
          <w:p>
            <w:pPr>
              <w:pStyle w:val="17"/>
              <w:bidi w:val="0"/>
              <w:rPr>
                <w:rFonts w:hint="default"/>
              </w:rPr>
            </w:pPr>
            <w:r>
              <w:rPr>
                <w:rFonts w:hint="default"/>
              </w:rPr>
              <w:t>监测因子：（</w:t>
            </w:r>
            <w:r>
              <w:rPr>
                <w:rFonts w:hint="default"/>
                <w:lang w:val="en-US" w:eastAsia="zh-CN"/>
              </w:rPr>
              <w:t>颗粒物、非甲烷总烃</w:t>
            </w:r>
            <w:r>
              <w:rPr>
                <w:rFonts w:hint="default"/>
              </w:rPr>
              <w:t>）</w:t>
            </w:r>
          </w:p>
        </w:tc>
        <w:tc>
          <w:tcPr>
            <w:tcW w:w="2382" w:type="dxa"/>
            <w:gridSpan w:val="9"/>
            <w:tcBorders>
              <w:tl2br w:val="nil"/>
              <w:tr2bl w:val="nil"/>
            </w:tcBorders>
            <w:vAlign w:val="center"/>
          </w:tcPr>
          <w:p>
            <w:pPr>
              <w:pStyle w:val="17"/>
              <w:bidi w:val="0"/>
              <w:rPr>
                <w:rFonts w:hint="default"/>
              </w:rPr>
            </w:pPr>
            <w:r>
              <w:rPr>
                <w:rFonts w:hint="default"/>
              </w:rPr>
              <w:t xml:space="preserve">有组织废气监测 </w:t>
            </w:r>
            <w:r>
              <w:rPr>
                <w:rFonts w:hint="default"/>
              </w:rPr>
              <w:sym w:font="Wingdings" w:char="00FE"/>
            </w:r>
          </w:p>
          <w:p>
            <w:pPr>
              <w:pStyle w:val="17"/>
              <w:bidi w:val="0"/>
              <w:rPr>
                <w:rFonts w:hint="default"/>
              </w:rPr>
            </w:pPr>
            <w:r>
              <w:rPr>
                <w:rFonts w:hint="default"/>
              </w:rPr>
              <w:t xml:space="preserve">无组织废气监测 </w:t>
            </w:r>
            <w:r>
              <w:rPr>
                <w:rFonts w:hint="default"/>
              </w:rPr>
              <w:sym w:font="Wingdings" w:char="00FE"/>
            </w:r>
          </w:p>
        </w:tc>
        <w:tc>
          <w:tcPr>
            <w:tcW w:w="1213" w:type="dxa"/>
            <w:gridSpan w:val="3"/>
            <w:tcBorders>
              <w:tl2br w:val="nil"/>
              <w:tr2bl w:val="nil"/>
            </w:tcBorders>
            <w:vAlign w:val="center"/>
          </w:tcPr>
          <w:p>
            <w:pPr>
              <w:pStyle w:val="17"/>
              <w:bidi w:val="0"/>
              <w:rPr>
                <w:rFonts w:hint="default"/>
              </w:rPr>
            </w:pPr>
            <w:r>
              <w:rPr>
                <w:rFonts w:hint="default"/>
              </w:rPr>
              <w:t>无监测</w:t>
            </w:r>
            <w:r>
              <w:rPr>
                <w:rFonts w:hint="default"/>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continue"/>
            <w:tcBorders>
              <w:tl2br w:val="nil"/>
              <w:tr2bl w:val="nil"/>
            </w:tcBorders>
            <w:vAlign w:val="center"/>
          </w:tcPr>
          <w:p>
            <w:pPr>
              <w:pStyle w:val="17"/>
              <w:bidi w:val="0"/>
              <w:rPr>
                <w:rFonts w:hint="default"/>
              </w:rPr>
            </w:pPr>
          </w:p>
        </w:tc>
        <w:tc>
          <w:tcPr>
            <w:tcW w:w="1691" w:type="dxa"/>
            <w:tcBorders>
              <w:tl2br w:val="nil"/>
              <w:tr2bl w:val="nil"/>
            </w:tcBorders>
            <w:vAlign w:val="center"/>
          </w:tcPr>
          <w:p>
            <w:pPr>
              <w:pStyle w:val="17"/>
              <w:bidi w:val="0"/>
              <w:rPr>
                <w:rFonts w:hint="default"/>
              </w:rPr>
            </w:pPr>
            <w:r>
              <w:rPr>
                <w:rFonts w:hint="default"/>
              </w:rPr>
              <w:t>环境质量监测</w:t>
            </w:r>
          </w:p>
        </w:tc>
        <w:tc>
          <w:tcPr>
            <w:tcW w:w="2803" w:type="dxa"/>
            <w:gridSpan w:val="9"/>
            <w:tcBorders>
              <w:tl2br w:val="nil"/>
              <w:tr2bl w:val="nil"/>
            </w:tcBorders>
            <w:vAlign w:val="center"/>
          </w:tcPr>
          <w:p>
            <w:pPr>
              <w:pStyle w:val="17"/>
              <w:bidi w:val="0"/>
              <w:rPr>
                <w:rFonts w:hint="default"/>
              </w:rPr>
            </w:pPr>
            <w:r>
              <w:rPr>
                <w:rFonts w:hint="default"/>
              </w:rPr>
              <w:t>监测因子：（）</w:t>
            </w:r>
          </w:p>
        </w:tc>
        <w:tc>
          <w:tcPr>
            <w:tcW w:w="2382" w:type="dxa"/>
            <w:gridSpan w:val="9"/>
            <w:tcBorders>
              <w:tl2br w:val="nil"/>
              <w:tr2bl w:val="nil"/>
            </w:tcBorders>
            <w:vAlign w:val="center"/>
          </w:tcPr>
          <w:p>
            <w:pPr>
              <w:pStyle w:val="17"/>
              <w:bidi w:val="0"/>
              <w:rPr>
                <w:rFonts w:hint="default"/>
              </w:rPr>
            </w:pPr>
            <w:r>
              <w:rPr>
                <w:rFonts w:hint="default"/>
              </w:rPr>
              <w:t>监测点位数（）</w:t>
            </w:r>
          </w:p>
        </w:tc>
        <w:tc>
          <w:tcPr>
            <w:tcW w:w="1213" w:type="dxa"/>
            <w:gridSpan w:val="3"/>
            <w:tcBorders>
              <w:tl2br w:val="nil"/>
              <w:tr2bl w:val="nil"/>
            </w:tcBorders>
            <w:vAlign w:val="center"/>
          </w:tcPr>
          <w:p>
            <w:pPr>
              <w:pStyle w:val="17"/>
              <w:bidi w:val="0"/>
              <w:rPr>
                <w:rFonts w:hint="default"/>
              </w:rPr>
            </w:pPr>
            <w:r>
              <w:rPr>
                <w:rFonts w:hint="default"/>
              </w:rPr>
              <w:t>无监测</w:t>
            </w:r>
            <w:r>
              <w:rPr>
                <w:rFonts w:hint="default"/>
              </w:rPr>
              <w:sym w:font="Wingdings" w:char="00FE"/>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restart"/>
            <w:tcBorders>
              <w:tl2br w:val="nil"/>
              <w:tr2bl w:val="nil"/>
            </w:tcBorders>
            <w:vAlign w:val="center"/>
          </w:tcPr>
          <w:p>
            <w:pPr>
              <w:pStyle w:val="17"/>
              <w:bidi w:val="0"/>
              <w:rPr>
                <w:rFonts w:hint="default"/>
              </w:rPr>
            </w:pPr>
            <w:r>
              <w:rPr>
                <w:rFonts w:hint="default"/>
              </w:rPr>
              <w:t>评价结论</w:t>
            </w:r>
          </w:p>
        </w:tc>
        <w:tc>
          <w:tcPr>
            <w:tcW w:w="1691" w:type="dxa"/>
            <w:tcBorders>
              <w:tl2br w:val="nil"/>
              <w:tr2bl w:val="nil"/>
            </w:tcBorders>
            <w:vAlign w:val="center"/>
          </w:tcPr>
          <w:p>
            <w:pPr>
              <w:pStyle w:val="17"/>
              <w:bidi w:val="0"/>
              <w:rPr>
                <w:rFonts w:hint="default"/>
              </w:rPr>
            </w:pPr>
            <w:r>
              <w:rPr>
                <w:rFonts w:hint="default"/>
              </w:rPr>
              <w:t>环境影响</w:t>
            </w:r>
          </w:p>
        </w:tc>
        <w:tc>
          <w:tcPr>
            <w:tcW w:w="6398" w:type="dxa"/>
            <w:gridSpan w:val="21"/>
            <w:tcBorders>
              <w:tl2br w:val="nil"/>
              <w:tr2bl w:val="nil"/>
            </w:tcBorders>
            <w:vAlign w:val="center"/>
          </w:tcPr>
          <w:p>
            <w:pPr>
              <w:pStyle w:val="17"/>
              <w:bidi w:val="0"/>
              <w:rPr>
                <w:rFonts w:hint="default"/>
              </w:rPr>
            </w:pPr>
            <w:r>
              <w:rPr>
                <w:rFonts w:hint="default"/>
              </w:rPr>
              <w:t>可以接受</w:t>
            </w:r>
            <w:r>
              <w:rPr>
                <w:rFonts w:hint="default"/>
              </w:rPr>
              <w:sym w:font="Wingdings" w:char="00FE"/>
            </w:r>
            <w:r>
              <w:rPr>
                <w:rFonts w:hint="default"/>
              </w:rPr>
              <w:t xml:space="preserve">       不可以接受 </w:t>
            </w:r>
            <w:r>
              <w:rPr>
                <w:rFonts w:hint="default"/>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continue"/>
            <w:tcBorders>
              <w:tl2br w:val="nil"/>
              <w:tr2bl w:val="nil"/>
            </w:tcBorders>
            <w:vAlign w:val="center"/>
          </w:tcPr>
          <w:p>
            <w:pPr>
              <w:pStyle w:val="17"/>
              <w:bidi w:val="0"/>
              <w:rPr>
                <w:rFonts w:hint="default"/>
              </w:rPr>
            </w:pPr>
          </w:p>
        </w:tc>
        <w:tc>
          <w:tcPr>
            <w:tcW w:w="1691" w:type="dxa"/>
            <w:tcBorders>
              <w:tl2br w:val="nil"/>
              <w:tr2bl w:val="nil"/>
            </w:tcBorders>
            <w:vAlign w:val="center"/>
          </w:tcPr>
          <w:p>
            <w:pPr>
              <w:pStyle w:val="17"/>
              <w:bidi w:val="0"/>
              <w:rPr>
                <w:rFonts w:hint="default"/>
              </w:rPr>
            </w:pPr>
            <w:r>
              <w:rPr>
                <w:rFonts w:hint="default"/>
              </w:rPr>
              <w:t>大气环境防护距离</w:t>
            </w:r>
          </w:p>
        </w:tc>
        <w:tc>
          <w:tcPr>
            <w:tcW w:w="6398" w:type="dxa"/>
            <w:gridSpan w:val="21"/>
            <w:tcBorders>
              <w:tl2br w:val="nil"/>
              <w:tr2bl w:val="nil"/>
            </w:tcBorders>
            <w:vAlign w:val="center"/>
          </w:tcPr>
          <w:p>
            <w:pPr>
              <w:pStyle w:val="17"/>
              <w:bidi w:val="0"/>
              <w:rPr>
                <w:rFonts w:hint="default"/>
              </w:rPr>
            </w:pPr>
            <w:r>
              <w:rPr>
                <w:rFonts w:hint="default"/>
              </w:rPr>
              <w:t>距（四周）厂界最远（0）m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83" w:type="dxa"/>
            <w:vMerge w:val="continue"/>
            <w:tcBorders>
              <w:tl2br w:val="nil"/>
              <w:tr2bl w:val="nil"/>
            </w:tcBorders>
            <w:vAlign w:val="center"/>
          </w:tcPr>
          <w:p>
            <w:pPr>
              <w:pStyle w:val="17"/>
              <w:bidi w:val="0"/>
              <w:rPr>
                <w:rFonts w:hint="default"/>
              </w:rPr>
            </w:pPr>
          </w:p>
        </w:tc>
        <w:tc>
          <w:tcPr>
            <w:tcW w:w="1691" w:type="dxa"/>
            <w:tcBorders>
              <w:tl2br w:val="nil"/>
              <w:tr2bl w:val="nil"/>
            </w:tcBorders>
            <w:vAlign w:val="center"/>
          </w:tcPr>
          <w:p>
            <w:pPr>
              <w:pStyle w:val="17"/>
              <w:bidi w:val="0"/>
              <w:rPr>
                <w:rFonts w:hint="default"/>
              </w:rPr>
            </w:pPr>
            <w:r>
              <w:rPr>
                <w:rFonts w:hint="default"/>
              </w:rPr>
              <w:t>污染源年排放量</w:t>
            </w:r>
          </w:p>
        </w:tc>
        <w:tc>
          <w:tcPr>
            <w:tcW w:w="1730" w:type="dxa"/>
            <w:gridSpan w:val="4"/>
            <w:tcBorders>
              <w:tl2br w:val="nil"/>
              <w:tr2bl w:val="nil"/>
            </w:tcBorders>
            <w:vAlign w:val="center"/>
          </w:tcPr>
          <w:p>
            <w:pPr>
              <w:pStyle w:val="17"/>
              <w:bidi w:val="0"/>
              <w:rPr>
                <w:rFonts w:hint="default"/>
              </w:rPr>
            </w:pPr>
            <w:r>
              <w:rPr>
                <w:rFonts w:hint="default"/>
              </w:rPr>
              <w:t>SO2:（）t/a</w:t>
            </w:r>
          </w:p>
        </w:tc>
        <w:tc>
          <w:tcPr>
            <w:tcW w:w="1506" w:type="dxa"/>
            <w:gridSpan w:val="8"/>
            <w:tcBorders>
              <w:tl2br w:val="nil"/>
              <w:tr2bl w:val="nil"/>
            </w:tcBorders>
            <w:vAlign w:val="center"/>
          </w:tcPr>
          <w:p>
            <w:pPr>
              <w:pStyle w:val="17"/>
              <w:bidi w:val="0"/>
              <w:rPr>
                <w:rFonts w:hint="default"/>
              </w:rPr>
            </w:pPr>
            <w:r>
              <w:rPr>
                <w:rFonts w:hint="default"/>
              </w:rPr>
              <w:t>NOx:（）t/a</w:t>
            </w:r>
          </w:p>
        </w:tc>
        <w:tc>
          <w:tcPr>
            <w:tcW w:w="2041" w:type="dxa"/>
            <w:gridSpan w:val="7"/>
            <w:tcBorders>
              <w:tl2br w:val="nil"/>
              <w:tr2bl w:val="nil"/>
            </w:tcBorders>
            <w:vAlign w:val="center"/>
          </w:tcPr>
          <w:p>
            <w:pPr>
              <w:pStyle w:val="17"/>
              <w:bidi w:val="0"/>
              <w:rPr>
                <w:rFonts w:hint="default"/>
              </w:rPr>
            </w:pPr>
            <w:r>
              <w:rPr>
                <w:rFonts w:hint="default"/>
              </w:rPr>
              <w:t>颗粒物:（）t/a</w:t>
            </w:r>
          </w:p>
        </w:tc>
        <w:tc>
          <w:tcPr>
            <w:tcW w:w="1121" w:type="dxa"/>
            <w:gridSpan w:val="2"/>
            <w:tcBorders>
              <w:tl2br w:val="nil"/>
              <w:tr2bl w:val="nil"/>
            </w:tcBorders>
            <w:vAlign w:val="center"/>
          </w:tcPr>
          <w:p>
            <w:pPr>
              <w:pStyle w:val="17"/>
              <w:bidi w:val="0"/>
              <w:rPr>
                <w:rFonts w:hint="default"/>
              </w:rPr>
            </w:pPr>
            <w:r>
              <w:rPr>
                <w:rFonts w:hint="default"/>
              </w:rPr>
              <w:t>VOCs:（</w:t>
            </w:r>
            <w:r>
              <w:rPr>
                <w:rFonts w:hint="eastAsia"/>
                <w:lang w:val="en-US" w:eastAsia="zh-CN"/>
              </w:rPr>
              <w:t>1.634</w:t>
            </w:r>
            <w:r>
              <w:rPr>
                <w:rFonts w:hint="default"/>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9072" w:type="dxa"/>
            <w:gridSpan w:val="23"/>
            <w:tcBorders>
              <w:tl2br w:val="nil"/>
              <w:tr2bl w:val="nil"/>
            </w:tcBorders>
            <w:vAlign w:val="center"/>
          </w:tcPr>
          <w:p>
            <w:pPr>
              <w:pStyle w:val="17"/>
              <w:bidi w:val="0"/>
              <w:rPr>
                <w:rFonts w:hint="default"/>
              </w:rPr>
            </w:pPr>
            <w:r>
              <w:rPr>
                <w:rFonts w:hint="default"/>
              </w:rPr>
              <w:t>注：</w:t>
            </w:r>
            <w:r>
              <w:rPr>
                <w:rFonts w:hint="default"/>
                <w:lang w:eastAsia="zh-CN"/>
              </w:rPr>
              <w:t>“</w:t>
            </w:r>
            <w:r>
              <w:rPr>
                <w:rFonts w:hint="default"/>
              </w:rPr>
              <w:sym w:font="Wingdings" w:char="F0A8"/>
            </w:r>
            <w:r>
              <w:rPr>
                <w:rFonts w:hint="default"/>
                <w:lang w:eastAsia="zh-CN"/>
              </w:rPr>
              <w:t>”</w:t>
            </w:r>
            <w:r>
              <w:rPr>
                <w:rFonts w:hint="default"/>
              </w:rPr>
              <w:t>为勾选项 ，填</w:t>
            </w:r>
            <w:r>
              <w:rPr>
                <w:rFonts w:hint="default"/>
                <w:lang w:eastAsia="zh-CN"/>
              </w:rPr>
              <w:t>“</w:t>
            </w:r>
            <w:r>
              <w:rPr>
                <w:rFonts w:hint="default"/>
              </w:rPr>
              <w:t>√</w:t>
            </w:r>
            <w:r>
              <w:rPr>
                <w:rFonts w:hint="default"/>
                <w:lang w:eastAsia="zh-CN"/>
              </w:rPr>
              <w:t>”</w:t>
            </w:r>
            <w:r>
              <w:rPr>
                <w:rFonts w:hint="default"/>
              </w:rPr>
              <w:t>；</w:t>
            </w:r>
            <w:r>
              <w:rPr>
                <w:rFonts w:hint="default"/>
                <w:lang w:eastAsia="zh-CN"/>
              </w:rPr>
              <w:t>“</w:t>
            </w:r>
            <w:r>
              <w:rPr>
                <w:rFonts w:hint="default"/>
              </w:rPr>
              <w:t>（）</w:t>
            </w:r>
            <w:r>
              <w:rPr>
                <w:rFonts w:hint="default"/>
                <w:lang w:eastAsia="zh-CN"/>
              </w:rPr>
              <w:t>”</w:t>
            </w:r>
            <w:r>
              <w:rPr>
                <w:rFonts w:hint="default"/>
              </w:rPr>
              <w:t>为内容填写项</w:t>
            </w:r>
          </w:p>
        </w:tc>
      </w:tr>
    </w:tbl>
    <w:p>
      <w:pPr>
        <w:pStyle w:val="4"/>
        <w:bidi w:val="0"/>
        <w:rPr>
          <w:rFonts w:hint="default"/>
        </w:rPr>
      </w:pPr>
      <w:bookmarkStart w:id="204" w:name="_Toc23649"/>
      <w:r>
        <w:rPr>
          <w:rFonts w:hint="default"/>
        </w:rPr>
        <w:t>5.2</w:t>
      </w:r>
      <w:r>
        <w:rPr>
          <w:rFonts w:hint="eastAsia"/>
          <w:lang w:eastAsia="zh-CN"/>
        </w:rPr>
        <w:t>、</w:t>
      </w:r>
      <w:r>
        <w:rPr>
          <w:rFonts w:hint="default"/>
        </w:rPr>
        <w:t>水环境影响分析</w:t>
      </w:r>
      <w:bookmarkEnd w:id="203"/>
      <w:bookmarkEnd w:id="204"/>
    </w:p>
    <w:p>
      <w:pPr>
        <w:pStyle w:val="5"/>
        <w:bidi w:val="0"/>
        <w:rPr>
          <w:rFonts w:hint="default"/>
        </w:rPr>
      </w:pPr>
      <w:bookmarkStart w:id="205" w:name="_Toc31175"/>
      <w:r>
        <w:rPr>
          <w:rFonts w:hint="default"/>
        </w:rPr>
        <w:t>5.2.1</w:t>
      </w:r>
      <w:r>
        <w:rPr>
          <w:rFonts w:hint="eastAsia"/>
          <w:lang w:eastAsia="zh-CN"/>
        </w:rPr>
        <w:t>、</w:t>
      </w:r>
      <w:r>
        <w:rPr>
          <w:rFonts w:hint="default"/>
        </w:rPr>
        <w:t>对地表水环境影响分析</w:t>
      </w:r>
    </w:p>
    <w:p>
      <w:pPr>
        <w:pStyle w:val="6"/>
        <w:bidi w:val="0"/>
        <w:rPr>
          <w:rFonts w:hint="default"/>
        </w:rPr>
      </w:pPr>
      <w:r>
        <w:rPr>
          <w:rFonts w:hint="default"/>
        </w:rPr>
        <w:t>5.2.1.1</w:t>
      </w:r>
      <w:r>
        <w:rPr>
          <w:rFonts w:hint="eastAsia"/>
          <w:lang w:eastAsia="zh-CN"/>
        </w:rPr>
        <w:t>、</w:t>
      </w:r>
      <w:r>
        <w:rPr>
          <w:rFonts w:hint="default"/>
        </w:rPr>
        <w:t>生活污水</w:t>
      </w:r>
    </w:p>
    <w:p>
      <w:pPr>
        <w:bidi w:val="0"/>
        <w:rPr>
          <w:rFonts w:hint="default"/>
        </w:rPr>
      </w:pPr>
      <w:r>
        <w:rPr>
          <w:rFonts w:hint="default"/>
        </w:rPr>
        <w:t>生活污水排水量按用水量的80%计，则职工生活污水排水量为</w:t>
      </w:r>
      <w:r>
        <w:rPr>
          <w:rFonts w:hint="eastAsia"/>
          <w:lang w:val="en-US" w:eastAsia="zh-CN"/>
        </w:rPr>
        <w:t>3.36</w:t>
      </w:r>
      <w:r>
        <w:rPr>
          <w:rFonts w:hint="eastAsia"/>
          <w:lang w:eastAsia="zh-CN"/>
        </w:rPr>
        <w:t>m³</w:t>
      </w:r>
      <w:r>
        <w:rPr>
          <w:rFonts w:hint="default"/>
        </w:rPr>
        <w:t>/d（</w:t>
      </w:r>
      <w:r>
        <w:rPr>
          <w:rFonts w:hint="eastAsia"/>
          <w:lang w:val="en-US" w:eastAsia="zh-CN"/>
        </w:rPr>
        <w:t>1108.8</w:t>
      </w:r>
      <w:r>
        <w:rPr>
          <w:rFonts w:hint="eastAsia"/>
          <w:lang w:eastAsia="zh-CN"/>
        </w:rPr>
        <w:t>m³</w:t>
      </w:r>
      <w:r>
        <w:rPr>
          <w:rFonts w:hint="default"/>
        </w:rPr>
        <w:t>/a），其中厨房废水经隔油池处理，再同其他生活废水</w:t>
      </w:r>
      <w:r>
        <w:rPr>
          <w:rFonts w:hint="eastAsia"/>
          <w:lang w:val="en-US" w:eastAsia="zh-CN"/>
        </w:rPr>
        <w:t>通过化粪池预处理后，抽运至吉木萨尔二工镇污水处理厂</w:t>
      </w:r>
      <w:r>
        <w:rPr>
          <w:rFonts w:hint="default"/>
        </w:rPr>
        <w:t>。</w:t>
      </w:r>
    </w:p>
    <w:p>
      <w:pPr>
        <w:pStyle w:val="6"/>
        <w:bidi w:val="0"/>
        <w:rPr>
          <w:rFonts w:hint="default"/>
        </w:rPr>
      </w:pPr>
      <w:r>
        <w:rPr>
          <w:rFonts w:hint="default"/>
        </w:rPr>
        <w:t>5.2.1.2</w:t>
      </w:r>
      <w:r>
        <w:rPr>
          <w:rFonts w:hint="eastAsia"/>
          <w:lang w:eastAsia="zh-CN"/>
        </w:rPr>
        <w:t>、</w:t>
      </w:r>
      <w:r>
        <w:rPr>
          <w:rFonts w:hint="default"/>
        </w:rPr>
        <w:t>生产废水</w:t>
      </w:r>
    </w:p>
    <w:p>
      <w:pPr>
        <w:bidi w:val="0"/>
        <w:rPr>
          <w:rFonts w:hint="default"/>
        </w:rPr>
      </w:pPr>
      <w:r>
        <w:rPr>
          <w:rFonts w:hint="default"/>
        </w:rPr>
        <w:t>企业定期对生产车间地面进行冲洗，清洗过程不使用清洗剂，排水量为0.15</w:t>
      </w:r>
      <w:r>
        <w:rPr>
          <w:rFonts w:hint="eastAsia"/>
          <w:lang w:eastAsia="zh-CN"/>
        </w:rPr>
        <w:t>m³</w:t>
      </w:r>
      <w:r>
        <w:rPr>
          <w:rFonts w:hint="default"/>
        </w:rPr>
        <w:t>/d（</w:t>
      </w:r>
      <w:r>
        <w:rPr>
          <w:rFonts w:hint="eastAsia"/>
          <w:lang w:val="en-US" w:eastAsia="zh-CN"/>
        </w:rPr>
        <w:t>49.5</w:t>
      </w:r>
      <w:r>
        <w:rPr>
          <w:rFonts w:hint="default"/>
        </w:rPr>
        <w:t>t/a），冲洗水经循环沉淀池（过滤沉淀）处理后作为原料清洗水使用。</w:t>
      </w:r>
    </w:p>
    <w:p>
      <w:pPr>
        <w:bidi w:val="0"/>
        <w:rPr>
          <w:rFonts w:hint="default"/>
        </w:rPr>
      </w:pPr>
      <w:r>
        <w:rPr>
          <w:rFonts w:hint="default"/>
        </w:rPr>
        <w:t>原料清洗废水</w:t>
      </w:r>
      <w:r>
        <w:rPr>
          <w:rFonts w:hint="eastAsia"/>
          <w:lang w:val="en-US" w:eastAsia="zh-CN"/>
        </w:rPr>
        <w:t>46.2</w:t>
      </w:r>
      <w:r>
        <w:rPr>
          <w:rFonts w:hint="default"/>
        </w:rPr>
        <w:t>t/d（</w:t>
      </w:r>
      <w:r>
        <w:rPr>
          <w:rFonts w:hint="eastAsia"/>
          <w:lang w:val="en-US" w:eastAsia="zh-CN"/>
        </w:rPr>
        <w:t>15250</w:t>
      </w:r>
      <w:r>
        <w:rPr>
          <w:rFonts w:hint="default"/>
        </w:rPr>
        <w:t>t/a），排入循环沉淀池，</w:t>
      </w:r>
      <w:r>
        <w:rPr>
          <w:rFonts w:hint="default"/>
          <w:lang w:val="en-US"/>
        </w:rPr>
        <w:t>经</w:t>
      </w:r>
      <w:r>
        <w:rPr>
          <w:rFonts w:hint="default"/>
        </w:rPr>
        <w:t>沉淀</w:t>
      </w:r>
      <w:r>
        <w:rPr>
          <w:rFonts w:hint="default"/>
          <w:lang w:val="en-US" w:eastAsia="zh-CN"/>
        </w:rPr>
        <w:t>过滤</w:t>
      </w:r>
      <w:r>
        <w:rPr>
          <w:rFonts w:hint="default"/>
        </w:rPr>
        <w:t>处理后做为原料清洗水循环使用，不外排。</w:t>
      </w:r>
    </w:p>
    <w:p>
      <w:pPr>
        <w:bidi w:val="0"/>
        <w:rPr>
          <w:rFonts w:hint="default"/>
        </w:rPr>
      </w:pPr>
      <w:r>
        <w:rPr>
          <w:rFonts w:hint="default"/>
        </w:rPr>
        <w:t>破碎机喷淋废水：破碎机采用喷淋降尘措施，排水量为1.50t/d，排入循环沉淀池。</w:t>
      </w:r>
    </w:p>
    <w:p>
      <w:pPr>
        <w:pStyle w:val="6"/>
        <w:bidi w:val="0"/>
        <w:rPr>
          <w:rFonts w:hint="default"/>
        </w:rPr>
      </w:pPr>
      <w:r>
        <w:rPr>
          <w:rFonts w:hint="default"/>
        </w:rPr>
        <w:t>5.2.1.3</w:t>
      </w:r>
      <w:r>
        <w:rPr>
          <w:rFonts w:hint="eastAsia"/>
          <w:lang w:eastAsia="zh-CN"/>
        </w:rPr>
        <w:t>、</w:t>
      </w:r>
      <w:r>
        <w:rPr>
          <w:rFonts w:hint="default"/>
        </w:rPr>
        <w:t>地表水环境影响分析</w:t>
      </w:r>
    </w:p>
    <w:p>
      <w:pPr>
        <w:bidi w:val="0"/>
        <w:rPr>
          <w:rFonts w:hint="default"/>
        </w:rPr>
      </w:pPr>
      <w:r>
        <w:rPr>
          <w:rFonts w:hint="default"/>
        </w:rPr>
        <w:t>本项目生产废水主要为为原料清洗废水、车间冲洗废水、破碎机喷淋废水和螺旋挤压脱水机废水，由于滴灌带回收阶段为农产品全部秋收完毕后的最后清理阶段，滴灌带在农田停留时间较久，种植时残留的农药已基本降解完毕，项目清洗过程中不添加任何清洗剂，本项目废水水质类比同类项目生产废水水质，废水主要污染物为SS，生产废水经沉淀</w:t>
      </w:r>
      <w:r>
        <w:rPr>
          <w:rFonts w:hint="default"/>
          <w:lang w:val="en-US" w:eastAsia="zh-CN"/>
        </w:rPr>
        <w:t>过滤</w:t>
      </w:r>
      <w:r>
        <w:rPr>
          <w:rFonts w:hint="default"/>
        </w:rPr>
        <w:t>处理后排至循环沉淀池（容积为</w:t>
      </w:r>
      <w:r>
        <w:rPr>
          <w:rFonts w:hint="default"/>
          <w:lang w:val="en-US" w:eastAsia="zh-CN"/>
        </w:rPr>
        <w:t>6</w:t>
      </w:r>
      <w:r>
        <w:rPr>
          <w:rFonts w:hint="default"/>
        </w:rPr>
        <w:t>00</w:t>
      </w:r>
      <w:r>
        <w:rPr>
          <w:rFonts w:hint="eastAsia"/>
          <w:lang w:eastAsia="zh-CN"/>
        </w:rPr>
        <w:t>m³</w:t>
      </w:r>
      <w:r>
        <w:rPr>
          <w:rFonts w:hint="default"/>
        </w:rPr>
        <w:t>）循环使用，无生产外排废水。</w:t>
      </w:r>
    </w:p>
    <w:p>
      <w:pPr>
        <w:bidi w:val="0"/>
        <w:rPr>
          <w:rFonts w:hint="default" w:eastAsia="宋体"/>
          <w:lang w:val="en-US" w:eastAsia="zh-CN"/>
        </w:rPr>
      </w:pPr>
      <w:r>
        <w:rPr>
          <w:rFonts w:hint="default"/>
        </w:rPr>
        <w:t>本项目生产过程中原料清洗废水等生产废水均排入循环沉淀池，</w:t>
      </w:r>
      <w:r>
        <w:rPr>
          <w:rFonts w:hint="eastAsia"/>
          <w:lang w:val="en-US" w:eastAsia="zh-CN"/>
        </w:rPr>
        <w:t>首先</w:t>
      </w:r>
      <w:r>
        <w:rPr>
          <w:rFonts w:hint="default"/>
        </w:rPr>
        <w:t>采用沉淀工艺对污水进行沉淀处理，</w:t>
      </w:r>
      <w:r>
        <w:rPr>
          <w:rFonts w:hint="eastAsia"/>
          <w:lang w:val="en-US" w:eastAsia="zh-CN"/>
        </w:rPr>
        <w:t>沉淀后的上清液进入地埋式污水处理设施，通过气浮、生化处理后进一步净化，排入循环沉淀池继续循环使用。</w:t>
      </w:r>
    </w:p>
    <w:p>
      <w:pPr>
        <w:bidi w:val="0"/>
        <w:rPr>
          <w:rFonts w:hint="default"/>
        </w:rPr>
      </w:pPr>
      <w:r>
        <w:rPr>
          <w:rFonts w:hint="default"/>
        </w:rPr>
        <w:t>处理后的水作为原料清洗使用，不会进入地表水体。循环池为混凝土防渗水池，不会下渗，也不会溢流外排。故本项目循环水不外排是可行的。</w:t>
      </w:r>
    </w:p>
    <w:p>
      <w:pPr>
        <w:bidi w:val="0"/>
        <w:rPr>
          <w:rFonts w:hint="default"/>
        </w:rPr>
      </w:pPr>
      <w:r>
        <w:rPr>
          <w:rFonts w:hint="default"/>
        </w:rPr>
        <w:t>生活污水中餐饮废水经隔油池处理后</w:t>
      </w:r>
      <w:r>
        <w:rPr>
          <w:rFonts w:hint="eastAsia"/>
          <w:lang w:val="en-US" w:eastAsia="zh-CN"/>
        </w:rPr>
        <w:t>抽运至二工镇生活污水处理厂</w:t>
      </w:r>
      <w:r>
        <w:rPr>
          <w:rFonts w:hint="default"/>
        </w:rPr>
        <w:t>。</w:t>
      </w:r>
    </w:p>
    <w:p>
      <w:pPr>
        <w:bidi w:val="0"/>
        <w:rPr>
          <w:rFonts w:hint="default"/>
          <w:color w:val="0000FF"/>
          <w:lang w:val="en-US" w:eastAsia="zh-CN"/>
        </w:rPr>
      </w:pPr>
      <w:r>
        <w:rPr>
          <w:rFonts w:hint="eastAsia"/>
          <w:color w:val="0000FF"/>
          <w:lang w:val="en-US" w:eastAsia="zh-CN"/>
        </w:rPr>
        <w:t>根据调查可知，吉木萨尔县二工镇已建成0.2万m³/d的污水处理厂一座，位于北侧3km处，污水处理厂中心位置地理坐标为：N43°59'32.3"、E89°18'30.91"，出水水质达《城镇污水处理厂污染物排放标准》（GB18918-2002）表1中的1级A标准，其污水处理采用了“混凝沉淀+MA515一体化污水处理设备”工艺，污泥处理采用了“浓缩+双隔膜压滤机”脱水工艺，消毒采用了“紫外线”消毒工艺。目前实际处理规模约为120m³/d。出水处理厂出水用于灌溉的绿化带</w:t>
      </w:r>
      <w:r>
        <w:rPr>
          <w:rFonts w:hint="default"/>
          <w:color w:val="0000FF"/>
        </w:rPr>
        <w:t>。</w:t>
      </w:r>
    </w:p>
    <w:p>
      <w:pPr>
        <w:pStyle w:val="5"/>
        <w:bidi w:val="0"/>
        <w:rPr>
          <w:rFonts w:hint="default"/>
        </w:rPr>
      </w:pPr>
      <w:r>
        <w:rPr>
          <w:rFonts w:hint="default"/>
        </w:rPr>
        <w:t>5.2.2</w:t>
      </w:r>
      <w:r>
        <w:rPr>
          <w:rFonts w:hint="eastAsia"/>
          <w:lang w:eastAsia="zh-CN"/>
        </w:rPr>
        <w:t>、</w:t>
      </w:r>
      <w:r>
        <w:rPr>
          <w:rFonts w:hint="default"/>
        </w:rPr>
        <w:t>地下水环境影响分析</w:t>
      </w:r>
    </w:p>
    <w:p>
      <w:pPr>
        <w:bidi w:val="0"/>
        <w:rPr>
          <w:rFonts w:hint="default"/>
        </w:rPr>
      </w:pPr>
      <w:r>
        <w:rPr>
          <w:rFonts w:hint="default"/>
        </w:rPr>
        <w:t>根据《环境影响评价技术导则地下水环境》（HJ610-2016）本项目类别为Ⅲ类，项目的地下水环境敏感程度为不敏感，故评价等级为三级。本次预测采用解析法进行地下水影响分析与评价。</w:t>
      </w:r>
    </w:p>
    <w:p>
      <w:pPr>
        <w:pStyle w:val="6"/>
        <w:bidi w:val="0"/>
        <w:rPr>
          <w:rFonts w:hint="default"/>
        </w:rPr>
      </w:pPr>
      <w:r>
        <w:rPr>
          <w:rFonts w:hint="default"/>
        </w:rPr>
        <w:t>5.2.2.1</w:t>
      </w:r>
      <w:r>
        <w:rPr>
          <w:rFonts w:hint="eastAsia"/>
          <w:lang w:eastAsia="zh-CN"/>
        </w:rPr>
        <w:t>、</w:t>
      </w:r>
      <w:r>
        <w:rPr>
          <w:rFonts w:hint="default"/>
        </w:rPr>
        <w:t>正常状况下地下水影响</w:t>
      </w:r>
    </w:p>
    <w:p>
      <w:pPr>
        <w:bidi w:val="0"/>
        <w:rPr>
          <w:rFonts w:hint="default"/>
          <w:lang w:val="zh-CN"/>
        </w:rPr>
      </w:pPr>
      <w:r>
        <w:rPr>
          <w:rFonts w:hint="default"/>
          <w:lang w:val="zh-CN"/>
        </w:rPr>
        <w:t>正常情况下，项目严格按照报告中提出的</w:t>
      </w:r>
      <w:r>
        <w:rPr>
          <w:rFonts w:hint="eastAsia"/>
          <w:lang w:val="zh-CN"/>
        </w:rPr>
        <w:t>“</w:t>
      </w:r>
      <w:r>
        <w:rPr>
          <w:rFonts w:hint="default"/>
          <w:lang w:val="zh-CN"/>
        </w:rPr>
        <w:t>源头控制、分区防控、污染监控、应急响应</w:t>
      </w:r>
      <w:r>
        <w:rPr>
          <w:rFonts w:hint="eastAsia"/>
          <w:lang w:val="zh-CN"/>
        </w:rPr>
        <w:t>”</w:t>
      </w:r>
      <w:r>
        <w:rPr>
          <w:rFonts w:hint="default"/>
          <w:lang w:val="zh-CN"/>
        </w:rPr>
        <w:t>原则。根据本项目生产特点、废水性质及排放去向，本项目废水主要为</w:t>
      </w:r>
      <w:r>
        <w:rPr>
          <w:rFonts w:hint="default"/>
        </w:rPr>
        <w:t>生产</w:t>
      </w:r>
      <w:r>
        <w:rPr>
          <w:rFonts w:hint="default"/>
          <w:lang w:val="zh-CN"/>
        </w:rPr>
        <w:t>废水，废水量</w:t>
      </w:r>
      <w:r>
        <w:rPr>
          <w:rFonts w:hint="default"/>
        </w:rPr>
        <w:t>较</w:t>
      </w:r>
      <w:r>
        <w:rPr>
          <w:rFonts w:hint="default"/>
          <w:lang w:val="zh-CN"/>
        </w:rPr>
        <w:t>少，污染物简单，</w:t>
      </w:r>
      <w:r>
        <w:rPr>
          <w:rFonts w:hint="default"/>
        </w:rPr>
        <w:t>经厂内污水处理设施后全部回用于生产，不外排</w:t>
      </w:r>
      <w:r>
        <w:rPr>
          <w:rFonts w:hint="default"/>
          <w:lang w:val="zh-CN"/>
        </w:rPr>
        <w:t>。且本项目厂房和库房均采取了防渗设计，厂区内道路均为柏油路面。在防渗系统正常运行的情况下，本项目生产废水向地下渗透将得到很好的控制，不会对地下水质量造成功能类别的改变。</w:t>
      </w:r>
      <w:r>
        <w:rPr>
          <w:rFonts w:hint="eastAsia"/>
          <w:lang w:val="en-US" w:eastAsia="zh-CN"/>
        </w:rPr>
        <w:t>同时生活污水经密闭的地下水管网集中收集后排入污水处理厂进行后续处理，正常情况下，亦不会对地下水造成污染。</w:t>
      </w:r>
      <w:r>
        <w:rPr>
          <w:rFonts w:hint="default"/>
          <w:lang w:val="zh-CN"/>
        </w:rPr>
        <w:t>按照《环境影响评价技术导则地下水环境》（HJ610-2016）要求：</w:t>
      </w:r>
      <w:r>
        <w:rPr>
          <w:rFonts w:hint="eastAsia"/>
          <w:lang w:val="zh-CN"/>
        </w:rPr>
        <w:t>“</w:t>
      </w:r>
      <w:r>
        <w:rPr>
          <w:rFonts w:hint="default"/>
          <w:lang w:val="zh-CN"/>
        </w:rPr>
        <w:t>9.4.2已依据GB16889、GB18597、GB18598、GB18599、GB/T50934设计地下水污染防渗措施的建设项目，可不进行正常状况情景下的预测。</w:t>
      </w:r>
      <w:r>
        <w:rPr>
          <w:rFonts w:hint="eastAsia"/>
          <w:lang w:val="zh-CN"/>
        </w:rPr>
        <w:t>”</w:t>
      </w:r>
    </w:p>
    <w:p>
      <w:pPr>
        <w:bidi w:val="0"/>
        <w:rPr>
          <w:rFonts w:hint="default"/>
        </w:rPr>
      </w:pPr>
      <w:r>
        <w:rPr>
          <w:rFonts w:hint="default"/>
          <w:lang w:val="zh-CN"/>
        </w:rPr>
        <w:t>因此在正常状况下，在做好各区域防渗的基础上，不会对场地地下包气带及地下水环境造成影响。</w:t>
      </w:r>
    </w:p>
    <w:p>
      <w:pPr>
        <w:pStyle w:val="6"/>
        <w:bidi w:val="0"/>
        <w:rPr>
          <w:rFonts w:hint="default"/>
        </w:rPr>
      </w:pPr>
      <w:r>
        <w:rPr>
          <w:rFonts w:hint="default"/>
        </w:rPr>
        <w:t>5.2.2.2</w:t>
      </w:r>
      <w:r>
        <w:rPr>
          <w:rFonts w:hint="eastAsia"/>
          <w:lang w:eastAsia="zh-CN"/>
        </w:rPr>
        <w:t>、</w:t>
      </w:r>
      <w:r>
        <w:rPr>
          <w:rFonts w:hint="default"/>
        </w:rPr>
        <w:t>非正常状况下地下水影响</w:t>
      </w:r>
    </w:p>
    <w:p>
      <w:pPr>
        <w:bidi w:val="0"/>
        <w:rPr>
          <w:rFonts w:hint="default"/>
        </w:rPr>
      </w:pPr>
      <w:r>
        <w:rPr>
          <w:rFonts w:hint="eastAsia"/>
          <w:lang w:eastAsia="zh-CN"/>
        </w:rPr>
        <w:t>（</w:t>
      </w:r>
      <w:r>
        <w:rPr>
          <w:rFonts w:hint="eastAsia"/>
          <w:lang w:val="en-US" w:eastAsia="zh-CN"/>
        </w:rPr>
        <w:t>1</w:t>
      </w:r>
      <w:r>
        <w:rPr>
          <w:rFonts w:hint="eastAsia"/>
          <w:lang w:eastAsia="zh-CN"/>
        </w:rPr>
        <w:t>）</w:t>
      </w:r>
      <w:r>
        <w:rPr>
          <w:rFonts w:hint="default"/>
        </w:rPr>
        <w:t>影响途径</w:t>
      </w:r>
    </w:p>
    <w:p>
      <w:pPr>
        <w:bidi w:val="0"/>
        <w:rPr>
          <w:rFonts w:hint="default"/>
        </w:rPr>
      </w:pPr>
      <w:r>
        <w:rPr>
          <w:rFonts w:hint="default"/>
        </w:rPr>
        <w:t>考虑到非正常情况下，建设项目的工艺设备或地下水环境保护措施因系统老化、腐蚀等原因不能正常运行或保护效果达不到设计要求时的运行状况，导致污水或物料</w:t>
      </w:r>
      <w:r>
        <w:rPr>
          <w:rFonts w:hint="eastAsia"/>
          <w:lang w:eastAsia="zh-CN"/>
        </w:rPr>
        <w:t>“</w:t>
      </w:r>
      <w:r>
        <w:rPr>
          <w:rFonts w:hint="default"/>
        </w:rPr>
        <w:t>跑冒滴漏</w:t>
      </w:r>
      <w:r>
        <w:rPr>
          <w:rFonts w:hint="eastAsia"/>
          <w:lang w:eastAsia="zh-CN"/>
        </w:rPr>
        <w:t>”</w:t>
      </w:r>
      <w:r>
        <w:rPr>
          <w:rFonts w:hint="default"/>
        </w:rPr>
        <w:t>对第四系松散岩类孔隙潜水的影响。</w:t>
      </w:r>
    </w:p>
    <w:p>
      <w:pPr>
        <w:bidi w:val="0"/>
        <w:rPr>
          <w:rFonts w:hint="default"/>
        </w:rPr>
      </w:pPr>
      <w:r>
        <w:rPr>
          <w:rFonts w:hint="default"/>
        </w:rPr>
        <w:t>（2）项目区地质资料</w:t>
      </w:r>
    </w:p>
    <w:p>
      <w:pPr>
        <w:bidi w:val="0"/>
        <w:rPr>
          <w:rFonts w:hint="default"/>
        </w:rPr>
      </w:pPr>
      <w:r>
        <w:rPr>
          <w:rFonts w:hint="default"/>
        </w:rPr>
        <w:t>根据土壤吸附实验相关资料：砂土对COD吸附作用较小，截留率约38%；对NH</w:t>
      </w:r>
      <w:r>
        <w:rPr>
          <w:rFonts w:hint="default"/>
          <w:vertAlign w:val="subscript"/>
        </w:rPr>
        <w:t>3</w:t>
      </w:r>
      <w:r>
        <w:rPr>
          <w:rFonts w:hint="default"/>
        </w:rPr>
        <w:t>-N吸附作用较强，截留率可达80%。亚粘土对COD吸附能力较强，截留率可达70%；对NH</w:t>
      </w:r>
      <w:r>
        <w:rPr>
          <w:rFonts w:hint="default"/>
          <w:vertAlign w:val="subscript"/>
        </w:rPr>
        <w:t>3</w:t>
      </w:r>
      <w:r>
        <w:rPr>
          <w:rFonts w:hint="default"/>
        </w:rPr>
        <w:t>-N吸附能力更强，截留率平均可达95%。该实验结果表明，当污水下渗时，由于包气带微生物降解作用不强，包气带厚度较小，仅靠土壤的吸附作用去除污水中的污染物是很有限的，虽然在污水下渗初期，经过包气带的吸附，污染物会在一定程度上降低，起到了对地下水污染的减缓作用，但其作用随着时间的推移，包气带土壤对污染物的吸附作用趋向饱和，吸附能力降低，污染物浓度增大至初始浓度，当环境容量饱和时，污染物就进入地下水，对地下水产生污染。</w:t>
      </w:r>
    </w:p>
    <w:p>
      <w:pPr>
        <w:bidi w:val="0"/>
        <w:rPr>
          <w:rFonts w:hint="default"/>
        </w:rPr>
      </w:pPr>
      <w:r>
        <w:rPr>
          <w:rFonts w:hint="default"/>
        </w:rPr>
        <w:t>根据现场调查，项目所在区域地下</w:t>
      </w:r>
      <w:r>
        <w:rPr>
          <w:rFonts w:hint="eastAsia"/>
          <w:lang w:val="en-US" w:eastAsia="zh-CN"/>
        </w:rPr>
        <w:t>潜</w:t>
      </w:r>
      <w:r>
        <w:rPr>
          <w:rFonts w:hint="default"/>
        </w:rPr>
        <w:t>水埋藏深度大于10m，富水性贫乏，项目区表层土为透水不含水层，地层干燥、包气带含水率极低。采用定性分析法评价污水对场地地下水环境的影响。</w:t>
      </w:r>
    </w:p>
    <w:p>
      <w:pPr>
        <w:bidi w:val="0"/>
        <w:rPr>
          <w:rFonts w:hint="default"/>
        </w:rPr>
      </w:pPr>
      <w:r>
        <w:rPr>
          <w:rFonts w:hint="default"/>
        </w:rPr>
        <w:t>（3）预测分析</w:t>
      </w:r>
    </w:p>
    <w:p>
      <w:pPr>
        <w:bidi w:val="0"/>
        <w:rPr>
          <w:rFonts w:hint="default"/>
          <w:lang w:val="en-US" w:eastAsia="zh-CN"/>
        </w:rPr>
      </w:pPr>
      <w:r>
        <w:rPr>
          <w:rFonts w:hint="eastAsia"/>
          <w:lang w:val="en-US" w:eastAsia="zh-CN"/>
        </w:rPr>
        <w:t>①预测方法与参照标准</w:t>
      </w:r>
    </w:p>
    <w:p>
      <w:pPr>
        <w:bidi w:val="0"/>
        <w:rPr>
          <w:rFonts w:hint="eastAsia"/>
          <w:lang w:val="en-US" w:eastAsia="zh-CN"/>
        </w:rPr>
      </w:pPr>
      <w:r>
        <w:rPr>
          <w:rFonts w:hint="eastAsia"/>
          <w:lang w:val="en-US" w:eastAsia="zh-CN"/>
        </w:rPr>
        <w:t>根据《环评影响评价技术导则   地下水环境》（HJ610-2016），地下水环境影响评价三级评价中，采用解析法或类比法对地下水环境影响进行预测，由于项目区所在地含水层结构比较简单，结合项目实际情况，本次地下水环境影响预测采用解析法预测。</w:t>
      </w:r>
    </w:p>
    <w:p>
      <w:pPr>
        <w:bidi w:val="0"/>
        <w:rPr>
          <w:rFonts w:hint="eastAsia"/>
          <w:lang w:val="en-US" w:eastAsia="zh-CN"/>
        </w:rPr>
      </w:pPr>
      <w:r>
        <w:rPr>
          <w:rFonts w:hint="eastAsia"/>
          <w:lang w:val="en-US" w:eastAsia="zh-CN"/>
        </w:rPr>
        <w:t>②预测情景设置</w:t>
      </w:r>
    </w:p>
    <w:p>
      <w:pPr>
        <w:bidi w:val="0"/>
        <w:rPr>
          <w:rFonts w:hint="eastAsia"/>
          <w:lang w:val="en-US" w:eastAsia="zh-CN"/>
        </w:rPr>
      </w:pPr>
      <w:r>
        <w:rPr>
          <w:rFonts w:hint="eastAsia"/>
          <w:lang w:val="en-US" w:eastAsia="zh-CN"/>
        </w:rPr>
        <w:t>根据项目实际生产特点，结合工程分析相关内容，选取具有代表性的场景进行预测评价，选取生产废水循环沉淀池作为预测对象，循环沉淀池因材料老化等等原因损坏，生产废水发生泄露，7d后被巡检人员发现并采取措施，切断泄露源头。</w:t>
      </w:r>
    </w:p>
    <w:p>
      <w:pPr>
        <w:bidi w:val="0"/>
        <w:rPr>
          <w:rFonts w:hint="eastAsia"/>
          <w:lang w:val="en-US" w:eastAsia="zh-CN"/>
        </w:rPr>
      </w:pPr>
      <w:r>
        <w:rPr>
          <w:rFonts w:hint="eastAsia"/>
          <w:lang w:val="en-US" w:eastAsia="zh-CN"/>
        </w:rPr>
        <w:t>③模型概化与参数选择</w:t>
      </w:r>
    </w:p>
    <w:p>
      <w:pPr>
        <w:bidi w:val="0"/>
        <w:rPr>
          <w:rFonts w:hint="eastAsia"/>
          <w:lang w:val="en-US" w:eastAsia="zh-CN"/>
        </w:rPr>
      </w:pPr>
      <w:r>
        <w:rPr>
          <w:rFonts w:hint="eastAsia"/>
          <w:lang w:val="en-US" w:eastAsia="zh-CN"/>
        </w:rPr>
        <w:t>本项目建设场地的包气带土壤类型以沙土为主，渗透系数较大，当项目出现上述非正常工况时，含有污染物的生产废水将以入渗的方式进入含水层。</w:t>
      </w:r>
    </w:p>
    <w:p>
      <w:pPr>
        <w:bidi w:val="0"/>
        <w:rPr>
          <w:rFonts w:hint="default"/>
        </w:rPr>
      </w:pPr>
      <w:r>
        <w:rPr>
          <w:rFonts w:hint="default"/>
        </w:rPr>
        <w:t>对于事故工况下，假设污水以面源连续注入包气带直至潜水面，使得自地表至潜水面形成了连通的饱水通道。根据达西定律，估算污水到达含水层的时间。本项目场区潜水水位较浅，包气带厚度平均约为6m，垂直入渗系数大于1×10-4cm/s（0.8～1.76m/d），渗透性能极强，地表污染物较易下渗，所以包气带的防护条件较弱。</w:t>
      </w:r>
    </w:p>
    <w:p>
      <w:pPr>
        <w:bidi w:val="0"/>
        <w:rPr>
          <w:rFonts w:hint="default"/>
        </w:rPr>
      </w:pPr>
      <w:r>
        <w:rPr>
          <w:rFonts w:hint="default"/>
        </w:rPr>
        <w:t>根据达西公式：</w:t>
      </w:r>
    </w:p>
    <w:p>
      <w:pPr>
        <w:bidi w:val="0"/>
        <w:rPr>
          <w:rFonts w:hint="default"/>
        </w:rPr>
      </w:pPr>
      <w:r>
        <w:rPr>
          <w:rFonts w:hint="default"/>
        </w:rPr>
        <w:t>V=KI</w:t>
      </w:r>
    </w:p>
    <w:p>
      <w:pPr>
        <w:bidi w:val="0"/>
        <w:rPr>
          <w:rFonts w:hint="default"/>
        </w:rPr>
      </w:pPr>
      <w:r>
        <w:rPr>
          <w:rFonts w:hint="default"/>
        </w:rPr>
        <w:t>式中：V中：达西流速，即相对速度；</w:t>
      </w:r>
    </w:p>
    <w:p>
      <w:pPr>
        <w:bidi w:val="0"/>
        <w:rPr>
          <w:rFonts w:hint="default"/>
        </w:rPr>
      </w:pPr>
      <w:r>
        <w:rPr>
          <w:rFonts w:hint="default"/>
        </w:rPr>
        <w:t>K西流包气带的平均渗透系数；</w:t>
      </w:r>
    </w:p>
    <w:p>
      <w:pPr>
        <w:bidi w:val="0"/>
        <w:rPr>
          <w:rFonts w:hint="default"/>
        </w:rPr>
      </w:pPr>
      <w:r>
        <w:rPr>
          <w:rFonts w:hint="default"/>
        </w:rPr>
        <w:t>I气带水力坡度。</w:t>
      </w:r>
    </w:p>
    <w:p>
      <w:pPr>
        <w:bidi w:val="0"/>
        <w:rPr>
          <w:rFonts w:hint="default"/>
        </w:rPr>
      </w:pPr>
      <w:r>
        <w:rPr>
          <w:rFonts w:hint="default"/>
        </w:rPr>
        <w:t>随着时间的增大，水力梯度趋于1，即入渗速率趋于定值，数值上等于渗透系数K。</w:t>
      </w:r>
    </w:p>
    <w:p>
      <w:pPr>
        <w:bidi w:val="0"/>
        <w:rPr>
          <w:rFonts w:hint="default"/>
        </w:rPr>
      </w:pPr>
      <w:r>
        <w:rPr>
          <w:rFonts w:hint="default"/>
        </w:rPr>
        <w:t>水流实际流速为</w:t>
      </w:r>
    </w:p>
    <w:p>
      <w:pPr>
        <w:bidi w:val="0"/>
        <w:rPr>
          <w:rFonts w:hint="default"/>
        </w:rPr>
      </w:pPr>
      <w:r>
        <w:rPr>
          <w:rFonts w:hint="default"/>
        </w:rPr>
        <w:t>V′=V/n</w:t>
      </w:r>
    </w:p>
    <w:p>
      <w:pPr>
        <w:bidi w:val="0"/>
        <w:rPr>
          <w:rFonts w:hint="default"/>
        </w:rPr>
      </w:pPr>
      <w:r>
        <w:rPr>
          <w:rFonts w:hint="default"/>
        </w:rPr>
        <w:t>进而得到污水入渗到达地下10m的时间为</w:t>
      </w:r>
    </w:p>
    <w:p>
      <w:pPr>
        <w:bidi w:val="0"/>
        <w:rPr>
          <w:rFonts w:hint="default"/>
        </w:rPr>
      </w:pPr>
      <w:r>
        <w:rPr>
          <w:rFonts w:hint="default"/>
        </w:rPr>
        <w:t>T=M·n/V=1.39d</w:t>
      </w:r>
    </w:p>
    <w:p>
      <w:pPr>
        <w:bidi w:val="0"/>
        <w:rPr>
          <w:rFonts w:hint="default"/>
        </w:rPr>
      </w:pPr>
      <w:r>
        <w:rPr>
          <w:rFonts w:hint="default"/>
        </w:rPr>
        <w:t>式中：M——包气带厚度（米）；</w:t>
      </w:r>
    </w:p>
    <w:p>
      <w:pPr>
        <w:bidi w:val="0"/>
        <w:rPr>
          <w:rFonts w:hint="default"/>
        </w:rPr>
      </w:pPr>
      <w:r>
        <w:rPr>
          <w:rFonts w:hint="default"/>
        </w:rPr>
        <w:t>n——孔隙度；</w:t>
      </w:r>
    </w:p>
    <w:p>
      <w:pPr>
        <w:bidi w:val="0"/>
        <w:rPr>
          <w:rFonts w:hint="default"/>
        </w:rPr>
      </w:pPr>
      <w:r>
        <w:rPr>
          <w:rFonts w:hint="default"/>
        </w:rPr>
        <w:t>V——包气带平均速度（1.08m/d）。</w:t>
      </w:r>
    </w:p>
    <w:p>
      <w:pPr>
        <w:bidi w:val="0"/>
        <w:rPr>
          <w:rFonts w:hint="default"/>
        </w:rPr>
      </w:pPr>
      <w:r>
        <w:rPr>
          <w:rFonts w:hint="default"/>
        </w:rPr>
        <w:t>若</w:t>
      </w:r>
      <w:r>
        <w:rPr>
          <w:rFonts w:hint="eastAsia"/>
          <w:lang w:val="en-US" w:eastAsia="zh-CN"/>
        </w:rPr>
        <w:t>沉淀池</w:t>
      </w:r>
      <w:r>
        <w:rPr>
          <w:rFonts w:hint="default"/>
        </w:rPr>
        <w:t>废水发生渗漏，污染物33hr内穿过浅表包气带（6m以上地层），进入含水层，发生向下游方向的水平迁移。</w:t>
      </w:r>
    </w:p>
    <w:p>
      <w:pPr>
        <w:bidi w:val="0"/>
        <w:rPr>
          <w:rFonts w:hint="default"/>
        </w:rPr>
      </w:pPr>
      <w:r>
        <w:rPr>
          <w:rFonts w:hint="default"/>
        </w:rPr>
        <w:t>在非正常工况情景下污水发生渗漏，并且持续下渗1.39d污水能够穿透包气带，渗入到含水层，对地下水环境造成影响。</w:t>
      </w:r>
    </w:p>
    <w:p>
      <w:pPr>
        <w:bidi w:val="0"/>
        <w:rPr>
          <w:rFonts w:hint="eastAsia"/>
          <w:lang w:val="en-US" w:eastAsia="zh-CN"/>
        </w:rPr>
      </w:pPr>
      <w:r>
        <w:rPr>
          <w:rFonts w:hint="eastAsia"/>
          <w:lang w:val="en-US" w:eastAsia="zh-CN"/>
        </w:rPr>
        <w:t>当污染物经过1.39d穿透包气带进入含水层时，根据现场调查可知，项目区地下水位动态稳定，自西北向东南呈一维流动，故污染物在含水层中的迁移，可概化为示踪剂（平面瞬时点源）的一维稳定二维水动力弥散问题。当取平行水流动的方向为x轴正方向时，污染物浓度分布模型如下：</w:t>
      </w:r>
    </w:p>
    <w:p>
      <w:pPr>
        <w:bidi w:val="0"/>
        <w:rPr>
          <w:rFonts w:hint="default"/>
          <w:lang w:val="en-US" w:eastAsia="zh-CN"/>
        </w:rPr>
      </w:pPr>
      <w:r>
        <w:rPr>
          <w:rFonts w:hint="eastAsia"/>
          <w:lang w:val="en-US" w:eastAsia="zh-CN"/>
        </w:rPr>
        <w:t>C（x，y，t）=</w:t>
      </w:r>
      <w:r>
        <w:rPr>
          <w:rFonts w:hint="eastAsia" w:cs="Times New Roman"/>
          <w:color w:val="0000FF"/>
          <w:position w:val="-34"/>
          <w:szCs w:val="24"/>
          <w:lang w:val="en-US" w:eastAsia="zh-CN"/>
        </w:rPr>
        <w:object>
          <v:shape id="_x0000_i1035" o:spt="75" type="#_x0000_t75" style="height:42.95pt;width:128pt;" o:ole="t" filled="f" o:preferrelative="t" stroked="f" coordsize="21600,21600">
            <v:path/>
            <v:fill on="f" focussize="0,0"/>
            <v:stroke on="f"/>
            <v:imagedata r:id="rId43" o:title=""/>
            <o:lock v:ext="edit" aspectratio="t"/>
            <w10:wrap type="none"/>
            <w10:anchorlock/>
          </v:shape>
          <o:OLEObject Type="Embed" ProgID="Equation.KSEE3" ShapeID="_x0000_i1035" DrawAspect="Content" ObjectID="_1468075735" r:id="rId42">
            <o:LockedField>false</o:LockedField>
          </o:OLEObject>
        </w:object>
      </w:r>
    </w:p>
    <w:p>
      <w:pPr>
        <w:bidi w:val="0"/>
        <w:rPr>
          <w:rFonts w:hint="eastAsia"/>
          <w:lang w:val="en-US" w:eastAsia="zh-CN"/>
        </w:rPr>
      </w:pPr>
      <w:r>
        <w:rPr>
          <w:rFonts w:hint="eastAsia"/>
          <w:lang w:val="en-US" w:eastAsia="zh-CN"/>
        </w:rPr>
        <w:t>式中：</w:t>
      </w:r>
    </w:p>
    <w:p>
      <w:pPr>
        <w:bidi w:val="0"/>
        <w:rPr>
          <w:rFonts w:hint="eastAsia"/>
          <w:lang w:val="en-US" w:eastAsia="zh-CN"/>
        </w:rPr>
      </w:pPr>
      <w:r>
        <w:rPr>
          <w:rFonts w:hint="eastAsia"/>
          <w:lang w:val="en-US" w:eastAsia="zh-CN"/>
        </w:rPr>
        <w:t>x，y—计算点处的位置坐标；</w:t>
      </w:r>
    </w:p>
    <w:p>
      <w:pPr>
        <w:bidi w:val="0"/>
        <w:rPr>
          <w:rFonts w:hint="eastAsia"/>
          <w:lang w:val="en-US" w:eastAsia="zh-CN"/>
        </w:rPr>
      </w:pPr>
      <w:r>
        <w:rPr>
          <w:rFonts w:hint="eastAsia"/>
          <w:lang w:val="en-US" w:eastAsia="zh-CN"/>
        </w:rPr>
        <w:t>t—时间，d；</w:t>
      </w:r>
    </w:p>
    <w:p>
      <w:pPr>
        <w:bidi w:val="0"/>
        <w:rPr>
          <w:rFonts w:hint="eastAsia"/>
          <w:lang w:val="en-US" w:eastAsia="zh-CN"/>
        </w:rPr>
      </w:pPr>
      <w:r>
        <w:rPr>
          <w:rFonts w:hint="eastAsia"/>
          <w:lang w:val="en-US" w:eastAsia="zh-CN"/>
        </w:rPr>
        <w:t>C（x，y，t）—t时刻点，x，y处的示踪剂浓度，g/L；</w:t>
      </w:r>
    </w:p>
    <w:p>
      <w:pPr>
        <w:bidi w:val="0"/>
        <w:rPr>
          <w:rFonts w:hint="default"/>
          <w:lang w:val="en-US" w:eastAsia="zh-CN"/>
        </w:rPr>
      </w:pPr>
      <w:r>
        <w:rPr>
          <w:rFonts w:hint="eastAsia"/>
          <w:lang w:val="en-US" w:eastAsia="zh-CN"/>
        </w:rPr>
        <w:t>M—承压含水层厚度，m；</w:t>
      </w:r>
    </w:p>
    <w:p>
      <w:pPr>
        <w:bidi w:val="0"/>
        <w:rPr>
          <w:rFonts w:hint="eastAsia"/>
          <w:lang w:val="en-US" w:eastAsia="zh-CN"/>
        </w:rPr>
      </w:pPr>
      <w:r>
        <w:rPr>
          <w:rFonts w:hint="eastAsia"/>
          <w:lang w:val="en-US" w:eastAsia="zh-CN"/>
        </w:rPr>
        <w:t>mM—长度为M的线源瞬时注入的示踪剂质量，kg；</w:t>
      </w:r>
    </w:p>
    <w:p>
      <w:pPr>
        <w:bidi w:val="0"/>
        <w:rPr>
          <w:rFonts w:hint="eastAsia"/>
          <w:lang w:val="en-US" w:eastAsia="zh-CN"/>
        </w:rPr>
      </w:pPr>
      <w:r>
        <w:rPr>
          <w:rFonts w:hint="eastAsia"/>
          <w:lang w:val="en-US" w:eastAsia="zh-CN"/>
        </w:rPr>
        <w:t>u—水流速度，m/d</w:t>
      </w:r>
    </w:p>
    <w:p>
      <w:pPr>
        <w:bidi w:val="0"/>
        <w:rPr>
          <w:rFonts w:hint="eastAsia"/>
          <w:lang w:val="en-US" w:eastAsia="zh-CN"/>
        </w:rPr>
      </w:pPr>
      <w:r>
        <w:rPr>
          <w:rFonts w:hint="eastAsia"/>
          <w:lang w:val="en-US" w:eastAsia="zh-CN"/>
        </w:rPr>
        <w:t>ne—有效孔隙度，无量纲；</w:t>
      </w:r>
    </w:p>
    <w:p>
      <w:pPr>
        <w:bidi w:val="0"/>
        <w:rPr>
          <w:rFonts w:hint="eastAsia"/>
          <w:lang w:val="en-US" w:eastAsia="zh-CN"/>
        </w:rPr>
      </w:pPr>
      <w:r>
        <w:rPr>
          <w:rFonts w:hint="eastAsia"/>
          <w:lang w:val="en-US" w:eastAsia="zh-CN"/>
        </w:rPr>
        <w:t>DL—纵向弥散系数，m²/d；</w:t>
      </w:r>
    </w:p>
    <w:p>
      <w:pPr>
        <w:bidi w:val="0"/>
        <w:rPr>
          <w:rFonts w:hint="default"/>
          <w:lang w:val="en-US" w:eastAsia="zh-CN"/>
        </w:rPr>
      </w:pPr>
      <w:r>
        <w:rPr>
          <w:rFonts w:hint="default"/>
          <w:lang w:val="en-US" w:eastAsia="zh-CN"/>
        </w:rPr>
        <w:t>DT—横向y方向的弥散系数，m²/d；</w:t>
      </w:r>
    </w:p>
    <w:p>
      <w:pPr>
        <w:bidi w:val="0"/>
        <w:rPr>
          <w:rFonts w:hint="default"/>
          <w:lang w:val="en-US" w:eastAsia="zh-CN"/>
        </w:rPr>
      </w:pPr>
      <w:r>
        <w:rPr>
          <w:rFonts w:hint="default"/>
          <w:lang w:val="en-US" w:eastAsia="zh-CN"/>
        </w:rPr>
        <w:t>π—圆周率。</w:t>
      </w:r>
    </w:p>
    <w:p>
      <w:pPr>
        <w:bidi w:val="0"/>
        <w:rPr>
          <w:rFonts w:hint="default"/>
          <w:lang w:val="en-US" w:eastAsia="zh-CN"/>
        </w:rPr>
      </w:pPr>
      <w:r>
        <w:rPr>
          <w:rFonts w:hint="default"/>
          <w:lang w:val="en-US" w:eastAsia="zh-CN"/>
        </w:rPr>
        <w:t>利用所选取的污染物迁移模型，能否取得对污染物迁移过程的合理预测，关键就在于模型参数的选取和确定是否正确合理。</w:t>
      </w:r>
    </w:p>
    <w:p>
      <w:pPr>
        <w:bidi w:val="0"/>
        <w:rPr>
          <w:rFonts w:hint="default"/>
          <w:lang w:val="en-US" w:eastAsia="zh-CN"/>
        </w:rPr>
      </w:pPr>
      <w:r>
        <w:rPr>
          <w:rFonts w:hint="default"/>
          <w:lang w:val="en-US" w:eastAsia="zh-CN"/>
        </w:rPr>
        <w:t>本次预测所用的的主要参数有：含水层厚度M</w:t>
      </w:r>
      <w:r>
        <w:rPr>
          <w:rFonts w:hint="eastAsia"/>
          <w:lang w:val="en-US" w:eastAsia="zh-CN"/>
        </w:rPr>
        <w:t>；外泄污染物质量mM，岩层的有效孔隙度n，水流速度u，污染物纵向弥散系数DL，污染物横向弥散系数DT，这些参数由水文地质勘察和类比区域收集成果资料来获得，具体选取情况如下：</w:t>
      </w:r>
    </w:p>
    <w:p>
      <w:pPr>
        <w:bidi w:val="0"/>
        <w:rPr>
          <w:rFonts w:hint="default"/>
          <w:b/>
          <w:bCs/>
          <w:lang w:val="en-US" w:eastAsia="zh-CN"/>
        </w:rPr>
      </w:pPr>
      <w:r>
        <w:rPr>
          <w:rFonts w:hint="default"/>
          <w:b/>
          <w:bCs/>
          <w:lang w:val="en-US" w:eastAsia="zh-CN"/>
        </w:rPr>
        <w:t>含水层厚度M</w:t>
      </w:r>
    </w:p>
    <w:p>
      <w:pPr>
        <w:bidi w:val="0"/>
        <w:rPr>
          <w:rFonts w:hint="default"/>
          <w:lang w:val="en-US" w:eastAsia="zh-CN"/>
        </w:rPr>
      </w:pPr>
      <w:r>
        <w:rPr>
          <w:rFonts w:hint="eastAsia"/>
          <w:lang w:val="en-US" w:eastAsia="zh-CN"/>
        </w:rPr>
        <w:t>循环沉淀池地下水潜水含水层可概化为由沙土、粉土、粉质粘土组成的第四系松散岩类空隙含水层，可将其概化为一个含水层，概化后的含水层厚度根据以往的水文地质资料，本次含水层厚度以10m计。</w:t>
      </w:r>
    </w:p>
    <w:p>
      <w:pPr>
        <w:bidi w:val="0"/>
        <w:rPr>
          <w:rFonts w:hint="default"/>
          <w:b/>
          <w:bCs/>
          <w:lang w:val="en-US" w:eastAsia="zh-CN"/>
        </w:rPr>
      </w:pPr>
      <w:r>
        <w:rPr>
          <w:rFonts w:hint="eastAsia"/>
          <w:b/>
          <w:bCs/>
          <w:lang w:val="en-US" w:eastAsia="zh-CN"/>
        </w:rPr>
        <w:t>假设泄露的污染物质量mM</w:t>
      </w:r>
    </w:p>
    <w:p>
      <w:pPr>
        <w:bidi w:val="0"/>
        <w:rPr>
          <w:rFonts w:hint="eastAsia"/>
          <w:lang w:val="en-US" w:eastAsia="zh-CN"/>
        </w:rPr>
      </w:pPr>
      <w:r>
        <w:rPr>
          <w:rFonts w:hint="eastAsia"/>
          <w:lang w:val="en-US" w:eastAsia="zh-CN"/>
        </w:rPr>
        <w:t>本项目的沉淀池内沉淀水保有量最大值约为250m³，这部分生产废水主要源自洗管作业，其中绝大部分是泥沙，故生产废水污染污染物为COD和SS，参考类比同类型的滴灌带生产加工企业的清洗废水浓度，本项目生产废水COD浓度为90mg/L，SS浓度为110mg/L。假设出现一沉池破损，发生泄露，泄露水量为25m³/d，则7天共泄露清洗废水175m³。则可知，7d后泄露的CODmM为0.01575t。</w:t>
      </w:r>
    </w:p>
    <w:p>
      <w:pPr>
        <w:bidi w:val="0"/>
        <w:rPr>
          <w:rFonts w:hint="eastAsia"/>
          <w:lang w:val="en-US" w:eastAsia="zh-CN"/>
        </w:rPr>
      </w:pPr>
      <w:r>
        <w:rPr>
          <w:rFonts w:hint="eastAsia"/>
          <w:lang w:val="en-US" w:eastAsia="zh-CN"/>
        </w:rPr>
        <w:t>由于模拟预测的各项指标均取最大值，在模型计算过程中，将非正常状况泄露的污染物看作瞬时污染，并且假设泄露的污染物全部通过包气带进入含水层，显然，这样概化的计算结果更加保守。</w:t>
      </w:r>
    </w:p>
    <w:p>
      <w:pPr>
        <w:bidi w:val="0"/>
        <w:rPr>
          <w:rFonts w:hint="default"/>
          <w:b/>
          <w:bCs/>
          <w:lang w:val="en-US" w:eastAsia="zh-CN"/>
        </w:rPr>
      </w:pPr>
      <w:r>
        <w:rPr>
          <w:rFonts w:hint="eastAsia"/>
          <w:b/>
          <w:bCs/>
          <w:lang w:val="en-US" w:eastAsia="zh-CN"/>
        </w:rPr>
        <w:t>含水层的平均有效孔隙度n</w:t>
      </w:r>
    </w:p>
    <w:p>
      <w:pPr>
        <w:bidi w:val="0"/>
        <w:rPr>
          <w:rFonts w:hint="eastAsia"/>
          <w:lang w:val="en-US" w:eastAsia="zh-CN"/>
        </w:rPr>
      </w:pPr>
      <w:r>
        <w:rPr>
          <w:rFonts w:hint="eastAsia"/>
          <w:lang w:val="en-US" w:eastAsia="zh-CN"/>
        </w:rPr>
        <w:t>生产废水循环沉淀池以沙土、粉土为主，参考类比同区域土工实验数据，同时征求相关专家意见，取有效孔隙度n值为0.2。</w:t>
      </w:r>
    </w:p>
    <w:p>
      <w:pPr>
        <w:bidi w:val="0"/>
        <w:rPr>
          <w:rFonts w:hint="default"/>
          <w:b/>
          <w:bCs/>
          <w:lang w:val="en-US" w:eastAsia="zh-CN"/>
        </w:rPr>
      </w:pPr>
      <w:r>
        <w:rPr>
          <w:rFonts w:hint="eastAsia"/>
          <w:b/>
          <w:bCs/>
          <w:lang w:val="en-US" w:eastAsia="zh-CN"/>
        </w:rPr>
        <w:t>水流速度u</w:t>
      </w:r>
    </w:p>
    <w:p>
      <w:pPr>
        <w:bidi w:val="0"/>
        <w:rPr>
          <w:rFonts w:hint="eastAsia"/>
          <w:lang w:val="en-US" w:eastAsia="zh-CN"/>
        </w:rPr>
      </w:pPr>
      <w:r>
        <w:rPr>
          <w:rFonts w:hint="eastAsia"/>
          <w:lang w:val="en-US" w:eastAsia="zh-CN"/>
        </w:rPr>
        <w:t>根据项目区的最大渗透系数K=</w:t>
      </w:r>
      <w:r>
        <w:rPr>
          <w:rFonts w:hint="default"/>
        </w:rPr>
        <w:t>1×10</w:t>
      </w:r>
      <w:r>
        <w:rPr>
          <w:rFonts w:hint="default"/>
          <w:vertAlign w:val="superscript"/>
        </w:rPr>
        <w:t>-4</w:t>
      </w:r>
      <w:r>
        <w:rPr>
          <w:rFonts w:hint="default"/>
        </w:rPr>
        <w:t>cm/s</w:t>
      </w:r>
      <w:r>
        <w:rPr>
          <w:rFonts w:hint="eastAsia"/>
          <w:lang w:eastAsia="zh-CN"/>
        </w:rPr>
        <w:t>，</w:t>
      </w:r>
      <w:r>
        <w:rPr>
          <w:rFonts w:hint="eastAsia"/>
          <w:lang w:val="en-US" w:eastAsia="zh-CN"/>
        </w:rPr>
        <w:t>工作区的地下水水利坡度根据保守原则按照区域地下水流场情况，I取0.04%。</w:t>
      </w:r>
    </w:p>
    <w:p>
      <w:pPr>
        <w:bidi w:val="0"/>
        <w:rPr>
          <w:rFonts w:hint="eastAsia"/>
          <w:lang w:val="en-US" w:eastAsia="zh-CN"/>
        </w:rPr>
      </w:pPr>
      <w:r>
        <w:rPr>
          <w:rFonts w:hint="eastAsia"/>
          <w:lang w:val="en-US" w:eastAsia="zh-CN"/>
        </w:rPr>
        <w:t>渗流速度V=K×I=0.003456m/d</w:t>
      </w:r>
    </w:p>
    <w:p>
      <w:pPr>
        <w:bidi w:val="0"/>
        <w:rPr>
          <w:rFonts w:hint="default"/>
          <w:lang w:val="en-US" w:eastAsia="zh-CN"/>
        </w:rPr>
      </w:pPr>
      <w:r>
        <w:rPr>
          <w:rFonts w:hint="eastAsia"/>
          <w:lang w:val="en-US" w:eastAsia="zh-CN"/>
        </w:rPr>
        <w:t>u=V÷n=0.01728m/d</w:t>
      </w:r>
    </w:p>
    <w:p>
      <w:pPr>
        <w:bidi w:val="0"/>
        <w:rPr>
          <w:rFonts w:hint="eastAsia"/>
          <w:lang w:val="en-US" w:eastAsia="zh-CN"/>
        </w:rPr>
      </w:pPr>
      <w:r>
        <w:rPr>
          <w:rFonts w:hint="eastAsia"/>
          <w:lang w:val="en-US" w:eastAsia="zh-CN"/>
        </w:rPr>
        <w:t>纵向弥散系数DL</w:t>
      </w:r>
    </w:p>
    <w:p>
      <w:pPr>
        <w:bidi w:val="0"/>
        <w:rPr>
          <w:rFonts w:hint="default"/>
          <w:lang w:val="en-US" w:eastAsia="zh-CN"/>
        </w:rPr>
      </w:pPr>
      <w:r>
        <w:rPr>
          <w:rFonts w:hint="eastAsia"/>
          <w:lang w:val="en-US" w:eastAsia="zh-CN"/>
        </w:rPr>
        <w:t>结合弥散度和地下水流速利用公式估算评估区含水层中的纵向弥散系数：DL=0.007m²/d</w:t>
      </w:r>
    </w:p>
    <w:p>
      <w:pPr>
        <w:bidi w:val="0"/>
        <w:rPr>
          <w:rFonts w:hint="default"/>
          <w:lang w:val="en-US" w:eastAsia="zh-CN"/>
        </w:rPr>
      </w:pPr>
      <w:r>
        <w:rPr>
          <w:rFonts w:hint="eastAsia"/>
          <w:lang w:val="en-US" w:eastAsia="zh-CN"/>
        </w:rPr>
        <w:t>横向弥散系数DT</w:t>
      </w:r>
    </w:p>
    <w:p>
      <w:pPr>
        <w:bidi w:val="0"/>
        <w:rPr>
          <w:rFonts w:hint="eastAsia"/>
          <w:lang w:val="en-US" w:eastAsia="zh-CN"/>
        </w:rPr>
      </w:pPr>
      <w:r>
        <w:rPr>
          <w:rFonts w:hint="eastAsia"/>
          <w:lang w:val="en-US" w:eastAsia="zh-CN"/>
        </w:rPr>
        <w:t>根据一般经验公式，DT/DL=0.1，因此可求得DT=0.0007m²/d</w:t>
      </w:r>
    </w:p>
    <w:p>
      <w:pPr>
        <w:bidi w:val="0"/>
        <w:rPr>
          <w:rFonts w:hint="eastAsia"/>
          <w:lang w:val="en-US" w:eastAsia="zh-CN"/>
        </w:rPr>
      </w:pPr>
      <w:r>
        <w:rPr>
          <w:rFonts w:hint="eastAsia"/>
          <w:lang w:val="en-US" w:eastAsia="zh-CN"/>
        </w:rPr>
        <w:t>④地下水环境影响预测</w:t>
      </w:r>
    </w:p>
    <w:p>
      <w:pPr>
        <w:bidi w:val="0"/>
        <w:rPr>
          <w:rFonts w:hint="eastAsia"/>
          <w:lang w:val="en-US" w:eastAsia="zh-CN"/>
        </w:rPr>
      </w:pPr>
      <w:r>
        <w:rPr>
          <w:rFonts w:hint="eastAsia"/>
          <w:lang w:val="en-US" w:eastAsia="zh-CN"/>
        </w:rPr>
        <w:t>将本次预测所用的模型进行转换后可得；</w:t>
      </w:r>
    </w:p>
    <w:p>
      <w:pPr>
        <w:bidi w:val="0"/>
        <w:rPr>
          <w:rFonts w:hint="default"/>
          <w:lang w:val="en-US" w:eastAsia="zh-CN"/>
        </w:rPr>
      </w:pPr>
      <w:r>
        <w:rPr>
          <w:rFonts w:hint="default" w:cs="Times New Roman"/>
          <w:color w:val="0000FF"/>
          <w:position w:val="-36"/>
          <w:szCs w:val="24"/>
          <w:lang w:val="en-US" w:eastAsia="zh-CN"/>
        </w:rPr>
        <w:object>
          <v:shape id="_x0000_i1036" o:spt="75" type="#_x0000_t75" style="height:42pt;width:251pt;" o:ole="t" filled="f" o:preferrelative="t" stroked="f" coordsize="21600,21600">
            <v:path/>
            <v:fill on="f" focussize="0,0"/>
            <v:stroke on="f"/>
            <v:imagedata r:id="rId45" o:title=""/>
            <o:lock v:ext="edit" aspectratio="t"/>
            <w10:wrap type="none"/>
            <w10:anchorlock/>
          </v:shape>
          <o:OLEObject Type="Embed" ProgID="Equation.KSEE3" ShapeID="_x0000_i1036" DrawAspect="Content" ObjectID="_1468075736" r:id="rId44">
            <o:LockedField>false</o:LockedField>
          </o:OLEObject>
        </w:object>
      </w:r>
    </w:p>
    <w:p>
      <w:pPr>
        <w:bidi w:val="0"/>
        <w:rPr>
          <w:rFonts w:hint="eastAsia"/>
          <w:lang w:val="en-US" w:eastAsia="zh-CN"/>
        </w:rPr>
      </w:pPr>
      <w:r>
        <w:rPr>
          <w:rFonts w:hint="eastAsia"/>
          <w:lang w:val="en-US" w:eastAsia="zh-CN"/>
        </w:rPr>
        <w:t>由上式可知，当污染物瞬时排放后，在一定的时间内，同浓度的等值线为一椭圆，即污染物以椭圆形扩散，椭圆的圆心随时间延x轴推移。将确定的参数带入预测模型公式中，便可求出含水层任何坐标、任何时刻的污染物分布情况，在非正常状况的条件下对污染物的运移范围，相对泄漏点的最大距离进行预测。</w:t>
      </w:r>
    </w:p>
    <w:p>
      <w:pPr>
        <w:bidi w:val="0"/>
        <w:rPr>
          <w:rFonts w:hint="default"/>
          <w:lang w:val="en-US" w:eastAsia="zh-CN"/>
        </w:rPr>
      </w:pPr>
      <w:r>
        <w:rPr>
          <w:rFonts w:hint="eastAsia"/>
          <w:lang w:val="en-US" w:eastAsia="zh-CN"/>
        </w:rPr>
        <w:t>将COD泄漏量及其他参数带入预测模型，便可求出含水层一维平面下不同位置、任何时刻的COD的贡献浓度情况，COD随时间对地下水的影响见表5.2-1，同时将泄漏点10m处5000d内的浓度变化绘于图5.2-1。</w:t>
      </w:r>
    </w:p>
    <w:p>
      <w:pPr>
        <w:pStyle w:val="17"/>
        <w:bidi w:val="0"/>
        <w:rPr>
          <w:rFonts w:hint="eastAsia"/>
          <w:b/>
          <w:bCs/>
          <w:lang w:val="en-US" w:eastAsia="zh-CN"/>
        </w:rPr>
      </w:pPr>
      <w:r>
        <w:rPr>
          <w:rFonts w:hint="eastAsia"/>
          <w:b/>
          <w:bCs/>
          <w:lang w:val="en-US" w:eastAsia="zh-CN"/>
        </w:rPr>
        <w:t>表5.2-1   地下水中COD影响和超标范围</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3024"/>
        <w:gridCol w:w="3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023" w:type="dxa"/>
            <w:tcBorders>
              <w:tl2br w:val="nil"/>
              <w:tr2bl w:val="nil"/>
            </w:tcBorders>
            <w:vAlign w:val="center"/>
          </w:tcPr>
          <w:p>
            <w:pPr>
              <w:pStyle w:val="17"/>
              <w:bidi w:val="0"/>
              <w:rPr>
                <w:rFonts w:hint="default"/>
                <w:b/>
                <w:bCs/>
                <w:lang w:val="en-US" w:eastAsia="zh-CN"/>
              </w:rPr>
            </w:pPr>
            <w:r>
              <w:rPr>
                <w:rFonts w:hint="eastAsia"/>
                <w:b/>
                <w:bCs/>
                <w:lang w:val="en-US" w:eastAsia="zh-CN"/>
              </w:rPr>
              <w:t>预测时间（d）</w:t>
            </w:r>
          </w:p>
        </w:tc>
        <w:tc>
          <w:tcPr>
            <w:tcW w:w="3024" w:type="dxa"/>
            <w:tcBorders>
              <w:tl2br w:val="nil"/>
              <w:tr2bl w:val="nil"/>
            </w:tcBorders>
            <w:vAlign w:val="center"/>
          </w:tcPr>
          <w:p>
            <w:pPr>
              <w:pStyle w:val="17"/>
              <w:bidi w:val="0"/>
              <w:rPr>
                <w:rFonts w:hint="default"/>
                <w:b/>
                <w:bCs/>
                <w:lang w:val="en-US" w:eastAsia="zh-CN"/>
              </w:rPr>
            </w:pPr>
            <w:r>
              <w:rPr>
                <w:rFonts w:hint="eastAsia"/>
                <w:b/>
                <w:bCs/>
                <w:lang w:val="en-US" w:eastAsia="zh-CN"/>
              </w:rPr>
              <w:t>最远超标距离（10.0mg/L）</w:t>
            </w:r>
          </w:p>
        </w:tc>
        <w:tc>
          <w:tcPr>
            <w:tcW w:w="3024" w:type="dxa"/>
            <w:tcBorders>
              <w:tl2br w:val="nil"/>
              <w:tr2bl w:val="nil"/>
            </w:tcBorders>
            <w:vAlign w:val="center"/>
          </w:tcPr>
          <w:p>
            <w:pPr>
              <w:pStyle w:val="17"/>
              <w:bidi w:val="0"/>
              <w:rPr>
                <w:rFonts w:hint="default"/>
                <w:b/>
                <w:bCs/>
                <w:lang w:val="en-US" w:eastAsia="zh-CN"/>
              </w:rPr>
            </w:pPr>
            <w:r>
              <w:rPr>
                <w:rFonts w:hint="eastAsia"/>
                <w:b/>
                <w:bCs/>
                <w:lang w:val="en-US" w:eastAsia="zh-CN"/>
              </w:rPr>
              <w:t>最远影响距离（0.5mg/L）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023" w:type="dxa"/>
            <w:tcBorders>
              <w:tl2br w:val="nil"/>
              <w:tr2bl w:val="nil"/>
            </w:tcBorders>
            <w:vAlign w:val="center"/>
          </w:tcPr>
          <w:p>
            <w:pPr>
              <w:pStyle w:val="17"/>
              <w:bidi w:val="0"/>
              <w:rPr>
                <w:rFonts w:hint="default"/>
                <w:lang w:val="en-US" w:eastAsia="zh-CN"/>
              </w:rPr>
            </w:pPr>
            <w:r>
              <w:rPr>
                <w:rFonts w:hint="eastAsia"/>
                <w:lang w:val="en-US" w:eastAsia="zh-CN"/>
              </w:rPr>
              <w:t>100</w:t>
            </w:r>
          </w:p>
        </w:tc>
        <w:tc>
          <w:tcPr>
            <w:tcW w:w="3024" w:type="dxa"/>
            <w:tcBorders>
              <w:tl2br w:val="nil"/>
              <w:tr2bl w:val="nil"/>
            </w:tcBorders>
            <w:vAlign w:val="center"/>
          </w:tcPr>
          <w:p>
            <w:pPr>
              <w:pStyle w:val="17"/>
              <w:bidi w:val="0"/>
              <w:rPr>
                <w:rFonts w:hint="default"/>
                <w:lang w:val="en-US" w:eastAsia="zh-CN"/>
              </w:rPr>
            </w:pPr>
            <w:r>
              <w:rPr>
                <w:rFonts w:hint="eastAsia"/>
                <w:lang w:val="en-US" w:eastAsia="zh-CN"/>
              </w:rPr>
              <w:t>2.5m</w:t>
            </w:r>
          </w:p>
        </w:tc>
        <w:tc>
          <w:tcPr>
            <w:tcW w:w="3024" w:type="dxa"/>
            <w:tcBorders>
              <w:tl2br w:val="nil"/>
              <w:tr2bl w:val="nil"/>
            </w:tcBorders>
            <w:vAlign w:val="center"/>
          </w:tcPr>
          <w:p>
            <w:pPr>
              <w:pStyle w:val="17"/>
              <w:bidi w:val="0"/>
              <w:rPr>
                <w:rFonts w:hint="default"/>
                <w:lang w:val="en-US" w:eastAsia="zh-CN"/>
              </w:rPr>
            </w:pPr>
            <w:r>
              <w:rPr>
                <w:rFonts w:hint="eastAsia"/>
                <w:lang w:val="en-US" w:eastAsia="zh-CN"/>
              </w:rPr>
              <w:t>3.9m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023" w:type="dxa"/>
            <w:tcBorders>
              <w:tl2br w:val="nil"/>
              <w:tr2bl w:val="nil"/>
            </w:tcBorders>
            <w:vAlign w:val="center"/>
          </w:tcPr>
          <w:p>
            <w:pPr>
              <w:pStyle w:val="17"/>
              <w:bidi w:val="0"/>
              <w:rPr>
                <w:rFonts w:hint="default"/>
                <w:lang w:val="en-US" w:eastAsia="zh-CN"/>
              </w:rPr>
            </w:pPr>
            <w:r>
              <w:rPr>
                <w:rFonts w:hint="eastAsia"/>
                <w:lang w:val="en-US" w:eastAsia="zh-CN"/>
              </w:rPr>
              <w:t>1000</w:t>
            </w:r>
          </w:p>
        </w:tc>
        <w:tc>
          <w:tcPr>
            <w:tcW w:w="3024"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3024" w:type="dxa"/>
            <w:tcBorders>
              <w:tl2br w:val="nil"/>
              <w:tr2bl w:val="nil"/>
            </w:tcBorders>
            <w:vAlign w:val="center"/>
          </w:tcPr>
          <w:p>
            <w:pPr>
              <w:pStyle w:val="17"/>
              <w:bidi w:val="0"/>
              <w:rPr>
                <w:rFonts w:hint="default"/>
                <w:lang w:val="en-US" w:eastAsia="zh-CN"/>
              </w:rPr>
            </w:pPr>
            <w:r>
              <w:rPr>
                <w:rFonts w:hint="eastAsia"/>
                <w:lang w:val="en-US" w:eastAsia="zh-CN"/>
              </w:rPr>
              <w:t>11.2m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023" w:type="dxa"/>
            <w:tcBorders>
              <w:tl2br w:val="nil"/>
              <w:tr2bl w:val="nil"/>
            </w:tcBorders>
            <w:vAlign w:val="center"/>
          </w:tcPr>
          <w:p>
            <w:pPr>
              <w:pStyle w:val="17"/>
              <w:bidi w:val="0"/>
              <w:rPr>
                <w:rFonts w:hint="default"/>
                <w:lang w:val="en-US" w:eastAsia="zh-CN"/>
              </w:rPr>
            </w:pPr>
            <w:r>
              <w:rPr>
                <w:rFonts w:hint="eastAsia"/>
                <w:lang w:val="en-US" w:eastAsia="zh-CN"/>
              </w:rPr>
              <w:t>2000</w:t>
            </w:r>
          </w:p>
        </w:tc>
        <w:tc>
          <w:tcPr>
            <w:tcW w:w="3024"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3024" w:type="dxa"/>
            <w:tcBorders>
              <w:tl2br w:val="nil"/>
              <w:tr2bl w:val="nil"/>
            </w:tcBorders>
            <w:vAlign w:val="center"/>
          </w:tcPr>
          <w:p>
            <w:pPr>
              <w:pStyle w:val="17"/>
              <w:bidi w:val="0"/>
              <w:rPr>
                <w:rFonts w:hint="default"/>
                <w:lang w:val="en-US" w:eastAsia="zh-CN"/>
              </w:rPr>
            </w:pPr>
            <w:r>
              <w:rPr>
                <w:rFonts w:hint="eastAsia"/>
                <w:lang w:val="en-US" w:eastAsia="zh-CN"/>
              </w:rPr>
              <w:t>15.9m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023" w:type="dxa"/>
            <w:tcBorders>
              <w:tl2br w:val="nil"/>
              <w:tr2bl w:val="nil"/>
            </w:tcBorders>
            <w:vAlign w:val="center"/>
          </w:tcPr>
          <w:p>
            <w:pPr>
              <w:pStyle w:val="17"/>
              <w:bidi w:val="0"/>
              <w:rPr>
                <w:rFonts w:hint="default"/>
                <w:lang w:val="en-US" w:eastAsia="zh-CN"/>
              </w:rPr>
            </w:pPr>
            <w:r>
              <w:rPr>
                <w:rFonts w:hint="eastAsia"/>
                <w:lang w:val="en-US" w:eastAsia="zh-CN"/>
              </w:rPr>
              <w:t>5000</w:t>
            </w:r>
          </w:p>
        </w:tc>
        <w:tc>
          <w:tcPr>
            <w:tcW w:w="3024" w:type="dxa"/>
            <w:tcBorders>
              <w:tl2br w:val="nil"/>
              <w:tr2bl w:val="nil"/>
            </w:tcBorders>
            <w:vAlign w:val="center"/>
          </w:tcPr>
          <w:p>
            <w:pPr>
              <w:pStyle w:val="17"/>
              <w:bidi w:val="0"/>
              <w:rPr>
                <w:rFonts w:hint="default"/>
                <w:lang w:val="en-US" w:eastAsia="zh-CN"/>
              </w:rPr>
            </w:pPr>
            <w:r>
              <w:rPr>
                <w:rFonts w:hint="eastAsia"/>
                <w:lang w:val="en-US" w:eastAsia="zh-CN"/>
              </w:rPr>
              <w:t>/</w:t>
            </w:r>
          </w:p>
        </w:tc>
        <w:tc>
          <w:tcPr>
            <w:tcW w:w="3024" w:type="dxa"/>
            <w:tcBorders>
              <w:tl2br w:val="nil"/>
              <w:tr2bl w:val="nil"/>
            </w:tcBorders>
            <w:vAlign w:val="center"/>
          </w:tcPr>
          <w:p>
            <w:pPr>
              <w:pStyle w:val="17"/>
              <w:bidi w:val="0"/>
              <w:rPr>
                <w:rFonts w:hint="default"/>
                <w:lang w:val="en-US" w:eastAsia="zh-CN"/>
              </w:rPr>
            </w:pPr>
            <w:r>
              <w:rPr>
                <w:rFonts w:hint="eastAsia"/>
                <w:lang w:val="en-US" w:eastAsia="zh-CN"/>
              </w:rPr>
              <w:t>26.8m</w:t>
            </w:r>
          </w:p>
        </w:tc>
      </w:tr>
    </w:tbl>
    <w:p>
      <w:pPr>
        <w:bidi w:val="0"/>
        <w:ind w:left="0" w:leftChars="0" w:firstLine="0" w:firstLineChars="0"/>
        <w:rPr>
          <w:rFonts w:hint="default"/>
          <w:lang w:val="en-US" w:eastAsia="zh-CN"/>
        </w:rPr>
      </w:pPr>
      <w:r>
        <w:drawing>
          <wp:inline distT="0" distB="0" distL="114300" distR="114300">
            <wp:extent cx="5269865" cy="1713230"/>
            <wp:effectExtent l="0" t="0" r="635" b="127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46">
                      <a:grayscl/>
                    </a:blip>
                    <a:stretch>
                      <a:fillRect/>
                    </a:stretch>
                  </pic:blipFill>
                  <pic:spPr>
                    <a:xfrm>
                      <a:off x="0" y="0"/>
                      <a:ext cx="5269865" cy="1713230"/>
                    </a:xfrm>
                    <a:prstGeom prst="rect">
                      <a:avLst/>
                    </a:prstGeom>
                    <a:noFill/>
                    <a:ln>
                      <a:noFill/>
                    </a:ln>
                  </pic:spPr>
                </pic:pic>
              </a:graphicData>
            </a:graphic>
          </wp:inline>
        </w:drawing>
      </w:r>
    </w:p>
    <w:p>
      <w:pPr>
        <w:bidi w:val="0"/>
        <w:jc w:val="center"/>
        <w:rPr>
          <w:rFonts w:hint="default"/>
          <w:lang w:val="en-US" w:eastAsia="zh-CN"/>
        </w:rPr>
      </w:pPr>
      <w:r>
        <w:rPr>
          <w:rFonts w:hint="eastAsia"/>
          <w:b/>
          <w:bCs/>
          <w:lang w:val="en-US" w:eastAsia="zh-CN"/>
        </w:rPr>
        <w:t>图5.2-1   流场方向10m处COD浓度随时间变化情况</w:t>
      </w:r>
    </w:p>
    <w:p>
      <w:pPr>
        <w:bidi w:val="0"/>
        <w:rPr>
          <w:rFonts w:hint="eastAsia"/>
          <w:lang w:val="en-US" w:eastAsia="zh-CN"/>
        </w:rPr>
      </w:pPr>
      <w:r>
        <w:rPr>
          <w:rFonts w:hint="eastAsia"/>
          <w:lang w:val="en-US" w:eastAsia="zh-CN"/>
        </w:rPr>
        <w:t>由表5.2-1可知，COD对厂区地下水的影响不断扩散，随时间推移影响距离和影响范围变大，但最大影响距离为26.8m，运移范围比较有限。</w:t>
      </w:r>
    </w:p>
    <w:p>
      <w:pPr>
        <w:bidi w:val="0"/>
        <w:rPr>
          <w:rFonts w:hint="default"/>
          <w:lang w:val="en-US" w:eastAsia="zh-CN"/>
        </w:rPr>
      </w:pPr>
      <w:r>
        <w:rPr>
          <w:rFonts w:hint="eastAsia"/>
          <w:lang w:val="en-US" w:eastAsia="zh-CN"/>
        </w:rPr>
        <w:t>地下水10m处贡献浓度随时间呈现先增长后减少的趋势，说明污染物在运移范围内的不同点位上，COD贡献浓度会随着时间推移出现峰值然后稀释。</w:t>
      </w:r>
    </w:p>
    <w:p>
      <w:pPr>
        <w:bidi w:val="0"/>
        <w:rPr>
          <w:rFonts w:hint="default"/>
        </w:rPr>
      </w:pPr>
      <w:r>
        <w:rPr>
          <w:rFonts w:hint="default"/>
        </w:rPr>
        <w:t>（4）预防措施</w:t>
      </w:r>
    </w:p>
    <w:p>
      <w:pPr>
        <w:bidi w:val="0"/>
        <w:rPr>
          <w:rFonts w:hint="default"/>
        </w:rPr>
      </w:pPr>
      <w:r>
        <w:rPr>
          <w:rFonts w:hint="default"/>
        </w:rPr>
        <w:t>环评要求对厂区地面、生产区、地下污水管道系统等均进行分区防渗处理，以防止污水</w:t>
      </w:r>
      <w:r>
        <w:rPr>
          <w:rFonts w:hint="default"/>
          <w:lang w:eastAsia="zh-CN"/>
        </w:rPr>
        <w:t>、</w:t>
      </w:r>
      <w:r>
        <w:rPr>
          <w:rFonts w:hint="default"/>
          <w:lang w:val="en-US" w:eastAsia="zh-CN"/>
        </w:rPr>
        <w:t>物料</w:t>
      </w:r>
      <w:r>
        <w:rPr>
          <w:rFonts w:hint="default"/>
        </w:rPr>
        <w:t>泄漏对地下水环境造成污染。</w:t>
      </w:r>
    </w:p>
    <w:p>
      <w:pPr>
        <w:bidi w:val="0"/>
        <w:rPr>
          <w:rFonts w:hint="default"/>
        </w:rPr>
      </w:pPr>
      <w:r>
        <w:rPr>
          <w:rFonts w:hint="default"/>
        </w:rPr>
        <w:t>①重点污染区防渗措施</w:t>
      </w:r>
    </w:p>
    <w:p>
      <w:pPr>
        <w:bidi w:val="0"/>
        <w:rPr>
          <w:rFonts w:hint="default"/>
        </w:rPr>
      </w:pPr>
      <w:r>
        <w:rPr>
          <w:rFonts w:hint="default"/>
        </w:rPr>
        <w:t>车间地面为混凝土地坪，地坪结构为：20cm素土夯实+30cm砂砾石垫层+20cm混凝土；车间各处理单元采用混凝土结构或者钢结构，底部铺设HDPE土工膜（防渗系数K≤10-10cm/s）进行防渗。</w:t>
      </w:r>
    </w:p>
    <w:p>
      <w:pPr>
        <w:bidi w:val="0"/>
        <w:rPr>
          <w:rFonts w:hint="default"/>
        </w:rPr>
      </w:pPr>
      <w:r>
        <w:rPr>
          <w:rFonts w:hint="default"/>
        </w:rPr>
        <w:t>通过上述措施可使重点污染区各单元防渗层渗透系数≤10-10cm/s。</w:t>
      </w:r>
    </w:p>
    <w:p>
      <w:pPr>
        <w:bidi w:val="0"/>
        <w:rPr>
          <w:rFonts w:hint="default"/>
        </w:rPr>
      </w:pPr>
      <w:r>
        <w:rPr>
          <w:rFonts w:hint="default"/>
        </w:rPr>
        <w:t>②一般污染区防渗措施</w:t>
      </w:r>
    </w:p>
    <w:p>
      <w:pPr>
        <w:bidi w:val="0"/>
        <w:rPr>
          <w:rFonts w:hint="default"/>
        </w:rPr>
      </w:pPr>
      <w:r>
        <w:rPr>
          <w:rFonts w:hint="eastAsia"/>
          <w:lang w:val="en-US" w:eastAsia="zh-CN"/>
        </w:rPr>
        <w:t>一般固体废物暂存处和</w:t>
      </w:r>
      <w:r>
        <w:rPr>
          <w:rFonts w:hint="default"/>
        </w:rPr>
        <w:t>垃圾收集箱放置地地面采取粘土铺底，再在上层铺10~15cm的水泥进行硬化；污水管道等地下污水管线采用专门防渗材料，如耐腐蚀、抗压的夹砂玻璃钢管道，用复膜膨润土防水毯作为防渗层，并定期进行检查。通过上述措施可使一般污染区各单元防渗层渗透系数≤10-7cm/s。</w:t>
      </w:r>
    </w:p>
    <w:p>
      <w:pPr>
        <w:bidi w:val="0"/>
        <w:rPr>
          <w:rFonts w:hint="default"/>
        </w:rPr>
      </w:pPr>
      <w:r>
        <w:rPr>
          <w:rFonts w:hint="default"/>
        </w:rPr>
        <w:t>污水管线接口应采取严格的密封措施，防止污水泄漏污染地下水。在铺设管线过程中，挖土和回填土按环境保护要求放置，防止扬尘和降水污染环境，施工完成后要绿化和定期巡护，为了保护下游区域地下水环境，在工程设计、施工和运行的同时，必须严格控制拟建厂区污水的无组织泄漏，严把质量关，杜绝因材制、制管、防腐涂层、焊接缺陷及与运行失误而造成管线泄漏，生产运行过程中，必须强化监控手段，定期检查，对厂区及其附近环境敏感地区的水井定期进行检测，保护评价区地下水环境。</w:t>
      </w:r>
    </w:p>
    <w:p>
      <w:pPr>
        <w:bidi w:val="0"/>
        <w:rPr>
          <w:rFonts w:hint="default"/>
        </w:rPr>
      </w:pPr>
      <w:r>
        <w:rPr>
          <w:rFonts w:hint="default"/>
        </w:rPr>
        <w:t>由污染途径及对应措施分析可知，项目对可能产生地下水影响的各项途径均进行有效预防，在确保各项防渗措施得以落实，并加强维护和项目区环境管理的前提下，可有效控制项目区内的废水污染物下渗现象。</w:t>
      </w:r>
    </w:p>
    <w:p>
      <w:pPr>
        <w:pStyle w:val="5"/>
        <w:bidi w:val="0"/>
        <w:rPr>
          <w:rFonts w:hint="default"/>
        </w:rPr>
      </w:pPr>
      <w:r>
        <w:rPr>
          <w:rFonts w:hint="default"/>
        </w:rPr>
        <w:t>5.2.3</w:t>
      </w:r>
      <w:r>
        <w:rPr>
          <w:rFonts w:hint="eastAsia"/>
          <w:lang w:eastAsia="zh-CN"/>
        </w:rPr>
        <w:t>、</w:t>
      </w:r>
      <w:r>
        <w:rPr>
          <w:rFonts w:hint="default"/>
        </w:rPr>
        <w:t>小结</w:t>
      </w:r>
    </w:p>
    <w:p>
      <w:pPr>
        <w:bidi w:val="0"/>
        <w:rPr>
          <w:rFonts w:hint="default"/>
        </w:rPr>
      </w:pPr>
      <w:r>
        <w:rPr>
          <w:rFonts w:hint="default"/>
        </w:rPr>
        <w:t>本项目生活废水</w:t>
      </w:r>
      <w:r>
        <w:rPr>
          <w:rFonts w:hint="eastAsia"/>
          <w:lang w:val="en-US" w:eastAsia="zh-CN"/>
        </w:rPr>
        <w:t>抽运至吉木萨尔县二工镇生活污水处理厂</w:t>
      </w:r>
      <w:r>
        <w:rPr>
          <w:rFonts w:hint="default"/>
        </w:rPr>
        <w:t>。本项目生产用的清洗水，水质较为洁净，经沉淀处理后能全部回用于生产，不排放。</w:t>
      </w:r>
    </w:p>
    <w:p>
      <w:pPr>
        <w:bidi w:val="0"/>
        <w:rPr>
          <w:rFonts w:hint="default"/>
          <w:lang w:val="zh-CN"/>
        </w:rPr>
      </w:pPr>
      <w:r>
        <w:rPr>
          <w:rFonts w:hint="default"/>
          <w:lang w:val="zh-CN"/>
        </w:rPr>
        <w:t>本项目厂房和库房均采取了防渗设计，厂区内道路均为水泥路面。在防渗系统正常运行的情况下，本项目生产废水向地下渗透将得到很好的控制，不会对地下水质量造成功能类别的改变。</w:t>
      </w:r>
    </w:p>
    <w:p>
      <w:pPr>
        <w:bidi w:val="0"/>
        <w:rPr>
          <w:rFonts w:hint="default"/>
          <w:lang w:val="zh-CN"/>
        </w:rPr>
      </w:pPr>
      <w:r>
        <w:rPr>
          <w:rFonts w:hint="default"/>
          <w:lang w:val="zh-CN"/>
        </w:rPr>
        <w:t>拟建项目在建设期，对废水、污水、固体废物进行合理化处理，不会造成地下水污染；运营期内，生产废水</w:t>
      </w:r>
      <w:r>
        <w:rPr>
          <w:rFonts w:hint="default"/>
          <w:lang w:val="en-US" w:eastAsia="zh-CN"/>
        </w:rPr>
        <w:t>循环利用不外排，</w:t>
      </w:r>
      <w:r>
        <w:rPr>
          <w:rFonts w:hint="default"/>
          <w:lang w:val="zh-CN"/>
        </w:rPr>
        <w:t>生活废水</w:t>
      </w:r>
      <w:r>
        <w:rPr>
          <w:rFonts w:hint="default"/>
          <w:lang w:val="en-US" w:eastAsia="zh-CN"/>
        </w:rPr>
        <w:t>经管网排至项污水处理厂</w:t>
      </w:r>
      <w:r>
        <w:rPr>
          <w:rFonts w:hint="default"/>
          <w:lang w:val="zh-CN"/>
        </w:rPr>
        <w:t>，各项水处理设施在采取防渗措施、加强渗漏检测的前提下，正常工况不会对地下水水质产生影响。</w:t>
      </w:r>
    </w:p>
    <w:p>
      <w:pPr>
        <w:pStyle w:val="4"/>
        <w:bidi w:val="0"/>
        <w:rPr>
          <w:rFonts w:hint="default"/>
        </w:rPr>
      </w:pPr>
      <w:bookmarkStart w:id="206" w:name="_Toc17543"/>
      <w:r>
        <w:rPr>
          <w:rFonts w:hint="default"/>
        </w:rPr>
        <w:t>5.</w:t>
      </w:r>
      <w:r>
        <w:rPr>
          <w:rFonts w:hint="eastAsia"/>
          <w:lang w:val="en-US" w:eastAsia="zh-CN"/>
        </w:rPr>
        <w:t>3、</w:t>
      </w:r>
      <w:r>
        <w:rPr>
          <w:rFonts w:hint="default"/>
        </w:rPr>
        <w:t>声环境影响分析</w:t>
      </w:r>
      <w:bookmarkEnd w:id="205"/>
      <w:bookmarkEnd w:id="206"/>
    </w:p>
    <w:p>
      <w:pPr>
        <w:pStyle w:val="5"/>
        <w:bidi w:val="0"/>
        <w:rPr>
          <w:rFonts w:hint="default"/>
        </w:rPr>
      </w:pPr>
      <w:bookmarkStart w:id="207" w:name="_Toc341867181"/>
      <w:r>
        <w:rPr>
          <w:rFonts w:hint="default"/>
        </w:rPr>
        <w:t>5.</w:t>
      </w:r>
      <w:r>
        <w:rPr>
          <w:rFonts w:hint="eastAsia"/>
          <w:lang w:val="en-US" w:eastAsia="zh-CN"/>
        </w:rPr>
        <w:t>3</w:t>
      </w:r>
      <w:r>
        <w:rPr>
          <w:rFonts w:hint="default"/>
        </w:rPr>
        <w:t>.1</w:t>
      </w:r>
      <w:r>
        <w:rPr>
          <w:rFonts w:hint="eastAsia"/>
          <w:lang w:eastAsia="zh-CN"/>
        </w:rPr>
        <w:t>、</w:t>
      </w:r>
      <w:r>
        <w:rPr>
          <w:rFonts w:hint="default"/>
        </w:rPr>
        <w:t>噪声源源强</w:t>
      </w:r>
      <w:bookmarkEnd w:id="207"/>
    </w:p>
    <w:p>
      <w:pPr>
        <w:bidi w:val="0"/>
        <w:rPr>
          <w:rFonts w:hint="default"/>
        </w:rPr>
      </w:pPr>
      <w:bookmarkStart w:id="208" w:name="_Toc87416624"/>
      <w:r>
        <w:rPr>
          <w:rFonts w:hint="default"/>
        </w:rPr>
        <w:t>项目主要噪声源源强情况见表5.4-1，各噪声源距预测点的距离见表5.4-2。</w:t>
      </w:r>
    </w:p>
    <w:p>
      <w:pPr>
        <w:pStyle w:val="17"/>
        <w:bidi w:val="0"/>
        <w:rPr>
          <w:rFonts w:hint="default"/>
          <w:b/>
          <w:bCs/>
        </w:rPr>
      </w:pPr>
      <w:r>
        <w:rPr>
          <w:rFonts w:hint="default"/>
          <w:b/>
          <w:bCs/>
        </w:rPr>
        <w:t>表5.4-1  参与预测的主要噪声源一览表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584"/>
        <w:gridCol w:w="1655"/>
        <w:gridCol w:w="3423"/>
        <w:gridCol w:w="17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37" w:type="dxa"/>
            <w:tcBorders>
              <w:tl2br w:val="nil"/>
              <w:tr2bl w:val="nil"/>
            </w:tcBorders>
            <w:vAlign w:val="center"/>
          </w:tcPr>
          <w:p>
            <w:pPr>
              <w:pStyle w:val="17"/>
              <w:bidi w:val="0"/>
              <w:rPr>
                <w:rFonts w:hint="default"/>
                <w:b/>
                <w:bCs/>
              </w:rPr>
            </w:pPr>
            <w:r>
              <w:rPr>
                <w:rFonts w:hint="default"/>
                <w:b/>
                <w:bCs/>
              </w:rPr>
              <w:t>序号</w:t>
            </w:r>
          </w:p>
        </w:tc>
        <w:tc>
          <w:tcPr>
            <w:tcW w:w="1584" w:type="dxa"/>
            <w:tcBorders>
              <w:tl2br w:val="nil"/>
              <w:tr2bl w:val="nil"/>
            </w:tcBorders>
            <w:vAlign w:val="center"/>
          </w:tcPr>
          <w:p>
            <w:pPr>
              <w:pStyle w:val="17"/>
              <w:bidi w:val="0"/>
              <w:rPr>
                <w:rFonts w:hint="default"/>
                <w:b/>
                <w:bCs/>
              </w:rPr>
            </w:pPr>
            <w:r>
              <w:rPr>
                <w:rFonts w:hint="default"/>
                <w:b/>
                <w:bCs/>
              </w:rPr>
              <w:t>噪声设备</w:t>
            </w:r>
          </w:p>
        </w:tc>
        <w:tc>
          <w:tcPr>
            <w:tcW w:w="1655" w:type="dxa"/>
            <w:tcBorders>
              <w:tl2br w:val="nil"/>
              <w:tr2bl w:val="nil"/>
            </w:tcBorders>
            <w:vAlign w:val="center"/>
          </w:tcPr>
          <w:p>
            <w:pPr>
              <w:pStyle w:val="17"/>
              <w:bidi w:val="0"/>
              <w:rPr>
                <w:rFonts w:hint="default"/>
                <w:b/>
                <w:bCs/>
              </w:rPr>
            </w:pPr>
            <w:r>
              <w:rPr>
                <w:rFonts w:hint="default"/>
                <w:b/>
                <w:bCs/>
              </w:rPr>
              <w:t>单台声级dB(A)</w:t>
            </w:r>
          </w:p>
        </w:tc>
        <w:tc>
          <w:tcPr>
            <w:tcW w:w="3423" w:type="dxa"/>
            <w:tcBorders>
              <w:tl2br w:val="nil"/>
              <w:tr2bl w:val="nil"/>
            </w:tcBorders>
            <w:vAlign w:val="center"/>
          </w:tcPr>
          <w:p>
            <w:pPr>
              <w:pStyle w:val="17"/>
              <w:bidi w:val="0"/>
              <w:rPr>
                <w:rFonts w:hint="default"/>
                <w:b/>
                <w:bCs/>
              </w:rPr>
            </w:pPr>
            <w:r>
              <w:rPr>
                <w:rFonts w:hint="default"/>
                <w:b/>
                <w:bCs/>
              </w:rPr>
              <w:t>治理措施</w:t>
            </w:r>
          </w:p>
        </w:tc>
        <w:tc>
          <w:tcPr>
            <w:tcW w:w="1772" w:type="dxa"/>
            <w:tcBorders>
              <w:tl2br w:val="nil"/>
              <w:tr2bl w:val="nil"/>
            </w:tcBorders>
            <w:vAlign w:val="center"/>
          </w:tcPr>
          <w:p>
            <w:pPr>
              <w:pStyle w:val="17"/>
              <w:bidi w:val="0"/>
              <w:rPr>
                <w:rFonts w:hint="default"/>
                <w:b/>
                <w:bCs/>
              </w:rPr>
            </w:pPr>
            <w:r>
              <w:rPr>
                <w:rFonts w:hint="default"/>
                <w:b/>
                <w:bCs/>
              </w:rPr>
              <w:t>治理后单台声级〔dB(A)〕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29" w:hRule="atLeast"/>
          <w:jc w:val="center"/>
        </w:trPr>
        <w:tc>
          <w:tcPr>
            <w:tcW w:w="637" w:type="dxa"/>
            <w:tcBorders>
              <w:tl2br w:val="nil"/>
              <w:tr2bl w:val="nil"/>
            </w:tcBorders>
            <w:vAlign w:val="center"/>
          </w:tcPr>
          <w:p>
            <w:pPr>
              <w:pStyle w:val="17"/>
              <w:bidi w:val="0"/>
              <w:rPr>
                <w:rFonts w:hint="default"/>
              </w:rPr>
            </w:pPr>
            <w:r>
              <w:rPr>
                <w:rFonts w:hint="default"/>
              </w:rPr>
              <w:t>1</w:t>
            </w:r>
          </w:p>
        </w:tc>
        <w:tc>
          <w:tcPr>
            <w:tcW w:w="1584" w:type="dxa"/>
            <w:tcBorders>
              <w:tl2br w:val="nil"/>
              <w:tr2bl w:val="nil"/>
            </w:tcBorders>
            <w:vAlign w:val="center"/>
          </w:tcPr>
          <w:p>
            <w:pPr>
              <w:pStyle w:val="17"/>
              <w:bidi w:val="0"/>
              <w:rPr>
                <w:rFonts w:hint="default"/>
              </w:rPr>
            </w:pPr>
            <w:r>
              <w:rPr>
                <w:rFonts w:hint="default"/>
              </w:rPr>
              <w:t>破碎机</w:t>
            </w:r>
          </w:p>
        </w:tc>
        <w:tc>
          <w:tcPr>
            <w:tcW w:w="1655" w:type="dxa"/>
            <w:tcBorders>
              <w:tl2br w:val="nil"/>
              <w:tr2bl w:val="nil"/>
            </w:tcBorders>
            <w:vAlign w:val="center"/>
          </w:tcPr>
          <w:p>
            <w:pPr>
              <w:pStyle w:val="17"/>
              <w:bidi w:val="0"/>
              <w:rPr>
                <w:rFonts w:hint="default"/>
              </w:rPr>
            </w:pPr>
            <w:r>
              <w:rPr>
                <w:rFonts w:hint="default"/>
              </w:rPr>
              <w:t>75～90</w:t>
            </w:r>
          </w:p>
        </w:tc>
        <w:tc>
          <w:tcPr>
            <w:tcW w:w="3423" w:type="dxa"/>
            <w:tcBorders>
              <w:tl2br w:val="nil"/>
              <w:tr2bl w:val="nil"/>
            </w:tcBorders>
            <w:vAlign w:val="center"/>
          </w:tcPr>
          <w:p>
            <w:pPr>
              <w:pStyle w:val="17"/>
              <w:bidi w:val="0"/>
              <w:rPr>
                <w:rFonts w:hint="default"/>
              </w:rPr>
            </w:pPr>
            <w:r>
              <w:rPr>
                <w:rFonts w:hint="default"/>
              </w:rPr>
              <w:t>建筑隔声、基础减振</w:t>
            </w:r>
          </w:p>
        </w:tc>
        <w:tc>
          <w:tcPr>
            <w:tcW w:w="1772" w:type="dxa"/>
            <w:tcBorders>
              <w:tl2br w:val="nil"/>
              <w:tr2bl w:val="nil"/>
            </w:tcBorders>
            <w:vAlign w:val="center"/>
          </w:tcPr>
          <w:p>
            <w:pPr>
              <w:pStyle w:val="17"/>
              <w:bidi w:val="0"/>
              <w:rPr>
                <w:rFonts w:hint="default"/>
              </w:rPr>
            </w:pPr>
            <w:r>
              <w:rPr>
                <w:rFonts w:hint="default"/>
              </w:rPr>
              <w:t>60～75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37" w:type="dxa"/>
            <w:tcBorders>
              <w:tl2br w:val="nil"/>
              <w:tr2bl w:val="nil"/>
            </w:tcBorders>
            <w:vAlign w:val="center"/>
          </w:tcPr>
          <w:p>
            <w:pPr>
              <w:pStyle w:val="17"/>
              <w:bidi w:val="0"/>
              <w:rPr>
                <w:rFonts w:hint="default"/>
              </w:rPr>
            </w:pPr>
            <w:r>
              <w:rPr>
                <w:rFonts w:hint="default"/>
              </w:rPr>
              <w:t>2</w:t>
            </w:r>
          </w:p>
        </w:tc>
        <w:tc>
          <w:tcPr>
            <w:tcW w:w="1584" w:type="dxa"/>
            <w:tcBorders>
              <w:tl2br w:val="nil"/>
              <w:tr2bl w:val="nil"/>
            </w:tcBorders>
            <w:vAlign w:val="center"/>
          </w:tcPr>
          <w:p>
            <w:pPr>
              <w:pStyle w:val="17"/>
              <w:bidi w:val="0"/>
              <w:rPr>
                <w:rFonts w:hint="default"/>
              </w:rPr>
            </w:pPr>
            <w:r>
              <w:rPr>
                <w:rFonts w:hint="default"/>
              </w:rPr>
              <w:t>脱水机</w:t>
            </w:r>
          </w:p>
        </w:tc>
        <w:tc>
          <w:tcPr>
            <w:tcW w:w="1655" w:type="dxa"/>
            <w:tcBorders>
              <w:tl2br w:val="nil"/>
              <w:tr2bl w:val="nil"/>
            </w:tcBorders>
            <w:vAlign w:val="center"/>
          </w:tcPr>
          <w:p>
            <w:pPr>
              <w:pStyle w:val="17"/>
              <w:bidi w:val="0"/>
              <w:rPr>
                <w:rFonts w:hint="default"/>
              </w:rPr>
            </w:pPr>
            <w:r>
              <w:rPr>
                <w:rFonts w:hint="default"/>
              </w:rPr>
              <w:t>70～80</w:t>
            </w:r>
          </w:p>
        </w:tc>
        <w:tc>
          <w:tcPr>
            <w:tcW w:w="3423" w:type="dxa"/>
            <w:tcBorders>
              <w:tl2br w:val="nil"/>
              <w:tr2bl w:val="nil"/>
            </w:tcBorders>
            <w:vAlign w:val="center"/>
          </w:tcPr>
          <w:p>
            <w:pPr>
              <w:pStyle w:val="17"/>
              <w:bidi w:val="0"/>
              <w:rPr>
                <w:rFonts w:hint="default"/>
              </w:rPr>
            </w:pPr>
            <w:r>
              <w:rPr>
                <w:rFonts w:hint="default"/>
              </w:rPr>
              <w:t>建筑隔声、基础减振</w:t>
            </w:r>
          </w:p>
        </w:tc>
        <w:tc>
          <w:tcPr>
            <w:tcW w:w="1772" w:type="dxa"/>
            <w:tcBorders>
              <w:tl2br w:val="nil"/>
              <w:tr2bl w:val="nil"/>
            </w:tcBorders>
            <w:vAlign w:val="center"/>
          </w:tcPr>
          <w:p>
            <w:pPr>
              <w:pStyle w:val="17"/>
              <w:bidi w:val="0"/>
              <w:rPr>
                <w:rFonts w:hint="default"/>
              </w:rPr>
            </w:pPr>
            <w:r>
              <w:rPr>
                <w:rFonts w:hint="default"/>
              </w:rPr>
              <w:t>55～65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37" w:type="dxa"/>
            <w:tcBorders>
              <w:tl2br w:val="nil"/>
              <w:tr2bl w:val="nil"/>
            </w:tcBorders>
            <w:vAlign w:val="center"/>
          </w:tcPr>
          <w:p>
            <w:pPr>
              <w:pStyle w:val="17"/>
              <w:bidi w:val="0"/>
              <w:rPr>
                <w:rFonts w:hint="default"/>
              </w:rPr>
            </w:pPr>
            <w:r>
              <w:rPr>
                <w:rFonts w:hint="default"/>
              </w:rPr>
              <w:t>3</w:t>
            </w:r>
          </w:p>
        </w:tc>
        <w:tc>
          <w:tcPr>
            <w:tcW w:w="1584" w:type="dxa"/>
            <w:tcBorders>
              <w:tl2br w:val="nil"/>
              <w:tr2bl w:val="nil"/>
            </w:tcBorders>
            <w:vAlign w:val="center"/>
          </w:tcPr>
          <w:p>
            <w:pPr>
              <w:pStyle w:val="17"/>
              <w:bidi w:val="0"/>
              <w:rPr>
                <w:rFonts w:hint="default"/>
              </w:rPr>
            </w:pPr>
            <w:r>
              <w:rPr>
                <w:rFonts w:hint="default"/>
              </w:rPr>
              <w:t>造粒机</w:t>
            </w:r>
          </w:p>
        </w:tc>
        <w:tc>
          <w:tcPr>
            <w:tcW w:w="1655" w:type="dxa"/>
            <w:tcBorders>
              <w:tl2br w:val="nil"/>
              <w:tr2bl w:val="nil"/>
            </w:tcBorders>
            <w:vAlign w:val="center"/>
          </w:tcPr>
          <w:p>
            <w:pPr>
              <w:pStyle w:val="17"/>
              <w:bidi w:val="0"/>
              <w:rPr>
                <w:rFonts w:hint="default"/>
              </w:rPr>
            </w:pPr>
            <w:r>
              <w:rPr>
                <w:rFonts w:hint="default"/>
              </w:rPr>
              <w:t>70～80</w:t>
            </w:r>
          </w:p>
        </w:tc>
        <w:tc>
          <w:tcPr>
            <w:tcW w:w="3423" w:type="dxa"/>
            <w:tcBorders>
              <w:tl2br w:val="nil"/>
              <w:tr2bl w:val="nil"/>
            </w:tcBorders>
            <w:vAlign w:val="center"/>
          </w:tcPr>
          <w:p>
            <w:pPr>
              <w:pStyle w:val="17"/>
              <w:bidi w:val="0"/>
              <w:rPr>
                <w:rFonts w:hint="default"/>
              </w:rPr>
            </w:pPr>
            <w:r>
              <w:rPr>
                <w:rFonts w:hint="default"/>
              </w:rPr>
              <w:t>建筑隔声、基础减振</w:t>
            </w:r>
          </w:p>
        </w:tc>
        <w:tc>
          <w:tcPr>
            <w:tcW w:w="1772" w:type="dxa"/>
            <w:tcBorders>
              <w:tl2br w:val="nil"/>
              <w:tr2bl w:val="nil"/>
            </w:tcBorders>
            <w:vAlign w:val="center"/>
          </w:tcPr>
          <w:p>
            <w:pPr>
              <w:pStyle w:val="17"/>
              <w:bidi w:val="0"/>
              <w:rPr>
                <w:rFonts w:hint="default"/>
              </w:rPr>
            </w:pPr>
            <w:r>
              <w:rPr>
                <w:rFonts w:hint="default"/>
              </w:rPr>
              <w:t>55～65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37" w:type="dxa"/>
            <w:tcBorders>
              <w:tl2br w:val="nil"/>
              <w:tr2bl w:val="nil"/>
            </w:tcBorders>
            <w:vAlign w:val="center"/>
          </w:tcPr>
          <w:p>
            <w:pPr>
              <w:pStyle w:val="17"/>
              <w:bidi w:val="0"/>
              <w:rPr>
                <w:rFonts w:hint="default"/>
              </w:rPr>
            </w:pPr>
            <w:r>
              <w:rPr>
                <w:rFonts w:hint="default"/>
              </w:rPr>
              <w:t>4</w:t>
            </w:r>
          </w:p>
        </w:tc>
        <w:tc>
          <w:tcPr>
            <w:tcW w:w="1584" w:type="dxa"/>
            <w:tcBorders>
              <w:tl2br w:val="nil"/>
              <w:tr2bl w:val="nil"/>
            </w:tcBorders>
            <w:vAlign w:val="center"/>
          </w:tcPr>
          <w:p>
            <w:pPr>
              <w:pStyle w:val="17"/>
              <w:bidi w:val="0"/>
              <w:rPr>
                <w:rFonts w:hint="default"/>
              </w:rPr>
            </w:pPr>
            <w:r>
              <w:rPr>
                <w:rFonts w:hint="default"/>
              </w:rPr>
              <w:t>切粒机</w:t>
            </w:r>
          </w:p>
        </w:tc>
        <w:tc>
          <w:tcPr>
            <w:tcW w:w="1655" w:type="dxa"/>
            <w:tcBorders>
              <w:tl2br w:val="nil"/>
              <w:tr2bl w:val="nil"/>
            </w:tcBorders>
            <w:vAlign w:val="center"/>
          </w:tcPr>
          <w:p>
            <w:pPr>
              <w:pStyle w:val="17"/>
              <w:bidi w:val="0"/>
              <w:rPr>
                <w:rFonts w:hint="default"/>
              </w:rPr>
            </w:pPr>
            <w:r>
              <w:rPr>
                <w:rFonts w:hint="default"/>
              </w:rPr>
              <w:t>70～80</w:t>
            </w:r>
          </w:p>
        </w:tc>
        <w:tc>
          <w:tcPr>
            <w:tcW w:w="3423" w:type="dxa"/>
            <w:tcBorders>
              <w:tl2br w:val="nil"/>
              <w:tr2bl w:val="nil"/>
            </w:tcBorders>
            <w:vAlign w:val="center"/>
          </w:tcPr>
          <w:p>
            <w:pPr>
              <w:pStyle w:val="17"/>
              <w:bidi w:val="0"/>
              <w:rPr>
                <w:rFonts w:hint="default"/>
              </w:rPr>
            </w:pPr>
            <w:r>
              <w:rPr>
                <w:rFonts w:hint="default"/>
              </w:rPr>
              <w:t>建筑隔声、基础减振</w:t>
            </w:r>
          </w:p>
        </w:tc>
        <w:tc>
          <w:tcPr>
            <w:tcW w:w="1772" w:type="dxa"/>
            <w:tcBorders>
              <w:tl2br w:val="nil"/>
              <w:tr2bl w:val="nil"/>
            </w:tcBorders>
            <w:vAlign w:val="center"/>
          </w:tcPr>
          <w:p>
            <w:pPr>
              <w:pStyle w:val="17"/>
              <w:bidi w:val="0"/>
              <w:rPr>
                <w:rFonts w:hint="default"/>
              </w:rPr>
            </w:pPr>
            <w:r>
              <w:rPr>
                <w:rFonts w:hint="default"/>
              </w:rPr>
              <w:t>55～65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37" w:type="dxa"/>
            <w:tcBorders>
              <w:tl2br w:val="nil"/>
              <w:tr2bl w:val="nil"/>
            </w:tcBorders>
            <w:vAlign w:val="center"/>
          </w:tcPr>
          <w:p>
            <w:pPr>
              <w:pStyle w:val="17"/>
              <w:bidi w:val="0"/>
              <w:rPr>
                <w:rFonts w:hint="default"/>
              </w:rPr>
            </w:pPr>
            <w:r>
              <w:rPr>
                <w:rFonts w:hint="default"/>
              </w:rPr>
              <w:t>5</w:t>
            </w:r>
          </w:p>
        </w:tc>
        <w:tc>
          <w:tcPr>
            <w:tcW w:w="1584" w:type="dxa"/>
            <w:tcBorders>
              <w:tl2br w:val="nil"/>
              <w:tr2bl w:val="nil"/>
            </w:tcBorders>
            <w:vAlign w:val="center"/>
          </w:tcPr>
          <w:p>
            <w:pPr>
              <w:pStyle w:val="17"/>
              <w:bidi w:val="0"/>
              <w:rPr>
                <w:rFonts w:hint="default"/>
              </w:rPr>
            </w:pPr>
            <w:r>
              <w:rPr>
                <w:rFonts w:hint="default"/>
              </w:rPr>
              <w:t>清洗槽</w:t>
            </w:r>
          </w:p>
        </w:tc>
        <w:tc>
          <w:tcPr>
            <w:tcW w:w="1655" w:type="dxa"/>
            <w:tcBorders>
              <w:tl2br w:val="nil"/>
              <w:tr2bl w:val="nil"/>
            </w:tcBorders>
            <w:vAlign w:val="center"/>
          </w:tcPr>
          <w:p>
            <w:pPr>
              <w:pStyle w:val="17"/>
              <w:bidi w:val="0"/>
              <w:rPr>
                <w:rFonts w:hint="default"/>
              </w:rPr>
            </w:pPr>
            <w:r>
              <w:rPr>
                <w:rFonts w:hint="default"/>
              </w:rPr>
              <w:t>65～78</w:t>
            </w:r>
          </w:p>
        </w:tc>
        <w:tc>
          <w:tcPr>
            <w:tcW w:w="3423" w:type="dxa"/>
            <w:tcBorders>
              <w:tl2br w:val="nil"/>
              <w:tr2bl w:val="nil"/>
            </w:tcBorders>
            <w:vAlign w:val="center"/>
          </w:tcPr>
          <w:p>
            <w:pPr>
              <w:pStyle w:val="17"/>
              <w:bidi w:val="0"/>
              <w:rPr>
                <w:rFonts w:hint="default"/>
              </w:rPr>
            </w:pPr>
            <w:r>
              <w:rPr>
                <w:rFonts w:hint="default"/>
              </w:rPr>
              <w:t>基础减振</w:t>
            </w:r>
          </w:p>
        </w:tc>
        <w:tc>
          <w:tcPr>
            <w:tcW w:w="1772" w:type="dxa"/>
            <w:tcBorders>
              <w:tl2br w:val="nil"/>
              <w:tr2bl w:val="nil"/>
            </w:tcBorders>
            <w:vAlign w:val="center"/>
          </w:tcPr>
          <w:p>
            <w:pPr>
              <w:pStyle w:val="17"/>
              <w:bidi w:val="0"/>
              <w:rPr>
                <w:rFonts w:hint="default"/>
              </w:rPr>
            </w:pPr>
            <w:r>
              <w:rPr>
                <w:rFonts w:hint="default"/>
              </w:rPr>
              <w:t>50～63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37" w:type="dxa"/>
            <w:tcBorders>
              <w:tl2br w:val="nil"/>
              <w:tr2bl w:val="nil"/>
            </w:tcBorders>
            <w:vAlign w:val="center"/>
          </w:tcPr>
          <w:p>
            <w:pPr>
              <w:pStyle w:val="17"/>
              <w:bidi w:val="0"/>
              <w:rPr>
                <w:rFonts w:hint="default"/>
              </w:rPr>
            </w:pPr>
            <w:r>
              <w:rPr>
                <w:rFonts w:hint="default"/>
              </w:rPr>
              <w:t>6</w:t>
            </w:r>
          </w:p>
        </w:tc>
        <w:tc>
          <w:tcPr>
            <w:tcW w:w="1584" w:type="dxa"/>
            <w:tcBorders>
              <w:tl2br w:val="nil"/>
              <w:tr2bl w:val="nil"/>
            </w:tcBorders>
            <w:vAlign w:val="center"/>
          </w:tcPr>
          <w:p>
            <w:pPr>
              <w:pStyle w:val="17"/>
              <w:bidi w:val="0"/>
              <w:rPr>
                <w:rFonts w:hint="default"/>
              </w:rPr>
            </w:pPr>
            <w:r>
              <w:rPr>
                <w:rFonts w:hint="default"/>
              </w:rPr>
              <w:t>注塑机</w:t>
            </w:r>
          </w:p>
        </w:tc>
        <w:tc>
          <w:tcPr>
            <w:tcW w:w="1655" w:type="dxa"/>
            <w:tcBorders>
              <w:tl2br w:val="nil"/>
              <w:tr2bl w:val="nil"/>
            </w:tcBorders>
            <w:vAlign w:val="center"/>
          </w:tcPr>
          <w:p>
            <w:pPr>
              <w:pStyle w:val="17"/>
              <w:bidi w:val="0"/>
              <w:rPr>
                <w:rFonts w:hint="default"/>
              </w:rPr>
            </w:pPr>
            <w:r>
              <w:rPr>
                <w:rFonts w:hint="default"/>
              </w:rPr>
              <w:t>70～80</w:t>
            </w:r>
          </w:p>
        </w:tc>
        <w:tc>
          <w:tcPr>
            <w:tcW w:w="3423" w:type="dxa"/>
            <w:tcBorders>
              <w:tl2br w:val="nil"/>
              <w:tr2bl w:val="nil"/>
            </w:tcBorders>
            <w:vAlign w:val="center"/>
          </w:tcPr>
          <w:p>
            <w:pPr>
              <w:pStyle w:val="17"/>
              <w:bidi w:val="0"/>
              <w:rPr>
                <w:rFonts w:hint="default"/>
              </w:rPr>
            </w:pPr>
            <w:r>
              <w:rPr>
                <w:rFonts w:hint="default"/>
              </w:rPr>
              <w:t>建筑隔声、基础减振</w:t>
            </w:r>
          </w:p>
        </w:tc>
        <w:tc>
          <w:tcPr>
            <w:tcW w:w="1772" w:type="dxa"/>
            <w:tcBorders>
              <w:tl2br w:val="nil"/>
              <w:tr2bl w:val="nil"/>
            </w:tcBorders>
            <w:vAlign w:val="center"/>
          </w:tcPr>
          <w:p>
            <w:pPr>
              <w:pStyle w:val="17"/>
              <w:bidi w:val="0"/>
              <w:rPr>
                <w:rFonts w:hint="default"/>
              </w:rPr>
            </w:pPr>
            <w:r>
              <w:rPr>
                <w:rFonts w:hint="default"/>
              </w:rPr>
              <w:t>55～65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37" w:type="dxa"/>
            <w:tcBorders>
              <w:tl2br w:val="nil"/>
              <w:tr2bl w:val="nil"/>
            </w:tcBorders>
            <w:vAlign w:val="center"/>
          </w:tcPr>
          <w:p>
            <w:pPr>
              <w:pStyle w:val="17"/>
              <w:bidi w:val="0"/>
              <w:rPr>
                <w:rFonts w:hint="default"/>
              </w:rPr>
            </w:pPr>
            <w:r>
              <w:rPr>
                <w:rFonts w:hint="default"/>
              </w:rPr>
              <w:t>7</w:t>
            </w:r>
          </w:p>
        </w:tc>
        <w:tc>
          <w:tcPr>
            <w:tcW w:w="1584" w:type="dxa"/>
            <w:tcBorders>
              <w:tl2br w:val="nil"/>
              <w:tr2bl w:val="nil"/>
            </w:tcBorders>
            <w:vAlign w:val="center"/>
          </w:tcPr>
          <w:p>
            <w:pPr>
              <w:pStyle w:val="17"/>
              <w:bidi w:val="0"/>
              <w:rPr>
                <w:rFonts w:hint="default"/>
              </w:rPr>
            </w:pPr>
            <w:r>
              <w:rPr>
                <w:rFonts w:hint="default"/>
              </w:rPr>
              <w:t>风机</w:t>
            </w:r>
          </w:p>
        </w:tc>
        <w:tc>
          <w:tcPr>
            <w:tcW w:w="1655" w:type="dxa"/>
            <w:tcBorders>
              <w:tl2br w:val="nil"/>
              <w:tr2bl w:val="nil"/>
            </w:tcBorders>
            <w:vAlign w:val="center"/>
          </w:tcPr>
          <w:p>
            <w:pPr>
              <w:pStyle w:val="17"/>
              <w:bidi w:val="0"/>
              <w:rPr>
                <w:rFonts w:hint="default"/>
              </w:rPr>
            </w:pPr>
            <w:r>
              <w:rPr>
                <w:rFonts w:hint="default"/>
              </w:rPr>
              <w:t>65～80</w:t>
            </w:r>
          </w:p>
        </w:tc>
        <w:tc>
          <w:tcPr>
            <w:tcW w:w="3423" w:type="dxa"/>
            <w:tcBorders>
              <w:tl2br w:val="nil"/>
              <w:tr2bl w:val="nil"/>
            </w:tcBorders>
            <w:vAlign w:val="center"/>
          </w:tcPr>
          <w:p>
            <w:pPr>
              <w:pStyle w:val="17"/>
              <w:bidi w:val="0"/>
              <w:rPr>
                <w:rFonts w:hint="default"/>
              </w:rPr>
            </w:pPr>
            <w:r>
              <w:rPr>
                <w:rFonts w:hint="default"/>
              </w:rPr>
              <w:t>建筑隔声、基础减振</w:t>
            </w:r>
          </w:p>
        </w:tc>
        <w:tc>
          <w:tcPr>
            <w:tcW w:w="1772" w:type="dxa"/>
            <w:tcBorders>
              <w:tl2br w:val="nil"/>
              <w:tr2bl w:val="nil"/>
            </w:tcBorders>
            <w:vAlign w:val="center"/>
          </w:tcPr>
          <w:p>
            <w:pPr>
              <w:pStyle w:val="17"/>
              <w:bidi w:val="0"/>
              <w:rPr>
                <w:rFonts w:hint="default"/>
              </w:rPr>
            </w:pPr>
            <w:r>
              <w:rPr>
                <w:rFonts w:hint="default"/>
              </w:rPr>
              <w:t>50～65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71" w:type="dxa"/>
            <w:gridSpan w:val="5"/>
            <w:tcBorders>
              <w:tl2br w:val="nil"/>
              <w:tr2bl w:val="nil"/>
            </w:tcBorders>
            <w:vAlign w:val="center"/>
          </w:tcPr>
          <w:p>
            <w:pPr>
              <w:pStyle w:val="17"/>
              <w:bidi w:val="0"/>
              <w:rPr>
                <w:rFonts w:hint="default"/>
              </w:rPr>
            </w:pPr>
            <w:r>
              <w:rPr>
                <w:rFonts w:hint="default"/>
              </w:rPr>
              <w:t>备注：预测噪声源声压级取最大值计算，治理后单台声压级未考虑厂房、半地下室隔声处理降噪量。</w:t>
            </w:r>
          </w:p>
        </w:tc>
      </w:tr>
    </w:tbl>
    <w:p>
      <w:pPr>
        <w:pStyle w:val="17"/>
        <w:bidi w:val="0"/>
        <w:rPr>
          <w:rFonts w:hint="default"/>
          <w:b/>
          <w:bCs/>
        </w:rPr>
      </w:pPr>
      <w:r>
        <w:rPr>
          <w:rFonts w:hint="default"/>
          <w:b/>
          <w:bCs/>
        </w:rPr>
        <w:t>表5.4-2  噪声源距预测点距离统计表         单位：m</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9"/>
        <w:gridCol w:w="702"/>
        <w:gridCol w:w="1811"/>
        <w:gridCol w:w="1586"/>
        <w:gridCol w:w="1042"/>
        <w:gridCol w:w="1042"/>
        <w:gridCol w:w="1043"/>
        <w:gridCol w:w="10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799" w:type="dxa"/>
            <w:tcBorders>
              <w:tl2br w:val="nil"/>
              <w:tr2bl w:val="nil"/>
            </w:tcBorders>
            <w:vAlign w:val="center"/>
          </w:tcPr>
          <w:p>
            <w:pPr>
              <w:pStyle w:val="17"/>
              <w:bidi w:val="0"/>
              <w:rPr>
                <w:rFonts w:hint="default"/>
                <w:b/>
                <w:bCs/>
              </w:rPr>
            </w:pPr>
            <w:r>
              <w:rPr>
                <w:rFonts w:hint="default"/>
                <w:b/>
                <w:bCs/>
              </w:rPr>
              <w:t>序号</w:t>
            </w:r>
          </w:p>
        </w:tc>
        <w:tc>
          <w:tcPr>
            <w:tcW w:w="2513" w:type="dxa"/>
            <w:gridSpan w:val="2"/>
            <w:tcBorders>
              <w:tl2br w:val="nil"/>
              <w:tr2bl w:val="nil"/>
            </w:tcBorders>
            <w:vAlign w:val="center"/>
          </w:tcPr>
          <w:p>
            <w:pPr>
              <w:pStyle w:val="17"/>
              <w:bidi w:val="0"/>
              <w:rPr>
                <w:rFonts w:hint="default"/>
                <w:b/>
                <w:bCs/>
              </w:rPr>
            </w:pPr>
            <w:r>
              <w:rPr>
                <w:rFonts w:hint="default"/>
                <w:b/>
                <w:bCs/>
              </w:rPr>
              <w:t>噪声设备</w:t>
            </w:r>
          </w:p>
        </w:tc>
        <w:tc>
          <w:tcPr>
            <w:tcW w:w="1586" w:type="dxa"/>
            <w:tcBorders>
              <w:tl2br w:val="nil"/>
              <w:tr2bl w:val="nil"/>
            </w:tcBorders>
            <w:vAlign w:val="center"/>
          </w:tcPr>
          <w:p>
            <w:pPr>
              <w:pStyle w:val="17"/>
              <w:bidi w:val="0"/>
              <w:rPr>
                <w:rFonts w:hint="default"/>
                <w:b/>
                <w:bCs/>
              </w:rPr>
            </w:pPr>
            <w:r>
              <w:rPr>
                <w:rFonts w:hint="default"/>
                <w:b/>
                <w:bCs/>
              </w:rPr>
              <w:t>数量（台）</w:t>
            </w:r>
          </w:p>
        </w:tc>
        <w:tc>
          <w:tcPr>
            <w:tcW w:w="1042" w:type="dxa"/>
            <w:tcBorders>
              <w:tl2br w:val="nil"/>
              <w:tr2bl w:val="nil"/>
            </w:tcBorders>
            <w:vAlign w:val="center"/>
          </w:tcPr>
          <w:p>
            <w:pPr>
              <w:pStyle w:val="17"/>
              <w:bidi w:val="0"/>
              <w:rPr>
                <w:rFonts w:hint="default"/>
                <w:b/>
                <w:bCs/>
              </w:rPr>
            </w:pPr>
            <w:r>
              <w:rPr>
                <w:rFonts w:hint="default"/>
                <w:b/>
                <w:bCs/>
              </w:rPr>
              <w:t>厂界北</w:t>
            </w:r>
          </w:p>
        </w:tc>
        <w:tc>
          <w:tcPr>
            <w:tcW w:w="1042" w:type="dxa"/>
            <w:tcBorders>
              <w:tl2br w:val="nil"/>
              <w:tr2bl w:val="nil"/>
            </w:tcBorders>
            <w:vAlign w:val="center"/>
          </w:tcPr>
          <w:p>
            <w:pPr>
              <w:pStyle w:val="17"/>
              <w:bidi w:val="0"/>
              <w:rPr>
                <w:rFonts w:hint="default"/>
                <w:b/>
                <w:bCs/>
              </w:rPr>
            </w:pPr>
            <w:r>
              <w:rPr>
                <w:rFonts w:hint="default"/>
                <w:b/>
                <w:bCs/>
              </w:rPr>
              <w:t>厂界南</w:t>
            </w:r>
          </w:p>
        </w:tc>
        <w:tc>
          <w:tcPr>
            <w:tcW w:w="1043" w:type="dxa"/>
            <w:tcBorders>
              <w:tl2br w:val="nil"/>
              <w:tr2bl w:val="nil"/>
            </w:tcBorders>
            <w:vAlign w:val="center"/>
          </w:tcPr>
          <w:p>
            <w:pPr>
              <w:pStyle w:val="17"/>
              <w:bidi w:val="0"/>
              <w:rPr>
                <w:rFonts w:hint="default"/>
                <w:b/>
                <w:bCs/>
              </w:rPr>
            </w:pPr>
            <w:r>
              <w:rPr>
                <w:rFonts w:hint="default"/>
                <w:b/>
                <w:bCs/>
              </w:rPr>
              <w:t>厂界西</w:t>
            </w:r>
          </w:p>
        </w:tc>
        <w:tc>
          <w:tcPr>
            <w:tcW w:w="1046" w:type="dxa"/>
            <w:tcBorders>
              <w:tl2br w:val="nil"/>
              <w:tr2bl w:val="nil"/>
            </w:tcBorders>
            <w:vAlign w:val="center"/>
          </w:tcPr>
          <w:p>
            <w:pPr>
              <w:pStyle w:val="17"/>
              <w:bidi w:val="0"/>
              <w:rPr>
                <w:rFonts w:hint="default"/>
                <w:b/>
                <w:bCs/>
              </w:rPr>
            </w:pPr>
            <w:r>
              <w:rPr>
                <w:rFonts w:hint="default"/>
                <w:b/>
                <w:bCs/>
              </w:rPr>
              <w:t>厂界东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799" w:type="dxa"/>
            <w:tcBorders>
              <w:tl2br w:val="nil"/>
              <w:tr2bl w:val="nil"/>
            </w:tcBorders>
            <w:vAlign w:val="center"/>
          </w:tcPr>
          <w:p>
            <w:pPr>
              <w:pStyle w:val="17"/>
              <w:bidi w:val="0"/>
              <w:rPr>
                <w:rFonts w:hint="default"/>
              </w:rPr>
            </w:pPr>
            <w:r>
              <w:rPr>
                <w:rFonts w:hint="default"/>
              </w:rPr>
              <w:t>1</w:t>
            </w:r>
          </w:p>
        </w:tc>
        <w:tc>
          <w:tcPr>
            <w:tcW w:w="702"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造粒车间</w:t>
            </w:r>
          </w:p>
        </w:tc>
        <w:tc>
          <w:tcPr>
            <w:tcW w:w="1811" w:type="dxa"/>
            <w:tcBorders>
              <w:tl2br w:val="nil"/>
              <w:tr2bl w:val="nil"/>
            </w:tcBorders>
            <w:vAlign w:val="center"/>
          </w:tcPr>
          <w:p>
            <w:pPr>
              <w:pStyle w:val="17"/>
              <w:bidi w:val="0"/>
              <w:rPr>
                <w:rFonts w:hint="default"/>
              </w:rPr>
            </w:pPr>
            <w:r>
              <w:rPr>
                <w:rFonts w:hint="default"/>
              </w:rPr>
              <w:t>破碎机</w:t>
            </w:r>
          </w:p>
        </w:tc>
        <w:tc>
          <w:tcPr>
            <w:tcW w:w="1586" w:type="dxa"/>
            <w:tcBorders>
              <w:tl2br w:val="nil"/>
              <w:tr2bl w:val="nil"/>
            </w:tcBorders>
            <w:vAlign w:val="center"/>
          </w:tcPr>
          <w:p>
            <w:pPr>
              <w:pStyle w:val="17"/>
              <w:bidi w:val="0"/>
              <w:rPr>
                <w:rFonts w:hint="eastAsia"/>
                <w:lang w:eastAsia="zh-CN"/>
              </w:rPr>
            </w:pPr>
            <w:r>
              <w:rPr>
                <w:rFonts w:hint="eastAsia"/>
                <w:lang w:val="en-US" w:eastAsia="zh-CN"/>
              </w:rPr>
              <w:t>3</w:t>
            </w:r>
          </w:p>
        </w:tc>
        <w:tc>
          <w:tcPr>
            <w:tcW w:w="1042" w:type="dxa"/>
            <w:vMerge w:val="restart"/>
            <w:tcBorders>
              <w:tl2br w:val="nil"/>
              <w:tr2bl w:val="nil"/>
            </w:tcBorders>
            <w:vAlign w:val="center"/>
          </w:tcPr>
          <w:p>
            <w:pPr>
              <w:pStyle w:val="17"/>
              <w:bidi w:val="0"/>
              <w:rPr>
                <w:rFonts w:hint="default"/>
                <w:lang w:val="en-US" w:eastAsia="zh-CN"/>
              </w:rPr>
            </w:pPr>
            <w:r>
              <w:rPr>
                <w:rFonts w:hint="eastAsia"/>
                <w:lang w:val="en-US" w:eastAsia="zh-CN"/>
              </w:rPr>
              <w:t>116.25</w:t>
            </w:r>
          </w:p>
        </w:tc>
        <w:tc>
          <w:tcPr>
            <w:tcW w:w="1042" w:type="dxa"/>
            <w:vMerge w:val="restart"/>
            <w:tcBorders>
              <w:tl2br w:val="nil"/>
              <w:tr2bl w:val="nil"/>
            </w:tcBorders>
            <w:vAlign w:val="center"/>
          </w:tcPr>
          <w:p>
            <w:pPr>
              <w:pStyle w:val="17"/>
              <w:bidi w:val="0"/>
              <w:rPr>
                <w:rFonts w:hint="default"/>
                <w:lang w:val="en-US" w:eastAsia="zh-CN"/>
              </w:rPr>
            </w:pPr>
            <w:r>
              <w:rPr>
                <w:rFonts w:hint="eastAsia"/>
                <w:lang w:val="en-US" w:eastAsia="zh-CN"/>
              </w:rPr>
              <w:t>9.81</w:t>
            </w:r>
          </w:p>
        </w:tc>
        <w:tc>
          <w:tcPr>
            <w:tcW w:w="1043" w:type="dxa"/>
            <w:vMerge w:val="restart"/>
            <w:tcBorders>
              <w:tl2br w:val="nil"/>
              <w:tr2bl w:val="nil"/>
            </w:tcBorders>
            <w:vAlign w:val="center"/>
          </w:tcPr>
          <w:p>
            <w:pPr>
              <w:pStyle w:val="17"/>
              <w:bidi w:val="0"/>
              <w:rPr>
                <w:rFonts w:hint="default"/>
                <w:lang w:val="en-US" w:eastAsia="zh-CN"/>
              </w:rPr>
            </w:pPr>
            <w:r>
              <w:rPr>
                <w:rFonts w:hint="eastAsia"/>
                <w:lang w:val="en-US" w:eastAsia="zh-CN"/>
              </w:rPr>
              <w:t>77.08</w:t>
            </w:r>
          </w:p>
        </w:tc>
        <w:tc>
          <w:tcPr>
            <w:tcW w:w="1046" w:type="dxa"/>
            <w:vMerge w:val="restart"/>
            <w:tcBorders>
              <w:tl2br w:val="nil"/>
              <w:tr2bl w:val="nil"/>
            </w:tcBorders>
            <w:vAlign w:val="center"/>
          </w:tcPr>
          <w:p>
            <w:pPr>
              <w:pStyle w:val="17"/>
              <w:bidi w:val="0"/>
              <w:rPr>
                <w:rFonts w:hint="default"/>
                <w:lang w:val="en-US" w:eastAsia="zh-CN"/>
              </w:rPr>
            </w:pPr>
            <w:r>
              <w:rPr>
                <w:rFonts w:hint="eastAsia"/>
                <w:lang w:val="en-US" w:eastAsia="zh-CN"/>
              </w:rPr>
              <w:t>80.85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799" w:type="dxa"/>
            <w:tcBorders>
              <w:tl2br w:val="nil"/>
              <w:tr2bl w:val="nil"/>
            </w:tcBorders>
            <w:vAlign w:val="center"/>
          </w:tcPr>
          <w:p>
            <w:pPr>
              <w:pStyle w:val="17"/>
              <w:bidi w:val="0"/>
              <w:rPr>
                <w:rFonts w:hint="default"/>
              </w:rPr>
            </w:pPr>
            <w:r>
              <w:rPr>
                <w:rFonts w:hint="default"/>
              </w:rPr>
              <w:t>2</w:t>
            </w:r>
          </w:p>
        </w:tc>
        <w:tc>
          <w:tcPr>
            <w:tcW w:w="702" w:type="dxa"/>
            <w:vMerge w:val="continue"/>
            <w:tcBorders>
              <w:tl2br w:val="nil"/>
              <w:tr2bl w:val="nil"/>
            </w:tcBorders>
            <w:vAlign w:val="center"/>
          </w:tcPr>
          <w:p>
            <w:pPr>
              <w:pStyle w:val="17"/>
              <w:bidi w:val="0"/>
              <w:rPr>
                <w:rFonts w:hint="default"/>
              </w:rPr>
            </w:pPr>
          </w:p>
        </w:tc>
        <w:tc>
          <w:tcPr>
            <w:tcW w:w="1811" w:type="dxa"/>
            <w:tcBorders>
              <w:tl2br w:val="nil"/>
              <w:tr2bl w:val="nil"/>
            </w:tcBorders>
            <w:vAlign w:val="center"/>
          </w:tcPr>
          <w:p>
            <w:pPr>
              <w:pStyle w:val="17"/>
              <w:bidi w:val="0"/>
              <w:rPr>
                <w:rFonts w:hint="default"/>
              </w:rPr>
            </w:pPr>
            <w:r>
              <w:rPr>
                <w:rFonts w:hint="default"/>
              </w:rPr>
              <w:t>脱水机</w:t>
            </w:r>
          </w:p>
        </w:tc>
        <w:tc>
          <w:tcPr>
            <w:tcW w:w="1586" w:type="dxa"/>
            <w:tcBorders>
              <w:tl2br w:val="nil"/>
              <w:tr2bl w:val="nil"/>
            </w:tcBorders>
            <w:vAlign w:val="center"/>
          </w:tcPr>
          <w:p>
            <w:pPr>
              <w:pStyle w:val="17"/>
              <w:bidi w:val="0"/>
              <w:rPr>
                <w:rFonts w:hint="eastAsia"/>
                <w:lang w:eastAsia="zh-CN"/>
              </w:rPr>
            </w:pPr>
            <w:r>
              <w:rPr>
                <w:rFonts w:hint="eastAsia"/>
                <w:lang w:val="en-US" w:eastAsia="zh-CN"/>
              </w:rPr>
              <w:t>3</w:t>
            </w:r>
          </w:p>
        </w:tc>
        <w:tc>
          <w:tcPr>
            <w:tcW w:w="1042" w:type="dxa"/>
            <w:vMerge w:val="continue"/>
            <w:tcBorders>
              <w:tl2br w:val="nil"/>
              <w:tr2bl w:val="nil"/>
            </w:tcBorders>
            <w:vAlign w:val="center"/>
          </w:tcPr>
          <w:p>
            <w:pPr>
              <w:pStyle w:val="17"/>
              <w:bidi w:val="0"/>
              <w:rPr>
                <w:rFonts w:hint="default"/>
              </w:rPr>
            </w:pPr>
          </w:p>
        </w:tc>
        <w:tc>
          <w:tcPr>
            <w:tcW w:w="1042" w:type="dxa"/>
            <w:vMerge w:val="continue"/>
            <w:tcBorders>
              <w:tl2br w:val="nil"/>
              <w:tr2bl w:val="nil"/>
            </w:tcBorders>
            <w:vAlign w:val="center"/>
          </w:tcPr>
          <w:p>
            <w:pPr>
              <w:pStyle w:val="17"/>
              <w:bidi w:val="0"/>
              <w:rPr>
                <w:rFonts w:hint="default"/>
              </w:rPr>
            </w:pPr>
          </w:p>
        </w:tc>
        <w:tc>
          <w:tcPr>
            <w:tcW w:w="1043" w:type="dxa"/>
            <w:vMerge w:val="continue"/>
            <w:tcBorders>
              <w:tl2br w:val="nil"/>
              <w:tr2bl w:val="nil"/>
            </w:tcBorders>
            <w:vAlign w:val="center"/>
          </w:tcPr>
          <w:p>
            <w:pPr>
              <w:pStyle w:val="17"/>
              <w:bidi w:val="0"/>
              <w:rPr>
                <w:rFonts w:hint="default"/>
              </w:rPr>
            </w:pPr>
          </w:p>
        </w:tc>
        <w:tc>
          <w:tcPr>
            <w:tcW w:w="1046"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799" w:type="dxa"/>
            <w:tcBorders>
              <w:tl2br w:val="nil"/>
              <w:tr2bl w:val="nil"/>
            </w:tcBorders>
            <w:vAlign w:val="center"/>
          </w:tcPr>
          <w:p>
            <w:pPr>
              <w:pStyle w:val="17"/>
              <w:bidi w:val="0"/>
              <w:rPr>
                <w:rFonts w:hint="default"/>
              </w:rPr>
            </w:pPr>
            <w:r>
              <w:rPr>
                <w:rFonts w:hint="default"/>
              </w:rPr>
              <w:t>3</w:t>
            </w:r>
          </w:p>
        </w:tc>
        <w:tc>
          <w:tcPr>
            <w:tcW w:w="702" w:type="dxa"/>
            <w:vMerge w:val="continue"/>
            <w:tcBorders>
              <w:tl2br w:val="nil"/>
              <w:tr2bl w:val="nil"/>
            </w:tcBorders>
            <w:vAlign w:val="center"/>
          </w:tcPr>
          <w:p>
            <w:pPr>
              <w:pStyle w:val="17"/>
              <w:bidi w:val="0"/>
              <w:rPr>
                <w:rFonts w:hint="default"/>
              </w:rPr>
            </w:pPr>
          </w:p>
        </w:tc>
        <w:tc>
          <w:tcPr>
            <w:tcW w:w="1811" w:type="dxa"/>
            <w:tcBorders>
              <w:tl2br w:val="nil"/>
              <w:tr2bl w:val="nil"/>
            </w:tcBorders>
            <w:vAlign w:val="center"/>
          </w:tcPr>
          <w:p>
            <w:pPr>
              <w:pStyle w:val="17"/>
              <w:bidi w:val="0"/>
              <w:rPr>
                <w:rFonts w:hint="default"/>
              </w:rPr>
            </w:pPr>
            <w:r>
              <w:rPr>
                <w:rFonts w:hint="default"/>
              </w:rPr>
              <w:t>造粒机</w:t>
            </w:r>
          </w:p>
        </w:tc>
        <w:tc>
          <w:tcPr>
            <w:tcW w:w="1586" w:type="dxa"/>
            <w:tcBorders>
              <w:tl2br w:val="nil"/>
              <w:tr2bl w:val="nil"/>
            </w:tcBorders>
            <w:vAlign w:val="center"/>
          </w:tcPr>
          <w:p>
            <w:pPr>
              <w:pStyle w:val="17"/>
              <w:bidi w:val="0"/>
              <w:rPr>
                <w:rFonts w:hint="eastAsia"/>
                <w:lang w:eastAsia="zh-CN"/>
              </w:rPr>
            </w:pPr>
            <w:r>
              <w:rPr>
                <w:rFonts w:hint="eastAsia"/>
                <w:lang w:val="en-US" w:eastAsia="zh-CN"/>
              </w:rPr>
              <w:t>3</w:t>
            </w:r>
          </w:p>
        </w:tc>
        <w:tc>
          <w:tcPr>
            <w:tcW w:w="1042" w:type="dxa"/>
            <w:vMerge w:val="continue"/>
            <w:tcBorders>
              <w:tl2br w:val="nil"/>
              <w:tr2bl w:val="nil"/>
            </w:tcBorders>
            <w:vAlign w:val="center"/>
          </w:tcPr>
          <w:p>
            <w:pPr>
              <w:pStyle w:val="17"/>
              <w:bidi w:val="0"/>
              <w:rPr>
                <w:rFonts w:hint="default"/>
              </w:rPr>
            </w:pPr>
          </w:p>
        </w:tc>
        <w:tc>
          <w:tcPr>
            <w:tcW w:w="1042" w:type="dxa"/>
            <w:vMerge w:val="continue"/>
            <w:tcBorders>
              <w:tl2br w:val="nil"/>
              <w:tr2bl w:val="nil"/>
            </w:tcBorders>
            <w:vAlign w:val="center"/>
          </w:tcPr>
          <w:p>
            <w:pPr>
              <w:pStyle w:val="17"/>
              <w:bidi w:val="0"/>
              <w:rPr>
                <w:rFonts w:hint="default"/>
              </w:rPr>
            </w:pPr>
          </w:p>
        </w:tc>
        <w:tc>
          <w:tcPr>
            <w:tcW w:w="1043" w:type="dxa"/>
            <w:vMerge w:val="continue"/>
            <w:tcBorders>
              <w:tl2br w:val="nil"/>
              <w:tr2bl w:val="nil"/>
            </w:tcBorders>
            <w:vAlign w:val="center"/>
          </w:tcPr>
          <w:p>
            <w:pPr>
              <w:pStyle w:val="17"/>
              <w:bidi w:val="0"/>
              <w:rPr>
                <w:rFonts w:hint="default"/>
              </w:rPr>
            </w:pPr>
          </w:p>
        </w:tc>
        <w:tc>
          <w:tcPr>
            <w:tcW w:w="1046"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799" w:type="dxa"/>
            <w:tcBorders>
              <w:tl2br w:val="nil"/>
              <w:tr2bl w:val="nil"/>
            </w:tcBorders>
            <w:vAlign w:val="center"/>
          </w:tcPr>
          <w:p>
            <w:pPr>
              <w:pStyle w:val="17"/>
              <w:bidi w:val="0"/>
              <w:rPr>
                <w:rFonts w:hint="default"/>
              </w:rPr>
            </w:pPr>
            <w:r>
              <w:rPr>
                <w:rFonts w:hint="default"/>
              </w:rPr>
              <w:t>4</w:t>
            </w:r>
          </w:p>
        </w:tc>
        <w:tc>
          <w:tcPr>
            <w:tcW w:w="702" w:type="dxa"/>
            <w:vMerge w:val="continue"/>
            <w:tcBorders>
              <w:tl2br w:val="nil"/>
              <w:tr2bl w:val="nil"/>
            </w:tcBorders>
            <w:vAlign w:val="center"/>
          </w:tcPr>
          <w:p>
            <w:pPr>
              <w:pStyle w:val="17"/>
              <w:bidi w:val="0"/>
              <w:rPr>
                <w:rFonts w:hint="default"/>
              </w:rPr>
            </w:pPr>
          </w:p>
        </w:tc>
        <w:tc>
          <w:tcPr>
            <w:tcW w:w="1811" w:type="dxa"/>
            <w:tcBorders>
              <w:tl2br w:val="nil"/>
              <w:tr2bl w:val="nil"/>
            </w:tcBorders>
            <w:vAlign w:val="center"/>
          </w:tcPr>
          <w:p>
            <w:pPr>
              <w:pStyle w:val="17"/>
              <w:bidi w:val="0"/>
              <w:rPr>
                <w:rFonts w:hint="default"/>
              </w:rPr>
            </w:pPr>
            <w:r>
              <w:rPr>
                <w:rFonts w:hint="default"/>
              </w:rPr>
              <w:t>切粒机</w:t>
            </w:r>
          </w:p>
        </w:tc>
        <w:tc>
          <w:tcPr>
            <w:tcW w:w="1586" w:type="dxa"/>
            <w:tcBorders>
              <w:tl2br w:val="nil"/>
              <w:tr2bl w:val="nil"/>
            </w:tcBorders>
            <w:vAlign w:val="center"/>
          </w:tcPr>
          <w:p>
            <w:pPr>
              <w:pStyle w:val="17"/>
              <w:bidi w:val="0"/>
              <w:rPr>
                <w:rFonts w:hint="eastAsia"/>
                <w:lang w:eastAsia="zh-CN"/>
              </w:rPr>
            </w:pPr>
            <w:r>
              <w:rPr>
                <w:rFonts w:hint="eastAsia"/>
                <w:lang w:val="en-US" w:eastAsia="zh-CN"/>
              </w:rPr>
              <w:t>3</w:t>
            </w:r>
          </w:p>
        </w:tc>
        <w:tc>
          <w:tcPr>
            <w:tcW w:w="1042" w:type="dxa"/>
            <w:vMerge w:val="continue"/>
            <w:tcBorders>
              <w:tl2br w:val="nil"/>
              <w:tr2bl w:val="nil"/>
            </w:tcBorders>
            <w:vAlign w:val="center"/>
          </w:tcPr>
          <w:p>
            <w:pPr>
              <w:pStyle w:val="17"/>
              <w:bidi w:val="0"/>
              <w:rPr>
                <w:rFonts w:hint="default"/>
              </w:rPr>
            </w:pPr>
          </w:p>
        </w:tc>
        <w:tc>
          <w:tcPr>
            <w:tcW w:w="1042" w:type="dxa"/>
            <w:vMerge w:val="continue"/>
            <w:tcBorders>
              <w:tl2br w:val="nil"/>
              <w:tr2bl w:val="nil"/>
            </w:tcBorders>
            <w:vAlign w:val="center"/>
          </w:tcPr>
          <w:p>
            <w:pPr>
              <w:pStyle w:val="17"/>
              <w:bidi w:val="0"/>
              <w:rPr>
                <w:rFonts w:hint="default"/>
              </w:rPr>
            </w:pPr>
          </w:p>
        </w:tc>
        <w:tc>
          <w:tcPr>
            <w:tcW w:w="1043" w:type="dxa"/>
            <w:vMerge w:val="continue"/>
            <w:tcBorders>
              <w:tl2br w:val="nil"/>
              <w:tr2bl w:val="nil"/>
            </w:tcBorders>
            <w:vAlign w:val="center"/>
          </w:tcPr>
          <w:p>
            <w:pPr>
              <w:pStyle w:val="17"/>
              <w:bidi w:val="0"/>
              <w:rPr>
                <w:rFonts w:hint="default"/>
              </w:rPr>
            </w:pPr>
          </w:p>
        </w:tc>
        <w:tc>
          <w:tcPr>
            <w:tcW w:w="1046"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799" w:type="dxa"/>
            <w:tcBorders>
              <w:tl2br w:val="nil"/>
              <w:tr2bl w:val="nil"/>
            </w:tcBorders>
            <w:vAlign w:val="center"/>
          </w:tcPr>
          <w:p>
            <w:pPr>
              <w:pStyle w:val="17"/>
              <w:bidi w:val="0"/>
              <w:rPr>
                <w:rFonts w:hint="default"/>
              </w:rPr>
            </w:pPr>
            <w:r>
              <w:rPr>
                <w:rFonts w:hint="default"/>
              </w:rPr>
              <w:t>5</w:t>
            </w:r>
          </w:p>
        </w:tc>
        <w:tc>
          <w:tcPr>
            <w:tcW w:w="702" w:type="dxa"/>
            <w:vMerge w:val="continue"/>
            <w:tcBorders>
              <w:tl2br w:val="nil"/>
              <w:tr2bl w:val="nil"/>
            </w:tcBorders>
            <w:vAlign w:val="center"/>
          </w:tcPr>
          <w:p>
            <w:pPr>
              <w:pStyle w:val="17"/>
              <w:bidi w:val="0"/>
              <w:rPr>
                <w:rFonts w:hint="default"/>
              </w:rPr>
            </w:pPr>
          </w:p>
        </w:tc>
        <w:tc>
          <w:tcPr>
            <w:tcW w:w="1811" w:type="dxa"/>
            <w:tcBorders>
              <w:tl2br w:val="nil"/>
              <w:tr2bl w:val="nil"/>
            </w:tcBorders>
            <w:vAlign w:val="center"/>
          </w:tcPr>
          <w:p>
            <w:pPr>
              <w:pStyle w:val="17"/>
              <w:bidi w:val="0"/>
              <w:rPr>
                <w:rFonts w:hint="default"/>
              </w:rPr>
            </w:pPr>
            <w:r>
              <w:rPr>
                <w:rFonts w:hint="default"/>
              </w:rPr>
              <w:t>清洗槽</w:t>
            </w:r>
          </w:p>
        </w:tc>
        <w:tc>
          <w:tcPr>
            <w:tcW w:w="1586" w:type="dxa"/>
            <w:tcBorders>
              <w:tl2br w:val="nil"/>
              <w:tr2bl w:val="nil"/>
            </w:tcBorders>
            <w:vAlign w:val="center"/>
          </w:tcPr>
          <w:p>
            <w:pPr>
              <w:pStyle w:val="17"/>
              <w:bidi w:val="0"/>
              <w:rPr>
                <w:rFonts w:hint="default"/>
              </w:rPr>
            </w:pPr>
            <w:r>
              <w:rPr>
                <w:rFonts w:hint="default"/>
              </w:rPr>
              <w:t>1</w:t>
            </w:r>
          </w:p>
        </w:tc>
        <w:tc>
          <w:tcPr>
            <w:tcW w:w="1042" w:type="dxa"/>
            <w:vMerge w:val="continue"/>
            <w:tcBorders>
              <w:tl2br w:val="nil"/>
              <w:tr2bl w:val="nil"/>
            </w:tcBorders>
            <w:vAlign w:val="center"/>
          </w:tcPr>
          <w:p>
            <w:pPr>
              <w:pStyle w:val="17"/>
              <w:bidi w:val="0"/>
              <w:rPr>
                <w:rFonts w:hint="default"/>
              </w:rPr>
            </w:pPr>
          </w:p>
        </w:tc>
        <w:tc>
          <w:tcPr>
            <w:tcW w:w="1042" w:type="dxa"/>
            <w:vMerge w:val="continue"/>
            <w:tcBorders>
              <w:tl2br w:val="nil"/>
              <w:tr2bl w:val="nil"/>
            </w:tcBorders>
            <w:vAlign w:val="center"/>
          </w:tcPr>
          <w:p>
            <w:pPr>
              <w:pStyle w:val="17"/>
              <w:bidi w:val="0"/>
              <w:rPr>
                <w:rFonts w:hint="default"/>
              </w:rPr>
            </w:pPr>
          </w:p>
        </w:tc>
        <w:tc>
          <w:tcPr>
            <w:tcW w:w="1043" w:type="dxa"/>
            <w:vMerge w:val="continue"/>
            <w:tcBorders>
              <w:tl2br w:val="nil"/>
              <w:tr2bl w:val="nil"/>
            </w:tcBorders>
            <w:vAlign w:val="center"/>
          </w:tcPr>
          <w:p>
            <w:pPr>
              <w:pStyle w:val="17"/>
              <w:bidi w:val="0"/>
              <w:rPr>
                <w:rFonts w:hint="default"/>
              </w:rPr>
            </w:pPr>
          </w:p>
        </w:tc>
        <w:tc>
          <w:tcPr>
            <w:tcW w:w="1046"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799" w:type="dxa"/>
            <w:tcBorders>
              <w:tl2br w:val="nil"/>
              <w:tr2bl w:val="nil"/>
            </w:tcBorders>
            <w:vAlign w:val="center"/>
          </w:tcPr>
          <w:p>
            <w:pPr>
              <w:pStyle w:val="17"/>
              <w:bidi w:val="0"/>
              <w:rPr>
                <w:rFonts w:hint="eastAsia" w:eastAsia="宋体"/>
                <w:lang w:eastAsia="zh-CN"/>
              </w:rPr>
            </w:pPr>
            <w:r>
              <w:rPr>
                <w:rFonts w:hint="eastAsia"/>
                <w:lang w:val="en-US" w:eastAsia="zh-CN"/>
              </w:rPr>
              <w:t>6</w:t>
            </w:r>
          </w:p>
        </w:tc>
        <w:tc>
          <w:tcPr>
            <w:tcW w:w="702" w:type="dxa"/>
            <w:vMerge w:val="continue"/>
            <w:tcBorders>
              <w:tl2br w:val="nil"/>
              <w:tr2bl w:val="nil"/>
            </w:tcBorders>
            <w:vAlign w:val="center"/>
          </w:tcPr>
          <w:p>
            <w:pPr>
              <w:pStyle w:val="17"/>
              <w:bidi w:val="0"/>
              <w:rPr>
                <w:rFonts w:hint="default"/>
              </w:rPr>
            </w:pPr>
          </w:p>
        </w:tc>
        <w:tc>
          <w:tcPr>
            <w:tcW w:w="1811" w:type="dxa"/>
            <w:tcBorders>
              <w:tl2br w:val="nil"/>
              <w:tr2bl w:val="nil"/>
            </w:tcBorders>
            <w:vAlign w:val="center"/>
          </w:tcPr>
          <w:p>
            <w:pPr>
              <w:pStyle w:val="17"/>
              <w:bidi w:val="0"/>
              <w:rPr>
                <w:rFonts w:hint="default"/>
              </w:rPr>
            </w:pPr>
            <w:r>
              <w:rPr>
                <w:rFonts w:hint="default"/>
              </w:rPr>
              <w:t>风机</w:t>
            </w:r>
          </w:p>
        </w:tc>
        <w:tc>
          <w:tcPr>
            <w:tcW w:w="1586" w:type="dxa"/>
            <w:tcBorders>
              <w:tl2br w:val="nil"/>
              <w:tr2bl w:val="nil"/>
            </w:tcBorders>
            <w:vAlign w:val="center"/>
          </w:tcPr>
          <w:p>
            <w:pPr>
              <w:pStyle w:val="17"/>
              <w:bidi w:val="0"/>
              <w:rPr>
                <w:rFonts w:hint="default"/>
              </w:rPr>
            </w:pPr>
            <w:r>
              <w:rPr>
                <w:rFonts w:hint="default"/>
              </w:rPr>
              <w:t>2</w:t>
            </w:r>
          </w:p>
        </w:tc>
        <w:tc>
          <w:tcPr>
            <w:tcW w:w="1042" w:type="dxa"/>
            <w:vMerge w:val="continue"/>
            <w:tcBorders>
              <w:tl2br w:val="nil"/>
              <w:tr2bl w:val="nil"/>
            </w:tcBorders>
            <w:vAlign w:val="center"/>
          </w:tcPr>
          <w:p>
            <w:pPr>
              <w:pStyle w:val="17"/>
              <w:bidi w:val="0"/>
              <w:rPr>
                <w:rFonts w:hint="default"/>
              </w:rPr>
            </w:pPr>
          </w:p>
        </w:tc>
        <w:tc>
          <w:tcPr>
            <w:tcW w:w="1042" w:type="dxa"/>
            <w:vMerge w:val="continue"/>
            <w:tcBorders>
              <w:tl2br w:val="nil"/>
              <w:tr2bl w:val="nil"/>
            </w:tcBorders>
            <w:vAlign w:val="center"/>
          </w:tcPr>
          <w:p>
            <w:pPr>
              <w:pStyle w:val="17"/>
              <w:bidi w:val="0"/>
              <w:rPr>
                <w:rFonts w:hint="default"/>
              </w:rPr>
            </w:pPr>
          </w:p>
        </w:tc>
        <w:tc>
          <w:tcPr>
            <w:tcW w:w="1043" w:type="dxa"/>
            <w:vMerge w:val="continue"/>
            <w:tcBorders>
              <w:tl2br w:val="nil"/>
              <w:tr2bl w:val="nil"/>
            </w:tcBorders>
            <w:vAlign w:val="center"/>
          </w:tcPr>
          <w:p>
            <w:pPr>
              <w:pStyle w:val="17"/>
              <w:bidi w:val="0"/>
              <w:rPr>
                <w:rFonts w:hint="default"/>
              </w:rPr>
            </w:pPr>
          </w:p>
        </w:tc>
        <w:tc>
          <w:tcPr>
            <w:tcW w:w="1046"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799" w:type="dxa"/>
            <w:tcBorders>
              <w:tl2br w:val="nil"/>
              <w:tr2bl w:val="nil"/>
            </w:tcBorders>
            <w:vAlign w:val="center"/>
          </w:tcPr>
          <w:p>
            <w:pPr>
              <w:pStyle w:val="17"/>
              <w:bidi w:val="0"/>
              <w:rPr>
                <w:rFonts w:hint="eastAsia" w:eastAsia="宋体"/>
                <w:lang w:val="en-US" w:eastAsia="zh-CN"/>
              </w:rPr>
            </w:pPr>
            <w:r>
              <w:rPr>
                <w:rFonts w:hint="eastAsia"/>
                <w:lang w:val="en-US" w:eastAsia="zh-CN"/>
              </w:rPr>
              <w:t>7</w:t>
            </w:r>
          </w:p>
        </w:tc>
        <w:tc>
          <w:tcPr>
            <w:tcW w:w="702" w:type="dxa"/>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生产车间</w:t>
            </w:r>
          </w:p>
        </w:tc>
        <w:tc>
          <w:tcPr>
            <w:tcW w:w="1811" w:type="dxa"/>
            <w:tcBorders>
              <w:tl2br w:val="nil"/>
              <w:tr2bl w:val="nil"/>
            </w:tcBorders>
            <w:vAlign w:val="center"/>
          </w:tcPr>
          <w:p>
            <w:pPr>
              <w:pStyle w:val="17"/>
              <w:bidi w:val="0"/>
              <w:ind w:firstLine="0" w:firstLineChars="0"/>
              <w:rPr>
                <w:rFonts w:hint="default"/>
              </w:rPr>
            </w:pPr>
            <w:r>
              <w:rPr>
                <w:rFonts w:hint="default"/>
              </w:rPr>
              <w:t>脱水机</w:t>
            </w:r>
          </w:p>
        </w:tc>
        <w:tc>
          <w:tcPr>
            <w:tcW w:w="1586" w:type="dxa"/>
            <w:tcBorders>
              <w:tl2br w:val="nil"/>
              <w:tr2bl w:val="nil"/>
            </w:tcBorders>
            <w:vAlign w:val="center"/>
          </w:tcPr>
          <w:p>
            <w:pPr>
              <w:pStyle w:val="17"/>
              <w:bidi w:val="0"/>
              <w:rPr>
                <w:rFonts w:hint="default"/>
              </w:rPr>
            </w:pPr>
            <w:r>
              <w:rPr>
                <w:rFonts w:hint="eastAsia"/>
                <w:lang w:val="en-US" w:eastAsia="zh-CN"/>
              </w:rPr>
              <w:t>3</w:t>
            </w:r>
          </w:p>
        </w:tc>
        <w:tc>
          <w:tcPr>
            <w:tcW w:w="1042" w:type="dxa"/>
            <w:vMerge w:val="restart"/>
            <w:tcBorders>
              <w:tl2br w:val="nil"/>
              <w:tr2bl w:val="nil"/>
            </w:tcBorders>
            <w:vAlign w:val="center"/>
          </w:tcPr>
          <w:p>
            <w:pPr>
              <w:pStyle w:val="17"/>
              <w:bidi w:val="0"/>
              <w:rPr>
                <w:rFonts w:hint="default"/>
              </w:rPr>
            </w:pPr>
            <w:r>
              <w:rPr>
                <w:rFonts w:hint="eastAsia"/>
                <w:lang w:val="en-US" w:eastAsia="zh-CN"/>
              </w:rPr>
              <w:t>116.25</w:t>
            </w:r>
          </w:p>
        </w:tc>
        <w:tc>
          <w:tcPr>
            <w:tcW w:w="1042" w:type="dxa"/>
            <w:vMerge w:val="restart"/>
            <w:tcBorders>
              <w:tl2br w:val="nil"/>
              <w:tr2bl w:val="nil"/>
            </w:tcBorders>
            <w:vAlign w:val="center"/>
          </w:tcPr>
          <w:p>
            <w:pPr>
              <w:pStyle w:val="17"/>
              <w:bidi w:val="0"/>
              <w:rPr>
                <w:rFonts w:hint="default"/>
                <w:lang w:val="en-US" w:eastAsia="zh-CN"/>
              </w:rPr>
            </w:pPr>
            <w:r>
              <w:rPr>
                <w:rFonts w:hint="eastAsia"/>
                <w:lang w:val="en-US" w:eastAsia="zh-CN"/>
              </w:rPr>
              <w:t>9.96</w:t>
            </w:r>
          </w:p>
        </w:tc>
        <w:tc>
          <w:tcPr>
            <w:tcW w:w="1043" w:type="dxa"/>
            <w:vMerge w:val="restart"/>
            <w:tcBorders>
              <w:tl2br w:val="nil"/>
              <w:tr2bl w:val="nil"/>
            </w:tcBorders>
            <w:vAlign w:val="center"/>
          </w:tcPr>
          <w:p>
            <w:pPr>
              <w:pStyle w:val="17"/>
              <w:bidi w:val="0"/>
              <w:rPr>
                <w:rFonts w:hint="default"/>
                <w:lang w:val="en-US" w:eastAsia="zh-CN"/>
              </w:rPr>
            </w:pPr>
            <w:r>
              <w:rPr>
                <w:rFonts w:hint="eastAsia"/>
                <w:lang w:val="en-US" w:eastAsia="zh-CN"/>
              </w:rPr>
              <w:t>141.01</w:t>
            </w:r>
          </w:p>
        </w:tc>
        <w:tc>
          <w:tcPr>
            <w:tcW w:w="1046" w:type="dxa"/>
            <w:vMerge w:val="restart"/>
            <w:tcBorders>
              <w:tl2br w:val="nil"/>
              <w:tr2bl w:val="nil"/>
            </w:tcBorders>
            <w:vAlign w:val="center"/>
          </w:tcPr>
          <w:p>
            <w:pPr>
              <w:pStyle w:val="17"/>
              <w:bidi w:val="0"/>
              <w:rPr>
                <w:rFonts w:hint="default"/>
                <w:lang w:val="en-US" w:eastAsia="zh-CN"/>
              </w:rPr>
            </w:pPr>
            <w:r>
              <w:rPr>
                <w:rFonts w:hint="eastAsia"/>
                <w:lang w:val="en-US" w:eastAsia="zh-CN"/>
              </w:rPr>
              <w:t>6.10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799" w:type="dxa"/>
            <w:tcBorders>
              <w:tl2br w:val="nil"/>
              <w:tr2bl w:val="nil"/>
            </w:tcBorders>
            <w:vAlign w:val="center"/>
          </w:tcPr>
          <w:p>
            <w:pPr>
              <w:pStyle w:val="17"/>
              <w:bidi w:val="0"/>
              <w:rPr>
                <w:rFonts w:hint="eastAsia" w:eastAsia="宋体"/>
                <w:lang w:val="en-US" w:eastAsia="zh-CN"/>
              </w:rPr>
            </w:pPr>
            <w:r>
              <w:rPr>
                <w:rFonts w:hint="eastAsia"/>
                <w:lang w:val="en-US" w:eastAsia="zh-CN"/>
              </w:rPr>
              <w:t>8</w:t>
            </w:r>
          </w:p>
        </w:tc>
        <w:tc>
          <w:tcPr>
            <w:tcW w:w="702" w:type="dxa"/>
            <w:vMerge w:val="continue"/>
            <w:tcBorders>
              <w:tl2br w:val="nil"/>
              <w:tr2bl w:val="nil"/>
            </w:tcBorders>
            <w:vAlign w:val="center"/>
          </w:tcPr>
          <w:p>
            <w:pPr>
              <w:pStyle w:val="17"/>
              <w:bidi w:val="0"/>
              <w:rPr>
                <w:rFonts w:hint="default"/>
              </w:rPr>
            </w:pPr>
          </w:p>
        </w:tc>
        <w:tc>
          <w:tcPr>
            <w:tcW w:w="1811" w:type="dxa"/>
            <w:tcBorders>
              <w:tl2br w:val="nil"/>
              <w:tr2bl w:val="nil"/>
            </w:tcBorders>
            <w:vAlign w:val="center"/>
          </w:tcPr>
          <w:p>
            <w:pPr>
              <w:pStyle w:val="17"/>
              <w:bidi w:val="0"/>
              <w:ind w:firstLine="0" w:firstLineChars="0"/>
              <w:rPr>
                <w:rFonts w:hint="default"/>
              </w:rPr>
            </w:pPr>
            <w:r>
              <w:rPr>
                <w:rFonts w:hint="default"/>
              </w:rPr>
              <w:t>切粒机</w:t>
            </w:r>
          </w:p>
        </w:tc>
        <w:tc>
          <w:tcPr>
            <w:tcW w:w="1586" w:type="dxa"/>
            <w:tcBorders>
              <w:tl2br w:val="nil"/>
              <w:tr2bl w:val="nil"/>
            </w:tcBorders>
            <w:vAlign w:val="center"/>
          </w:tcPr>
          <w:p>
            <w:pPr>
              <w:pStyle w:val="17"/>
              <w:bidi w:val="0"/>
              <w:rPr>
                <w:rFonts w:hint="default"/>
                <w:lang w:val="en-US"/>
              </w:rPr>
            </w:pPr>
            <w:r>
              <w:rPr>
                <w:rFonts w:hint="eastAsia"/>
                <w:lang w:val="en-US" w:eastAsia="zh-CN"/>
              </w:rPr>
              <w:t>13</w:t>
            </w:r>
          </w:p>
        </w:tc>
        <w:tc>
          <w:tcPr>
            <w:tcW w:w="1042" w:type="dxa"/>
            <w:vMerge w:val="continue"/>
            <w:tcBorders>
              <w:tl2br w:val="nil"/>
              <w:tr2bl w:val="nil"/>
            </w:tcBorders>
            <w:vAlign w:val="center"/>
          </w:tcPr>
          <w:p>
            <w:pPr>
              <w:pStyle w:val="17"/>
              <w:bidi w:val="0"/>
              <w:rPr>
                <w:rFonts w:hint="default"/>
              </w:rPr>
            </w:pPr>
          </w:p>
        </w:tc>
        <w:tc>
          <w:tcPr>
            <w:tcW w:w="1042" w:type="dxa"/>
            <w:vMerge w:val="continue"/>
            <w:tcBorders>
              <w:tl2br w:val="nil"/>
              <w:tr2bl w:val="nil"/>
            </w:tcBorders>
            <w:vAlign w:val="center"/>
          </w:tcPr>
          <w:p>
            <w:pPr>
              <w:pStyle w:val="17"/>
              <w:bidi w:val="0"/>
              <w:rPr>
                <w:rFonts w:hint="default"/>
              </w:rPr>
            </w:pPr>
          </w:p>
        </w:tc>
        <w:tc>
          <w:tcPr>
            <w:tcW w:w="1043" w:type="dxa"/>
            <w:vMerge w:val="continue"/>
            <w:tcBorders>
              <w:tl2br w:val="nil"/>
              <w:tr2bl w:val="nil"/>
            </w:tcBorders>
            <w:vAlign w:val="center"/>
          </w:tcPr>
          <w:p>
            <w:pPr>
              <w:pStyle w:val="17"/>
              <w:bidi w:val="0"/>
              <w:rPr>
                <w:rFonts w:hint="default"/>
              </w:rPr>
            </w:pPr>
          </w:p>
        </w:tc>
        <w:tc>
          <w:tcPr>
            <w:tcW w:w="1046"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799" w:type="dxa"/>
            <w:tcBorders>
              <w:tl2br w:val="nil"/>
              <w:tr2bl w:val="nil"/>
            </w:tcBorders>
            <w:vAlign w:val="center"/>
          </w:tcPr>
          <w:p>
            <w:pPr>
              <w:pStyle w:val="17"/>
              <w:bidi w:val="0"/>
              <w:rPr>
                <w:rFonts w:hint="eastAsia" w:eastAsia="宋体"/>
                <w:lang w:val="en-US" w:eastAsia="zh-CN"/>
              </w:rPr>
            </w:pPr>
            <w:r>
              <w:rPr>
                <w:rFonts w:hint="eastAsia"/>
                <w:lang w:val="en-US" w:eastAsia="zh-CN"/>
              </w:rPr>
              <w:t>9</w:t>
            </w:r>
          </w:p>
        </w:tc>
        <w:tc>
          <w:tcPr>
            <w:tcW w:w="702" w:type="dxa"/>
            <w:vMerge w:val="continue"/>
            <w:tcBorders>
              <w:tl2br w:val="nil"/>
              <w:tr2bl w:val="nil"/>
            </w:tcBorders>
            <w:vAlign w:val="center"/>
          </w:tcPr>
          <w:p>
            <w:pPr>
              <w:pStyle w:val="17"/>
              <w:bidi w:val="0"/>
              <w:rPr>
                <w:rFonts w:hint="default"/>
              </w:rPr>
            </w:pPr>
          </w:p>
        </w:tc>
        <w:tc>
          <w:tcPr>
            <w:tcW w:w="1811" w:type="dxa"/>
            <w:tcBorders>
              <w:tl2br w:val="nil"/>
              <w:tr2bl w:val="nil"/>
            </w:tcBorders>
            <w:vAlign w:val="center"/>
          </w:tcPr>
          <w:p>
            <w:pPr>
              <w:pStyle w:val="17"/>
              <w:bidi w:val="0"/>
              <w:ind w:firstLine="0" w:firstLineChars="0"/>
              <w:rPr>
                <w:rFonts w:hint="default"/>
              </w:rPr>
            </w:pPr>
            <w:r>
              <w:rPr>
                <w:rFonts w:hint="default"/>
              </w:rPr>
              <w:t>清洗槽</w:t>
            </w:r>
          </w:p>
        </w:tc>
        <w:tc>
          <w:tcPr>
            <w:tcW w:w="1586" w:type="dxa"/>
            <w:tcBorders>
              <w:tl2br w:val="nil"/>
              <w:tr2bl w:val="nil"/>
            </w:tcBorders>
            <w:vAlign w:val="center"/>
          </w:tcPr>
          <w:p>
            <w:pPr>
              <w:pStyle w:val="17"/>
              <w:bidi w:val="0"/>
              <w:rPr>
                <w:rFonts w:hint="default"/>
                <w:lang w:val="en-US"/>
              </w:rPr>
            </w:pPr>
            <w:r>
              <w:rPr>
                <w:rFonts w:hint="eastAsia"/>
                <w:lang w:val="en-US" w:eastAsia="zh-CN"/>
              </w:rPr>
              <w:t>13</w:t>
            </w:r>
          </w:p>
        </w:tc>
        <w:tc>
          <w:tcPr>
            <w:tcW w:w="1042" w:type="dxa"/>
            <w:vMerge w:val="continue"/>
            <w:tcBorders>
              <w:tl2br w:val="nil"/>
              <w:tr2bl w:val="nil"/>
            </w:tcBorders>
            <w:vAlign w:val="center"/>
          </w:tcPr>
          <w:p>
            <w:pPr>
              <w:pStyle w:val="17"/>
              <w:bidi w:val="0"/>
              <w:rPr>
                <w:rFonts w:hint="default"/>
              </w:rPr>
            </w:pPr>
          </w:p>
        </w:tc>
        <w:tc>
          <w:tcPr>
            <w:tcW w:w="1042" w:type="dxa"/>
            <w:vMerge w:val="continue"/>
            <w:tcBorders>
              <w:tl2br w:val="nil"/>
              <w:tr2bl w:val="nil"/>
            </w:tcBorders>
            <w:vAlign w:val="center"/>
          </w:tcPr>
          <w:p>
            <w:pPr>
              <w:pStyle w:val="17"/>
              <w:bidi w:val="0"/>
              <w:rPr>
                <w:rFonts w:hint="default"/>
              </w:rPr>
            </w:pPr>
          </w:p>
        </w:tc>
        <w:tc>
          <w:tcPr>
            <w:tcW w:w="1043" w:type="dxa"/>
            <w:vMerge w:val="continue"/>
            <w:tcBorders>
              <w:tl2br w:val="nil"/>
              <w:tr2bl w:val="nil"/>
            </w:tcBorders>
            <w:vAlign w:val="center"/>
          </w:tcPr>
          <w:p>
            <w:pPr>
              <w:pStyle w:val="17"/>
              <w:bidi w:val="0"/>
              <w:rPr>
                <w:rFonts w:hint="default"/>
              </w:rPr>
            </w:pPr>
          </w:p>
        </w:tc>
        <w:tc>
          <w:tcPr>
            <w:tcW w:w="1046"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799" w:type="dxa"/>
            <w:tcBorders>
              <w:tl2br w:val="nil"/>
              <w:tr2bl w:val="nil"/>
            </w:tcBorders>
            <w:vAlign w:val="center"/>
          </w:tcPr>
          <w:p>
            <w:pPr>
              <w:pStyle w:val="17"/>
              <w:bidi w:val="0"/>
              <w:rPr>
                <w:rFonts w:hint="eastAsia" w:eastAsia="宋体"/>
                <w:lang w:val="en-US" w:eastAsia="zh-CN"/>
              </w:rPr>
            </w:pPr>
            <w:r>
              <w:rPr>
                <w:rFonts w:hint="default"/>
              </w:rPr>
              <w:t>1</w:t>
            </w:r>
            <w:r>
              <w:rPr>
                <w:rFonts w:hint="eastAsia"/>
                <w:lang w:val="en-US" w:eastAsia="zh-CN"/>
              </w:rPr>
              <w:t>0</w:t>
            </w:r>
          </w:p>
        </w:tc>
        <w:tc>
          <w:tcPr>
            <w:tcW w:w="702" w:type="dxa"/>
            <w:vMerge w:val="continue"/>
            <w:tcBorders>
              <w:tl2br w:val="nil"/>
              <w:tr2bl w:val="nil"/>
            </w:tcBorders>
            <w:vAlign w:val="center"/>
          </w:tcPr>
          <w:p>
            <w:pPr>
              <w:pStyle w:val="17"/>
              <w:bidi w:val="0"/>
              <w:rPr>
                <w:rFonts w:hint="default"/>
              </w:rPr>
            </w:pPr>
          </w:p>
        </w:tc>
        <w:tc>
          <w:tcPr>
            <w:tcW w:w="1811" w:type="dxa"/>
            <w:tcBorders>
              <w:tl2br w:val="nil"/>
              <w:tr2bl w:val="nil"/>
            </w:tcBorders>
            <w:vAlign w:val="center"/>
          </w:tcPr>
          <w:p>
            <w:pPr>
              <w:pStyle w:val="17"/>
              <w:bidi w:val="0"/>
              <w:ind w:firstLine="0" w:firstLineChars="0"/>
              <w:rPr>
                <w:rFonts w:hint="default"/>
              </w:rPr>
            </w:pPr>
            <w:r>
              <w:rPr>
                <w:rFonts w:hint="default"/>
              </w:rPr>
              <w:t>注塑机</w:t>
            </w:r>
          </w:p>
        </w:tc>
        <w:tc>
          <w:tcPr>
            <w:tcW w:w="1586" w:type="dxa"/>
            <w:tcBorders>
              <w:tl2br w:val="nil"/>
              <w:tr2bl w:val="nil"/>
            </w:tcBorders>
            <w:vAlign w:val="center"/>
          </w:tcPr>
          <w:p>
            <w:pPr>
              <w:pStyle w:val="17"/>
              <w:bidi w:val="0"/>
              <w:rPr>
                <w:rFonts w:hint="default" w:eastAsia="宋体"/>
                <w:lang w:val="en-US" w:eastAsia="zh-CN"/>
              </w:rPr>
            </w:pPr>
            <w:r>
              <w:rPr>
                <w:rFonts w:hint="eastAsia"/>
                <w:lang w:val="en-US" w:eastAsia="zh-CN"/>
              </w:rPr>
              <w:t>13</w:t>
            </w:r>
          </w:p>
        </w:tc>
        <w:tc>
          <w:tcPr>
            <w:tcW w:w="1042" w:type="dxa"/>
            <w:vMerge w:val="continue"/>
            <w:tcBorders>
              <w:tl2br w:val="nil"/>
              <w:tr2bl w:val="nil"/>
            </w:tcBorders>
            <w:vAlign w:val="center"/>
          </w:tcPr>
          <w:p>
            <w:pPr>
              <w:pStyle w:val="17"/>
              <w:bidi w:val="0"/>
              <w:rPr>
                <w:rFonts w:hint="default"/>
              </w:rPr>
            </w:pPr>
          </w:p>
        </w:tc>
        <w:tc>
          <w:tcPr>
            <w:tcW w:w="1042" w:type="dxa"/>
            <w:vMerge w:val="continue"/>
            <w:tcBorders>
              <w:tl2br w:val="nil"/>
              <w:tr2bl w:val="nil"/>
            </w:tcBorders>
            <w:vAlign w:val="center"/>
          </w:tcPr>
          <w:p>
            <w:pPr>
              <w:pStyle w:val="17"/>
              <w:bidi w:val="0"/>
              <w:rPr>
                <w:rFonts w:hint="default"/>
              </w:rPr>
            </w:pPr>
          </w:p>
        </w:tc>
        <w:tc>
          <w:tcPr>
            <w:tcW w:w="1043" w:type="dxa"/>
            <w:vMerge w:val="continue"/>
            <w:tcBorders>
              <w:tl2br w:val="nil"/>
              <w:tr2bl w:val="nil"/>
            </w:tcBorders>
            <w:vAlign w:val="center"/>
          </w:tcPr>
          <w:p>
            <w:pPr>
              <w:pStyle w:val="17"/>
              <w:bidi w:val="0"/>
              <w:rPr>
                <w:rFonts w:hint="default"/>
              </w:rPr>
            </w:pPr>
          </w:p>
        </w:tc>
        <w:tc>
          <w:tcPr>
            <w:tcW w:w="1046"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799" w:type="dxa"/>
            <w:tcBorders>
              <w:tl2br w:val="nil"/>
              <w:tr2bl w:val="nil"/>
            </w:tcBorders>
            <w:vAlign w:val="center"/>
          </w:tcPr>
          <w:p>
            <w:pPr>
              <w:pStyle w:val="17"/>
              <w:bidi w:val="0"/>
              <w:rPr>
                <w:rFonts w:hint="eastAsia" w:eastAsia="宋体"/>
                <w:lang w:val="en-US" w:eastAsia="zh-CN"/>
              </w:rPr>
            </w:pPr>
            <w:r>
              <w:rPr>
                <w:rFonts w:hint="default"/>
              </w:rPr>
              <w:t>1</w:t>
            </w:r>
            <w:r>
              <w:rPr>
                <w:rFonts w:hint="eastAsia"/>
                <w:lang w:val="en-US" w:eastAsia="zh-CN"/>
              </w:rPr>
              <w:t>1</w:t>
            </w:r>
          </w:p>
        </w:tc>
        <w:tc>
          <w:tcPr>
            <w:tcW w:w="702" w:type="dxa"/>
            <w:vMerge w:val="continue"/>
            <w:tcBorders>
              <w:tl2br w:val="nil"/>
              <w:tr2bl w:val="nil"/>
            </w:tcBorders>
            <w:vAlign w:val="center"/>
          </w:tcPr>
          <w:p>
            <w:pPr>
              <w:pStyle w:val="17"/>
              <w:bidi w:val="0"/>
              <w:rPr>
                <w:rFonts w:hint="default"/>
              </w:rPr>
            </w:pPr>
          </w:p>
        </w:tc>
        <w:tc>
          <w:tcPr>
            <w:tcW w:w="1811" w:type="dxa"/>
            <w:tcBorders>
              <w:tl2br w:val="nil"/>
              <w:tr2bl w:val="nil"/>
            </w:tcBorders>
            <w:vAlign w:val="center"/>
          </w:tcPr>
          <w:p>
            <w:pPr>
              <w:pStyle w:val="17"/>
              <w:bidi w:val="0"/>
              <w:ind w:firstLine="0" w:firstLineChars="0"/>
              <w:rPr>
                <w:rFonts w:hint="default"/>
              </w:rPr>
            </w:pPr>
            <w:r>
              <w:rPr>
                <w:rFonts w:hint="default"/>
              </w:rPr>
              <w:t>风机</w:t>
            </w:r>
          </w:p>
        </w:tc>
        <w:tc>
          <w:tcPr>
            <w:tcW w:w="1586" w:type="dxa"/>
            <w:tcBorders>
              <w:tl2br w:val="nil"/>
              <w:tr2bl w:val="nil"/>
            </w:tcBorders>
            <w:vAlign w:val="center"/>
          </w:tcPr>
          <w:p>
            <w:pPr>
              <w:pStyle w:val="17"/>
              <w:bidi w:val="0"/>
              <w:rPr>
                <w:rFonts w:hint="default"/>
              </w:rPr>
            </w:pPr>
            <w:r>
              <w:rPr>
                <w:rFonts w:hint="default"/>
              </w:rPr>
              <w:t>4</w:t>
            </w:r>
          </w:p>
        </w:tc>
        <w:tc>
          <w:tcPr>
            <w:tcW w:w="1042" w:type="dxa"/>
            <w:vMerge w:val="continue"/>
            <w:tcBorders>
              <w:tl2br w:val="nil"/>
              <w:tr2bl w:val="nil"/>
            </w:tcBorders>
            <w:vAlign w:val="center"/>
          </w:tcPr>
          <w:p>
            <w:pPr>
              <w:pStyle w:val="17"/>
              <w:bidi w:val="0"/>
              <w:rPr>
                <w:rFonts w:hint="default"/>
              </w:rPr>
            </w:pPr>
          </w:p>
        </w:tc>
        <w:tc>
          <w:tcPr>
            <w:tcW w:w="1042" w:type="dxa"/>
            <w:vMerge w:val="continue"/>
            <w:tcBorders>
              <w:tl2br w:val="nil"/>
              <w:tr2bl w:val="nil"/>
            </w:tcBorders>
            <w:vAlign w:val="center"/>
          </w:tcPr>
          <w:p>
            <w:pPr>
              <w:pStyle w:val="17"/>
              <w:bidi w:val="0"/>
              <w:rPr>
                <w:rFonts w:hint="default"/>
              </w:rPr>
            </w:pPr>
          </w:p>
        </w:tc>
        <w:tc>
          <w:tcPr>
            <w:tcW w:w="1043" w:type="dxa"/>
            <w:vMerge w:val="continue"/>
            <w:tcBorders>
              <w:tl2br w:val="nil"/>
              <w:tr2bl w:val="nil"/>
            </w:tcBorders>
            <w:vAlign w:val="center"/>
          </w:tcPr>
          <w:p>
            <w:pPr>
              <w:pStyle w:val="17"/>
              <w:bidi w:val="0"/>
              <w:rPr>
                <w:rFonts w:hint="default"/>
              </w:rPr>
            </w:pPr>
          </w:p>
        </w:tc>
        <w:tc>
          <w:tcPr>
            <w:tcW w:w="1046" w:type="dxa"/>
            <w:vMerge w:val="continue"/>
            <w:tcBorders>
              <w:tl2br w:val="nil"/>
              <w:tr2bl w:val="nil"/>
            </w:tcBorders>
            <w:vAlign w:val="center"/>
          </w:tcPr>
          <w:p>
            <w:pPr>
              <w:pStyle w:val="17"/>
              <w:bidi w:val="0"/>
              <w:rPr>
                <w:rFonts w:hint="default"/>
              </w:rPr>
            </w:pPr>
          </w:p>
        </w:tc>
      </w:tr>
    </w:tbl>
    <w:p>
      <w:pPr>
        <w:pStyle w:val="5"/>
        <w:bidi w:val="0"/>
        <w:rPr>
          <w:rFonts w:hint="default"/>
        </w:rPr>
      </w:pPr>
      <w:bookmarkStart w:id="209" w:name="_Toc298429910"/>
      <w:bookmarkStart w:id="210" w:name="_Toc341867182"/>
      <w:r>
        <w:rPr>
          <w:rFonts w:hint="default"/>
        </w:rPr>
        <w:t>5.</w:t>
      </w:r>
      <w:r>
        <w:rPr>
          <w:rFonts w:hint="eastAsia"/>
          <w:lang w:val="en-US" w:eastAsia="zh-CN"/>
        </w:rPr>
        <w:t>3</w:t>
      </w:r>
      <w:r>
        <w:rPr>
          <w:rFonts w:hint="default"/>
        </w:rPr>
        <w:t>.2</w:t>
      </w:r>
      <w:r>
        <w:rPr>
          <w:rFonts w:hint="eastAsia"/>
          <w:lang w:eastAsia="zh-CN"/>
        </w:rPr>
        <w:t>、</w:t>
      </w:r>
      <w:r>
        <w:rPr>
          <w:rFonts w:hint="default"/>
        </w:rPr>
        <w:t>预测条件</w:t>
      </w:r>
      <w:bookmarkEnd w:id="209"/>
      <w:r>
        <w:rPr>
          <w:rFonts w:hint="default"/>
        </w:rPr>
        <w:t>概化</w:t>
      </w:r>
      <w:bookmarkEnd w:id="210"/>
    </w:p>
    <w:p>
      <w:pPr>
        <w:bidi w:val="0"/>
        <w:rPr>
          <w:rFonts w:hint="default"/>
        </w:rPr>
      </w:pPr>
      <w:r>
        <w:rPr>
          <w:rFonts w:hint="default"/>
        </w:rPr>
        <w:t>（1）所有产噪设备均在正常工况条件下运行；</w:t>
      </w:r>
    </w:p>
    <w:p>
      <w:pPr>
        <w:bidi w:val="0"/>
        <w:rPr>
          <w:rFonts w:hint="default"/>
        </w:rPr>
      </w:pPr>
      <w:r>
        <w:rPr>
          <w:rFonts w:hint="default"/>
        </w:rPr>
        <w:t>（2）室内噪声源考虑声源所在厂房围护结构的隔声作用；</w:t>
      </w:r>
    </w:p>
    <w:p>
      <w:pPr>
        <w:bidi w:val="0"/>
        <w:rPr>
          <w:rFonts w:hint="default"/>
        </w:rPr>
      </w:pPr>
      <w:r>
        <w:rPr>
          <w:rFonts w:hint="default"/>
        </w:rPr>
        <w:t>（3）考虑声源至预测点的距离衰减，忽略传播中</w:t>
      </w:r>
      <w:r>
        <w:rPr>
          <w:rFonts w:hint="eastAsia"/>
          <w:lang w:val="en-US" w:eastAsia="zh-CN"/>
        </w:rPr>
        <w:t>室外</w:t>
      </w:r>
      <w:r>
        <w:rPr>
          <w:rFonts w:hint="default"/>
        </w:rPr>
        <w:t>建筑物的阻挡、地面反射以及空气吸收、雨、雪、温度等影响。</w:t>
      </w:r>
    </w:p>
    <w:p>
      <w:pPr>
        <w:pStyle w:val="5"/>
        <w:bidi w:val="0"/>
        <w:rPr>
          <w:rFonts w:hint="default"/>
        </w:rPr>
      </w:pPr>
      <w:bookmarkStart w:id="211" w:name="_Toc341867183"/>
      <w:r>
        <w:rPr>
          <w:rFonts w:hint="default"/>
        </w:rPr>
        <w:t>5.</w:t>
      </w:r>
      <w:r>
        <w:rPr>
          <w:rFonts w:hint="eastAsia"/>
          <w:lang w:val="en-US" w:eastAsia="zh-CN"/>
        </w:rPr>
        <w:t>3</w:t>
      </w:r>
      <w:r>
        <w:rPr>
          <w:rFonts w:hint="default"/>
        </w:rPr>
        <w:t>.3</w:t>
      </w:r>
      <w:r>
        <w:rPr>
          <w:rFonts w:hint="eastAsia"/>
          <w:lang w:eastAsia="zh-CN"/>
        </w:rPr>
        <w:t>、</w:t>
      </w:r>
      <w:r>
        <w:rPr>
          <w:rFonts w:hint="default"/>
        </w:rPr>
        <w:t>预测模式</w:t>
      </w:r>
      <w:bookmarkEnd w:id="211"/>
    </w:p>
    <w:p>
      <w:pPr>
        <w:bidi w:val="0"/>
        <w:rPr>
          <w:rFonts w:hint="default"/>
        </w:rPr>
      </w:pPr>
      <w:r>
        <w:rPr>
          <w:rFonts w:hint="default"/>
        </w:rPr>
        <w:t>（1）室外声源采用衰减公式为：</w:t>
      </w:r>
    </w:p>
    <w:p>
      <w:pPr>
        <w:bidi w:val="0"/>
        <w:rPr>
          <w:rFonts w:hint="default"/>
        </w:rPr>
      </w:pPr>
      <w:r>
        <w:rPr>
          <w:rFonts w:hint="default"/>
          <w:lang w:val="en-US"/>
        </w:rPr>
        <w:drawing>
          <wp:inline distT="0" distB="0" distL="114300" distR="114300">
            <wp:extent cx="1790700" cy="428625"/>
            <wp:effectExtent l="0" t="0" r="0" b="7620"/>
            <wp:docPr id="2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1"/>
                    <pic:cNvPicPr>
                      <a:picLocks noChangeAspect="1"/>
                    </pic:cNvPicPr>
                  </pic:nvPicPr>
                  <pic:blipFill>
                    <a:blip r:embed="rId47" cstate="print"/>
                    <a:stretch>
                      <a:fillRect/>
                    </a:stretch>
                  </pic:blipFill>
                  <pic:spPr>
                    <a:xfrm>
                      <a:off x="0" y="0"/>
                      <a:ext cx="1790700" cy="428625"/>
                    </a:xfrm>
                    <a:prstGeom prst="rect">
                      <a:avLst/>
                    </a:prstGeom>
                    <a:noFill/>
                    <a:ln>
                      <a:noFill/>
                    </a:ln>
                  </pic:spPr>
                </pic:pic>
              </a:graphicData>
            </a:graphic>
          </wp:inline>
        </w:drawing>
      </w:r>
    </w:p>
    <w:p>
      <w:pPr>
        <w:bidi w:val="0"/>
        <w:rPr>
          <w:rFonts w:hint="default"/>
        </w:rPr>
      </w:pPr>
      <w:r>
        <w:rPr>
          <w:rFonts w:hint="default"/>
        </w:rPr>
        <w:t>式中：Lp(r) ：声源在预测点的声压级，dB(A)；</w:t>
      </w:r>
    </w:p>
    <w:p>
      <w:pPr>
        <w:bidi w:val="0"/>
        <w:rPr>
          <w:rFonts w:hint="default"/>
        </w:rPr>
      </w:pPr>
      <w:r>
        <w:rPr>
          <w:rFonts w:hint="default"/>
        </w:rPr>
        <w:t>Lp(r0) —参考位置的声压级，dB(A)；</w:t>
      </w:r>
    </w:p>
    <w:p>
      <w:pPr>
        <w:bidi w:val="0"/>
        <w:rPr>
          <w:rFonts w:hint="default"/>
        </w:rPr>
      </w:pPr>
      <w:r>
        <w:rPr>
          <w:rFonts w:hint="default"/>
        </w:rPr>
        <w:sym w:font="Symbol" w:char="F044"/>
      </w:r>
      <w:r>
        <w:rPr>
          <w:rFonts w:hint="default"/>
        </w:rPr>
        <w:t>L —为各种因素引起的声衰减量，dB(A)；</w:t>
      </w:r>
    </w:p>
    <w:p>
      <w:pPr>
        <w:bidi w:val="0"/>
        <w:rPr>
          <w:rFonts w:hint="default"/>
        </w:rPr>
      </w:pPr>
      <w:r>
        <w:rPr>
          <w:rFonts w:hint="default"/>
        </w:rPr>
        <w:t>r —声源</w:t>
      </w:r>
      <w:r>
        <w:rPr>
          <w:rFonts w:hint="eastAsia"/>
          <w:lang w:eastAsia="zh-CN"/>
        </w:rPr>
        <w:t>“</w:t>
      </w:r>
      <w:r>
        <w:rPr>
          <w:rFonts w:hint="default"/>
        </w:rPr>
        <w:t>声源中心</w:t>
      </w:r>
      <w:r>
        <w:rPr>
          <w:rFonts w:hint="eastAsia"/>
          <w:lang w:eastAsia="zh-CN"/>
        </w:rPr>
        <w:t>”</w:t>
      </w:r>
      <w:r>
        <w:rPr>
          <w:rFonts w:hint="default"/>
        </w:rPr>
        <w:t>距预测点间的距离，m。</w:t>
      </w:r>
    </w:p>
    <w:p>
      <w:pPr>
        <w:bidi w:val="0"/>
        <w:rPr>
          <w:rFonts w:hint="default"/>
        </w:rPr>
      </w:pPr>
      <w:r>
        <w:rPr>
          <w:rFonts w:hint="default"/>
        </w:rPr>
        <w:t xml:space="preserve">（2）室内声源  </w:t>
      </w:r>
    </w:p>
    <w:p>
      <w:pPr>
        <w:bidi w:val="0"/>
        <w:rPr>
          <w:rFonts w:hint="default"/>
        </w:rPr>
      </w:pPr>
      <w:r>
        <w:rPr>
          <w:rFonts w:hint="default"/>
        </w:rPr>
        <w:t>①室内声源车间外的声传播公式：</w:t>
      </w:r>
    </w:p>
    <w:p>
      <w:pPr>
        <w:bidi w:val="0"/>
        <w:rPr>
          <w:rFonts w:hint="default"/>
        </w:rPr>
      </w:pPr>
      <w:r>
        <w:rPr>
          <w:rFonts w:hint="default"/>
        </w:rPr>
        <w:t>等效室外点源的声传播衰减公式为：</w:t>
      </w:r>
    </w:p>
    <w:p>
      <w:pPr>
        <w:bidi w:val="0"/>
        <w:rPr>
          <w:rFonts w:hint="default"/>
        </w:rPr>
      </w:pPr>
      <w:r>
        <w:rPr>
          <w:rFonts w:hint="default" w:ascii="Times New Roman" w:hAnsi="Times New Roman" w:eastAsia="宋体" w:cs="Times New Roman"/>
          <w:position w:val="-30"/>
        </w:rPr>
        <w:object>
          <v:shape id="_x0000_i1037" o:spt="75" type="#_x0000_t75" style="height:36pt;width:179.25pt;" o:ole="t" filled="f" o:preferrelative="t" stroked="f" coordsize="21600,21600">
            <v:path/>
            <v:fill on="f" focussize="0,0"/>
            <v:stroke on="f" joinstyle="miter"/>
            <v:imagedata r:id="rId49" o:title=""/>
            <o:lock v:ext="edit" aspectratio="t"/>
            <w10:wrap type="none"/>
            <w10:anchorlock/>
          </v:shape>
          <o:OLEObject Type="Embed" ProgID="Equation.3" ShapeID="_x0000_i1037" DrawAspect="Content" ObjectID="_1468075737" r:id="rId48">
            <o:LockedField>false</o:LockedField>
          </o:OLEObject>
        </w:object>
      </w:r>
    </w:p>
    <w:p>
      <w:pPr>
        <w:bidi w:val="0"/>
        <w:rPr>
          <w:rFonts w:hint="default"/>
        </w:rPr>
      </w:pPr>
      <w:r>
        <w:rPr>
          <w:rFonts w:hint="default"/>
          <w:lang w:val="en-US"/>
        </w:rPr>
        <w:drawing>
          <wp:inline distT="0" distB="0" distL="114300" distR="114300">
            <wp:extent cx="114300" cy="219075"/>
            <wp:effectExtent l="0" t="0" r="0" b="0"/>
            <wp:docPr id="2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3"/>
                    <pic:cNvPicPr>
                      <a:picLocks noChangeAspect="1"/>
                    </pic:cNvPicPr>
                  </pic:nvPicPr>
                  <pic:blipFill>
                    <a:blip r:embed="rId50" cstate="print"/>
                    <a:stretch>
                      <a:fillRect/>
                    </a:stretch>
                  </pic:blipFill>
                  <pic:spPr>
                    <a:xfrm>
                      <a:off x="0" y="0"/>
                      <a:ext cx="114300" cy="219075"/>
                    </a:xfrm>
                    <a:prstGeom prst="rect">
                      <a:avLst/>
                    </a:prstGeom>
                    <a:noFill/>
                    <a:ln>
                      <a:noFill/>
                    </a:ln>
                  </pic:spPr>
                </pic:pic>
              </a:graphicData>
            </a:graphic>
          </wp:inline>
        </w:drawing>
      </w:r>
      <w:r>
        <w:rPr>
          <w:rFonts w:hint="default"/>
        </w:rPr>
        <w:t>式中：Lp0—室内声源距离</w:t>
      </w:r>
      <w:r>
        <w:rPr>
          <w:rFonts w:hint="eastAsia"/>
          <w:lang w:eastAsia="zh-CN"/>
        </w:rPr>
        <w:t>“</w:t>
      </w:r>
      <w:r>
        <w:rPr>
          <w:rFonts w:hint="default"/>
        </w:rPr>
        <w:t>声源中心</w:t>
      </w:r>
      <w:r>
        <w:rPr>
          <w:rFonts w:hint="eastAsia"/>
          <w:lang w:eastAsia="zh-CN"/>
        </w:rPr>
        <w:t>”</w:t>
      </w:r>
      <w:r>
        <w:rPr>
          <w:rFonts w:hint="default"/>
        </w:rPr>
        <w:t>1m处的声压级，dB(A)；</w:t>
      </w:r>
    </w:p>
    <w:p>
      <w:pPr>
        <w:bidi w:val="0"/>
        <w:rPr>
          <w:rFonts w:hint="default"/>
        </w:rPr>
      </w:pPr>
      <w:r>
        <w:rPr>
          <w:rFonts w:hint="default"/>
        </w:rPr>
        <w:t>TL(厂房围护结构(墙、窗)的平均隔声量，dB(A)；</w:t>
      </w:r>
    </w:p>
    <w:p>
      <w:pPr>
        <w:bidi w:val="0"/>
        <w:rPr>
          <w:rFonts w:hint="default"/>
        </w:rPr>
      </w:pPr>
      <w:r>
        <w:rPr>
          <w:rFonts w:hint="default"/>
          <w:lang w:val="en-US"/>
        </w:rPr>
        <w:drawing>
          <wp:inline distT="0" distB="0" distL="114300" distR="114300">
            <wp:extent cx="152400" cy="161925"/>
            <wp:effectExtent l="0" t="0" r="0" b="7620"/>
            <wp:docPr id="2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4"/>
                    <pic:cNvPicPr>
                      <a:picLocks noChangeAspect="1"/>
                    </pic:cNvPicPr>
                  </pic:nvPicPr>
                  <pic:blipFill>
                    <a:blip r:embed="rId51" cstate="print"/>
                    <a:stretch>
                      <a:fillRect/>
                    </a:stretch>
                  </pic:blipFill>
                  <pic:spPr>
                    <a:xfrm>
                      <a:off x="0" y="0"/>
                      <a:ext cx="152400" cy="161925"/>
                    </a:xfrm>
                    <a:prstGeom prst="rect">
                      <a:avLst/>
                    </a:prstGeom>
                    <a:noFill/>
                    <a:ln>
                      <a:noFill/>
                    </a:ln>
                  </pic:spPr>
                </pic:pic>
              </a:graphicData>
            </a:graphic>
          </wp:inline>
        </w:drawing>
      </w:r>
      <w:r>
        <w:rPr>
          <w:rFonts w:hint="default"/>
        </w:rPr>
        <w:t>为房间的平均吸声系数；</w:t>
      </w:r>
    </w:p>
    <w:p>
      <w:pPr>
        <w:bidi w:val="0"/>
        <w:rPr>
          <w:rFonts w:hint="default"/>
        </w:rPr>
      </w:pPr>
      <w:r>
        <w:rPr>
          <w:rFonts w:hint="default"/>
        </w:rPr>
        <w:t>r —车间中心距预测点的距离，m；</w:t>
      </w:r>
    </w:p>
    <w:p>
      <w:pPr>
        <w:bidi w:val="0"/>
        <w:rPr>
          <w:rFonts w:hint="default"/>
        </w:rPr>
      </w:pPr>
      <w:r>
        <w:rPr>
          <w:rFonts w:hint="default"/>
        </w:rPr>
        <w:t>r0—测Lp0时距设备中心距离，m。</w:t>
      </w:r>
    </w:p>
    <w:p>
      <w:pPr>
        <w:bidi w:val="0"/>
        <w:rPr>
          <w:rFonts w:hint="default"/>
        </w:rPr>
      </w:pPr>
      <w:r>
        <w:rPr>
          <w:rFonts w:hint="default"/>
        </w:rPr>
        <w:t>②参数的选择</w:t>
      </w:r>
    </w:p>
    <w:p>
      <w:pPr>
        <w:bidi w:val="0"/>
        <w:rPr>
          <w:rFonts w:hint="default"/>
        </w:rPr>
      </w:pPr>
      <w:r>
        <w:rPr>
          <w:rFonts w:hint="default"/>
        </w:rPr>
        <w:t>a平均隔声量TL，泵类半地下布置隔声量取30dB(A)；地面车间建筑普通单层玻璃窗与墙体组合，TL=25dB(A)、塑钢中空玻璃窗或双层玻璃窗与墙体组合等隔声门窗，TL=30dB(A)。</w:t>
      </w:r>
    </w:p>
    <w:p>
      <w:pPr>
        <w:bidi w:val="0"/>
        <w:rPr>
          <w:rFonts w:hint="default"/>
        </w:rPr>
      </w:pPr>
      <w:r>
        <w:rPr>
          <w:rFonts w:hint="default"/>
        </w:rPr>
        <w:t>b平均吸声系数</w:t>
      </w:r>
      <w:r>
        <w:rPr>
          <w:rFonts w:hint="default"/>
          <w:lang w:val="en-US"/>
        </w:rPr>
        <w:drawing>
          <wp:inline distT="0" distB="0" distL="114300" distR="114300">
            <wp:extent cx="152400" cy="161925"/>
            <wp:effectExtent l="0" t="0" r="0" b="7620"/>
            <wp:docPr id="27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5"/>
                    <pic:cNvPicPr>
                      <a:picLocks noChangeAspect="1"/>
                    </pic:cNvPicPr>
                  </pic:nvPicPr>
                  <pic:blipFill>
                    <a:blip r:embed="rId51" cstate="print"/>
                    <a:stretch>
                      <a:fillRect/>
                    </a:stretch>
                  </pic:blipFill>
                  <pic:spPr>
                    <a:xfrm>
                      <a:off x="0" y="0"/>
                      <a:ext cx="152400" cy="161925"/>
                    </a:xfrm>
                    <a:prstGeom prst="rect">
                      <a:avLst/>
                    </a:prstGeom>
                    <a:noFill/>
                    <a:ln>
                      <a:noFill/>
                    </a:ln>
                  </pic:spPr>
                </pic:pic>
              </a:graphicData>
            </a:graphic>
          </wp:inline>
        </w:drawing>
      </w:r>
      <w:r>
        <w:rPr>
          <w:rFonts w:hint="default"/>
        </w:rPr>
        <w:t>，无吸声处理的车间</w:t>
      </w:r>
      <w:r>
        <w:rPr>
          <w:rFonts w:hint="default"/>
          <w:lang w:val="en-US"/>
        </w:rPr>
        <w:drawing>
          <wp:inline distT="0" distB="0" distL="114300" distR="114300">
            <wp:extent cx="152400" cy="161925"/>
            <wp:effectExtent l="0" t="0" r="0" b="7620"/>
            <wp:docPr id="2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6"/>
                    <pic:cNvPicPr>
                      <a:picLocks noChangeAspect="1"/>
                    </pic:cNvPicPr>
                  </pic:nvPicPr>
                  <pic:blipFill>
                    <a:blip r:embed="rId51" cstate="print"/>
                    <a:stretch>
                      <a:fillRect/>
                    </a:stretch>
                  </pic:blipFill>
                  <pic:spPr>
                    <a:xfrm>
                      <a:off x="0" y="0"/>
                      <a:ext cx="152400" cy="161925"/>
                    </a:xfrm>
                    <a:prstGeom prst="rect">
                      <a:avLst/>
                    </a:prstGeom>
                    <a:noFill/>
                    <a:ln>
                      <a:noFill/>
                    </a:ln>
                  </pic:spPr>
                </pic:pic>
              </a:graphicData>
            </a:graphic>
          </wp:inline>
        </w:drawing>
      </w:r>
      <w:r>
        <w:rPr>
          <w:rFonts w:hint="default"/>
        </w:rPr>
        <w:t>=0.15；部分吸声处理的车间</w:t>
      </w:r>
      <w:r>
        <w:rPr>
          <w:rFonts w:hint="default"/>
          <w:lang w:val="en-US"/>
        </w:rPr>
        <w:drawing>
          <wp:inline distT="0" distB="0" distL="114300" distR="114300">
            <wp:extent cx="152400" cy="161925"/>
            <wp:effectExtent l="0" t="0" r="0" b="7620"/>
            <wp:docPr id="2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
                    <pic:cNvPicPr>
                      <a:picLocks noChangeAspect="1"/>
                    </pic:cNvPicPr>
                  </pic:nvPicPr>
                  <pic:blipFill>
                    <a:blip r:embed="rId51" cstate="print"/>
                    <a:stretch>
                      <a:fillRect/>
                    </a:stretch>
                  </pic:blipFill>
                  <pic:spPr>
                    <a:xfrm>
                      <a:off x="0" y="0"/>
                      <a:ext cx="152400" cy="161925"/>
                    </a:xfrm>
                    <a:prstGeom prst="rect">
                      <a:avLst/>
                    </a:prstGeom>
                    <a:noFill/>
                    <a:ln>
                      <a:noFill/>
                    </a:ln>
                  </pic:spPr>
                </pic:pic>
              </a:graphicData>
            </a:graphic>
          </wp:inline>
        </w:drawing>
      </w:r>
      <w:r>
        <w:rPr>
          <w:rFonts w:hint="default"/>
        </w:rPr>
        <w:t>=0.30；全部吸声处理的车间</w:t>
      </w:r>
      <w:r>
        <w:rPr>
          <w:rFonts w:hint="default"/>
          <w:lang w:val="en-US"/>
        </w:rPr>
        <w:drawing>
          <wp:inline distT="0" distB="0" distL="114300" distR="114300">
            <wp:extent cx="152400" cy="161925"/>
            <wp:effectExtent l="0" t="0" r="0" b="7620"/>
            <wp:docPr id="27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8"/>
                    <pic:cNvPicPr>
                      <a:picLocks noChangeAspect="1"/>
                    </pic:cNvPicPr>
                  </pic:nvPicPr>
                  <pic:blipFill>
                    <a:blip r:embed="rId51" cstate="print"/>
                    <a:stretch>
                      <a:fillRect/>
                    </a:stretch>
                  </pic:blipFill>
                  <pic:spPr>
                    <a:xfrm>
                      <a:off x="0" y="0"/>
                      <a:ext cx="152400" cy="161925"/>
                    </a:xfrm>
                    <a:prstGeom prst="rect">
                      <a:avLst/>
                    </a:prstGeom>
                    <a:noFill/>
                    <a:ln>
                      <a:noFill/>
                    </a:ln>
                  </pic:spPr>
                </pic:pic>
              </a:graphicData>
            </a:graphic>
          </wp:inline>
        </w:drawing>
      </w:r>
      <w:r>
        <w:rPr>
          <w:rFonts w:hint="default"/>
        </w:rPr>
        <w:t>=0.5～0.6。</w:t>
      </w:r>
    </w:p>
    <w:p>
      <w:pPr>
        <w:bidi w:val="0"/>
        <w:rPr>
          <w:rFonts w:hint="default"/>
        </w:rPr>
      </w:pPr>
      <w:r>
        <w:rPr>
          <w:rFonts w:hint="default"/>
        </w:rPr>
        <w:t>预测输入参数见表5.4-3。</w:t>
      </w:r>
    </w:p>
    <w:p>
      <w:pPr>
        <w:pStyle w:val="17"/>
        <w:bidi w:val="0"/>
        <w:rPr>
          <w:rFonts w:hint="default"/>
          <w:b/>
          <w:bCs/>
        </w:rPr>
      </w:pPr>
      <w:r>
        <w:rPr>
          <w:rFonts w:hint="default"/>
          <w:b/>
          <w:bCs/>
        </w:rPr>
        <w:t xml:space="preserve">表5.4-3 </w:t>
      </w:r>
      <w:r>
        <w:rPr>
          <w:rFonts w:hint="eastAsia"/>
          <w:b/>
          <w:bCs/>
          <w:lang w:val="en-US" w:eastAsia="zh-CN"/>
        </w:rPr>
        <w:t xml:space="preserve"> </w:t>
      </w:r>
      <w:r>
        <w:rPr>
          <w:rFonts w:hint="default"/>
          <w:b/>
          <w:bCs/>
        </w:rPr>
        <w:t xml:space="preserve"> 室内噪声输入参数表</w:t>
      </w:r>
    </w:p>
    <w:tbl>
      <w:tblPr>
        <w:tblStyle w:val="12"/>
        <w:tblW w:w="9071"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373"/>
        <w:gridCol w:w="2232"/>
        <w:gridCol w:w="2232"/>
        <w:gridCol w:w="22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5" w:hRule="atLeast"/>
        </w:trPr>
        <w:tc>
          <w:tcPr>
            <w:tcW w:w="2373" w:type="dxa"/>
            <w:tcBorders>
              <w:tl2br w:val="nil"/>
              <w:tr2bl w:val="nil"/>
            </w:tcBorders>
            <w:vAlign w:val="center"/>
          </w:tcPr>
          <w:p>
            <w:pPr>
              <w:pStyle w:val="17"/>
              <w:bidi w:val="0"/>
              <w:rPr>
                <w:rFonts w:hint="default"/>
                <w:b/>
                <w:bCs/>
              </w:rPr>
            </w:pPr>
            <w:r>
              <w:rPr>
                <w:rFonts w:hint="default"/>
                <w:b/>
                <w:bCs/>
              </w:rPr>
              <w:t>室内声源位置</w:t>
            </w:r>
          </w:p>
        </w:tc>
        <w:tc>
          <w:tcPr>
            <w:tcW w:w="2232" w:type="dxa"/>
            <w:tcBorders>
              <w:tl2br w:val="nil"/>
              <w:tr2bl w:val="nil"/>
            </w:tcBorders>
            <w:vAlign w:val="center"/>
          </w:tcPr>
          <w:p>
            <w:pPr>
              <w:pStyle w:val="17"/>
              <w:bidi w:val="0"/>
              <w:rPr>
                <w:rFonts w:hint="default"/>
                <w:b/>
                <w:bCs/>
              </w:rPr>
            </w:pPr>
            <w:r>
              <w:rPr>
                <w:rFonts w:hint="default"/>
                <w:b/>
                <w:bCs/>
              </w:rPr>
              <w:t>造粒装置</w:t>
            </w:r>
          </w:p>
        </w:tc>
        <w:tc>
          <w:tcPr>
            <w:tcW w:w="2232" w:type="dxa"/>
            <w:tcBorders>
              <w:tl2br w:val="nil"/>
              <w:tr2bl w:val="nil"/>
            </w:tcBorders>
            <w:vAlign w:val="center"/>
          </w:tcPr>
          <w:p>
            <w:pPr>
              <w:pStyle w:val="17"/>
              <w:bidi w:val="0"/>
              <w:rPr>
                <w:rFonts w:hint="default"/>
                <w:b/>
                <w:bCs/>
              </w:rPr>
            </w:pPr>
            <w:r>
              <w:rPr>
                <w:rFonts w:hint="default"/>
                <w:b/>
                <w:bCs/>
              </w:rPr>
              <w:t>注塑装置</w:t>
            </w:r>
          </w:p>
        </w:tc>
        <w:tc>
          <w:tcPr>
            <w:tcW w:w="2234" w:type="dxa"/>
            <w:tcBorders>
              <w:tl2br w:val="nil"/>
              <w:tr2bl w:val="nil"/>
            </w:tcBorders>
            <w:vAlign w:val="center"/>
          </w:tcPr>
          <w:p>
            <w:pPr>
              <w:pStyle w:val="17"/>
              <w:bidi w:val="0"/>
              <w:rPr>
                <w:rFonts w:hint="default"/>
                <w:b/>
                <w:bCs/>
              </w:rPr>
            </w:pPr>
            <w:r>
              <w:rPr>
                <w:rFonts w:hint="default"/>
                <w:b/>
                <w:bCs/>
              </w:rPr>
              <w:t>车间风机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2" w:hRule="atLeast"/>
        </w:trPr>
        <w:tc>
          <w:tcPr>
            <w:tcW w:w="2373" w:type="dxa"/>
            <w:tcBorders>
              <w:tl2br w:val="nil"/>
              <w:tr2bl w:val="nil"/>
            </w:tcBorders>
            <w:vAlign w:val="center"/>
          </w:tcPr>
          <w:p>
            <w:pPr>
              <w:pStyle w:val="17"/>
              <w:bidi w:val="0"/>
              <w:rPr>
                <w:rFonts w:hint="default"/>
              </w:rPr>
            </w:pPr>
            <w:r>
              <w:rPr>
                <w:rFonts w:hint="default"/>
              </w:rPr>
              <w:t>平均隔声量（dBA）</w:t>
            </w:r>
          </w:p>
        </w:tc>
        <w:tc>
          <w:tcPr>
            <w:tcW w:w="2232" w:type="dxa"/>
            <w:tcBorders>
              <w:tl2br w:val="nil"/>
              <w:tr2bl w:val="nil"/>
            </w:tcBorders>
            <w:vAlign w:val="center"/>
          </w:tcPr>
          <w:p>
            <w:pPr>
              <w:pStyle w:val="17"/>
              <w:bidi w:val="0"/>
              <w:rPr>
                <w:rFonts w:hint="default"/>
              </w:rPr>
            </w:pPr>
            <w:r>
              <w:rPr>
                <w:rFonts w:hint="default"/>
              </w:rPr>
              <w:t>25</w:t>
            </w:r>
          </w:p>
        </w:tc>
        <w:tc>
          <w:tcPr>
            <w:tcW w:w="2232" w:type="dxa"/>
            <w:tcBorders>
              <w:tl2br w:val="nil"/>
              <w:tr2bl w:val="nil"/>
            </w:tcBorders>
            <w:vAlign w:val="center"/>
          </w:tcPr>
          <w:p>
            <w:pPr>
              <w:pStyle w:val="17"/>
              <w:bidi w:val="0"/>
              <w:rPr>
                <w:rFonts w:hint="default"/>
              </w:rPr>
            </w:pPr>
            <w:r>
              <w:rPr>
                <w:rFonts w:hint="default"/>
              </w:rPr>
              <w:t>25</w:t>
            </w:r>
          </w:p>
        </w:tc>
        <w:tc>
          <w:tcPr>
            <w:tcW w:w="2234" w:type="dxa"/>
            <w:tcBorders>
              <w:tl2br w:val="nil"/>
              <w:tr2bl w:val="nil"/>
            </w:tcBorders>
            <w:vAlign w:val="center"/>
          </w:tcPr>
          <w:p>
            <w:pPr>
              <w:pStyle w:val="17"/>
              <w:bidi w:val="0"/>
              <w:rPr>
                <w:rFonts w:hint="default"/>
              </w:rPr>
            </w:pPr>
            <w:r>
              <w:rPr>
                <w:rFonts w:hint="default"/>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7" w:hRule="atLeast"/>
        </w:trPr>
        <w:tc>
          <w:tcPr>
            <w:tcW w:w="2373" w:type="dxa"/>
            <w:tcBorders>
              <w:tl2br w:val="nil"/>
              <w:tr2bl w:val="nil"/>
            </w:tcBorders>
            <w:vAlign w:val="center"/>
          </w:tcPr>
          <w:p>
            <w:pPr>
              <w:pStyle w:val="17"/>
              <w:bidi w:val="0"/>
              <w:rPr>
                <w:rFonts w:hint="default"/>
              </w:rPr>
            </w:pPr>
            <w:r>
              <w:rPr>
                <w:rFonts w:hint="default"/>
              </w:rPr>
              <w:t>吸声系数(</w:t>
            </w:r>
            <w:r>
              <w:rPr>
                <w:rFonts w:hint="default"/>
              </w:rPr>
              <w:drawing>
                <wp:inline distT="0" distB="0" distL="114300" distR="114300">
                  <wp:extent cx="152400" cy="161925"/>
                  <wp:effectExtent l="0" t="0" r="0" b="7620"/>
                  <wp:docPr id="27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9"/>
                          <pic:cNvPicPr>
                            <a:picLocks noChangeAspect="1"/>
                          </pic:cNvPicPr>
                        </pic:nvPicPr>
                        <pic:blipFill>
                          <a:blip r:embed="rId51" cstate="print"/>
                          <a:stretch>
                            <a:fillRect/>
                          </a:stretch>
                        </pic:blipFill>
                        <pic:spPr>
                          <a:xfrm>
                            <a:off x="0" y="0"/>
                            <a:ext cx="152400" cy="161925"/>
                          </a:xfrm>
                          <a:prstGeom prst="rect">
                            <a:avLst/>
                          </a:prstGeom>
                          <a:noFill/>
                          <a:ln>
                            <a:noFill/>
                          </a:ln>
                        </pic:spPr>
                      </pic:pic>
                    </a:graphicData>
                  </a:graphic>
                </wp:inline>
              </w:drawing>
            </w:r>
            <w:r>
              <w:rPr>
                <w:rFonts w:hint="default"/>
              </w:rPr>
              <w:t>)</w:t>
            </w:r>
          </w:p>
        </w:tc>
        <w:tc>
          <w:tcPr>
            <w:tcW w:w="2232" w:type="dxa"/>
            <w:tcBorders>
              <w:tl2br w:val="nil"/>
              <w:tr2bl w:val="nil"/>
            </w:tcBorders>
            <w:vAlign w:val="center"/>
          </w:tcPr>
          <w:p>
            <w:pPr>
              <w:pStyle w:val="17"/>
              <w:bidi w:val="0"/>
              <w:rPr>
                <w:rFonts w:hint="default"/>
              </w:rPr>
            </w:pPr>
            <w:r>
              <w:rPr>
                <w:rFonts w:hint="default"/>
              </w:rPr>
              <w:t>0.15</w:t>
            </w:r>
          </w:p>
        </w:tc>
        <w:tc>
          <w:tcPr>
            <w:tcW w:w="2232" w:type="dxa"/>
            <w:tcBorders>
              <w:tl2br w:val="nil"/>
              <w:tr2bl w:val="nil"/>
            </w:tcBorders>
            <w:vAlign w:val="center"/>
          </w:tcPr>
          <w:p>
            <w:pPr>
              <w:pStyle w:val="17"/>
              <w:bidi w:val="0"/>
              <w:rPr>
                <w:rFonts w:hint="default"/>
              </w:rPr>
            </w:pPr>
            <w:r>
              <w:rPr>
                <w:rFonts w:hint="default"/>
              </w:rPr>
              <w:t>0.15</w:t>
            </w:r>
          </w:p>
        </w:tc>
        <w:tc>
          <w:tcPr>
            <w:tcW w:w="2234" w:type="dxa"/>
            <w:tcBorders>
              <w:tl2br w:val="nil"/>
              <w:tr2bl w:val="nil"/>
            </w:tcBorders>
            <w:vAlign w:val="center"/>
          </w:tcPr>
          <w:p>
            <w:pPr>
              <w:pStyle w:val="17"/>
              <w:bidi w:val="0"/>
              <w:rPr>
                <w:rFonts w:hint="default"/>
              </w:rPr>
            </w:pPr>
            <w:r>
              <w:rPr>
                <w:rFonts w:hint="default"/>
              </w:rPr>
              <w:t>0.15</w:t>
            </w:r>
          </w:p>
        </w:tc>
      </w:tr>
    </w:tbl>
    <w:p>
      <w:pPr>
        <w:bidi w:val="0"/>
        <w:rPr>
          <w:rFonts w:hint="default"/>
        </w:rPr>
      </w:pPr>
      <w:r>
        <w:rPr>
          <w:rFonts w:hint="default"/>
        </w:rPr>
        <w:t>③合成声压级采用公式为：</w:t>
      </w:r>
    </w:p>
    <w:p>
      <w:pPr>
        <w:bidi w:val="0"/>
        <w:rPr>
          <w:rFonts w:hint="default"/>
        </w:rPr>
      </w:pPr>
      <w:r>
        <w:rPr>
          <w:rFonts w:hint="default" w:ascii="Times New Roman" w:hAnsi="Times New Roman" w:eastAsia="宋体" w:cs="Times New Roman"/>
          <w:position w:val="-28"/>
        </w:rPr>
        <w:object>
          <v:shape id="_x0000_i1038" o:spt="75" type="#_x0000_t75" style="height:33.75pt;width:104.25pt;" o:ole="t" filled="f" o:preferrelative="t" stroked="f" coordsize="21600,21600">
            <v:path/>
            <v:fill on="f" focussize="0,0"/>
            <v:stroke on="f" joinstyle="miter"/>
            <v:imagedata r:id="rId53" o:title=""/>
            <o:lock v:ext="edit" aspectratio="t"/>
            <w10:wrap type="none"/>
            <w10:anchorlock/>
          </v:shape>
          <o:OLEObject Type="Embed" ProgID="Equation.3" ShapeID="_x0000_i1038" DrawAspect="Content" ObjectID="_1468075738" r:id="rId52">
            <o:LockedField>false</o:LockedField>
          </o:OLEObject>
        </w:object>
      </w:r>
    </w:p>
    <w:p>
      <w:pPr>
        <w:bidi w:val="0"/>
        <w:rPr>
          <w:rFonts w:hint="default"/>
        </w:rPr>
      </w:pPr>
      <w:r>
        <w:rPr>
          <w:rFonts w:hint="default"/>
        </w:rPr>
        <w:t>式中：Lpn—n个噪声源在预测点产生的声压级，dB(A)；</w:t>
      </w:r>
    </w:p>
    <w:p>
      <w:pPr>
        <w:bidi w:val="0"/>
        <w:rPr>
          <w:rFonts w:hint="default"/>
        </w:rPr>
      </w:pPr>
      <w:r>
        <w:rPr>
          <w:rFonts w:hint="default"/>
        </w:rPr>
        <w:t xml:space="preserve">      Lpni—第n个噪声源在预测点产生的声压级，dB(A)。</w:t>
      </w:r>
    </w:p>
    <w:bookmarkEnd w:id="208"/>
    <w:p>
      <w:pPr>
        <w:pStyle w:val="5"/>
        <w:bidi w:val="0"/>
        <w:rPr>
          <w:rFonts w:hint="default"/>
        </w:rPr>
      </w:pPr>
      <w:bookmarkStart w:id="212" w:name="_Toc341867184"/>
      <w:r>
        <w:rPr>
          <w:rFonts w:hint="default"/>
        </w:rPr>
        <w:t>5.</w:t>
      </w:r>
      <w:r>
        <w:rPr>
          <w:rFonts w:hint="eastAsia"/>
          <w:lang w:val="en-US" w:eastAsia="zh-CN"/>
        </w:rPr>
        <w:t>3</w:t>
      </w:r>
      <w:r>
        <w:rPr>
          <w:rFonts w:hint="default"/>
        </w:rPr>
        <w:t>.</w:t>
      </w:r>
      <w:r>
        <w:rPr>
          <w:rFonts w:hint="eastAsia"/>
          <w:lang w:val="en-US" w:eastAsia="zh-CN"/>
        </w:rPr>
        <w:t>4、</w:t>
      </w:r>
      <w:r>
        <w:rPr>
          <w:rFonts w:hint="default"/>
        </w:rPr>
        <w:t>预测结果及评价</w:t>
      </w:r>
      <w:bookmarkEnd w:id="212"/>
    </w:p>
    <w:p>
      <w:pPr>
        <w:bidi w:val="0"/>
        <w:rPr>
          <w:rFonts w:hint="default"/>
        </w:rPr>
      </w:pPr>
      <w:r>
        <w:rPr>
          <w:rFonts w:hint="default"/>
        </w:rPr>
        <w:t>预测结果列于表5.4-4。</w:t>
      </w:r>
    </w:p>
    <w:p>
      <w:pPr>
        <w:pStyle w:val="17"/>
        <w:bidi w:val="0"/>
        <w:rPr>
          <w:rFonts w:hint="default"/>
          <w:b/>
          <w:bCs/>
        </w:rPr>
      </w:pPr>
      <w:r>
        <w:rPr>
          <w:rFonts w:hint="default"/>
          <w:b/>
          <w:bCs/>
        </w:rPr>
        <w:t xml:space="preserve">表5.4-4 </w:t>
      </w:r>
      <w:r>
        <w:rPr>
          <w:rFonts w:hint="eastAsia"/>
          <w:b/>
          <w:bCs/>
          <w:lang w:val="en-US" w:eastAsia="zh-CN"/>
        </w:rPr>
        <w:t xml:space="preserve"> </w:t>
      </w:r>
      <w:r>
        <w:rPr>
          <w:rFonts w:hint="default"/>
          <w:b/>
          <w:bCs/>
        </w:rPr>
        <w:t xml:space="preserve"> 噪声影响预测结果   单位：dB（A）</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1728"/>
        <w:gridCol w:w="1729"/>
        <w:gridCol w:w="1729"/>
        <w:gridCol w:w="17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jc w:val="center"/>
        </w:trPr>
        <w:tc>
          <w:tcPr>
            <w:tcW w:w="2154" w:type="dxa"/>
            <w:tcBorders>
              <w:tl2br w:val="nil"/>
              <w:tr2bl w:val="nil"/>
            </w:tcBorders>
            <w:vAlign w:val="center"/>
          </w:tcPr>
          <w:p>
            <w:pPr>
              <w:pStyle w:val="17"/>
              <w:bidi w:val="0"/>
              <w:rPr>
                <w:rFonts w:hint="default"/>
                <w:b/>
                <w:bCs/>
              </w:rPr>
            </w:pPr>
            <w:r>
              <w:rPr>
                <w:rFonts w:hint="default"/>
                <w:b/>
                <w:bCs/>
              </w:rPr>
              <w:t>噪声源</w:t>
            </w:r>
          </w:p>
        </w:tc>
        <w:tc>
          <w:tcPr>
            <w:tcW w:w="1728" w:type="dxa"/>
            <w:tcBorders>
              <w:tl2br w:val="nil"/>
              <w:tr2bl w:val="nil"/>
            </w:tcBorders>
            <w:vAlign w:val="center"/>
          </w:tcPr>
          <w:p>
            <w:pPr>
              <w:pStyle w:val="17"/>
              <w:bidi w:val="0"/>
              <w:rPr>
                <w:rFonts w:hint="default"/>
                <w:b/>
                <w:bCs/>
              </w:rPr>
            </w:pPr>
            <w:r>
              <w:rPr>
                <w:rFonts w:hint="default"/>
                <w:b/>
                <w:bCs/>
              </w:rPr>
              <w:t>东厂界</w:t>
            </w:r>
          </w:p>
        </w:tc>
        <w:tc>
          <w:tcPr>
            <w:tcW w:w="1729" w:type="dxa"/>
            <w:tcBorders>
              <w:tl2br w:val="nil"/>
              <w:tr2bl w:val="nil"/>
            </w:tcBorders>
            <w:vAlign w:val="center"/>
          </w:tcPr>
          <w:p>
            <w:pPr>
              <w:pStyle w:val="17"/>
              <w:bidi w:val="0"/>
              <w:rPr>
                <w:rFonts w:hint="default"/>
                <w:b/>
                <w:bCs/>
              </w:rPr>
            </w:pPr>
            <w:r>
              <w:rPr>
                <w:rFonts w:hint="default"/>
                <w:b/>
                <w:bCs/>
              </w:rPr>
              <w:t>南厂界</w:t>
            </w:r>
          </w:p>
        </w:tc>
        <w:tc>
          <w:tcPr>
            <w:tcW w:w="1729" w:type="dxa"/>
            <w:tcBorders>
              <w:tl2br w:val="nil"/>
              <w:tr2bl w:val="nil"/>
            </w:tcBorders>
            <w:vAlign w:val="center"/>
          </w:tcPr>
          <w:p>
            <w:pPr>
              <w:pStyle w:val="17"/>
              <w:bidi w:val="0"/>
              <w:rPr>
                <w:rFonts w:hint="default"/>
                <w:b/>
                <w:bCs/>
              </w:rPr>
            </w:pPr>
            <w:r>
              <w:rPr>
                <w:rFonts w:hint="default"/>
                <w:b/>
                <w:bCs/>
              </w:rPr>
              <w:t>西厂界</w:t>
            </w:r>
          </w:p>
        </w:tc>
        <w:tc>
          <w:tcPr>
            <w:tcW w:w="1731" w:type="dxa"/>
            <w:tcBorders>
              <w:tl2br w:val="nil"/>
              <w:tr2bl w:val="nil"/>
            </w:tcBorders>
            <w:vAlign w:val="center"/>
          </w:tcPr>
          <w:p>
            <w:pPr>
              <w:pStyle w:val="17"/>
              <w:bidi w:val="0"/>
              <w:rPr>
                <w:rFonts w:hint="default"/>
                <w:b/>
                <w:bCs/>
              </w:rPr>
            </w:pPr>
            <w:r>
              <w:rPr>
                <w:rFonts w:hint="default"/>
                <w:b/>
                <w:bCs/>
              </w:rPr>
              <w:t>北厂界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154" w:type="dxa"/>
            <w:tcBorders>
              <w:tl2br w:val="nil"/>
              <w:tr2bl w:val="nil"/>
            </w:tcBorders>
            <w:vAlign w:val="center"/>
          </w:tcPr>
          <w:p>
            <w:pPr>
              <w:pStyle w:val="17"/>
              <w:bidi w:val="0"/>
              <w:rPr>
                <w:rFonts w:hint="default"/>
              </w:rPr>
            </w:pPr>
            <w:r>
              <w:rPr>
                <w:rFonts w:hint="default"/>
              </w:rPr>
              <w:t>贡献值</w:t>
            </w:r>
          </w:p>
        </w:tc>
        <w:tc>
          <w:tcPr>
            <w:tcW w:w="1728" w:type="dxa"/>
            <w:tcBorders>
              <w:tl2br w:val="nil"/>
              <w:tr2bl w:val="nil"/>
            </w:tcBorders>
            <w:vAlign w:val="center"/>
          </w:tcPr>
          <w:p>
            <w:pPr>
              <w:pStyle w:val="17"/>
              <w:bidi w:val="0"/>
              <w:rPr>
                <w:rFonts w:hint="default"/>
                <w:lang w:val="en-US" w:eastAsia="zh-CN"/>
              </w:rPr>
            </w:pPr>
            <w:r>
              <w:rPr>
                <w:rFonts w:hint="eastAsia"/>
                <w:lang w:val="en-US" w:eastAsia="zh-CN"/>
              </w:rPr>
              <w:t>43.1</w:t>
            </w:r>
          </w:p>
        </w:tc>
        <w:tc>
          <w:tcPr>
            <w:tcW w:w="1729" w:type="dxa"/>
            <w:tcBorders>
              <w:tl2br w:val="nil"/>
              <w:tr2bl w:val="nil"/>
            </w:tcBorders>
            <w:vAlign w:val="center"/>
          </w:tcPr>
          <w:p>
            <w:pPr>
              <w:pStyle w:val="17"/>
              <w:bidi w:val="0"/>
              <w:rPr>
                <w:rFonts w:hint="default"/>
              </w:rPr>
            </w:pPr>
            <w:r>
              <w:rPr>
                <w:rFonts w:hint="default"/>
              </w:rPr>
              <w:t>43.6</w:t>
            </w:r>
          </w:p>
        </w:tc>
        <w:tc>
          <w:tcPr>
            <w:tcW w:w="1729" w:type="dxa"/>
            <w:tcBorders>
              <w:tl2br w:val="nil"/>
              <w:tr2bl w:val="nil"/>
            </w:tcBorders>
            <w:vAlign w:val="center"/>
          </w:tcPr>
          <w:p>
            <w:pPr>
              <w:pStyle w:val="17"/>
              <w:bidi w:val="0"/>
              <w:rPr>
                <w:rFonts w:hint="default"/>
                <w:lang w:val="en-US" w:eastAsia="zh-CN"/>
              </w:rPr>
            </w:pPr>
            <w:r>
              <w:rPr>
                <w:rFonts w:hint="eastAsia"/>
                <w:lang w:val="en-US" w:eastAsia="zh-CN"/>
              </w:rPr>
              <w:t>39.1</w:t>
            </w:r>
          </w:p>
        </w:tc>
        <w:tc>
          <w:tcPr>
            <w:tcW w:w="1731" w:type="dxa"/>
            <w:tcBorders>
              <w:tl2br w:val="nil"/>
              <w:tr2bl w:val="nil"/>
            </w:tcBorders>
            <w:vAlign w:val="center"/>
          </w:tcPr>
          <w:p>
            <w:pPr>
              <w:pStyle w:val="17"/>
              <w:bidi w:val="0"/>
              <w:rPr>
                <w:rFonts w:hint="default"/>
                <w:lang w:val="en-US" w:eastAsia="zh-CN"/>
              </w:rPr>
            </w:pPr>
            <w:r>
              <w:rPr>
                <w:rFonts w:hint="eastAsia"/>
                <w:lang w:val="en-US" w:eastAsia="zh-CN"/>
              </w:rPr>
              <w:t>41.2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154" w:type="dxa"/>
            <w:tcBorders>
              <w:tl2br w:val="nil"/>
              <w:tr2bl w:val="nil"/>
            </w:tcBorders>
            <w:vAlign w:val="center"/>
          </w:tcPr>
          <w:p>
            <w:pPr>
              <w:pStyle w:val="17"/>
              <w:bidi w:val="0"/>
              <w:rPr>
                <w:rFonts w:hint="default"/>
              </w:rPr>
            </w:pPr>
            <w:r>
              <w:rPr>
                <w:rFonts w:hint="default"/>
              </w:rPr>
              <w:t>现状值（昼间）</w:t>
            </w:r>
          </w:p>
        </w:tc>
        <w:tc>
          <w:tcPr>
            <w:tcW w:w="1728" w:type="dxa"/>
            <w:tcBorders>
              <w:tl2br w:val="nil"/>
              <w:tr2bl w:val="nil"/>
            </w:tcBorders>
            <w:vAlign w:val="center"/>
          </w:tcPr>
          <w:p>
            <w:pPr>
              <w:pStyle w:val="17"/>
              <w:bidi w:val="0"/>
              <w:rPr>
                <w:rFonts w:hint="default"/>
                <w:lang w:val="en-US" w:eastAsia="zh-CN"/>
              </w:rPr>
            </w:pPr>
            <w:r>
              <w:rPr>
                <w:rFonts w:hint="eastAsia"/>
                <w:lang w:val="en-US" w:eastAsia="zh-CN"/>
              </w:rPr>
              <w:t>51.6</w:t>
            </w:r>
          </w:p>
        </w:tc>
        <w:tc>
          <w:tcPr>
            <w:tcW w:w="1729" w:type="dxa"/>
            <w:tcBorders>
              <w:tl2br w:val="nil"/>
              <w:tr2bl w:val="nil"/>
            </w:tcBorders>
            <w:vAlign w:val="center"/>
          </w:tcPr>
          <w:p>
            <w:pPr>
              <w:pStyle w:val="17"/>
              <w:bidi w:val="0"/>
              <w:rPr>
                <w:rFonts w:hint="default"/>
                <w:lang w:val="en-US" w:eastAsia="zh-CN"/>
              </w:rPr>
            </w:pPr>
            <w:r>
              <w:rPr>
                <w:rFonts w:hint="eastAsia"/>
                <w:lang w:val="en-US" w:eastAsia="zh-CN"/>
              </w:rPr>
              <w:t>49.1</w:t>
            </w:r>
          </w:p>
        </w:tc>
        <w:tc>
          <w:tcPr>
            <w:tcW w:w="1729" w:type="dxa"/>
            <w:tcBorders>
              <w:tl2br w:val="nil"/>
              <w:tr2bl w:val="nil"/>
            </w:tcBorders>
            <w:vAlign w:val="center"/>
          </w:tcPr>
          <w:p>
            <w:pPr>
              <w:pStyle w:val="17"/>
              <w:bidi w:val="0"/>
              <w:rPr>
                <w:rFonts w:hint="default"/>
                <w:lang w:val="en-US" w:eastAsia="zh-CN"/>
              </w:rPr>
            </w:pPr>
            <w:r>
              <w:rPr>
                <w:rFonts w:hint="eastAsia"/>
                <w:lang w:val="en-US" w:eastAsia="zh-CN"/>
              </w:rPr>
              <w:t>51.0</w:t>
            </w:r>
          </w:p>
        </w:tc>
        <w:tc>
          <w:tcPr>
            <w:tcW w:w="1731" w:type="dxa"/>
            <w:tcBorders>
              <w:tl2br w:val="nil"/>
              <w:tr2bl w:val="nil"/>
            </w:tcBorders>
            <w:vAlign w:val="center"/>
          </w:tcPr>
          <w:p>
            <w:pPr>
              <w:pStyle w:val="17"/>
              <w:bidi w:val="0"/>
              <w:rPr>
                <w:rFonts w:hint="default"/>
                <w:lang w:val="en-US" w:eastAsia="zh-CN"/>
              </w:rPr>
            </w:pPr>
            <w:r>
              <w:rPr>
                <w:rFonts w:hint="eastAsia"/>
                <w:lang w:val="en-US" w:eastAsia="zh-CN"/>
              </w:rPr>
              <w:t>48.5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154" w:type="dxa"/>
            <w:tcBorders>
              <w:tl2br w:val="nil"/>
              <w:tr2bl w:val="nil"/>
            </w:tcBorders>
            <w:vAlign w:val="center"/>
          </w:tcPr>
          <w:p>
            <w:pPr>
              <w:pStyle w:val="17"/>
              <w:bidi w:val="0"/>
              <w:rPr>
                <w:rFonts w:hint="default"/>
              </w:rPr>
            </w:pPr>
            <w:r>
              <w:rPr>
                <w:rFonts w:hint="default"/>
              </w:rPr>
              <w:t>预测值（昼间）</w:t>
            </w:r>
          </w:p>
        </w:tc>
        <w:tc>
          <w:tcPr>
            <w:tcW w:w="1728" w:type="dxa"/>
            <w:tcBorders>
              <w:tl2br w:val="nil"/>
              <w:tr2bl w:val="nil"/>
            </w:tcBorders>
            <w:vAlign w:val="center"/>
          </w:tcPr>
          <w:p>
            <w:pPr>
              <w:pStyle w:val="17"/>
              <w:bidi w:val="0"/>
              <w:rPr>
                <w:rFonts w:hint="default"/>
                <w:lang w:val="en-US" w:eastAsia="zh-CN"/>
              </w:rPr>
            </w:pPr>
            <w:r>
              <w:rPr>
                <w:rFonts w:hint="eastAsia"/>
                <w:lang w:val="en-US" w:eastAsia="zh-CN"/>
              </w:rPr>
              <w:t>52.1</w:t>
            </w:r>
          </w:p>
        </w:tc>
        <w:tc>
          <w:tcPr>
            <w:tcW w:w="1729" w:type="dxa"/>
            <w:tcBorders>
              <w:tl2br w:val="nil"/>
              <w:tr2bl w:val="nil"/>
            </w:tcBorders>
            <w:vAlign w:val="center"/>
          </w:tcPr>
          <w:p>
            <w:pPr>
              <w:pStyle w:val="17"/>
              <w:bidi w:val="0"/>
              <w:rPr>
                <w:rFonts w:hint="default"/>
                <w:lang w:val="en-US" w:eastAsia="zh-CN"/>
              </w:rPr>
            </w:pPr>
            <w:r>
              <w:rPr>
                <w:rFonts w:hint="eastAsia"/>
                <w:lang w:val="en-US" w:eastAsia="zh-CN"/>
              </w:rPr>
              <w:t>49.6</w:t>
            </w:r>
          </w:p>
        </w:tc>
        <w:tc>
          <w:tcPr>
            <w:tcW w:w="1729" w:type="dxa"/>
            <w:tcBorders>
              <w:tl2br w:val="nil"/>
              <w:tr2bl w:val="nil"/>
            </w:tcBorders>
            <w:vAlign w:val="center"/>
          </w:tcPr>
          <w:p>
            <w:pPr>
              <w:pStyle w:val="17"/>
              <w:bidi w:val="0"/>
              <w:rPr>
                <w:rFonts w:hint="default"/>
                <w:lang w:val="en-US" w:eastAsia="zh-CN"/>
              </w:rPr>
            </w:pPr>
            <w:r>
              <w:rPr>
                <w:rFonts w:hint="eastAsia"/>
                <w:lang w:val="en-US" w:eastAsia="zh-CN"/>
              </w:rPr>
              <w:t>51.4</w:t>
            </w:r>
          </w:p>
        </w:tc>
        <w:tc>
          <w:tcPr>
            <w:tcW w:w="1731" w:type="dxa"/>
            <w:tcBorders>
              <w:tl2br w:val="nil"/>
              <w:tr2bl w:val="nil"/>
            </w:tcBorders>
            <w:vAlign w:val="center"/>
          </w:tcPr>
          <w:p>
            <w:pPr>
              <w:pStyle w:val="17"/>
              <w:bidi w:val="0"/>
              <w:rPr>
                <w:rFonts w:hint="default"/>
                <w:lang w:val="en-US" w:eastAsia="zh-CN"/>
              </w:rPr>
            </w:pPr>
            <w:r>
              <w:rPr>
                <w:rFonts w:hint="eastAsia"/>
                <w:lang w:val="en-US" w:eastAsia="zh-CN"/>
              </w:rPr>
              <w:t>49.1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154" w:type="dxa"/>
            <w:tcBorders>
              <w:tl2br w:val="nil"/>
              <w:tr2bl w:val="nil"/>
            </w:tcBorders>
            <w:vAlign w:val="center"/>
          </w:tcPr>
          <w:p>
            <w:pPr>
              <w:pStyle w:val="17"/>
              <w:bidi w:val="0"/>
              <w:rPr>
                <w:rFonts w:hint="default"/>
              </w:rPr>
            </w:pPr>
            <w:r>
              <w:rPr>
                <w:rFonts w:hint="default"/>
              </w:rPr>
              <w:t>现状值（夜间）</w:t>
            </w:r>
          </w:p>
        </w:tc>
        <w:tc>
          <w:tcPr>
            <w:tcW w:w="1728" w:type="dxa"/>
            <w:tcBorders>
              <w:tl2br w:val="nil"/>
              <w:tr2bl w:val="nil"/>
            </w:tcBorders>
            <w:vAlign w:val="center"/>
          </w:tcPr>
          <w:p>
            <w:pPr>
              <w:pStyle w:val="17"/>
              <w:bidi w:val="0"/>
              <w:rPr>
                <w:rFonts w:hint="default"/>
                <w:lang w:val="en-US" w:eastAsia="zh-CN"/>
              </w:rPr>
            </w:pPr>
            <w:r>
              <w:rPr>
                <w:rFonts w:hint="eastAsia"/>
                <w:lang w:val="en-US" w:eastAsia="zh-CN"/>
              </w:rPr>
              <w:t>49.8</w:t>
            </w:r>
          </w:p>
        </w:tc>
        <w:tc>
          <w:tcPr>
            <w:tcW w:w="1729" w:type="dxa"/>
            <w:tcBorders>
              <w:tl2br w:val="nil"/>
              <w:tr2bl w:val="nil"/>
            </w:tcBorders>
            <w:vAlign w:val="center"/>
          </w:tcPr>
          <w:p>
            <w:pPr>
              <w:pStyle w:val="17"/>
              <w:bidi w:val="0"/>
              <w:rPr>
                <w:rFonts w:hint="default"/>
                <w:lang w:val="en-US" w:eastAsia="zh-CN"/>
              </w:rPr>
            </w:pPr>
            <w:r>
              <w:rPr>
                <w:rFonts w:hint="eastAsia"/>
                <w:lang w:val="en-US" w:eastAsia="zh-CN"/>
              </w:rPr>
              <w:t>46.8</w:t>
            </w:r>
          </w:p>
        </w:tc>
        <w:tc>
          <w:tcPr>
            <w:tcW w:w="1729" w:type="dxa"/>
            <w:tcBorders>
              <w:tl2br w:val="nil"/>
              <w:tr2bl w:val="nil"/>
            </w:tcBorders>
            <w:vAlign w:val="center"/>
          </w:tcPr>
          <w:p>
            <w:pPr>
              <w:pStyle w:val="17"/>
              <w:bidi w:val="0"/>
              <w:rPr>
                <w:rFonts w:hint="default"/>
                <w:lang w:val="en-US" w:eastAsia="zh-CN"/>
              </w:rPr>
            </w:pPr>
            <w:r>
              <w:rPr>
                <w:rFonts w:hint="eastAsia"/>
                <w:lang w:val="en-US" w:eastAsia="zh-CN"/>
              </w:rPr>
              <w:t>48.1</w:t>
            </w:r>
          </w:p>
        </w:tc>
        <w:tc>
          <w:tcPr>
            <w:tcW w:w="1731" w:type="dxa"/>
            <w:tcBorders>
              <w:tl2br w:val="nil"/>
              <w:tr2bl w:val="nil"/>
            </w:tcBorders>
            <w:vAlign w:val="center"/>
          </w:tcPr>
          <w:p>
            <w:pPr>
              <w:pStyle w:val="17"/>
              <w:bidi w:val="0"/>
              <w:rPr>
                <w:rFonts w:hint="default"/>
                <w:lang w:val="en-US" w:eastAsia="zh-CN"/>
              </w:rPr>
            </w:pPr>
            <w:r>
              <w:rPr>
                <w:rFonts w:hint="eastAsia"/>
                <w:lang w:val="en-US" w:eastAsia="zh-CN"/>
              </w:rPr>
              <w:t>45.6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154" w:type="dxa"/>
            <w:tcBorders>
              <w:tl2br w:val="nil"/>
              <w:tr2bl w:val="nil"/>
            </w:tcBorders>
            <w:vAlign w:val="center"/>
          </w:tcPr>
          <w:p>
            <w:pPr>
              <w:pStyle w:val="17"/>
              <w:bidi w:val="0"/>
              <w:rPr>
                <w:rFonts w:hint="default"/>
              </w:rPr>
            </w:pPr>
            <w:r>
              <w:rPr>
                <w:rFonts w:hint="default"/>
              </w:rPr>
              <w:t>预测值（夜间）</w:t>
            </w:r>
          </w:p>
        </w:tc>
        <w:tc>
          <w:tcPr>
            <w:tcW w:w="1728" w:type="dxa"/>
            <w:tcBorders>
              <w:tl2br w:val="nil"/>
              <w:tr2bl w:val="nil"/>
            </w:tcBorders>
            <w:vAlign w:val="center"/>
          </w:tcPr>
          <w:p>
            <w:pPr>
              <w:pStyle w:val="17"/>
              <w:bidi w:val="0"/>
              <w:rPr>
                <w:rFonts w:hint="default"/>
                <w:lang w:val="en-US" w:eastAsia="zh-CN"/>
              </w:rPr>
            </w:pPr>
            <w:r>
              <w:rPr>
                <w:rFonts w:hint="eastAsia"/>
                <w:lang w:val="en-US" w:eastAsia="zh-CN"/>
              </w:rPr>
              <w:t>50.3</w:t>
            </w:r>
          </w:p>
        </w:tc>
        <w:tc>
          <w:tcPr>
            <w:tcW w:w="1729" w:type="dxa"/>
            <w:tcBorders>
              <w:tl2br w:val="nil"/>
              <w:tr2bl w:val="nil"/>
            </w:tcBorders>
            <w:vAlign w:val="center"/>
          </w:tcPr>
          <w:p>
            <w:pPr>
              <w:pStyle w:val="17"/>
              <w:bidi w:val="0"/>
              <w:rPr>
                <w:rFonts w:hint="default"/>
                <w:lang w:val="en-US" w:eastAsia="zh-CN"/>
              </w:rPr>
            </w:pPr>
            <w:r>
              <w:rPr>
                <w:rFonts w:hint="eastAsia"/>
                <w:lang w:val="en-US" w:eastAsia="zh-CN"/>
              </w:rPr>
              <w:t>47.4</w:t>
            </w:r>
          </w:p>
        </w:tc>
        <w:tc>
          <w:tcPr>
            <w:tcW w:w="1729" w:type="dxa"/>
            <w:tcBorders>
              <w:tl2br w:val="nil"/>
              <w:tr2bl w:val="nil"/>
            </w:tcBorders>
            <w:vAlign w:val="center"/>
          </w:tcPr>
          <w:p>
            <w:pPr>
              <w:pStyle w:val="17"/>
              <w:bidi w:val="0"/>
              <w:rPr>
                <w:rFonts w:hint="default"/>
                <w:lang w:val="en-US" w:eastAsia="zh-CN"/>
              </w:rPr>
            </w:pPr>
            <w:r>
              <w:rPr>
                <w:rFonts w:hint="eastAsia"/>
                <w:lang w:val="en-US" w:eastAsia="zh-CN"/>
              </w:rPr>
              <w:t>48.5</w:t>
            </w:r>
          </w:p>
        </w:tc>
        <w:tc>
          <w:tcPr>
            <w:tcW w:w="1731" w:type="dxa"/>
            <w:tcBorders>
              <w:tl2br w:val="nil"/>
              <w:tr2bl w:val="nil"/>
            </w:tcBorders>
            <w:vAlign w:val="center"/>
          </w:tcPr>
          <w:p>
            <w:pPr>
              <w:pStyle w:val="17"/>
              <w:bidi w:val="0"/>
              <w:rPr>
                <w:rFonts w:hint="default"/>
                <w:lang w:val="en-US" w:eastAsia="zh-CN"/>
              </w:rPr>
            </w:pPr>
            <w:r>
              <w:rPr>
                <w:rFonts w:hint="eastAsia"/>
                <w:lang w:val="en-US" w:eastAsia="zh-CN"/>
              </w:rPr>
              <w:t>46.1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154" w:type="dxa"/>
            <w:tcBorders>
              <w:tl2br w:val="nil"/>
              <w:tr2bl w:val="nil"/>
            </w:tcBorders>
            <w:vAlign w:val="center"/>
          </w:tcPr>
          <w:p>
            <w:pPr>
              <w:pStyle w:val="17"/>
              <w:bidi w:val="0"/>
              <w:rPr>
                <w:rFonts w:hint="default"/>
              </w:rPr>
            </w:pPr>
            <w:r>
              <w:rPr>
                <w:rFonts w:hint="default"/>
              </w:rPr>
              <w:t>评价标准</w:t>
            </w:r>
          </w:p>
        </w:tc>
        <w:tc>
          <w:tcPr>
            <w:tcW w:w="6917" w:type="dxa"/>
            <w:gridSpan w:val="4"/>
            <w:tcBorders>
              <w:tl2br w:val="nil"/>
              <w:tr2bl w:val="nil"/>
            </w:tcBorders>
            <w:vAlign w:val="center"/>
          </w:tcPr>
          <w:p>
            <w:pPr>
              <w:pStyle w:val="17"/>
              <w:bidi w:val="0"/>
              <w:rPr>
                <w:rFonts w:hint="default" w:eastAsia="宋体"/>
                <w:lang w:val="en-US" w:eastAsia="zh-CN"/>
              </w:rPr>
            </w:pPr>
            <w:r>
              <w:rPr>
                <w:rFonts w:hint="default"/>
              </w:rPr>
              <w:t>昼间</w:t>
            </w:r>
            <w:r>
              <w:rPr>
                <w:rFonts w:hint="eastAsia"/>
                <w:lang w:val="en-US" w:eastAsia="zh-CN"/>
              </w:rPr>
              <w:t>60</w:t>
            </w:r>
            <w:r>
              <w:rPr>
                <w:rFonts w:hint="default"/>
              </w:rPr>
              <w:t>、夜间</w:t>
            </w:r>
            <w:r>
              <w:rPr>
                <w:rFonts w:hint="eastAsia"/>
                <w:lang w:val="en-US" w:eastAsia="zh-CN"/>
              </w:rPr>
              <w:t>50</w:t>
            </w:r>
          </w:p>
        </w:tc>
      </w:tr>
    </w:tbl>
    <w:p>
      <w:pPr>
        <w:bidi w:val="0"/>
        <w:rPr>
          <w:rFonts w:hint="default"/>
        </w:rPr>
      </w:pPr>
      <w:r>
        <w:rPr>
          <w:rFonts w:hint="default"/>
        </w:rPr>
        <w:t>从预测结果看，在采取了一系列降噪措施后，运营期厂界预测值在</w:t>
      </w:r>
      <w:r>
        <w:rPr>
          <w:rFonts w:hint="eastAsia"/>
          <w:lang w:val="en-US" w:eastAsia="zh-CN"/>
        </w:rPr>
        <w:t>46.1</w:t>
      </w:r>
      <w:r>
        <w:rPr>
          <w:rFonts w:hint="default"/>
        </w:rPr>
        <w:t>dB（A）～</w:t>
      </w:r>
      <w:r>
        <w:rPr>
          <w:rFonts w:hint="eastAsia"/>
          <w:lang w:val="en-US" w:eastAsia="zh-CN"/>
        </w:rPr>
        <w:t>52.1</w:t>
      </w:r>
      <w:r>
        <w:rPr>
          <w:rFonts w:hint="default"/>
        </w:rPr>
        <w:t>dB（A），满足《工业企业厂界环境噪声排放标准》（GB12348－2008）</w:t>
      </w:r>
      <w:r>
        <w:rPr>
          <w:rFonts w:hint="eastAsia"/>
          <w:lang w:val="en-US" w:eastAsia="zh-CN"/>
        </w:rPr>
        <w:t>2</w:t>
      </w:r>
      <w:r>
        <w:rPr>
          <w:rFonts w:hint="default"/>
        </w:rPr>
        <w:t>类标准昼、夜间要求，不会产生超标排放。</w:t>
      </w:r>
    </w:p>
    <w:p>
      <w:pPr>
        <w:bidi w:val="0"/>
        <w:rPr>
          <w:rFonts w:hint="default"/>
        </w:rPr>
      </w:pPr>
      <w:r>
        <w:rPr>
          <w:rFonts w:hint="default"/>
        </w:rPr>
        <w:t>总体上，项目在采取了环评提出的噪声防护措施后，在正常生产情况下，厂界噪声可达标排放，对周围声环境质量影响较小。</w:t>
      </w:r>
    </w:p>
    <w:p>
      <w:pPr>
        <w:pStyle w:val="4"/>
        <w:bidi w:val="0"/>
        <w:rPr>
          <w:rFonts w:hint="default"/>
        </w:rPr>
      </w:pPr>
      <w:bookmarkStart w:id="213" w:name="_Toc6919"/>
      <w:bookmarkStart w:id="214" w:name="_Toc28741"/>
      <w:r>
        <w:rPr>
          <w:rFonts w:hint="default"/>
        </w:rPr>
        <w:t>5.</w:t>
      </w:r>
      <w:r>
        <w:rPr>
          <w:rFonts w:hint="eastAsia"/>
          <w:lang w:val="en-US" w:eastAsia="zh-CN"/>
        </w:rPr>
        <w:t>4、</w:t>
      </w:r>
      <w:r>
        <w:rPr>
          <w:rFonts w:hint="default"/>
        </w:rPr>
        <w:t>固体废物环境影响分析</w:t>
      </w:r>
      <w:bookmarkEnd w:id="213"/>
      <w:bookmarkEnd w:id="214"/>
    </w:p>
    <w:bookmarkEnd w:id="202"/>
    <w:p>
      <w:pPr>
        <w:bidi w:val="0"/>
        <w:rPr>
          <w:rFonts w:hint="default" w:eastAsia="宋体"/>
          <w:lang w:val="en-US" w:eastAsia="zh-CN"/>
        </w:rPr>
      </w:pPr>
      <w:bookmarkStart w:id="215" w:name="_Toc28812"/>
      <w:r>
        <w:rPr>
          <w:rFonts w:hint="default"/>
        </w:rPr>
        <w:t>根据工程分析可知，项目建成后固体废物主要为分拣废物、污泥、塑料挤出机过滤网片、滴灌带生产残次品及边角料和员工生活垃圾。</w:t>
      </w:r>
      <w:r>
        <w:rPr>
          <w:rFonts w:hint="eastAsia"/>
          <w:lang w:val="en-US" w:eastAsia="zh-CN"/>
        </w:rPr>
        <w:t>等离子光氧一体机更换的灯管，活性炭吸附创制产生的废活性炭，设备维修保养产生的废机油。</w:t>
      </w:r>
    </w:p>
    <w:p>
      <w:pPr>
        <w:pStyle w:val="5"/>
        <w:bidi w:val="0"/>
        <w:rPr>
          <w:rFonts w:hint="default"/>
          <w:lang w:val="en-US" w:eastAsia="zh-CN"/>
        </w:rPr>
      </w:pPr>
      <w:r>
        <w:rPr>
          <w:rFonts w:hint="eastAsia"/>
          <w:lang w:val="en-US" w:eastAsia="zh-CN"/>
        </w:rPr>
        <w:t>5.4.1、一般固体废物</w:t>
      </w:r>
    </w:p>
    <w:p>
      <w:pPr>
        <w:bidi w:val="0"/>
        <w:rPr>
          <w:rFonts w:hint="default"/>
        </w:rPr>
      </w:pPr>
      <w:r>
        <w:rPr>
          <w:rFonts w:hint="default"/>
        </w:rPr>
        <w:t>分拣废物主要混杂于原料中的非塑料物质，如石块、泥土等，外运填埋处理；沉降池污泥主要为回收的废塑料表面携带的泥沙，统一收集后，由环卫部门转运至</w:t>
      </w:r>
      <w:r>
        <w:rPr>
          <w:rFonts w:hint="eastAsia"/>
          <w:lang w:eastAsia="zh-CN"/>
        </w:rPr>
        <w:t>吉木萨尔县</w:t>
      </w:r>
      <w:r>
        <w:rPr>
          <w:rFonts w:hint="default"/>
          <w:lang w:eastAsia="zh-CN"/>
        </w:rPr>
        <w:t>垃圾填埋场</w:t>
      </w:r>
      <w:r>
        <w:rPr>
          <w:rFonts w:hint="default"/>
          <w:lang w:val="en-US" w:eastAsia="zh-CN"/>
        </w:rPr>
        <w:t>垃圾填埋场</w:t>
      </w:r>
      <w:r>
        <w:rPr>
          <w:rFonts w:hint="default"/>
        </w:rPr>
        <w:t>进行干化填埋处理；塑料挤出机过滤网片为不锈钢材质，杂质主要为沙粒、木屑等，属于I类一般工业固体废物，采用专用容器妥善贮存由厂家回收；滴灌带生产残次品及边角料全部回用于造粒工序。</w:t>
      </w:r>
    </w:p>
    <w:p>
      <w:pPr>
        <w:bidi w:val="0"/>
        <w:rPr>
          <w:rFonts w:hint="eastAsia"/>
          <w:lang w:val="en-US" w:eastAsia="zh-CN"/>
        </w:rPr>
      </w:pPr>
      <w:r>
        <w:rPr>
          <w:rFonts w:hint="eastAsia"/>
          <w:lang w:val="en-US" w:eastAsia="zh-CN"/>
        </w:rPr>
        <w:t>本项目化粪池定期清掏产生一定量的污泥，委托环卫部门统一抽运，干化后送至</w:t>
      </w:r>
      <w:r>
        <w:rPr>
          <w:rFonts w:hint="eastAsia"/>
          <w:lang w:eastAsia="zh-CN"/>
        </w:rPr>
        <w:t>吉木萨尔县</w:t>
      </w:r>
      <w:r>
        <w:rPr>
          <w:rFonts w:hint="default"/>
          <w:lang w:eastAsia="zh-CN"/>
        </w:rPr>
        <w:t>垃圾填埋场</w:t>
      </w:r>
      <w:r>
        <w:rPr>
          <w:rFonts w:hint="default"/>
        </w:rPr>
        <w:t>进行无害化处理</w:t>
      </w:r>
      <w:r>
        <w:rPr>
          <w:rFonts w:hint="eastAsia"/>
          <w:lang w:eastAsia="zh-CN"/>
        </w:rPr>
        <w:t>。</w:t>
      </w:r>
    </w:p>
    <w:p>
      <w:pPr>
        <w:bidi w:val="0"/>
        <w:rPr>
          <w:rFonts w:hint="eastAsia"/>
          <w:lang w:val="en-US" w:eastAsia="zh-CN"/>
        </w:rPr>
      </w:pPr>
      <w:r>
        <w:rPr>
          <w:rFonts w:hint="eastAsia"/>
          <w:lang w:val="en-US" w:eastAsia="zh-CN"/>
        </w:rPr>
        <w:t>本项目污水处理设施污泥老化会产生一定量的污泥，这部分污泥通过污水处理设施配套的压滤式污泥脱水设备脱水后，送至垃圾填埋场卫生填埋。</w:t>
      </w:r>
    </w:p>
    <w:p>
      <w:pPr>
        <w:bidi w:val="0"/>
        <w:rPr>
          <w:rFonts w:hint="default"/>
        </w:rPr>
      </w:pPr>
      <w:r>
        <w:rPr>
          <w:rFonts w:hint="default"/>
        </w:rPr>
        <w:t>运输过程中遮盖遮蔽物，采取有效的防风、防渗措施避免二次扬尘的产生和淋浸液的下渗，在拉运过程中对运送车辆应按照《大气污染防治法》的要求，采取密闭措施，避免由于沿途洒落造成二次污染，在厂区内暂存时若时间过久，易产生异味，因此厂内固废要及时清运，避免在厂区内长久储存，污染环境。</w:t>
      </w:r>
    </w:p>
    <w:p>
      <w:pPr>
        <w:pStyle w:val="5"/>
        <w:bidi w:val="0"/>
        <w:rPr>
          <w:rFonts w:hint="default"/>
          <w:lang w:val="en-US" w:eastAsia="zh-CN"/>
        </w:rPr>
      </w:pPr>
      <w:r>
        <w:rPr>
          <w:rFonts w:hint="eastAsia"/>
          <w:lang w:val="en-US" w:eastAsia="zh-CN"/>
        </w:rPr>
        <w:t>5.4.2、生活垃圾</w:t>
      </w:r>
    </w:p>
    <w:p>
      <w:pPr>
        <w:bidi w:val="0"/>
        <w:rPr>
          <w:rFonts w:hint="default"/>
        </w:rPr>
      </w:pPr>
      <w:r>
        <w:rPr>
          <w:rFonts w:hint="default"/>
        </w:rPr>
        <w:t>项目在生产运营过程中产生的生活垃圾集中收集后，由环卫部门转运至</w:t>
      </w:r>
      <w:r>
        <w:rPr>
          <w:rFonts w:hint="eastAsia"/>
          <w:lang w:eastAsia="zh-CN"/>
        </w:rPr>
        <w:t>吉木萨尔县</w:t>
      </w:r>
      <w:r>
        <w:rPr>
          <w:rFonts w:hint="default"/>
          <w:lang w:eastAsia="zh-CN"/>
        </w:rPr>
        <w:t>垃圾填埋场</w:t>
      </w:r>
      <w:r>
        <w:rPr>
          <w:rFonts w:hint="default"/>
        </w:rPr>
        <w:t>进行无害化处理。</w:t>
      </w:r>
    </w:p>
    <w:p>
      <w:pPr>
        <w:pStyle w:val="5"/>
        <w:bidi w:val="0"/>
        <w:rPr>
          <w:rFonts w:hint="default"/>
          <w:lang w:val="en-US" w:eastAsia="zh-CN"/>
        </w:rPr>
      </w:pPr>
      <w:r>
        <w:rPr>
          <w:rFonts w:hint="eastAsia"/>
          <w:lang w:val="en-US" w:eastAsia="zh-CN"/>
        </w:rPr>
        <w:t>5.4.3、危险废物</w:t>
      </w:r>
    </w:p>
    <w:p>
      <w:pPr>
        <w:pStyle w:val="6"/>
        <w:bidi w:val="0"/>
        <w:rPr>
          <w:rFonts w:hint="default"/>
          <w:lang w:val="en-US" w:eastAsia="zh-CN"/>
        </w:rPr>
      </w:pPr>
      <w:r>
        <w:rPr>
          <w:rFonts w:hint="eastAsia"/>
          <w:lang w:val="en-US" w:eastAsia="zh-CN"/>
        </w:rPr>
        <w:t>5.4.3.1、危险废物的产生情况</w:t>
      </w:r>
    </w:p>
    <w:p>
      <w:pPr>
        <w:spacing w:line="360" w:lineRule="auto"/>
        <w:ind w:firstLine="480" w:firstLineChars="200"/>
        <w:rPr>
          <w:rFonts w:hint="default" w:ascii="Times New Roman" w:hAnsi="Times New Roman" w:eastAsia="宋体" w:cs="Times New Roman"/>
          <w:sz w:val="24"/>
          <w:szCs w:val="24"/>
        </w:rPr>
      </w:pPr>
      <w:r>
        <w:rPr>
          <w:rFonts w:cs="宋体"/>
          <w:color w:val="FF0000"/>
          <w:kern w:val="0"/>
          <w:sz w:val="24"/>
          <w:szCs w:val="26"/>
        </w:rPr>
        <w:t>本项目产生的废灯管属于HW29 类含汞废物，危废代码为 900-023-29</w:t>
      </w:r>
      <w:r>
        <w:rPr>
          <w:rFonts w:cs="宋体"/>
          <w:color w:val="000000"/>
          <w:kern w:val="0"/>
          <w:sz w:val="24"/>
          <w:szCs w:val="26"/>
        </w:rPr>
        <w:t>，需委托有相应资质的单位回收处置</w:t>
      </w:r>
      <w:r>
        <w:rPr>
          <w:rFonts w:hint="eastAsia"/>
          <w:lang w:val="en-US" w:eastAsia="zh-CN"/>
        </w:rPr>
        <w:t>，每次更换的量约为0.015t/a，更换下来的废灯管</w:t>
      </w:r>
      <w:r>
        <w:rPr>
          <w:rFonts w:hint="eastAsia" w:ascii="Times New Roman" w:hAnsi="Times New Roman" w:eastAsia="宋体" w:cs="Times New Roman"/>
          <w:sz w:val="24"/>
          <w:szCs w:val="24"/>
          <w:lang w:val="en-US" w:eastAsia="zh-CN"/>
        </w:rPr>
        <w:t>暂存</w:t>
      </w:r>
      <w:r>
        <w:rPr>
          <w:rFonts w:hint="default" w:ascii="Times New Roman" w:hAnsi="Times New Roman" w:eastAsia="宋体" w:cs="Times New Roman"/>
          <w:sz w:val="24"/>
          <w:szCs w:val="24"/>
        </w:rPr>
        <w:t>企业按规范建立危险固废贮存间，交由有危废处理资质的单位进行处置。</w:t>
      </w:r>
    </w:p>
    <w:p>
      <w:pPr>
        <w:bidi w:val="0"/>
        <w:rPr>
          <w:rFonts w:hint="eastAsia"/>
          <w:lang w:val="en-US" w:eastAsia="zh-CN"/>
        </w:rPr>
      </w:pPr>
      <w:r>
        <w:rPr>
          <w:color w:val="FF0000"/>
        </w:rPr>
        <w:t>本项目产生废活性炭属HW49</w:t>
      </w:r>
      <w:r>
        <w:rPr>
          <w:rFonts w:hint="eastAsia"/>
          <w:color w:val="FF0000"/>
        </w:rPr>
        <w:t>类</w:t>
      </w:r>
      <w:r>
        <w:rPr>
          <w:rFonts w:hint="eastAsia"/>
          <w:color w:val="FF0000"/>
          <w:lang w:val="en-US" w:eastAsia="zh-CN"/>
        </w:rPr>
        <w:t>其他废物</w:t>
      </w:r>
      <w:r>
        <w:rPr>
          <w:rFonts w:cs="宋体"/>
          <w:color w:val="FF0000"/>
          <w:kern w:val="0"/>
          <w:sz w:val="24"/>
          <w:szCs w:val="26"/>
        </w:rPr>
        <w:t>，危废代码为900-</w:t>
      </w:r>
      <w:r>
        <w:rPr>
          <w:rFonts w:hint="eastAsia" w:cs="宋体"/>
          <w:color w:val="FF0000"/>
          <w:kern w:val="0"/>
          <w:sz w:val="24"/>
          <w:szCs w:val="26"/>
        </w:rPr>
        <w:t>041</w:t>
      </w:r>
      <w:r>
        <w:rPr>
          <w:rFonts w:cs="宋体"/>
          <w:color w:val="FF0000"/>
          <w:kern w:val="0"/>
          <w:sz w:val="24"/>
          <w:szCs w:val="26"/>
        </w:rPr>
        <w:t>-49</w:t>
      </w:r>
      <w:r>
        <w:rPr>
          <w:rFonts w:hint="eastAsia"/>
          <w:lang w:val="en-US" w:eastAsia="zh-CN"/>
        </w:rPr>
        <w:t>，在厂区原料仓库内设置的危险废物暂存间进行暂存后，定期交由具有相应处理资质的单位进行后续处置。</w:t>
      </w:r>
    </w:p>
    <w:p>
      <w:pPr>
        <w:spacing w:line="360" w:lineRule="auto"/>
        <w:ind w:firstLine="480" w:firstLineChars="200"/>
        <w:rPr>
          <w:rFonts w:hint="default" w:ascii="Times New Roman" w:hAnsi="Times New Roman" w:eastAsia="宋体" w:cs="Times New Roman"/>
          <w:sz w:val="24"/>
          <w:szCs w:val="24"/>
        </w:rPr>
      </w:pPr>
      <w:r>
        <w:rPr>
          <w:color w:val="FF0000"/>
        </w:rPr>
        <w:t>废弃润滑油为HW08类危险废物，废物代码为900-217-08</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暂存</w:t>
      </w:r>
      <w:r>
        <w:rPr>
          <w:rFonts w:hint="default" w:ascii="Times New Roman" w:hAnsi="Times New Roman" w:eastAsia="宋体" w:cs="Times New Roman"/>
          <w:sz w:val="24"/>
          <w:szCs w:val="24"/>
        </w:rPr>
        <w:t>企业按规范建立危险固废贮存间，交由有危废处理资质的单位进行处置。</w:t>
      </w:r>
    </w:p>
    <w:p>
      <w:pPr>
        <w:pStyle w:val="6"/>
        <w:bidi w:val="0"/>
        <w:rPr>
          <w:rFonts w:hint="eastAsia"/>
          <w:lang w:val="en-US" w:eastAsia="zh-CN"/>
        </w:rPr>
      </w:pPr>
      <w:r>
        <w:rPr>
          <w:rFonts w:hint="eastAsia"/>
          <w:lang w:val="en-US" w:eastAsia="zh-CN"/>
        </w:rPr>
        <w:t>5.4.3.2、危险废物的储运</w:t>
      </w:r>
    </w:p>
    <w:p>
      <w:pPr>
        <w:widowControl w:val="0"/>
        <w:spacing w:line="360" w:lineRule="auto"/>
      </w:pPr>
      <w:r>
        <w:rPr>
          <w:rFonts w:hint="eastAsia"/>
        </w:rPr>
        <w:t>本次评价要求建设单位设置</w:t>
      </w:r>
      <w:r>
        <w:rPr>
          <w:rFonts w:hint="eastAsia"/>
          <w:color w:val="000000"/>
        </w:rPr>
        <w:t>危废暂存间</w:t>
      </w:r>
      <w:r>
        <w:rPr>
          <w:rFonts w:hint="eastAsia"/>
        </w:rPr>
        <w:t>，用于暂存废机油和</w:t>
      </w:r>
      <w:r>
        <w:t>废活性炭</w:t>
      </w:r>
      <w:r>
        <w:rPr>
          <w:rFonts w:hint="eastAsia"/>
        </w:rPr>
        <w:t>，定期交由有资质单位处置。危废暂存间的设置严格按照《危险废物贮存污染控制标准》（</w:t>
      </w:r>
      <w:r>
        <w:t>GB18957-2001</w:t>
      </w:r>
      <w:r>
        <w:rPr>
          <w:rFonts w:hint="eastAsia"/>
        </w:rPr>
        <w:t>）及修改单中有关规定，危险废物存放期间，使用完好无损容器盛装；用于存放装置危险废物容器的地方必须有耐腐蚀的硬化地面，且表面无裂痕。储存容器上必须粘贴该标准中规定的危险废物标签；容器材质与危险废物本身相容（不相互反应）；基础做防渗，防渗层为至少</w:t>
      </w:r>
      <w:r>
        <w:t>1m</w:t>
      </w:r>
      <w:r>
        <w:rPr>
          <w:rFonts w:hint="eastAsia"/>
        </w:rPr>
        <w:t>粘土层（渗透系数小于等于</w:t>
      </w:r>
      <w:r>
        <w:t>1</w:t>
      </w:r>
      <w:r>
        <w:rPr>
          <w:rFonts w:hint="eastAsia"/>
        </w:rPr>
        <w:t>×</w:t>
      </w:r>
      <w:r>
        <w:t>10</w:t>
      </w:r>
      <w:r>
        <w:rPr>
          <w:vertAlign w:val="superscript"/>
        </w:rPr>
        <w:t>-7</w:t>
      </w:r>
      <w:r>
        <w:t>cm/s</w:t>
      </w:r>
      <w:r>
        <w:rPr>
          <w:rFonts w:hint="eastAsia"/>
        </w:rPr>
        <w:t>）。废机油储存周围设置围堰，防止废液溢流。</w:t>
      </w:r>
    </w:p>
    <w:p>
      <w:pPr>
        <w:widowControl w:val="0"/>
        <w:spacing w:line="360" w:lineRule="auto"/>
      </w:pPr>
      <w:r>
        <w:rPr>
          <w:rFonts w:hint="eastAsia"/>
        </w:rPr>
        <w:t>危险废物贮存容器应满足：</w:t>
      </w:r>
    </w:p>
    <w:p>
      <w:pPr>
        <w:widowControl w:val="0"/>
        <w:spacing w:line="360" w:lineRule="auto"/>
      </w:pPr>
      <w:r>
        <w:rPr>
          <w:rFonts w:hint="eastAsia"/>
        </w:rPr>
        <w:t>①使用符合标准的容器盛装危险废物；应定期对暂时贮存危险废物包装及设施进行检查，发现破损，及时采取措施清理更换；</w:t>
      </w:r>
    </w:p>
    <w:p>
      <w:pPr>
        <w:widowControl w:val="0"/>
        <w:spacing w:line="360" w:lineRule="auto"/>
      </w:pPr>
      <w:r>
        <w:rPr>
          <w:rFonts w:hint="eastAsia"/>
        </w:rPr>
        <w:t>②装载危险废物的容器及材质要满足相应的强度要求；</w:t>
      </w:r>
    </w:p>
    <w:p>
      <w:pPr>
        <w:widowControl w:val="0"/>
        <w:spacing w:line="360" w:lineRule="auto"/>
      </w:pPr>
      <w:r>
        <w:rPr>
          <w:rFonts w:hint="eastAsia"/>
        </w:rPr>
        <w:t>③装载危险废物的容器必须完好无损；</w:t>
      </w:r>
    </w:p>
    <w:p>
      <w:pPr>
        <w:widowControl w:val="0"/>
        <w:spacing w:line="360" w:lineRule="auto"/>
      </w:pPr>
      <w:r>
        <w:rPr>
          <w:rFonts w:hint="eastAsia"/>
        </w:rPr>
        <w:t>④盛装危险废物的容器材质和衬里要与危险废物相容，不相互反应。危险废物堆放场所选址、平面布置、设计原则及危险废物的堆放要求等，必须满足《危险</w:t>
      </w:r>
      <w:r>
        <w:t>废物储存污染控制标准</w:t>
      </w:r>
      <w:r>
        <w:rPr>
          <w:rFonts w:hint="eastAsia"/>
        </w:rPr>
        <w:t>》（</w:t>
      </w:r>
      <w:r>
        <w:t>GB18597-2001</w:t>
      </w:r>
      <w:r>
        <w:rPr>
          <w:rFonts w:hint="eastAsia"/>
        </w:rPr>
        <w:t>）的相关要求。危险废物贮存间必须按（</w:t>
      </w:r>
      <w:r>
        <w:t>GB15562.2</w:t>
      </w:r>
      <w:r>
        <w:rPr>
          <w:rFonts w:hint="eastAsia"/>
        </w:rPr>
        <w:t>）的规定设置警示标志，周围应设置围墙或其它防护栅栏，配备通讯设备、照明设施、安全防护服装及工具，并设有应急防护设施。</w:t>
      </w:r>
    </w:p>
    <w:p>
      <w:pPr>
        <w:widowControl w:val="0"/>
        <w:spacing w:line="360" w:lineRule="auto"/>
      </w:pPr>
      <w:r>
        <w:rPr>
          <w:rFonts w:hint="eastAsia"/>
        </w:rPr>
        <w:t>对于危险废物的运输和转移，应根据《危险废物收集、贮存、运输技术规范》以及《危险废物转移联单管理办法》（国家环境保护总局令第</w:t>
      </w:r>
      <w:r>
        <w:t>5</w:t>
      </w:r>
      <w:r>
        <w:rPr>
          <w:rFonts w:hint="eastAsia"/>
        </w:rPr>
        <w:t>号）等：</w:t>
      </w:r>
    </w:p>
    <w:p>
      <w:pPr>
        <w:widowControl w:val="0"/>
        <w:spacing w:line="360" w:lineRule="auto"/>
      </w:pPr>
      <w:r>
        <w:rPr>
          <w:rFonts w:hint="eastAsia"/>
        </w:rPr>
        <w:t>①企业应按国家有关规定办理危险废物申报转移的</w:t>
      </w:r>
      <w:r>
        <w:t>“</w:t>
      </w:r>
      <w:r>
        <w:rPr>
          <w:rFonts w:hint="eastAsia"/>
        </w:rPr>
        <w:t>五联单</w:t>
      </w:r>
      <w:r>
        <w:t>”</w:t>
      </w:r>
      <w:r>
        <w:rPr>
          <w:rFonts w:hint="eastAsia"/>
        </w:rPr>
        <w:t>手续，并在贮运过程中严格执行危险化学品贮存、运输和监管的有关规定。产废单位在转移危险废物前，应当向当地环保部门报送危险废物转移计划；经批准后，领取并填写危险废物转移联单。产废单位应当在危险废物转移前</w:t>
      </w:r>
      <w:r>
        <w:t>3</w:t>
      </w:r>
      <w:r>
        <w:rPr>
          <w:rFonts w:hint="eastAsia"/>
        </w:rPr>
        <w:t>日内报告移出地环保部门，并同时将预期到达时间报告接受地环保部门；</w:t>
      </w:r>
    </w:p>
    <w:p>
      <w:pPr>
        <w:widowControl w:val="0"/>
        <w:spacing w:line="360" w:lineRule="auto"/>
      </w:pPr>
      <w:r>
        <w:rPr>
          <w:rFonts w:hint="eastAsia"/>
        </w:rPr>
        <w:t>②从事收集、利用、处置危险废物经营活动的单位应当具备与其经营活动相应的资格，禁止产废单位将危险废物提供或者委托给无经营许可证的单位；</w:t>
      </w:r>
    </w:p>
    <w:p>
      <w:pPr>
        <w:widowControl w:val="0"/>
        <w:spacing w:line="360" w:lineRule="auto"/>
      </w:pPr>
      <w:r>
        <w:rPr>
          <w:rFonts w:hint="eastAsia"/>
        </w:rPr>
        <w:t>③所有危险废物均应按类在专用密闭容器中储存，并按规定贴标签。不得混装，废物收集和封装容器应得到接收企业及当地环保部门的认可。收集的危废应详细列出数量和成分，并填写有关材料；</w:t>
      </w:r>
    </w:p>
    <w:p>
      <w:pPr>
        <w:widowControl w:val="0"/>
        <w:spacing w:line="360" w:lineRule="auto"/>
        <w:rPr>
          <w:rFonts w:hint="default" w:ascii="Times New Roman" w:hAnsi="Times New Roman" w:eastAsia="宋体" w:cs="Times New Roman"/>
          <w:color w:val="000000"/>
          <w:sz w:val="24"/>
          <w:szCs w:val="24"/>
        </w:rPr>
      </w:pPr>
      <w:r>
        <w:rPr>
          <w:rFonts w:hint="eastAsia"/>
        </w:rPr>
        <w:t>④应指定专人负责危废的收集、</w:t>
      </w:r>
      <w:r>
        <w:t xml:space="preserve"> </w:t>
      </w:r>
      <w:r>
        <w:rPr>
          <w:rFonts w:hint="eastAsia"/>
        </w:rPr>
        <w:t>运输管理工作，运输车辆的司机和押运人员应经专业培训。</w:t>
      </w:r>
    </w:p>
    <w:p>
      <w:pPr>
        <w:bidi w:val="0"/>
        <w:rPr>
          <w:rFonts w:hint="default"/>
        </w:rPr>
      </w:pPr>
      <w:r>
        <w:rPr>
          <w:rFonts w:hint="default"/>
        </w:rPr>
        <w:t>综上所述，本项目固废均得到妥善处置。在以上措施得到落实的情况下，本项目所产生的</w:t>
      </w:r>
      <w:r>
        <w:rPr>
          <w:rFonts w:hint="eastAsia"/>
          <w:lang w:eastAsia="zh-CN"/>
        </w:rPr>
        <w:t>固体废物</w:t>
      </w:r>
      <w:r>
        <w:rPr>
          <w:rFonts w:hint="default"/>
        </w:rPr>
        <w:t>对环境产生不利影响很小。</w:t>
      </w:r>
    </w:p>
    <w:p>
      <w:pPr>
        <w:pStyle w:val="4"/>
        <w:bidi w:val="0"/>
        <w:rPr>
          <w:rFonts w:hint="eastAsia"/>
          <w:lang w:val="en-US" w:eastAsia="zh-CN"/>
        </w:rPr>
      </w:pPr>
      <w:bookmarkStart w:id="216" w:name="_Toc15005"/>
      <w:r>
        <w:rPr>
          <w:rFonts w:hint="eastAsia"/>
          <w:lang w:val="en-US" w:eastAsia="zh-CN"/>
        </w:rPr>
        <w:t>5.5、土壤环境影响分析</w:t>
      </w:r>
      <w:bookmarkEnd w:id="216"/>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土壤环境影响评价范围</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本项目属于</w:t>
      </w:r>
      <w:r>
        <w:rPr>
          <w:rFonts w:hint="eastAsia"/>
          <w:color w:val="000000" w:themeColor="text1"/>
          <w14:textFill>
            <w14:solidFill>
              <w14:schemeClr w14:val="tx1"/>
            </w14:solidFill>
          </w14:textFill>
        </w:rPr>
        <w:t>新建</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为污染性</w:t>
      </w:r>
      <w:r>
        <w:rPr>
          <w:rFonts w:hint="eastAsia"/>
          <w:color w:val="000000" w:themeColor="text1"/>
          <w:lang w:val="en-US" w:eastAsia="zh-CN"/>
          <w14:textFill>
            <w14:solidFill>
              <w14:schemeClr w14:val="tx1"/>
            </w14:solidFill>
          </w14:textFill>
        </w:rPr>
        <w:t>小</w:t>
      </w:r>
      <w:r>
        <w:rPr>
          <w:rFonts w:hint="eastAsia"/>
          <w:color w:val="000000" w:themeColor="text1"/>
          <w14:textFill>
            <w14:solidFill>
              <w14:schemeClr w14:val="tx1"/>
            </w14:solidFill>
          </w14:textFill>
        </w:rPr>
        <w:t>型项目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评价等级为三级，</w:t>
      </w:r>
      <w:r>
        <w:rPr>
          <w:color w:val="000000" w:themeColor="text1"/>
          <w14:textFill>
            <w14:solidFill>
              <w14:schemeClr w14:val="tx1"/>
            </w14:solidFill>
          </w14:textFill>
        </w:rPr>
        <w:t>因此，评价范围为：</w:t>
      </w:r>
      <w:r>
        <w:rPr>
          <w:rFonts w:hint="eastAsia"/>
          <w:color w:val="000000" w:themeColor="text1"/>
          <w14:textFill>
            <w14:solidFill>
              <w14:schemeClr w14:val="tx1"/>
            </w14:solidFill>
          </w14:textFill>
        </w:rPr>
        <w:t>垃圾填埋场占地范围</w:t>
      </w:r>
      <w:r>
        <w:rPr>
          <w:color w:val="000000" w:themeColor="text1"/>
          <w14:textFill>
            <w14:solidFill>
              <w14:schemeClr w14:val="tx1"/>
            </w14:solidFill>
          </w14:textFill>
        </w:rPr>
        <w:t>，以及</w:t>
      </w:r>
      <w:r>
        <w:rPr>
          <w:rFonts w:hint="eastAsia"/>
          <w:color w:val="000000" w:themeColor="text1"/>
          <w14:textFill>
            <w14:solidFill>
              <w14:schemeClr w14:val="tx1"/>
            </w14:solidFill>
          </w14:textFill>
        </w:rPr>
        <w:t>周界</w:t>
      </w:r>
      <w:r>
        <w:rPr>
          <w:color w:val="000000" w:themeColor="text1"/>
          <w14:textFill>
            <w14:solidFill>
              <w14:schemeClr w14:val="tx1"/>
            </w14:solidFill>
          </w14:textFill>
        </w:rPr>
        <w:t>外</w:t>
      </w:r>
      <w:r>
        <w:rPr>
          <w:rFonts w:hint="eastAsia"/>
          <w:color w:val="000000" w:themeColor="text1"/>
          <w14:textFill>
            <w14:solidFill>
              <w14:schemeClr w14:val="tx1"/>
            </w14:solidFill>
          </w14:textFill>
        </w:rPr>
        <w:t>50</w:t>
      </w:r>
      <w:r>
        <w:rPr>
          <w:color w:val="000000" w:themeColor="text1"/>
          <w14:textFill>
            <w14:solidFill>
              <w14:schemeClr w14:val="tx1"/>
            </w14:solidFill>
          </w14:textFill>
        </w:rPr>
        <w:t>m范围，面积约为</w:t>
      </w:r>
      <w:r>
        <w:rPr>
          <w:rFonts w:hint="eastAsia"/>
          <w:color w:val="000000" w:themeColor="text1"/>
          <w:lang w:val="en-US" w:eastAsia="zh-CN"/>
          <w14:textFill>
            <w14:solidFill>
              <w14:schemeClr w14:val="tx1"/>
            </w14:solidFill>
          </w14:textFill>
        </w:rPr>
        <w:t>1.2</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m²</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土壤环境影响识别</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本项目为</w:t>
      </w:r>
      <w:r>
        <w:rPr>
          <w:rFonts w:hint="eastAsia"/>
          <w:color w:val="000000" w:themeColor="text1"/>
          <w:lang w:val="en-US" w:eastAsia="zh-CN"/>
          <w14:textFill>
            <w14:solidFill>
              <w14:schemeClr w14:val="tx1"/>
            </w14:solidFill>
          </w14:textFill>
        </w:rPr>
        <w:t>废旧滴灌带再生加工项目</w:t>
      </w:r>
      <w:r>
        <w:rPr>
          <w:color w:val="000000" w:themeColor="text1"/>
          <w14:textFill>
            <w14:solidFill>
              <w14:schemeClr w14:val="tx1"/>
            </w14:solidFill>
          </w14:textFill>
        </w:rPr>
        <w:t>，为污染影响型项目，土壤环境影响评价项目类别为</w:t>
      </w:r>
      <w:r>
        <w:rPr>
          <w:rFonts w:hint="eastAsia"/>
          <w:color w:val="000000" w:themeColor="text1"/>
          <w:lang w:val="en-US" w:eastAsia="zh-CN"/>
          <w14:textFill>
            <w14:solidFill>
              <w14:schemeClr w14:val="tx1"/>
            </w14:solidFill>
          </w14:textFill>
        </w:rPr>
        <w:t>Ⅲ</w:t>
      </w:r>
      <w:r>
        <w:rPr>
          <w:color w:val="000000" w:themeColor="text1"/>
          <w14:textFill>
            <w14:solidFill>
              <w14:schemeClr w14:val="tx1"/>
            </w14:solidFill>
          </w14:textFill>
        </w:rPr>
        <w:t>类。</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根据《土地利用现状分类》（GB/T 2010）和</w:t>
      </w:r>
      <w:r>
        <w:rPr>
          <w:rFonts w:hint="eastAsia"/>
          <w:color w:val="000000" w:themeColor="text1"/>
          <w14:textFill>
            <w14:solidFill>
              <w14:schemeClr w14:val="tx1"/>
            </w14:solidFill>
          </w14:textFill>
        </w:rPr>
        <w:t>项目区</w:t>
      </w:r>
      <w:r>
        <w:rPr>
          <w:color w:val="000000" w:themeColor="text1"/>
          <w14:textFill>
            <w14:solidFill>
              <w14:schemeClr w14:val="tx1"/>
            </w14:solidFill>
          </w14:textFill>
        </w:rPr>
        <w:t>土地利用现状图及实际土地利用现状，项目占地范围内土地利用现状为</w:t>
      </w:r>
      <w:r>
        <w:rPr>
          <w:rFonts w:hint="eastAsia"/>
          <w:color w:val="000000" w:themeColor="text1"/>
          <w:lang w:val="en-US" w:eastAsia="zh-CN"/>
          <w14:textFill>
            <w14:solidFill>
              <w14:schemeClr w14:val="tx1"/>
            </w14:solidFill>
          </w14:textFill>
        </w:rPr>
        <w:t>建设用地</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项目区周边评价范围内无西南侧为农田</w:t>
      </w:r>
      <w:r>
        <w:rPr>
          <w:color w:val="000000" w:themeColor="text1"/>
          <w14:textFill>
            <w14:solidFill>
              <w14:schemeClr w14:val="tx1"/>
            </w14:solidFill>
          </w14:textFill>
        </w:rPr>
        <w:t>。运行期土壤环境影响类型和影响途径见表</w:t>
      </w:r>
      <w:r>
        <w:rPr>
          <w:rFonts w:hint="eastAsia"/>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，土壤环境影响识别见表</w:t>
      </w:r>
      <w:r>
        <w:rPr>
          <w:rFonts w:hint="eastAsia"/>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.5-2</w:t>
      </w:r>
      <w:r>
        <w:rPr>
          <w:color w:val="000000" w:themeColor="text1"/>
          <w14:textFill>
            <w14:solidFill>
              <w14:schemeClr w14:val="tx1"/>
            </w14:solidFill>
          </w14:textFill>
        </w:rPr>
        <w:t>，土壤环境</w:t>
      </w:r>
      <w:r>
        <w:rPr>
          <w:rFonts w:hint="eastAsia"/>
          <w:color w:val="000000" w:themeColor="text1"/>
          <w14:textFill>
            <w14:solidFill>
              <w14:schemeClr w14:val="tx1"/>
            </w14:solidFill>
          </w14:textFill>
        </w:rPr>
        <w:t>敏感目标</w:t>
      </w:r>
      <w:r>
        <w:rPr>
          <w:color w:val="000000" w:themeColor="text1"/>
          <w14:textFill>
            <w14:solidFill>
              <w14:schemeClr w14:val="tx1"/>
            </w14:solidFill>
          </w14:textFill>
        </w:rPr>
        <w:t>见表</w:t>
      </w:r>
      <w:r>
        <w:rPr>
          <w:rFonts w:hint="eastAsia"/>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5-3</w:t>
      </w:r>
      <w:r>
        <w:rPr>
          <w:color w:val="000000" w:themeColor="text1"/>
          <w14:textFill>
            <w14:solidFill>
              <w14:schemeClr w14:val="tx1"/>
            </w14:solidFill>
          </w14:textFill>
        </w:rPr>
        <w:t>。</w:t>
      </w:r>
    </w:p>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5.5-1</w:t>
      </w: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 xml:space="preserve">  土壤环境影响类型和影响途径一览表</w:t>
      </w:r>
    </w:p>
    <w:tbl>
      <w:tblPr>
        <w:tblStyle w:val="12"/>
        <w:tblW w:w="9071"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13"/>
        <w:gridCol w:w="1813"/>
        <w:gridCol w:w="1814"/>
        <w:gridCol w:w="1816"/>
        <w:gridCol w:w="18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813" w:type="dxa"/>
            <w:vMerge w:val="restart"/>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不同时段</w:t>
            </w:r>
          </w:p>
        </w:tc>
        <w:tc>
          <w:tcPr>
            <w:tcW w:w="7258" w:type="dxa"/>
            <w:gridSpan w:val="4"/>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污染影响类型及方式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813" w:type="dxa"/>
            <w:vMerge w:val="continue"/>
            <w:tcBorders>
              <w:bottom w:val="single" w:color="000000" w:sz="12" w:space="0"/>
            </w:tcBorders>
            <w:vAlign w:val="center"/>
          </w:tcPr>
          <w:p>
            <w:pPr>
              <w:pStyle w:val="32"/>
              <w:rPr>
                <w:b/>
                <w:bCs/>
                <w:color w:val="000000" w:themeColor="text1"/>
                <w14:textFill>
                  <w14:solidFill>
                    <w14:schemeClr w14:val="tx1"/>
                  </w14:solidFill>
                </w14:textFill>
              </w:rPr>
            </w:pPr>
          </w:p>
        </w:tc>
        <w:tc>
          <w:tcPr>
            <w:tcW w:w="1813" w:type="dxa"/>
            <w:tcBorders>
              <w:bottom w:val="single" w:color="000000"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大气沉降</w:t>
            </w:r>
          </w:p>
        </w:tc>
        <w:tc>
          <w:tcPr>
            <w:tcW w:w="1814" w:type="dxa"/>
            <w:tcBorders>
              <w:bottom w:val="single" w:color="000000"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地面漫流</w:t>
            </w:r>
          </w:p>
        </w:tc>
        <w:tc>
          <w:tcPr>
            <w:tcW w:w="1816" w:type="dxa"/>
            <w:tcBorders>
              <w:bottom w:val="single" w:color="000000"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垂直入渗</w:t>
            </w:r>
          </w:p>
        </w:tc>
        <w:tc>
          <w:tcPr>
            <w:tcW w:w="1815" w:type="dxa"/>
            <w:tcBorders>
              <w:bottom w:val="single" w:color="000000"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其他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813" w:type="dxa"/>
            <w:tcBorders>
              <w:top w:val="single" w:color="000000" w:sz="12" w:space="0"/>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运行期</w:t>
            </w:r>
          </w:p>
        </w:tc>
        <w:tc>
          <w:tcPr>
            <w:tcW w:w="1813" w:type="dxa"/>
            <w:tcBorders>
              <w:top w:val="single" w:color="000000" w:sz="12" w:space="0"/>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814" w:type="dxa"/>
            <w:tcBorders>
              <w:top w:val="single" w:color="000000" w:sz="12" w:space="0"/>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816" w:type="dxa"/>
            <w:tcBorders>
              <w:top w:val="single" w:color="000000" w:sz="12" w:space="0"/>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815" w:type="dxa"/>
            <w:tcBorders>
              <w:top w:val="single" w:color="000000" w:sz="12" w:space="0"/>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w:t>
            </w:r>
          </w:p>
        </w:tc>
      </w:tr>
    </w:tbl>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14:textFill>
            <w14:solidFill>
              <w14:schemeClr w14:val="tx1"/>
            </w14:solidFill>
          </w14:textFill>
        </w:rPr>
        <w:t>5.</w:t>
      </w:r>
      <w:r>
        <w:rPr>
          <w:rFonts w:hint="eastAsia"/>
          <w:b/>
          <w:bCs/>
          <w:color w:val="000000" w:themeColor="text1"/>
          <w:lang w:val="en-US" w:eastAsia="zh-CN"/>
          <w14:textFill>
            <w14:solidFill>
              <w14:schemeClr w14:val="tx1"/>
            </w14:solidFill>
          </w14:textFill>
        </w:rPr>
        <w:t>5-2</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 xml:space="preserve"> 土壤环境影响源及影响因子识别一览表</w:t>
      </w:r>
    </w:p>
    <w:tbl>
      <w:tblPr>
        <w:tblStyle w:val="12"/>
        <w:tblW w:w="9071"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6" w:type="dxa"/>
          <w:bottom w:w="0" w:type="dxa"/>
          <w:right w:w="6" w:type="dxa"/>
        </w:tblCellMar>
      </w:tblPr>
      <w:tblGrid>
        <w:gridCol w:w="732"/>
        <w:gridCol w:w="1804"/>
        <w:gridCol w:w="1959"/>
        <w:gridCol w:w="1055"/>
        <w:gridCol w:w="1508"/>
        <w:gridCol w:w="1357"/>
        <w:gridCol w:w="6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6" w:type="dxa"/>
            <w:bottom w:w="0" w:type="dxa"/>
            <w:right w:w="6" w:type="dxa"/>
          </w:tblCellMar>
        </w:tblPrEx>
        <w:trPr>
          <w:trHeight w:val="283" w:hRule="atLeast"/>
          <w:jc w:val="center"/>
        </w:trPr>
        <w:tc>
          <w:tcPr>
            <w:tcW w:w="2536" w:type="dxa"/>
            <w:gridSpan w:val="2"/>
            <w:tcBorders>
              <w:bottom w:val="single" w:color="000000"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污染源</w:t>
            </w:r>
          </w:p>
        </w:tc>
        <w:tc>
          <w:tcPr>
            <w:tcW w:w="1959" w:type="dxa"/>
            <w:tcBorders>
              <w:bottom w:val="single" w:color="000000"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工艺流程/节点</w:t>
            </w:r>
          </w:p>
        </w:tc>
        <w:tc>
          <w:tcPr>
            <w:tcW w:w="1055" w:type="dxa"/>
            <w:tcBorders>
              <w:bottom w:val="single" w:color="000000"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污染途径</w:t>
            </w:r>
          </w:p>
        </w:tc>
        <w:tc>
          <w:tcPr>
            <w:tcW w:w="1508" w:type="dxa"/>
            <w:tcBorders>
              <w:bottom w:val="single" w:color="000000"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全部污染指标</w:t>
            </w:r>
          </w:p>
        </w:tc>
        <w:tc>
          <w:tcPr>
            <w:tcW w:w="1357" w:type="dxa"/>
            <w:tcBorders>
              <w:bottom w:val="single" w:color="000000"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特征因子</w:t>
            </w:r>
          </w:p>
        </w:tc>
        <w:tc>
          <w:tcPr>
            <w:tcW w:w="656" w:type="dxa"/>
            <w:tcBorders>
              <w:bottom w:val="single" w:color="000000" w:sz="12" w:space="0"/>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6" w:type="dxa"/>
            <w:bottom w:w="0" w:type="dxa"/>
            <w:right w:w="6" w:type="dxa"/>
          </w:tblCellMar>
        </w:tblPrEx>
        <w:trPr>
          <w:trHeight w:val="283" w:hRule="atLeast"/>
          <w:jc w:val="center"/>
        </w:trPr>
        <w:tc>
          <w:tcPr>
            <w:tcW w:w="732" w:type="dxa"/>
            <w:vMerge w:val="restart"/>
            <w:tcBorders>
              <w:top w:val="single" w:color="000000" w:sz="12" w:space="0"/>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运行期</w:t>
            </w:r>
          </w:p>
        </w:tc>
        <w:tc>
          <w:tcPr>
            <w:tcW w:w="1804" w:type="dxa"/>
            <w:vMerge w:val="restart"/>
            <w:tcBorders>
              <w:top w:val="single" w:color="000000" w:sz="12" w:space="0"/>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沉淀池清洗废水</w:t>
            </w:r>
          </w:p>
        </w:tc>
        <w:tc>
          <w:tcPr>
            <w:tcW w:w="1959" w:type="dxa"/>
            <w:vMerge w:val="restart"/>
            <w:tcBorders>
              <w:top w:val="single" w:color="000000" w:sz="12" w:space="0"/>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泄露</w:t>
            </w:r>
          </w:p>
        </w:tc>
        <w:tc>
          <w:tcPr>
            <w:tcW w:w="1055" w:type="dxa"/>
            <w:tcBorders>
              <w:top w:val="single" w:color="000000" w:sz="12" w:space="0"/>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大气沉降</w:t>
            </w:r>
          </w:p>
        </w:tc>
        <w:tc>
          <w:tcPr>
            <w:tcW w:w="1508" w:type="dxa"/>
            <w:tcBorders>
              <w:top w:val="single" w:color="000000" w:sz="12" w:space="0"/>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357" w:type="dxa"/>
            <w:tcBorders>
              <w:top w:val="single" w:color="000000" w:sz="12" w:space="0"/>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56" w:type="dxa"/>
            <w:tcBorders>
              <w:top w:val="single" w:color="000000" w:sz="12" w:space="0"/>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6" w:type="dxa"/>
            <w:bottom w:w="0" w:type="dxa"/>
            <w:right w:w="6" w:type="dxa"/>
          </w:tblCellMar>
        </w:tblPrEx>
        <w:trPr>
          <w:trHeight w:val="283" w:hRule="atLeast"/>
          <w:jc w:val="center"/>
        </w:trPr>
        <w:tc>
          <w:tcPr>
            <w:tcW w:w="732" w:type="dxa"/>
            <w:vMerge w:val="continue"/>
            <w:tcBorders>
              <w:tl2br w:val="nil"/>
              <w:tr2bl w:val="nil"/>
            </w:tcBorders>
            <w:vAlign w:val="center"/>
          </w:tcPr>
          <w:p>
            <w:pPr>
              <w:pStyle w:val="32"/>
              <w:rPr>
                <w:color w:val="000000" w:themeColor="text1"/>
                <w14:textFill>
                  <w14:solidFill>
                    <w14:schemeClr w14:val="tx1"/>
                  </w14:solidFill>
                </w14:textFill>
              </w:rPr>
            </w:pPr>
          </w:p>
        </w:tc>
        <w:tc>
          <w:tcPr>
            <w:tcW w:w="1804" w:type="dxa"/>
            <w:vMerge w:val="continue"/>
            <w:tcBorders>
              <w:tl2br w:val="nil"/>
              <w:tr2bl w:val="nil"/>
            </w:tcBorders>
            <w:vAlign w:val="center"/>
          </w:tcPr>
          <w:p>
            <w:pPr>
              <w:pStyle w:val="32"/>
              <w:rPr>
                <w:color w:val="000000" w:themeColor="text1"/>
                <w14:textFill>
                  <w14:solidFill>
                    <w14:schemeClr w14:val="tx1"/>
                  </w14:solidFill>
                </w14:textFill>
              </w:rPr>
            </w:pPr>
          </w:p>
        </w:tc>
        <w:tc>
          <w:tcPr>
            <w:tcW w:w="1959" w:type="dxa"/>
            <w:vMerge w:val="continue"/>
            <w:tcBorders>
              <w:tl2br w:val="nil"/>
              <w:tr2bl w:val="nil"/>
            </w:tcBorders>
            <w:vAlign w:val="center"/>
          </w:tcPr>
          <w:p>
            <w:pPr>
              <w:pStyle w:val="32"/>
              <w:rPr>
                <w:color w:val="000000" w:themeColor="text1"/>
                <w14:textFill>
                  <w14:solidFill>
                    <w14:schemeClr w14:val="tx1"/>
                  </w14:solidFill>
                </w14:textFill>
              </w:rPr>
            </w:pPr>
          </w:p>
        </w:tc>
        <w:tc>
          <w:tcPr>
            <w:tcW w:w="1055"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地面漫流</w:t>
            </w:r>
          </w:p>
        </w:tc>
        <w:tc>
          <w:tcPr>
            <w:tcW w:w="1508"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357"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56"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6" w:type="dxa"/>
            <w:bottom w:w="0" w:type="dxa"/>
            <w:right w:w="6" w:type="dxa"/>
          </w:tblCellMar>
        </w:tblPrEx>
        <w:trPr>
          <w:trHeight w:val="283" w:hRule="atLeast"/>
          <w:jc w:val="center"/>
        </w:trPr>
        <w:tc>
          <w:tcPr>
            <w:tcW w:w="732" w:type="dxa"/>
            <w:vMerge w:val="continue"/>
            <w:tcBorders>
              <w:tl2br w:val="nil"/>
              <w:tr2bl w:val="nil"/>
            </w:tcBorders>
            <w:vAlign w:val="center"/>
          </w:tcPr>
          <w:p>
            <w:pPr>
              <w:pStyle w:val="32"/>
              <w:rPr>
                <w:color w:val="000000" w:themeColor="text1"/>
                <w14:textFill>
                  <w14:solidFill>
                    <w14:schemeClr w14:val="tx1"/>
                  </w14:solidFill>
                </w14:textFill>
              </w:rPr>
            </w:pPr>
          </w:p>
        </w:tc>
        <w:tc>
          <w:tcPr>
            <w:tcW w:w="1804" w:type="dxa"/>
            <w:vMerge w:val="continue"/>
            <w:tcBorders>
              <w:tl2br w:val="nil"/>
              <w:tr2bl w:val="nil"/>
            </w:tcBorders>
            <w:vAlign w:val="center"/>
          </w:tcPr>
          <w:p>
            <w:pPr>
              <w:pStyle w:val="32"/>
              <w:rPr>
                <w:color w:val="000000" w:themeColor="text1"/>
                <w14:textFill>
                  <w14:solidFill>
                    <w14:schemeClr w14:val="tx1"/>
                  </w14:solidFill>
                </w14:textFill>
              </w:rPr>
            </w:pPr>
          </w:p>
        </w:tc>
        <w:tc>
          <w:tcPr>
            <w:tcW w:w="1959" w:type="dxa"/>
            <w:vMerge w:val="continue"/>
            <w:tcBorders>
              <w:tl2br w:val="nil"/>
              <w:tr2bl w:val="nil"/>
            </w:tcBorders>
            <w:vAlign w:val="center"/>
          </w:tcPr>
          <w:p>
            <w:pPr>
              <w:pStyle w:val="32"/>
              <w:rPr>
                <w:color w:val="000000" w:themeColor="text1"/>
                <w14:textFill>
                  <w14:solidFill>
                    <w14:schemeClr w14:val="tx1"/>
                  </w14:solidFill>
                </w14:textFill>
              </w:rPr>
            </w:pPr>
          </w:p>
        </w:tc>
        <w:tc>
          <w:tcPr>
            <w:tcW w:w="1055"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垂直入渗</w:t>
            </w:r>
          </w:p>
        </w:tc>
        <w:tc>
          <w:tcPr>
            <w:tcW w:w="1508"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COD、BOD、NH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w:t>
            </w:r>
          </w:p>
        </w:tc>
        <w:tc>
          <w:tcPr>
            <w:tcW w:w="1357"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6" w:type="dxa"/>
            <w:tcBorders>
              <w:tl2br w:val="nil"/>
              <w:tr2bl w:val="nil"/>
            </w:tcBorders>
            <w:vAlign w:val="center"/>
          </w:tcPr>
          <w:p>
            <w:pPr>
              <w:pStyle w:val="32"/>
              <w:rPr>
                <w:color w:val="000000" w:themeColor="text1"/>
                <w14:textFill>
                  <w14:solidFill>
                    <w14:schemeClr w14:val="tx1"/>
                  </w14:solidFill>
                </w14:textFill>
              </w:rPr>
            </w:pPr>
            <w:r>
              <w:rPr>
                <w:color w:val="000000" w:themeColor="text1"/>
                <w14:textFill>
                  <w14:solidFill>
                    <w14:schemeClr w14:val="tx1"/>
                  </w14:solidFill>
                </w14:textFill>
              </w:rPr>
              <w:t>事故状态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6" w:type="dxa"/>
            <w:bottom w:w="0" w:type="dxa"/>
            <w:right w:w="6" w:type="dxa"/>
          </w:tblCellMar>
        </w:tblPrEx>
        <w:trPr>
          <w:trHeight w:val="283" w:hRule="atLeast"/>
          <w:jc w:val="center"/>
        </w:trPr>
        <w:tc>
          <w:tcPr>
            <w:tcW w:w="732" w:type="dxa"/>
            <w:vMerge w:val="continue"/>
            <w:tcBorders>
              <w:tl2br w:val="nil"/>
              <w:tr2bl w:val="nil"/>
            </w:tcBorders>
            <w:vAlign w:val="center"/>
          </w:tcPr>
          <w:p>
            <w:pPr>
              <w:pStyle w:val="32"/>
              <w:rPr>
                <w:color w:val="000000" w:themeColor="text1"/>
                <w14:textFill>
                  <w14:solidFill>
                    <w14:schemeClr w14:val="tx1"/>
                  </w14:solidFill>
                </w14:textFill>
              </w:rPr>
            </w:pPr>
          </w:p>
        </w:tc>
        <w:tc>
          <w:tcPr>
            <w:tcW w:w="1804" w:type="dxa"/>
            <w:vMerge w:val="restart"/>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生产车间排放废气</w:t>
            </w:r>
          </w:p>
        </w:tc>
        <w:tc>
          <w:tcPr>
            <w:tcW w:w="1959" w:type="dxa"/>
            <w:vMerge w:val="restart"/>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热熔产生的VOCs废气和破碎产生的颗粒物</w:t>
            </w:r>
          </w:p>
        </w:tc>
        <w:tc>
          <w:tcPr>
            <w:tcW w:w="1055" w:type="dxa"/>
            <w:tcBorders>
              <w:tl2br w:val="nil"/>
              <w:tr2bl w:val="nil"/>
            </w:tcBorders>
            <w:vAlign w:val="center"/>
          </w:tcPr>
          <w:p>
            <w:pPr>
              <w:pStyle w:val="32"/>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大气沉降</w:t>
            </w:r>
          </w:p>
        </w:tc>
        <w:tc>
          <w:tcPr>
            <w:tcW w:w="1508"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TSP、NMHC</w:t>
            </w:r>
          </w:p>
        </w:tc>
        <w:tc>
          <w:tcPr>
            <w:tcW w:w="1357" w:type="dxa"/>
            <w:tcBorders>
              <w:tl2br w:val="nil"/>
              <w:tr2bl w:val="nil"/>
            </w:tcBorders>
            <w:vAlign w:val="center"/>
          </w:tcPr>
          <w:p>
            <w:pPr>
              <w:pStyle w:val="17"/>
              <w:bidi w:val="0"/>
              <w:rPr>
                <w:rFonts w:hint="eastAsia"/>
              </w:rPr>
            </w:pPr>
            <w:r>
              <w:t>-</w:t>
            </w:r>
          </w:p>
        </w:tc>
        <w:tc>
          <w:tcPr>
            <w:tcW w:w="656" w:type="dxa"/>
            <w:tcBorders>
              <w:tl2br w:val="nil"/>
              <w:tr2bl w:val="nil"/>
            </w:tcBorders>
            <w:vAlign w:val="center"/>
          </w:tcPr>
          <w:p>
            <w:pPr>
              <w:pStyle w:val="32"/>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运营期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6" w:type="dxa"/>
            <w:bottom w:w="0" w:type="dxa"/>
            <w:right w:w="6" w:type="dxa"/>
          </w:tblCellMar>
        </w:tblPrEx>
        <w:trPr>
          <w:trHeight w:val="283" w:hRule="atLeast"/>
          <w:jc w:val="center"/>
        </w:trPr>
        <w:tc>
          <w:tcPr>
            <w:tcW w:w="732" w:type="dxa"/>
            <w:vMerge w:val="continue"/>
            <w:tcBorders>
              <w:tl2br w:val="nil"/>
              <w:tr2bl w:val="nil"/>
            </w:tcBorders>
            <w:vAlign w:val="center"/>
          </w:tcPr>
          <w:p>
            <w:pPr>
              <w:pStyle w:val="32"/>
              <w:rPr>
                <w:color w:val="000000" w:themeColor="text1"/>
                <w14:textFill>
                  <w14:solidFill>
                    <w14:schemeClr w14:val="tx1"/>
                  </w14:solidFill>
                </w14:textFill>
              </w:rPr>
            </w:pPr>
          </w:p>
        </w:tc>
        <w:tc>
          <w:tcPr>
            <w:tcW w:w="1804" w:type="dxa"/>
            <w:vMerge w:val="continue"/>
            <w:tcBorders>
              <w:tl2br w:val="nil"/>
              <w:tr2bl w:val="nil"/>
            </w:tcBorders>
            <w:vAlign w:val="center"/>
          </w:tcPr>
          <w:p>
            <w:pPr>
              <w:pStyle w:val="32"/>
              <w:rPr>
                <w:color w:val="000000" w:themeColor="text1"/>
                <w14:textFill>
                  <w14:solidFill>
                    <w14:schemeClr w14:val="tx1"/>
                  </w14:solidFill>
                </w14:textFill>
              </w:rPr>
            </w:pPr>
          </w:p>
        </w:tc>
        <w:tc>
          <w:tcPr>
            <w:tcW w:w="1959" w:type="dxa"/>
            <w:vMerge w:val="continue"/>
            <w:tcBorders>
              <w:tl2br w:val="nil"/>
              <w:tr2bl w:val="nil"/>
            </w:tcBorders>
            <w:vAlign w:val="center"/>
          </w:tcPr>
          <w:p>
            <w:pPr>
              <w:pStyle w:val="32"/>
              <w:rPr>
                <w:color w:val="000000" w:themeColor="text1"/>
                <w14:textFill>
                  <w14:solidFill>
                    <w14:schemeClr w14:val="tx1"/>
                  </w14:solidFill>
                </w14:textFill>
              </w:rPr>
            </w:pPr>
          </w:p>
        </w:tc>
        <w:tc>
          <w:tcPr>
            <w:tcW w:w="1055" w:type="dxa"/>
            <w:tcBorders>
              <w:tl2br w:val="nil"/>
              <w:tr2bl w:val="nil"/>
            </w:tcBorders>
            <w:vAlign w:val="center"/>
          </w:tcPr>
          <w:p>
            <w:pPr>
              <w:pStyle w:val="32"/>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地面漫流</w:t>
            </w:r>
          </w:p>
        </w:tc>
        <w:tc>
          <w:tcPr>
            <w:tcW w:w="1508" w:type="dxa"/>
            <w:tcBorders>
              <w:tl2br w:val="nil"/>
              <w:tr2bl w:val="nil"/>
            </w:tcBorders>
            <w:vAlign w:val="center"/>
          </w:tcPr>
          <w:p>
            <w:pPr>
              <w:pStyle w:val="17"/>
              <w:bidi w:val="0"/>
              <w:rPr>
                <w:rFonts w:hint="eastAsia"/>
              </w:rPr>
            </w:pPr>
            <w:r>
              <w:t>-</w:t>
            </w:r>
          </w:p>
        </w:tc>
        <w:tc>
          <w:tcPr>
            <w:tcW w:w="1357" w:type="dxa"/>
            <w:tcBorders>
              <w:tl2br w:val="nil"/>
              <w:tr2bl w:val="nil"/>
            </w:tcBorders>
            <w:vAlign w:val="center"/>
          </w:tcPr>
          <w:p>
            <w:pPr>
              <w:pStyle w:val="17"/>
              <w:bidi w:val="0"/>
              <w:rPr>
                <w:rFonts w:hint="eastAsia"/>
              </w:rPr>
            </w:pPr>
            <w:r>
              <w:t>-</w:t>
            </w:r>
          </w:p>
        </w:tc>
        <w:tc>
          <w:tcPr>
            <w:tcW w:w="656" w:type="dxa"/>
            <w:tcBorders>
              <w:tl2br w:val="nil"/>
              <w:tr2bl w:val="nil"/>
            </w:tcBorders>
            <w:vAlign w:val="center"/>
          </w:tcPr>
          <w:p>
            <w:pPr>
              <w:pStyle w:val="17"/>
              <w:bidi w:val="0"/>
            </w:pPr>
            <w: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6" w:type="dxa"/>
            <w:bottom w:w="0" w:type="dxa"/>
            <w:right w:w="6" w:type="dxa"/>
          </w:tblCellMar>
        </w:tblPrEx>
        <w:trPr>
          <w:trHeight w:val="283" w:hRule="atLeast"/>
          <w:jc w:val="center"/>
        </w:trPr>
        <w:tc>
          <w:tcPr>
            <w:tcW w:w="732" w:type="dxa"/>
            <w:vMerge w:val="continue"/>
            <w:tcBorders>
              <w:tl2br w:val="nil"/>
              <w:tr2bl w:val="nil"/>
            </w:tcBorders>
            <w:vAlign w:val="center"/>
          </w:tcPr>
          <w:p>
            <w:pPr>
              <w:pStyle w:val="32"/>
              <w:rPr>
                <w:color w:val="000000" w:themeColor="text1"/>
                <w14:textFill>
                  <w14:solidFill>
                    <w14:schemeClr w14:val="tx1"/>
                  </w14:solidFill>
                </w14:textFill>
              </w:rPr>
            </w:pPr>
          </w:p>
        </w:tc>
        <w:tc>
          <w:tcPr>
            <w:tcW w:w="1804" w:type="dxa"/>
            <w:vMerge w:val="continue"/>
            <w:tcBorders>
              <w:tl2br w:val="nil"/>
              <w:tr2bl w:val="nil"/>
            </w:tcBorders>
            <w:vAlign w:val="center"/>
          </w:tcPr>
          <w:p>
            <w:pPr>
              <w:pStyle w:val="32"/>
              <w:rPr>
                <w:color w:val="000000" w:themeColor="text1"/>
                <w14:textFill>
                  <w14:solidFill>
                    <w14:schemeClr w14:val="tx1"/>
                  </w14:solidFill>
                </w14:textFill>
              </w:rPr>
            </w:pPr>
          </w:p>
        </w:tc>
        <w:tc>
          <w:tcPr>
            <w:tcW w:w="1959" w:type="dxa"/>
            <w:vMerge w:val="continue"/>
            <w:tcBorders>
              <w:tl2br w:val="nil"/>
              <w:tr2bl w:val="nil"/>
            </w:tcBorders>
            <w:vAlign w:val="center"/>
          </w:tcPr>
          <w:p>
            <w:pPr>
              <w:pStyle w:val="32"/>
              <w:rPr>
                <w:color w:val="000000" w:themeColor="text1"/>
                <w14:textFill>
                  <w14:solidFill>
                    <w14:schemeClr w14:val="tx1"/>
                  </w14:solidFill>
                </w14:textFill>
              </w:rPr>
            </w:pPr>
          </w:p>
        </w:tc>
        <w:tc>
          <w:tcPr>
            <w:tcW w:w="1055" w:type="dxa"/>
            <w:tcBorders>
              <w:tl2br w:val="nil"/>
              <w:tr2bl w:val="nil"/>
            </w:tcBorders>
            <w:vAlign w:val="center"/>
          </w:tcPr>
          <w:p>
            <w:pPr>
              <w:pStyle w:val="32"/>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垂直入渗</w:t>
            </w:r>
          </w:p>
        </w:tc>
        <w:tc>
          <w:tcPr>
            <w:tcW w:w="1508" w:type="dxa"/>
            <w:tcBorders>
              <w:tl2br w:val="nil"/>
              <w:tr2bl w:val="nil"/>
            </w:tcBorders>
            <w:vAlign w:val="center"/>
          </w:tcPr>
          <w:p>
            <w:pPr>
              <w:pStyle w:val="17"/>
              <w:bidi w:val="0"/>
              <w:rPr>
                <w:rFonts w:hint="eastAsia"/>
              </w:rPr>
            </w:pPr>
            <w:r>
              <w:t>-</w:t>
            </w:r>
          </w:p>
        </w:tc>
        <w:tc>
          <w:tcPr>
            <w:tcW w:w="1357" w:type="dxa"/>
            <w:tcBorders>
              <w:tl2br w:val="nil"/>
              <w:tr2bl w:val="nil"/>
            </w:tcBorders>
            <w:vAlign w:val="center"/>
          </w:tcPr>
          <w:p>
            <w:pPr>
              <w:pStyle w:val="17"/>
              <w:bidi w:val="0"/>
              <w:rPr>
                <w:rFonts w:hint="eastAsia"/>
              </w:rPr>
            </w:pPr>
            <w:r>
              <w:t>-</w:t>
            </w:r>
          </w:p>
        </w:tc>
        <w:tc>
          <w:tcPr>
            <w:tcW w:w="656" w:type="dxa"/>
            <w:tcBorders>
              <w:tl2br w:val="nil"/>
              <w:tr2bl w:val="nil"/>
            </w:tcBorders>
            <w:vAlign w:val="center"/>
          </w:tcPr>
          <w:p>
            <w:pPr>
              <w:pStyle w:val="17"/>
              <w:bidi w:val="0"/>
            </w:pPr>
            <w:r>
              <w:t>-</w:t>
            </w:r>
          </w:p>
        </w:tc>
      </w:tr>
    </w:tbl>
    <w:p>
      <w:pPr>
        <w:pStyle w:val="32"/>
        <w:rPr>
          <w:color w:val="000000" w:themeColor="text1"/>
          <w14:textFill>
            <w14:solidFill>
              <w14:schemeClr w14:val="tx1"/>
            </w14:solidFill>
          </w14:textFill>
        </w:rPr>
      </w:pPr>
    </w:p>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14:textFill>
            <w14:solidFill>
              <w14:schemeClr w14:val="tx1"/>
            </w14:solidFill>
          </w14:textFill>
        </w:rPr>
        <w:t>5.</w:t>
      </w:r>
      <w:r>
        <w:rPr>
          <w:rFonts w:hint="eastAsia"/>
          <w:b/>
          <w:bCs/>
          <w:color w:val="000000" w:themeColor="text1"/>
          <w:lang w:val="en-US" w:eastAsia="zh-CN"/>
          <w14:textFill>
            <w14:solidFill>
              <w14:schemeClr w14:val="tx1"/>
            </w14:solidFill>
          </w14:textFill>
        </w:rPr>
        <w:t>5-3</w:t>
      </w: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 xml:space="preserve"> 土壤环境敏感目标一览表</w:t>
      </w:r>
    </w:p>
    <w:tbl>
      <w:tblPr>
        <w:tblStyle w:val="12"/>
        <w:tblW w:w="9071" w:type="dxa"/>
        <w:jc w:val="center"/>
        <w:tblInd w:w="0" w:type="dxa"/>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Layout w:type="fixed"/>
        <w:tblCellMar>
          <w:top w:w="0" w:type="dxa"/>
          <w:left w:w="108" w:type="dxa"/>
          <w:bottom w:w="0" w:type="dxa"/>
          <w:right w:w="108" w:type="dxa"/>
        </w:tblCellMar>
      </w:tblPr>
      <w:tblGrid>
        <w:gridCol w:w="2120"/>
        <w:gridCol w:w="2120"/>
        <w:gridCol w:w="2122"/>
        <w:gridCol w:w="2709"/>
      </w:tblGrid>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2120" w:type="dxa"/>
            <w:tcBorders>
              <w:tl2br w:val="nil"/>
              <w:tr2bl w:val="nil"/>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敏感点</w:t>
            </w:r>
          </w:p>
        </w:tc>
        <w:tc>
          <w:tcPr>
            <w:tcW w:w="2120" w:type="dxa"/>
            <w:tcBorders>
              <w:tl2br w:val="nil"/>
              <w:tr2bl w:val="nil"/>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与本项目方位</w:t>
            </w:r>
          </w:p>
        </w:tc>
        <w:tc>
          <w:tcPr>
            <w:tcW w:w="2122" w:type="dxa"/>
            <w:tcBorders>
              <w:tl2br w:val="nil"/>
              <w:tr2bl w:val="nil"/>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与本项目</w:t>
            </w:r>
            <w:r>
              <w:rPr>
                <w:rFonts w:hint="eastAsia"/>
                <w:b/>
                <w:bCs/>
                <w:color w:val="000000" w:themeColor="text1"/>
                <w14:textFill>
                  <w14:solidFill>
                    <w14:schemeClr w14:val="tx1"/>
                  </w14:solidFill>
                </w14:textFill>
              </w:rPr>
              <w:t>填埋场</w:t>
            </w:r>
            <w:r>
              <w:rPr>
                <w:b/>
                <w:bCs/>
                <w:color w:val="000000" w:themeColor="text1"/>
                <w14:textFill>
                  <w14:solidFill>
                    <w14:schemeClr w14:val="tx1"/>
                  </w14:solidFill>
                </w14:textFill>
              </w:rPr>
              <w:t>距离km</w:t>
            </w:r>
          </w:p>
        </w:tc>
        <w:tc>
          <w:tcPr>
            <w:tcW w:w="2709" w:type="dxa"/>
            <w:tcBorders>
              <w:tl2br w:val="nil"/>
              <w:tr2bl w:val="nil"/>
            </w:tcBorders>
            <w:vAlign w:val="center"/>
          </w:tcPr>
          <w:p>
            <w:pPr>
              <w:pStyle w:val="32"/>
              <w:rPr>
                <w:b/>
                <w:bCs/>
                <w:color w:val="000000" w:themeColor="text1"/>
                <w14:textFill>
                  <w14:solidFill>
                    <w14:schemeClr w14:val="tx1"/>
                  </w14:solidFill>
                </w14:textFill>
              </w:rPr>
            </w:pPr>
            <w:r>
              <w:rPr>
                <w:b/>
                <w:bCs/>
                <w:color w:val="000000" w:themeColor="text1"/>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2120"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农田</w:t>
            </w:r>
          </w:p>
        </w:tc>
        <w:tc>
          <w:tcPr>
            <w:tcW w:w="2120"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西</w:t>
            </w:r>
            <w:r>
              <w:rPr>
                <w:rFonts w:hint="eastAsia"/>
                <w:color w:val="000000" w:themeColor="text1"/>
                <w14:textFill>
                  <w14:solidFill>
                    <w14:schemeClr w14:val="tx1"/>
                  </w14:solidFill>
                </w14:textFill>
              </w:rPr>
              <w:t>南侧</w:t>
            </w:r>
          </w:p>
        </w:tc>
        <w:tc>
          <w:tcPr>
            <w:tcW w:w="2122" w:type="dxa"/>
            <w:tcBorders>
              <w:tl2br w:val="nil"/>
              <w:tr2bl w:val="nil"/>
            </w:tcBorders>
            <w:vAlign w:val="center"/>
          </w:tcPr>
          <w:p>
            <w:pPr>
              <w:pStyle w:val="3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2709" w:type="dxa"/>
            <w:tcBorders>
              <w:tl2br w:val="nil"/>
              <w:tr2bl w:val="nil"/>
            </w:tcBorders>
            <w:vAlign w:val="center"/>
          </w:tcPr>
          <w:p>
            <w:pPr>
              <w:pStyle w:val="32"/>
              <w:rPr>
                <w:color w:val="000000" w:themeColor="text1"/>
                <w14:textFill>
                  <w14:solidFill>
                    <w14:schemeClr w14:val="tx1"/>
                  </w14:solidFill>
                </w14:textFill>
              </w:rPr>
            </w:pPr>
            <w:r>
              <w:rPr>
                <w:rFonts w:hint="eastAsia"/>
                <w:color w:val="000000" w:themeColor="text1"/>
                <w14:textFill>
                  <w14:solidFill>
                    <w14:schemeClr w14:val="tx1"/>
                  </w14:solidFill>
                </w14:textFill>
              </w:rPr>
              <w:t>项目区评价范围无土壤环境敏感目标</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运行期土壤环境影响预测与分析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正常工况下对土壤环境的影响分析</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正常工况下，项目各工艺设备和地下水环境保护措施均达到了设计要求，且运行良好。根据项目工程分析，项目</w:t>
      </w:r>
      <w:r>
        <w:rPr>
          <w:rFonts w:hint="eastAsia"/>
          <w:color w:val="000000" w:themeColor="text1"/>
          <w:lang w:val="en-US" w:eastAsia="zh-CN"/>
          <w14:textFill>
            <w14:solidFill>
              <w14:schemeClr w14:val="tx1"/>
            </w14:solidFill>
          </w14:textFill>
        </w:rPr>
        <w:t>沉淀池废水通过污水处理设施净化后全部回用不外排</w:t>
      </w:r>
      <w:r>
        <w:rPr>
          <w:color w:val="000000" w:themeColor="text1"/>
          <w14:textFill>
            <w14:solidFill>
              <w14:schemeClr w14:val="tx1"/>
            </w14:solidFill>
          </w14:textFill>
        </w:rPr>
        <w:t>。在防渗系统正常运行的情况下，本项目</w:t>
      </w:r>
      <w:r>
        <w:rPr>
          <w:rFonts w:hint="eastAsia"/>
          <w:color w:val="000000" w:themeColor="text1"/>
          <w:lang w:val="en-US" w:eastAsia="zh-CN"/>
          <w14:textFill>
            <w14:solidFill>
              <w14:schemeClr w14:val="tx1"/>
            </w14:solidFill>
          </w14:textFill>
        </w:rPr>
        <w:t>生产废水</w:t>
      </w:r>
      <w:r>
        <w:rPr>
          <w:color w:val="000000" w:themeColor="text1"/>
          <w14:textFill>
            <w14:solidFill>
              <w14:schemeClr w14:val="tx1"/>
            </w14:solidFill>
          </w14:textFill>
        </w:rPr>
        <w:t>能得到很好的控制，对土壤环境的影响较小，不会造成区域土壤的</w:t>
      </w:r>
      <w:r>
        <w:rPr>
          <w:rFonts w:hint="eastAsia"/>
          <w:color w:val="000000" w:themeColor="text1"/>
          <w14:textFill>
            <w14:solidFill>
              <w14:schemeClr w14:val="tx1"/>
            </w14:solidFill>
          </w14:textFill>
        </w:rPr>
        <w:t>污染</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非正常工况下对土壤环境的影响分析</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在事故情况下，</w:t>
      </w:r>
      <w:r>
        <w:rPr>
          <w:rFonts w:hint="eastAsia"/>
          <w:color w:val="000000" w:themeColor="text1"/>
          <w:lang w:val="en-US" w:eastAsia="zh-CN"/>
          <w14:textFill>
            <w14:solidFill>
              <w14:schemeClr w14:val="tx1"/>
            </w14:solidFill>
          </w14:textFill>
        </w:rPr>
        <w:t>清洗废水</w:t>
      </w:r>
      <w:r>
        <w:rPr>
          <w:color w:val="000000" w:themeColor="text1"/>
          <w14:textFill>
            <w14:solidFill>
              <w14:schemeClr w14:val="tx1"/>
            </w14:solidFill>
          </w14:textFill>
        </w:rPr>
        <w:t>透过</w:t>
      </w:r>
      <w:r>
        <w:rPr>
          <w:rFonts w:hint="eastAsia"/>
          <w:color w:val="000000" w:themeColor="text1"/>
          <w14:textFill>
            <w14:solidFill>
              <w14:schemeClr w14:val="tx1"/>
            </w14:solidFill>
          </w14:textFill>
        </w:rPr>
        <w:t>防渗层</w:t>
      </w:r>
      <w:r>
        <w:rPr>
          <w:color w:val="000000" w:themeColor="text1"/>
          <w14:textFill>
            <w14:solidFill>
              <w14:schemeClr w14:val="tx1"/>
            </w14:solidFill>
          </w14:textFill>
        </w:rPr>
        <w:t>渗入地下，会对改变土壤pH值，对土壤环境造成污染。</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土壤环境污染防治措施</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为防治项目对占地范围及周围土壤的污染，严格执行本环评第</w:t>
      </w:r>
      <w:r>
        <w:rPr>
          <w:rFonts w:hint="eastAsia"/>
          <w:color w:val="000000" w:themeColor="text1"/>
          <w14:textFill>
            <w14:solidFill>
              <w14:schemeClr w14:val="tx1"/>
            </w14:solidFill>
          </w14:textFill>
        </w:rPr>
        <w:t>6.2.3</w:t>
      </w:r>
      <w:r>
        <w:rPr>
          <w:color w:val="000000" w:themeColor="text1"/>
          <w14:textFill>
            <w14:solidFill>
              <w14:schemeClr w14:val="tx1"/>
            </w14:solidFill>
          </w14:textFill>
        </w:rPr>
        <w:t>节提出的废水污染防治措施，在采取以上措施后，项目对占地范围及周围土壤环境的影响较小，其影响可以接受。</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（5）土壤环境影响自查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综上，对本项目土壤环境影响进行自查，具体如下表。</w:t>
      </w:r>
    </w:p>
    <w:p>
      <w:pPr>
        <w:pStyle w:val="3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表5.</w:t>
      </w:r>
      <w:r>
        <w:rPr>
          <w:rFonts w:hint="eastAsia"/>
          <w:b/>
          <w:bCs/>
          <w:color w:val="000000" w:themeColor="text1"/>
          <w:lang w:val="en-US" w:eastAsia="zh-CN"/>
          <w14:textFill>
            <w14:solidFill>
              <w14:schemeClr w14:val="tx1"/>
            </w14:solidFill>
          </w14:textFill>
        </w:rPr>
        <w:t>5-4</w:t>
      </w:r>
      <w:r>
        <w:rPr>
          <w:rFonts w:hint="eastAsia"/>
          <w:b/>
          <w:bCs/>
          <w:color w:val="000000" w:themeColor="text1"/>
          <w14:textFill>
            <w14:solidFill>
              <w14:schemeClr w14:val="tx1"/>
            </w14:solidFill>
          </w14:textFill>
        </w:rPr>
        <w:t xml:space="preserve">   土壤环境影响自查表</w:t>
      </w:r>
    </w:p>
    <w:tbl>
      <w:tblPr>
        <w:tblStyle w:val="33"/>
        <w:tblW w:w="9071"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
      <w:tblGrid>
        <w:gridCol w:w="457"/>
        <w:gridCol w:w="1657"/>
        <w:gridCol w:w="1480"/>
        <w:gridCol w:w="1205"/>
        <w:gridCol w:w="1395"/>
        <w:gridCol w:w="213"/>
        <w:gridCol w:w="1429"/>
        <w:gridCol w:w="123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2114" w:type="dxa"/>
            <w:gridSpan w:val="2"/>
            <w:tcBorders>
              <w:bottom w:val="single" w:color="000000" w:sz="12" w:space="0"/>
            </w:tcBorders>
            <w:shd w:val="clear" w:color="auto" w:fill="auto"/>
            <w:vAlign w:val="center"/>
          </w:tcPr>
          <w:p>
            <w:pPr>
              <w:pStyle w:val="32"/>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工作内容</w:t>
            </w:r>
          </w:p>
        </w:tc>
        <w:tc>
          <w:tcPr>
            <w:tcW w:w="5722" w:type="dxa"/>
            <w:gridSpan w:val="5"/>
            <w:tcBorders>
              <w:bottom w:val="single" w:color="000000" w:sz="12" w:space="0"/>
            </w:tcBorders>
            <w:shd w:val="clear" w:color="auto" w:fill="auto"/>
            <w:vAlign w:val="center"/>
          </w:tcPr>
          <w:p>
            <w:pPr>
              <w:pStyle w:val="32"/>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完成情况</w:t>
            </w:r>
          </w:p>
        </w:tc>
        <w:tc>
          <w:tcPr>
            <w:tcW w:w="1235" w:type="dxa"/>
            <w:tcBorders>
              <w:bottom w:val="single" w:color="000000" w:sz="12" w:space="0"/>
            </w:tcBorders>
            <w:shd w:val="clear" w:color="auto" w:fill="auto"/>
            <w:vAlign w:val="center"/>
          </w:tcPr>
          <w:p>
            <w:pPr>
              <w:pStyle w:val="32"/>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restart"/>
            <w:tcBorders>
              <w:top w:val="single" w:color="000000" w:sz="12" w:space="0"/>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影响识别</w:t>
            </w:r>
          </w:p>
        </w:tc>
        <w:tc>
          <w:tcPr>
            <w:tcW w:w="1657" w:type="dxa"/>
            <w:tcBorders>
              <w:top w:val="single" w:color="000000" w:sz="12" w:space="0"/>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影响类型</w:t>
            </w:r>
          </w:p>
        </w:tc>
        <w:tc>
          <w:tcPr>
            <w:tcW w:w="5722" w:type="dxa"/>
            <w:gridSpan w:val="5"/>
            <w:tcBorders>
              <w:top w:val="single" w:color="000000" w:sz="12" w:space="0"/>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污染影响型</w:t>
            </w:r>
            <w:r>
              <w:rPr>
                <w:rFonts w:hint="default"/>
                <w:color w:val="000000" w:themeColor="text1"/>
                <w14:textFill>
                  <w14:solidFill>
                    <w14:schemeClr w14:val="tx1"/>
                  </w14:solidFill>
                </w14:textFill>
              </w:rPr>
              <w:sym w:font="Wingdings" w:char="00FE"/>
            </w:r>
            <w:r>
              <w:rPr>
                <w:rFonts w:hint="default"/>
                <w:color w:val="000000" w:themeColor="text1"/>
                <w14:textFill>
                  <w14:solidFill>
                    <w14:schemeClr w14:val="tx1"/>
                  </w14:solidFill>
                </w14:textFill>
              </w:rPr>
              <w:t>；生态影响型</w:t>
            </w:r>
            <w:r>
              <w:rPr>
                <w:rFonts w:hint="default"/>
                <w:color w:val="000000" w:themeColor="text1"/>
                <w14:textFill>
                  <w14:solidFill>
                    <w14:schemeClr w14:val="tx1"/>
                  </w14:solidFill>
                </w14:textFill>
              </w:rPr>
              <w:sym w:font="Wingdings" w:char="00A8"/>
            </w:r>
            <w:r>
              <w:rPr>
                <w:rFonts w:hint="default"/>
                <w:color w:val="000000" w:themeColor="text1"/>
                <w14:textFill>
                  <w14:solidFill>
                    <w14:schemeClr w14:val="tx1"/>
                  </w14:solidFill>
                </w14:textFill>
              </w:rPr>
              <w:t>；两种兼有</w:t>
            </w:r>
            <w:r>
              <w:rPr>
                <w:rFonts w:hint="default"/>
                <w:color w:val="000000" w:themeColor="text1"/>
                <w14:textFill>
                  <w14:solidFill>
                    <w14:schemeClr w14:val="tx1"/>
                  </w14:solidFill>
                </w14:textFill>
              </w:rPr>
              <w:sym w:font="Wingdings" w:char="00A8"/>
            </w:r>
          </w:p>
        </w:tc>
        <w:tc>
          <w:tcPr>
            <w:tcW w:w="1235" w:type="dxa"/>
            <w:tcBorders>
              <w:top w:val="single" w:color="000000" w:sz="12" w:space="0"/>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土地利用类型</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建设用地</w:t>
            </w:r>
            <w:r>
              <w:rPr>
                <w:rFonts w:hint="default"/>
                <w:color w:val="000000" w:themeColor="text1"/>
                <w14:textFill>
                  <w14:solidFill>
                    <w14:schemeClr w14:val="tx1"/>
                  </w14:solidFill>
                </w14:textFill>
              </w:rPr>
              <w:sym w:font="Wingdings" w:char="00FE"/>
            </w:r>
            <w:r>
              <w:rPr>
                <w:rFonts w:hint="default"/>
                <w:color w:val="000000" w:themeColor="text1"/>
                <w14:textFill>
                  <w14:solidFill>
                    <w14:schemeClr w14:val="tx1"/>
                  </w14:solidFill>
                </w14:textFill>
              </w:rPr>
              <w:t>；农用地</w:t>
            </w:r>
            <w:r>
              <w:rPr>
                <w:rFonts w:hint="default"/>
                <w:color w:val="000000" w:themeColor="text1"/>
                <w14:textFill>
                  <w14:solidFill>
                    <w14:schemeClr w14:val="tx1"/>
                  </w14:solidFill>
                </w14:textFill>
              </w:rPr>
              <w:sym w:font="Wingdings" w:char="00A8"/>
            </w:r>
            <w:r>
              <w:rPr>
                <w:rFonts w:hint="default"/>
                <w:color w:val="000000" w:themeColor="text1"/>
                <w14:textFill>
                  <w14:solidFill>
                    <w14:schemeClr w14:val="tx1"/>
                  </w14:solidFill>
                </w14:textFill>
              </w:rPr>
              <w:t>；未利用地</w:t>
            </w:r>
            <w:r>
              <w:rPr>
                <w:rFonts w:hint="default"/>
                <w:color w:val="000000" w:themeColor="text1"/>
                <w14:textFill>
                  <w14:solidFill>
                    <w14:schemeClr w14:val="tx1"/>
                  </w14:solidFill>
                </w14:textFill>
              </w:rPr>
              <w:sym w:font="Wingdings" w:char="00A8"/>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占地规模</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0.8277</w:t>
            </w:r>
            <w:r>
              <w:rPr>
                <w:rFonts w:hint="default"/>
                <w:color w:val="000000" w:themeColor="text1"/>
                <w14:textFill>
                  <w14:solidFill>
                    <w14:schemeClr w14:val="tx1"/>
                  </w14:solidFill>
                </w14:textFill>
              </w:rPr>
              <w:t>）h</w:t>
            </w:r>
            <w:r>
              <w:rPr>
                <w:rFonts w:hint="eastAsia"/>
                <w:color w:val="000000" w:themeColor="text1"/>
                <w14:textFill>
                  <w14:solidFill>
                    <w14:schemeClr w14:val="tx1"/>
                  </w14:solidFill>
                </w14:textFill>
              </w:rPr>
              <w:t>m²</w:t>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敏感目标信息</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敏感目标（耕地）、方位（EN）、距离（</w:t>
            </w:r>
            <w:r>
              <w:rPr>
                <w:rFonts w:hint="eastAsia"/>
                <w:color w:val="000000" w:themeColor="text1"/>
                <w:lang w:val="en-US" w:eastAsia="zh-CN"/>
                <w14:textFill>
                  <w14:solidFill>
                    <w14:schemeClr w14:val="tx1"/>
                  </w14:solidFill>
                </w14:textFill>
              </w:rPr>
              <w:t>50</w:t>
            </w:r>
            <w:r>
              <w:rPr>
                <w:rFonts w:hint="default"/>
                <w:color w:val="000000" w:themeColor="text1"/>
                <w14:textFill>
                  <w14:solidFill>
                    <w14:schemeClr w14:val="tx1"/>
                  </w14:solidFill>
                </w14:textFill>
              </w:rPr>
              <w:t>m）</w:t>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影响途径</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大气沉降</w:t>
            </w:r>
            <w:r>
              <w:rPr>
                <w:rFonts w:hint="default"/>
                <w:color w:val="000000" w:themeColor="text1"/>
                <w14:textFill>
                  <w14:solidFill>
                    <w14:schemeClr w14:val="tx1"/>
                  </w14:solidFill>
                </w14:textFill>
              </w:rPr>
              <w:sym w:font="Wingdings" w:char="00A8"/>
            </w:r>
            <w:r>
              <w:rPr>
                <w:rFonts w:hint="default"/>
                <w:color w:val="000000" w:themeColor="text1"/>
                <w14:textFill>
                  <w14:solidFill>
                    <w14:schemeClr w14:val="tx1"/>
                  </w14:solidFill>
                </w14:textFill>
              </w:rPr>
              <w:t>；地面漫流</w:t>
            </w:r>
            <w:r>
              <w:rPr>
                <w:rFonts w:hint="default"/>
                <w:color w:val="000000" w:themeColor="text1"/>
                <w14:textFill>
                  <w14:solidFill>
                    <w14:schemeClr w14:val="tx1"/>
                  </w14:solidFill>
                </w14:textFill>
              </w:rPr>
              <w:sym w:font="Wingdings" w:char="00A8"/>
            </w:r>
            <w:r>
              <w:rPr>
                <w:rFonts w:hint="default"/>
                <w:color w:val="000000" w:themeColor="text1"/>
                <w14:textFill>
                  <w14:solidFill>
                    <w14:schemeClr w14:val="tx1"/>
                  </w14:solidFill>
                </w14:textFill>
              </w:rPr>
              <w:t>；垂直入渗</w:t>
            </w:r>
            <w:r>
              <w:rPr>
                <w:rFonts w:hint="default"/>
                <w:color w:val="000000" w:themeColor="text1"/>
                <w14:textFill>
                  <w14:solidFill>
                    <w14:schemeClr w14:val="tx1"/>
                  </w14:solidFill>
                </w14:textFill>
              </w:rPr>
              <w:sym w:font="Wingdings" w:char="00FE"/>
            </w:r>
            <w:r>
              <w:rPr>
                <w:rFonts w:hint="default"/>
                <w:color w:val="000000" w:themeColor="text1"/>
                <w14:textFill>
                  <w14:solidFill>
                    <w14:schemeClr w14:val="tx1"/>
                  </w14:solidFill>
                </w14:textFill>
              </w:rPr>
              <w:t>；地下水位</w:t>
            </w:r>
            <w:r>
              <w:rPr>
                <w:rFonts w:hint="default"/>
                <w:color w:val="000000" w:themeColor="text1"/>
                <w14:textFill>
                  <w14:solidFill>
                    <w14:schemeClr w14:val="tx1"/>
                  </w14:solidFill>
                </w14:textFill>
              </w:rPr>
              <w:sym w:font="Wingdings 2" w:char="00A3"/>
            </w:r>
            <w:r>
              <w:rPr>
                <w:rFonts w:hint="default"/>
                <w:color w:val="000000" w:themeColor="text1"/>
                <w14:textFill>
                  <w14:solidFill>
                    <w14:schemeClr w14:val="tx1"/>
                  </w14:solidFill>
                </w14:textFill>
              </w:rPr>
              <w:t>；其他（）</w:t>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全部污染物</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COD、BOD、NH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w:t>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特征因子</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COD、BOD、NH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w:t>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所属土壤环境影响评价项目类别</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Ⅰ类</w:t>
            </w:r>
            <w:r>
              <w:rPr>
                <w:rFonts w:hint="default"/>
                <w:color w:val="000000" w:themeColor="text1"/>
                <w14:textFill>
                  <w14:solidFill>
                    <w14:schemeClr w14:val="tx1"/>
                  </w14:solidFill>
                </w14:textFill>
              </w:rPr>
              <w:sym w:font="Wingdings" w:char="00A8"/>
            </w:r>
            <w:r>
              <w:rPr>
                <w:rFonts w:hint="default"/>
                <w:color w:val="000000" w:themeColor="text1"/>
                <w14:textFill>
                  <w14:solidFill>
                    <w14:schemeClr w14:val="tx1"/>
                  </w14:solidFill>
                </w14:textFill>
              </w:rPr>
              <w:t>；Ⅱ类</w:t>
            </w:r>
            <w:r>
              <w:rPr>
                <w:rFonts w:hint="default"/>
                <w:color w:val="000000" w:themeColor="text1"/>
                <w14:textFill>
                  <w14:solidFill>
                    <w14:schemeClr w14:val="tx1"/>
                  </w14:solidFill>
                </w14:textFill>
              </w:rPr>
              <w:sym w:font="Wingdings" w:char="00FE"/>
            </w:r>
            <w:r>
              <w:rPr>
                <w:rFonts w:hint="default"/>
                <w:color w:val="000000" w:themeColor="text1"/>
                <w14:textFill>
                  <w14:solidFill>
                    <w14:schemeClr w14:val="tx1"/>
                  </w14:solidFill>
                </w14:textFill>
              </w:rPr>
              <w:t>；Ⅲ类</w:t>
            </w:r>
            <w:r>
              <w:rPr>
                <w:rFonts w:hint="default"/>
                <w:color w:val="000000" w:themeColor="text1"/>
                <w14:textFill>
                  <w14:solidFill>
                    <w14:schemeClr w14:val="tx1"/>
                  </w14:solidFill>
                </w14:textFill>
              </w:rPr>
              <w:sym w:font="Wingdings" w:char="00A8"/>
            </w:r>
            <w:r>
              <w:rPr>
                <w:rFonts w:hint="default"/>
                <w:color w:val="000000" w:themeColor="text1"/>
                <w14:textFill>
                  <w14:solidFill>
                    <w14:schemeClr w14:val="tx1"/>
                  </w14:solidFill>
                </w14:textFill>
              </w:rPr>
              <w:t>；Ⅳ类</w:t>
            </w:r>
            <w:r>
              <w:rPr>
                <w:rFonts w:hint="default"/>
                <w:color w:val="000000" w:themeColor="text1"/>
                <w14:textFill>
                  <w14:solidFill>
                    <w14:schemeClr w14:val="tx1"/>
                  </w14:solidFill>
                </w14:textFill>
              </w:rPr>
              <w:sym w:font="Wingdings" w:char="00A8"/>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敏感程度</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敏感</w:t>
            </w:r>
            <w:r>
              <w:rPr>
                <w:rFonts w:hint="default"/>
                <w:color w:val="000000" w:themeColor="text1"/>
                <w14:textFill>
                  <w14:solidFill>
                    <w14:schemeClr w14:val="tx1"/>
                  </w14:solidFill>
                </w14:textFill>
              </w:rPr>
              <w:sym w:font="Wingdings 2" w:char="00A3"/>
            </w:r>
            <w:r>
              <w:rPr>
                <w:rFonts w:hint="default"/>
                <w:color w:val="000000" w:themeColor="text1"/>
                <w14:textFill>
                  <w14:solidFill>
                    <w14:schemeClr w14:val="tx1"/>
                  </w14:solidFill>
                </w14:textFill>
              </w:rPr>
              <w:t>；较敏感</w:t>
            </w:r>
            <w:r>
              <w:rPr>
                <w:rFonts w:hint="default"/>
                <w:color w:val="000000" w:themeColor="text1"/>
                <w14:textFill>
                  <w14:solidFill>
                    <w14:schemeClr w14:val="tx1"/>
                  </w14:solidFill>
                </w14:textFill>
              </w:rPr>
              <w:sym w:font="Wingdings 2" w:char="00A3"/>
            </w:r>
            <w:r>
              <w:rPr>
                <w:rFonts w:hint="default"/>
                <w:color w:val="000000" w:themeColor="text1"/>
                <w14:textFill>
                  <w14:solidFill>
                    <w14:schemeClr w14:val="tx1"/>
                  </w14:solidFill>
                </w14:textFill>
              </w:rPr>
              <w:t>；不敏感</w:t>
            </w:r>
            <w:r>
              <w:rPr>
                <w:rFonts w:hint="default"/>
                <w:color w:val="000000" w:themeColor="text1"/>
                <w14:textFill>
                  <w14:solidFill>
                    <w14:schemeClr w14:val="tx1"/>
                  </w14:solidFill>
                </w14:textFill>
              </w:rPr>
              <w:sym w:font="Wingdings" w:char="00FE"/>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2114" w:type="dxa"/>
            <w:gridSpan w:val="2"/>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评价工作等级</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一级</w:t>
            </w:r>
            <w:r>
              <w:rPr>
                <w:rFonts w:hint="default"/>
                <w:color w:val="000000" w:themeColor="text1"/>
                <w14:textFill>
                  <w14:solidFill>
                    <w14:schemeClr w14:val="tx1"/>
                  </w14:solidFill>
                </w14:textFill>
              </w:rPr>
              <w:sym w:font="Wingdings" w:char="00A8"/>
            </w:r>
            <w:r>
              <w:rPr>
                <w:rFonts w:hint="default"/>
                <w:color w:val="000000" w:themeColor="text1"/>
                <w14:textFill>
                  <w14:solidFill>
                    <w14:schemeClr w14:val="tx1"/>
                  </w14:solidFill>
                </w14:textFill>
              </w:rPr>
              <w:t>；二级</w:t>
            </w:r>
            <w:r>
              <w:rPr>
                <w:rFonts w:hint="default"/>
                <w:color w:val="000000" w:themeColor="text1"/>
                <w14:textFill>
                  <w14:solidFill>
                    <w14:schemeClr w14:val="tx1"/>
                  </w14:solidFill>
                </w14:textFill>
              </w:rPr>
              <w:sym w:font="Wingdings" w:char="00A8"/>
            </w:r>
            <w:r>
              <w:rPr>
                <w:rFonts w:hint="default"/>
                <w:color w:val="000000" w:themeColor="text1"/>
                <w14:textFill>
                  <w14:solidFill>
                    <w14:schemeClr w14:val="tx1"/>
                  </w14:solidFill>
                </w14:textFill>
              </w:rPr>
              <w:t>；三级</w:t>
            </w:r>
            <w:r>
              <w:rPr>
                <w:rFonts w:hint="default"/>
                <w:color w:val="000000" w:themeColor="text1"/>
                <w14:textFill>
                  <w14:solidFill>
                    <w14:schemeClr w14:val="tx1"/>
                  </w14:solidFill>
                </w14:textFill>
              </w:rPr>
              <w:sym w:font="Wingdings" w:char="00FE"/>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restart"/>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现状调查内容</w:t>
            </w: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资料收集</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a）</w:t>
            </w:r>
            <w:r>
              <w:rPr>
                <w:rFonts w:hint="default"/>
                <w:color w:val="000000" w:themeColor="text1"/>
                <w14:textFill>
                  <w14:solidFill>
                    <w14:schemeClr w14:val="tx1"/>
                  </w14:solidFill>
                </w14:textFill>
              </w:rPr>
              <w:sym w:font="Wingdings" w:char="00A8"/>
            </w:r>
            <w:r>
              <w:rPr>
                <w:rFonts w:hint="default"/>
                <w:color w:val="000000" w:themeColor="text1"/>
                <w14:textFill>
                  <w14:solidFill>
                    <w14:schemeClr w14:val="tx1"/>
                  </w14:solidFill>
                </w14:textFill>
              </w:rPr>
              <w:t>；b）</w:t>
            </w:r>
            <w:r>
              <w:rPr>
                <w:rFonts w:hint="default"/>
                <w:color w:val="000000" w:themeColor="text1"/>
                <w14:textFill>
                  <w14:solidFill>
                    <w14:schemeClr w14:val="tx1"/>
                  </w14:solidFill>
                </w14:textFill>
              </w:rPr>
              <w:sym w:font="Wingdings" w:char="00FE"/>
            </w:r>
            <w:r>
              <w:rPr>
                <w:rFonts w:hint="default"/>
                <w:color w:val="000000" w:themeColor="text1"/>
                <w14:textFill>
                  <w14:solidFill>
                    <w14:schemeClr w14:val="tx1"/>
                  </w14:solidFill>
                </w14:textFill>
              </w:rPr>
              <w:t>；c）</w:t>
            </w:r>
            <w:r>
              <w:rPr>
                <w:rFonts w:hint="default"/>
                <w:color w:val="000000" w:themeColor="text1"/>
                <w14:textFill>
                  <w14:solidFill>
                    <w14:schemeClr w14:val="tx1"/>
                  </w14:solidFill>
                </w14:textFill>
              </w:rPr>
              <w:sym w:font="Wingdings" w:char="00FE"/>
            </w:r>
            <w:r>
              <w:rPr>
                <w:rFonts w:hint="default"/>
                <w:color w:val="000000" w:themeColor="text1"/>
                <w14:textFill>
                  <w14:solidFill>
                    <w14:schemeClr w14:val="tx1"/>
                  </w14:solidFill>
                </w14:textFill>
              </w:rPr>
              <w:t>；d）</w:t>
            </w:r>
            <w:r>
              <w:rPr>
                <w:rFonts w:hint="default"/>
                <w:color w:val="000000" w:themeColor="text1"/>
                <w14:textFill>
                  <w14:solidFill>
                    <w14:schemeClr w14:val="tx1"/>
                  </w14:solidFill>
                </w14:textFill>
              </w:rPr>
              <w:sym w:font="Wingdings" w:char="00FE"/>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理化特性</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同附录 C</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vMerge w:val="restart"/>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现状监测点位</w:t>
            </w:r>
          </w:p>
        </w:tc>
        <w:tc>
          <w:tcPr>
            <w:tcW w:w="1480"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20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占地范围内</w:t>
            </w:r>
          </w:p>
        </w:tc>
        <w:tc>
          <w:tcPr>
            <w:tcW w:w="139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占地范围外</w:t>
            </w:r>
          </w:p>
        </w:tc>
        <w:tc>
          <w:tcPr>
            <w:tcW w:w="1642" w:type="dxa"/>
            <w:gridSpan w:val="2"/>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深度</w:t>
            </w:r>
          </w:p>
        </w:tc>
        <w:tc>
          <w:tcPr>
            <w:tcW w:w="1235" w:type="dxa"/>
            <w:vMerge w:val="restart"/>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点位布置图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480"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表层样点数</w:t>
            </w:r>
          </w:p>
        </w:tc>
        <w:tc>
          <w:tcPr>
            <w:tcW w:w="1205" w:type="dxa"/>
            <w:tcBorders>
              <w:tl2br w:val="nil"/>
              <w:tr2bl w:val="nil"/>
            </w:tcBorders>
            <w:shd w:val="clear" w:color="auto" w:fill="auto"/>
            <w:vAlign w:val="center"/>
          </w:tcPr>
          <w:p>
            <w:pPr>
              <w:pStyle w:val="32"/>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1395" w:type="dxa"/>
            <w:tcBorders>
              <w:tl2br w:val="nil"/>
              <w:tr2bl w:val="nil"/>
            </w:tcBorders>
            <w:shd w:val="clear" w:color="auto" w:fill="auto"/>
            <w:vAlign w:val="center"/>
          </w:tcPr>
          <w:p>
            <w:pPr>
              <w:pStyle w:val="32"/>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642" w:type="dxa"/>
            <w:gridSpan w:val="2"/>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default"/>
                <w:color w:val="000000" w:themeColor="text1"/>
                <w14:textFill>
                  <w14:solidFill>
                    <w14:schemeClr w14:val="tx1"/>
                  </w14:solidFill>
                </w14:textFill>
              </w:rPr>
              <w:t>0cm</w:t>
            </w:r>
          </w:p>
        </w:tc>
        <w:tc>
          <w:tcPr>
            <w:tcW w:w="1235"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480"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柱状样点数</w:t>
            </w:r>
          </w:p>
        </w:tc>
        <w:tc>
          <w:tcPr>
            <w:tcW w:w="120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39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642" w:type="dxa"/>
            <w:gridSpan w:val="2"/>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30/90/220 cm</w:t>
            </w:r>
          </w:p>
        </w:tc>
        <w:tc>
          <w:tcPr>
            <w:tcW w:w="1235"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现状监测因子</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基本</w:t>
            </w:r>
            <w:r>
              <w:rPr>
                <w:rFonts w:hint="eastAsia"/>
                <w:color w:val="000000" w:themeColor="text1"/>
                <w14:textFill>
                  <w14:solidFill>
                    <w14:schemeClr w14:val="tx1"/>
                  </w14:solidFill>
                </w14:textFill>
              </w:rPr>
              <w:t>项目</w:t>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restart"/>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现状评价</w:t>
            </w: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评价因子</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基本</w:t>
            </w:r>
            <w:r>
              <w:rPr>
                <w:rFonts w:hint="eastAsia"/>
                <w:color w:val="000000" w:themeColor="text1"/>
                <w14:textFill>
                  <w14:solidFill>
                    <w14:schemeClr w14:val="tx1"/>
                  </w14:solidFill>
                </w14:textFill>
              </w:rPr>
              <w:t>项目</w:t>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评价标准</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GB 15618</w:t>
            </w:r>
            <w:r>
              <w:rPr>
                <w:rFonts w:hint="default"/>
                <w:color w:val="000000" w:themeColor="text1"/>
                <w14:textFill>
                  <w14:solidFill>
                    <w14:schemeClr w14:val="tx1"/>
                  </w14:solidFill>
                </w14:textFill>
              </w:rPr>
              <w:sym w:font="Wingdings" w:char="00FE"/>
            </w:r>
            <w:r>
              <w:rPr>
                <w:rFonts w:hint="default"/>
                <w:color w:val="000000" w:themeColor="text1"/>
                <w14:textFill>
                  <w14:solidFill>
                    <w14:schemeClr w14:val="tx1"/>
                  </w14:solidFill>
                </w14:textFill>
              </w:rPr>
              <w:t>；GB 36600</w:t>
            </w:r>
            <w:r>
              <w:rPr>
                <w:rFonts w:hint="default"/>
                <w:color w:val="000000" w:themeColor="text1"/>
                <w14:textFill>
                  <w14:solidFill>
                    <w14:schemeClr w14:val="tx1"/>
                  </w14:solidFill>
                </w14:textFill>
              </w:rPr>
              <w:sym w:font="Wingdings" w:char="00FE"/>
            </w:r>
            <w:r>
              <w:rPr>
                <w:rFonts w:hint="default"/>
                <w:color w:val="000000" w:themeColor="text1"/>
                <w14:textFill>
                  <w14:solidFill>
                    <w14:schemeClr w14:val="tx1"/>
                  </w14:solidFill>
                </w14:textFill>
              </w:rPr>
              <w:t>；表 D.1</w:t>
            </w:r>
            <w:r>
              <w:rPr>
                <w:rFonts w:hint="default"/>
                <w:color w:val="000000" w:themeColor="text1"/>
                <w14:textFill>
                  <w14:solidFill>
                    <w14:schemeClr w14:val="tx1"/>
                  </w14:solidFill>
                </w14:textFill>
              </w:rPr>
              <w:sym w:font="Wingdings" w:char="00A8"/>
            </w:r>
            <w:r>
              <w:rPr>
                <w:rFonts w:hint="default"/>
                <w:color w:val="000000" w:themeColor="text1"/>
                <w14:textFill>
                  <w14:solidFill>
                    <w14:schemeClr w14:val="tx1"/>
                  </w14:solidFill>
                </w14:textFill>
              </w:rPr>
              <w:t>；表 D.2</w:t>
            </w:r>
            <w:r>
              <w:rPr>
                <w:rFonts w:hint="default"/>
                <w:color w:val="000000" w:themeColor="text1"/>
                <w14:textFill>
                  <w14:solidFill>
                    <w14:schemeClr w14:val="tx1"/>
                  </w14:solidFill>
                </w14:textFill>
              </w:rPr>
              <w:sym w:font="Wingdings" w:char="00A8"/>
            </w:r>
            <w:r>
              <w:rPr>
                <w:rFonts w:hint="default"/>
                <w:color w:val="000000" w:themeColor="text1"/>
                <w14:textFill>
                  <w14:solidFill>
                    <w14:schemeClr w14:val="tx1"/>
                  </w14:solidFill>
                </w14:textFill>
              </w:rPr>
              <w:t>；其他（）</w:t>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现状评价结论</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本项目各监测点位各项污染因子均符合</w:t>
            </w:r>
            <w:r>
              <w:rPr>
                <w:rFonts w:hint="default"/>
                <w:color w:val="000000" w:themeColor="text1"/>
                <w14:textFill>
                  <w14:solidFill>
                    <w14:schemeClr w14:val="tx1"/>
                  </w14:solidFill>
                </w14:textFill>
              </w:rPr>
              <w:t>《土壤环境质量 建设用地土壤污染风险管控标准》（GB36600-2018）中第二类用地筛选值。</w:t>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restart"/>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影响预测</w:t>
            </w: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预测因子</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COD、BOD、NH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w:t>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预测方法</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附录 E</w:t>
            </w:r>
            <w:r>
              <w:rPr>
                <w:rFonts w:hint="default"/>
                <w:color w:val="000000" w:themeColor="text1"/>
                <w14:textFill>
                  <w14:solidFill>
                    <w14:schemeClr w14:val="tx1"/>
                  </w14:solidFill>
                </w14:textFill>
              </w:rPr>
              <w:sym w:font="Wingdings" w:char="00A8"/>
            </w:r>
            <w:r>
              <w:rPr>
                <w:rFonts w:hint="default"/>
                <w:color w:val="000000" w:themeColor="text1"/>
                <w14:textFill>
                  <w14:solidFill>
                    <w14:schemeClr w14:val="tx1"/>
                  </w14:solidFill>
                </w14:textFill>
              </w:rPr>
              <w:t>；附录 F</w:t>
            </w:r>
            <w:r>
              <w:rPr>
                <w:rFonts w:hint="default"/>
                <w:color w:val="000000" w:themeColor="text1"/>
                <w14:textFill>
                  <w14:solidFill>
                    <w14:schemeClr w14:val="tx1"/>
                  </w14:solidFill>
                </w14:textFill>
              </w:rPr>
              <w:sym w:font="Wingdings" w:char="00A8"/>
            </w:r>
            <w:r>
              <w:rPr>
                <w:rFonts w:hint="default"/>
                <w:color w:val="000000" w:themeColor="text1"/>
                <w14:textFill>
                  <w14:solidFill>
                    <w14:schemeClr w14:val="tx1"/>
                  </w14:solidFill>
                </w14:textFill>
              </w:rPr>
              <w:t>；其他（定性分析）</w:t>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预测分析内容</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影响范围（评价范围内）影响程度（影响较小，满足标准要求）</w:t>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预测结论</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达标结论：a）</w:t>
            </w:r>
            <w:r>
              <w:rPr>
                <w:rFonts w:hint="default"/>
                <w:color w:val="000000" w:themeColor="text1"/>
                <w14:textFill>
                  <w14:solidFill>
                    <w14:schemeClr w14:val="tx1"/>
                  </w14:solidFill>
                </w14:textFill>
              </w:rPr>
              <w:sym w:font="Wingdings" w:char="00A8"/>
            </w:r>
            <w:r>
              <w:rPr>
                <w:rFonts w:hint="default"/>
                <w:color w:val="000000" w:themeColor="text1"/>
                <w14:textFill>
                  <w14:solidFill>
                    <w14:schemeClr w14:val="tx1"/>
                  </w14:solidFill>
                </w14:textFill>
              </w:rPr>
              <w:t>；b）</w:t>
            </w:r>
            <w:r>
              <w:rPr>
                <w:rFonts w:hint="default"/>
                <w:color w:val="000000" w:themeColor="text1"/>
                <w14:textFill>
                  <w14:solidFill>
                    <w14:schemeClr w14:val="tx1"/>
                  </w14:solidFill>
                </w14:textFill>
              </w:rPr>
              <w:sym w:font="Wingdings" w:char="00A8"/>
            </w:r>
            <w:r>
              <w:rPr>
                <w:rFonts w:hint="default"/>
                <w:color w:val="000000" w:themeColor="text1"/>
                <w14:textFill>
                  <w14:solidFill>
                    <w14:schemeClr w14:val="tx1"/>
                  </w14:solidFill>
                </w14:textFill>
              </w:rPr>
              <w:t>；c）</w:t>
            </w:r>
            <w:r>
              <w:rPr>
                <w:rFonts w:hint="default"/>
                <w:color w:val="000000" w:themeColor="text1"/>
                <w14:textFill>
                  <w14:solidFill>
                    <w14:schemeClr w14:val="tx1"/>
                  </w14:solidFill>
                </w14:textFill>
              </w:rPr>
              <w:sym w:font="Wingdings" w:char="00A8"/>
            </w:r>
          </w:p>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不达标结论：a）</w:t>
            </w:r>
            <w:r>
              <w:rPr>
                <w:rFonts w:hint="default"/>
                <w:color w:val="000000" w:themeColor="text1"/>
                <w14:textFill>
                  <w14:solidFill>
                    <w14:schemeClr w14:val="tx1"/>
                  </w14:solidFill>
                </w14:textFill>
              </w:rPr>
              <w:sym w:font="Wingdings" w:char="00A8"/>
            </w:r>
            <w:r>
              <w:rPr>
                <w:rFonts w:hint="default"/>
                <w:color w:val="000000" w:themeColor="text1"/>
                <w14:textFill>
                  <w14:solidFill>
                    <w14:schemeClr w14:val="tx1"/>
                  </w14:solidFill>
                </w14:textFill>
              </w:rPr>
              <w:t>；b）</w:t>
            </w:r>
            <w:r>
              <w:rPr>
                <w:rFonts w:hint="default"/>
                <w:color w:val="000000" w:themeColor="text1"/>
                <w14:textFill>
                  <w14:solidFill>
                    <w14:schemeClr w14:val="tx1"/>
                  </w14:solidFill>
                </w14:textFill>
              </w:rPr>
              <w:sym w:font="Wingdings" w:char="00A8"/>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restart"/>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防治措施</w:t>
            </w: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防控措施</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土壤环境质量现状保障</w:t>
            </w:r>
            <w:r>
              <w:rPr>
                <w:rFonts w:hint="default"/>
                <w:color w:val="000000" w:themeColor="text1"/>
                <w14:textFill>
                  <w14:solidFill>
                    <w14:schemeClr w14:val="tx1"/>
                  </w14:solidFill>
                </w14:textFill>
              </w:rPr>
              <w:sym w:font="Wingdings" w:char="00FE"/>
            </w:r>
            <w:r>
              <w:rPr>
                <w:rFonts w:hint="default"/>
                <w:color w:val="000000" w:themeColor="text1"/>
                <w14:textFill>
                  <w14:solidFill>
                    <w14:schemeClr w14:val="tx1"/>
                  </w14:solidFill>
                </w14:textFill>
              </w:rPr>
              <w:t>；源头控制</w:t>
            </w:r>
            <w:r>
              <w:rPr>
                <w:rFonts w:hint="default"/>
                <w:color w:val="000000" w:themeColor="text1"/>
                <w14:textFill>
                  <w14:solidFill>
                    <w14:schemeClr w14:val="tx1"/>
                  </w14:solidFill>
                </w14:textFill>
              </w:rPr>
              <w:sym w:font="Wingdings" w:char="00FE"/>
            </w:r>
            <w:r>
              <w:rPr>
                <w:rFonts w:hint="default"/>
                <w:color w:val="000000" w:themeColor="text1"/>
                <w14:textFill>
                  <w14:solidFill>
                    <w14:schemeClr w14:val="tx1"/>
                  </w14:solidFill>
                </w14:textFill>
              </w:rPr>
              <w:t>；过程防控</w:t>
            </w:r>
            <w:r>
              <w:rPr>
                <w:rFonts w:hint="default"/>
                <w:color w:val="000000" w:themeColor="text1"/>
                <w14:textFill>
                  <w14:solidFill>
                    <w14:schemeClr w14:val="tx1"/>
                  </w14:solidFill>
                </w14:textFill>
              </w:rPr>
              <w:sym w:font="Wingdings" w:char="00FE"/>
            </w:r>
            <w:r>
              <w:rPr>
                <w:rFonts w:hint="default"/>
                <w:color w:val="000000" w:themeColor="text1"/>
                <w14:textFill>
                  <w14:solidFill>
                    <w14:schemeClr w14:val="tx1"/>
                  </w14:solidFill>
                </w14:textFill>
              </w:rPr>
              <w:t>；其他（）</w:t>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vMerge w:val="restart"/>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跟踪监测</w:t>
            </w:r>
          </w:p>
        </w:tc>
        <w:tc>
          <w:tcPr>
            <w:tcW w:w="1480"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监测点数</w:t>
            </w:r>
          </w:p>
        </w:tc>
        <w:tc>
          <w:tcPr>
            <w:tcW w:w="2813" w:type="dxa"/>
            <w:gridSpan w:val="3"/>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监测指标</w:t>
            </w:r>
          </w:p>
        </w:tc>
        <w:tc>
          <w:tcPr>
            <w:tcW w:w="1429"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监测频次</w:t>
            </w:r>
          </w:p>
        </w:tc>
        <w:tc>
          <w:tcPr>
            <w:tcW w:w="1235" w:type="dxa"/>
            <w:vMerge w:val="restart"/>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480"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2813" w:type="dxa"/>
            <w:gridSpan w:val="3"/>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429"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235"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457" w:type="dxa"/>
            <w:vMerge w:val="continue"/>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657"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信息公开指标</w:t>
            </w:r>
          </w:p>
        </w:tc>
        <w:tc>
          <w:tcPr>
            <w:tcW w:w="1480"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2813" w:type="dxa"/>
            <w:gridSpan w:val="3"/>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429"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2114" w:type="dxa"/>
            <w:gridSpan w:val="2"/>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评价结论</w:t>
            </w:r>
          </w:p>
        </w:tc>
        <w:tc>
          <w:tcPr>
            <w:tcW w:w="5722" w:type="dxa"/>
            <w:gridSpan w:val="5"/>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项目运行对土壤环境影响很小，可以接受</w:t>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72" w:type="dxa"/>
            <w:left w:w="41" w:type="dxa"/>
            <w:bottom w:w="0" w:type="dxa"/>
            <w:right w:w="0" w:type="dxa"/>
          </w:tblCellMar>
        </w:tblPrEx>
        <w:trPr>
          <w:trHeight w:val="23" w:hRule="atLeast"/>
          <w:jc w:val="center"/>
        </w:trPr>
        <w:tc>
          <w:tcPr>
            <w:tcW w:w="7836" w:type="dxa"/>
            <w:gridSpan w:val="7"/>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注 1：</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sym w:font="Wingdings" w:char="00A8"/>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为勾选项，可√；</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为内容填写项；</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备注</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为其他补充内容。</w:t>
            </w:r>
          </w:p>
          <w:p>
            <w:pPr>
              <w:pStyle w:val="3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注 2：需要分别开展土壤环境影响评级工作的，分别填写自查表。</w:t>
            </w:r>
          </w:p>
        </w:tc>
        <w:tc>
          <w:tcPr>
            <w:tcW w:w="1235" w:type="dxa"/>
            <w:tcBorders>
              <w:tl2br w:val="nil"/>
              <w:tr2bl w:val="nil"/>
            </w:tcBorders>
            <w:shd w:val="clear" w:color="auto" w:fill="auto"/>
            <w:vAlign w:val="center"/>
          </w:tcPr>
          <w:p>
            <w:pPr>
              <w:pStyle w:val="32"/>
              <w:rPr>
                <w:rFonts w:hint="default"/>
                <w:color w:val="000000" w:themeColor="text1"/>
                <w14:textFill>
                  <w14:solidFill>
                    <w14:schemeClr w14:val="tx1"/>
                  </w14:solidFill>
                </w14:textFill>
              </w:rPr>
            </w:pPr>
          </w:p>
        </w:tc>
      </w:tr>
    </w:tbl>
    <w:p>
      <w:pPr>
        <w:pStyle w:val="4"/>
        <w:bidi w:val="0"/>
        <w:rPr>
          <w:rFonts w:hint="default"/>
        </w:rPr>
      </w:pPr>
      <w:bookmarkStart w:id="217" w:name="_Toc17098"/>
      <w:r>
        <w:rPr>
          <w:rFonts w:hint="default"/>
        </w:rPr>
        <w:t>5.</w:t>
      </w:r>
      <w:r>
        <w:rPr>
          <w:rFonts w:hint="eastAsia"/>
          <w:lang w:val="en-US" w:eastAsia="zh-CN"/>
        </w:rPr>
        <w:t>5、</w:t>
      </w:r>
      <w:r>
        <w:rPr>
          <w:rFonts w:hint="default"/>
        </w:rPr>
        <w:t>生态环境影响分析</w:t>
      </w:r>
      <w:bookmarkEnd w:id="215"/>
      <w:bookmarkEnd w:id="217"/>
    </w:p>
    <w:p>
      <w:pPr>
        <w:pStyle w:val="5"/>
        <w:bidi w:val="0"/>
        <w:rPr>
          <w:rFonts w:hint="default"/>
        </w:rPr>
      </w:pPr>
      <w:r>
        <w:rPr>
          <w:rFonts w:hint="default"/>
        </w:rPr>
        <w:t>5.</w:t>
      </w:r>
      <w:r>
        <w:rPr>
          <w:rFonts w:hint="eastAsia"/>
          <w:lang w:val="en-US" w:eastAsia="zh-CN"/>
        </w:rPr>
        <w:t>5</w:t>
      </w:r>
      <w:r>
        <w:rPr>
          <w:rFonts w:hint="default"/>
        </w:rPr>
        <w:t>.1</w:t>
      </w:r>
      <w:r>
        <w:rPr>
          <w:rFonts w:hint="eastAsia"/>
          <w:lang w:eastAsia="zh-CN"/>
        </w:rPr>
        <w:t>、</w:t>
      </w:r>
      <w:r>
        <w:rPr>
          <w:rFonts w:hint="default"/>
        </w:rPr>
        <w:t>对植被的影响分析</w:t>
      </w:r>
    </w:p>
    <w:p>
      <w:pPr>
        <w:bidi w:val="0"/>
        <w:rPr>
          <w:rFonts w:hint="default"/>
        </w:rPr>
      </w:pPr>
      <w:r>
        <w:rPr>
          <w:rFonts w:hint="default"/>
        </w:rPr>
        <w:t>本项目占地对天然植被的影响主要表现在运营期永久性占地，建设过程的施工对厂区范围内植被产生的影响均为毁灭性的，原生植被在遭到破坏后第一个生长期内将全部消失。区域内植物以</w:t>
      </w:r>
      <w:r>
        <w:rPr>
          <w:rFonts w:hint="eastAsia"/>
          <w:lang w:val="en-US" w:eastAsia="zh-CN"/>
        </w:rPr>
        <w:t>人工植被为主</w:t>
      </w:r>
      <w:r>
        <w:rPr>
          <w:rFonts w:hint="default"/>
        </w:rPr>
        <w:t>，场地内的植物类型单一，主要为</w:t>
      </w:r>
      <w:r>
        <w:rPr>
          <w:rFonts w:hint="eastAsia"/>
          <w:lang w:val="en-US" w:eastAsia="zh-CN"/>
        </w:rPr>
        <w:t>人工植被，吉木萨尔常见的柳树、榆树等</w:t>
      </w:r>
      <w:r>
        <w:rPr>
          <w:rFonts w:hint="default"/>
        </w:rPr>
        <w:t>，就其生态系统来讲，植被的自然更新将较为困难，如果本工程建成后，不进行人工生态恢复，那么该区的生态环境将更加恶劣，引起风蚀现象的概率会更高。</w:t>
      </w:r>
    </w:p>
    <w:p>
      <w:pPr>
        <w:bidi w:val="0"/>
        <w:rPr>
          <w:rFonts w:hint="default"/>
        </w:rPr>
      </w:pPr>
      <w:r>
        <w:rPr>
          <w:rFonts w:hint="default"/>
        </w:rPr>
        <w:t>本项目建成运营后，工程装置区内的各种车辆及活动仅限于工程厂址区内，项目建设过程中遭到破坏的植被，在建设完成后</w:t>
      </w:r>
      <w:r>
        <w:rPr>
          <w:rFonts w:hint="default"/>
          <w:lang w:val="en-US" w:eastAsia="zh-CN"/>
        </w:rPr>
        <w:t>将</w:t>
      </w:r>
      <w:r>
        <w:rPr>
          <w:rFonts w:hint="default"/>
        </w:rPr>
        <w:t>逐步恢复。</w:t>
      </w:r>
    </w:p>
    <w:p>
      <w:pPr>
        <w:bidi w:val="0"/>
        <w:rPr>
          <w:rFonts w:hint="default"/>
        </w:rPr>
      </w:pPr>
      <w:r>
        <w:rPr>
          <w:rFonts w:hint="default"/>
        </w:rPr>
        <w:t>项目建成后，通过选择适当的苗木进行绿化，通过树木的吸收和阻挡作用，可进一步减少大气污染物向厂外扩散，同时可减少厂界噪声，通过人为栽培，区域生态可得到有效补偿，项目的建设对厂区及附近植被产生的负面影响是暂时和有限的。施工结束后，被永久性构筑物代替的地表，这部分土地的地表被固定，其余地表通过绿化，地表土壤处于稳定状态，发生水土流失的影响很小。</w:t>
      </w:r>
    </w:p>
    <w:p>
      <w:pPr>
        <w:pStyle w:val="5"/>
        <w:bidi w:val="0"/>
        <w:rPr>
          <w:rFonts w:hint="default"/>
        </w:rPr>
      </w:pPr>
      <w:r>
        <w:rPr>
          <w:rFonts w:hint="default"/>
        </w:rPr>
        <w:t>5.</w:t>
      </w:r>
      <w:r>
        <w:rPr>
          <w:rFonts w:hint="eastAsia"/>
          <w:lang w:val="en-US" w:eastAsia="zh-CN"/>
        </w:rPr>
        <w:t>5</w:t>
      </w:r>
      <w:r>
        <w:rPr>
          <w:rFonts w:hint="default"/>
        </w:rPr>
        <w:t>.2</w:t>
      </w:r>
      <w:r>
        <w:rPr>
          <w:rFonts w:hint="eastAsia"/>
          <w:lang w:eastAsia="zh-CN"/>
        </w:rPr>
        <w:t>、</w:t>
      </w:r>
      <w:r>
        <w:rPr>
          <w:rFonts w:hint="default"/>
        </w:rPr>
        <w:t>对野生动物的影响分析</w:t>
      </w:r>
    </w:p>
    <w:p>
      <w:pPr>
        <w:bidi w:val="0"/>
        <w:rPr>
          <w:rFonts w:hint="default"/>
        </w:rPr>
      </w:pPr>
      <w:r>
        <w:rPr>
          <w:rFonts w:hint="default"/>
        </w:rPr>
        <w:t>本项目占地主要影响在</w:t>
      </w:r>
      <w:r>
        <w:rPr>
          <w:rFonts w:hint="default"/>
          <w:lang w:val="en-US" w:eastAsia="zh-CN"/>
        </w:rPr>
        <w:t>区域内</w:t>
      </w:r>
      <w:r>
        <w:rPr>
          <w:rFonts w:hint="default"/>
        </w:rPr>
        <w:t>地面生长的常见的昆虫和啮齿类动物，特别是小家鼠。由于本项目不占农林地，厂址范围内不存在苗木，因此对鸟类无影响。通过人工种树种草后这些不利影响可以得到补偿。</w:t>
      </w:r>
    </w:p>
    <w:p>
      <w:pPr>
        <w:bidi w:val="0"/>
        <w:rPr>
          <w:rFonts w:hint="default"/>
        </w:rPr>
      </w:pPr>
      <w:r>
        <w:rPr>
          <w:rFonts w:hint="default"/>
        </w:rPr>
        <w:t>尽管建设期产生的噪声、扬尘等污染对附近生境会产生干扰，但干扰是局部和暂时的，随着厂区及其周围的绿化，植被覆盖度和植物初级生产力将有较大程度的提高，使动物的觅食、栖息环境将有所改观，生态系统的结构将日趋稳定。</w:t>
      </w:r>
    </w:p>
    <w:p>
      <w:pPr>
        <w:pStyle w:val="5"/>
        <w:bidi w:val="0"/>
        <w:rPr>
          <w:rFonts w:hint="default"/>
        </w:rPr>
      </w:pPr>
      <w:r>
        <w:rPr>
          <w:rFonts w:hint="default"/>
        </w:rPr>
        <w:t>5.</w:t>
      </w:r>
      <w:r>
        <w:rPr>
          <w:rFonts w:hint="eastAsia"/>
          <w:lang w:val="en-US" w:eastAsia="zh-CN"/>
        </w:rPr>
        <w:t>5</w:t>
      </w:r>
      <w:r>
        <w:rPr>
          <w:rFonts w:hint="default"/>
        </w:rPr>
        <w:t>.3</w:t>
      </w:r>
      <w:r>
        <w:rPr>
          <w:rFonts w:hint="eastAsia"/>
          <w:lang w:eastAsia="zh-CN"/>
        </w:rPr>
        <w:t>、</w:t>
      </w:r>
      <w:r>
        <w:rPr>
          <w:rFonts w:hint="default"/>
        </w:rPr>
        <w:t>小结</w:t>
      </w:r>
    </w:p>
    <w:p>
      <w:pPr>
        <w:bidi w:val="0"/>
        <w:rPr>
          <w:rFonts w:hint="default"/>
        </w:rPr>
      </w:pPr>
      <w:r>
        <w:rPr>
          <w:rFonts w:hint="default"/>
          <w:color w:val="0000FF"/>
        </w:rPr>
        <w:t>项目建设使用</w:t>
      </w:r>
      <w:r>
        <w:rPr>
          <w:rFonts w:hint="eastAsia"/>
          <w:color w:val="0000FF"/>
          <w:lang w:val="en-US" w:eastAsia="zh-CN"/>
        </w:rPr>
        <w:t>建设用地</w:t>
      </w:r>
      <w:r>
        <w:rPr>
          <w:rFonts w:hint="default"/>
          <w:color w:val="0000FF"/>
        </w:rPr>
        <w:t>，</w:t>
      </w:r>
      <w:r>
        <w:rPr>
          <w:rFonts w:hint="eastAsia"/>
          <w:color w:val="0000FF"/>
          <w:lang w:val="en-US" w:eastAsia="zh-CN"/>
        </w:rPr>
        <w:t>项目生产使用的建筑物需新建标准车间，建设</w:t>
      </w:r>
      <w:r>
        <w:rPr>
          <w:rFonts w:hint="default"/>
          <w:color w:val="0000FF"/>
        </w:rPr>
        <w:t>未改变评价区域土地利用类型，</w:t>
      </w:r>
      <w:r>
        <w:rPr>
          <w:rFonts w:hint="eastAsia"/>
          <w:color w:val="0000FF"/>
          <w:lang w:val="en-US" w:eastAsia="zh-CN"/>
        </w:rPr>
        <w:t>用地均在建设用地上，地面天然植被及野生动植物的种类和数量相对较少，</w:t>
      </w:r>
      <w:r>
        <w:rPr>
          <w:rFonts w:hint="default"/>
          <w:color w:val="0000FF"/>
        </w:rPr>
        <w:t>同时项目厂区在建设完成后会进行相应的绿化和地面硬化措施，故项目建设不会导致生态环境质量的降低；在建设期和运营期作业常被破坏或影响的植物均为广布种和常见种，且分布也较均匀，因此，尽管项目建设会使原有植被遭到局部损失，但不会使评价区植物群落的种类组成发生变化，也不会造成某种植物的消失。项目投入运营后，将加强厂区及其周围的绿化和植被的恢复及补偿工作，项目在生产过程中不存在破化植被的工业活动，运营期不会对植物资源产生不利影响；评价区现有的野生动物多为一些常见的鸟类、啮齿类及昆虫等。通过加强施工人员的宣传教育和管理，可减少在建设初期对野生动物的影响，对生态环境的影响有限。</w:t>
      </w:r>
      <w:r>
        <w:rPr>
          <w:rFonts w:hint="default"/>
        </w:rPr>
        <w:br w:type="page"/>
      </w:r>
    </w:p>
    <w:p>
      <w:pPr>
        <w:pStyle w:val="3"/>
        <w:bidi w:val="0"/>
        <w:rPr>
          <w:rFonts w:hint="default"/>
        </w:rPr>
      </w:pPr>
      <w:bookmarkStart w:id="218" w:name="_Toc20428"/>
      <w:bookmarkStart w:id="219" w:name="_Toc17643"/>
      <w:r>
        <w:rPr>
          <w:rFonts w:hint="default"/>
        </w:rPr>
        <w:t>6环境风险评价</w:t>
      </w:r>
      <w:bookmarkEnd w:id="218"/>
      <w:bookmarkEnd w:id="219"/>
    </w:p>
    <w:p>
      <w:pPr>
        <w:pStyle w:val="4"/>
        <w:bidi w:val="0"/>
        <w:rPr>
          <w:rFonts w:hint="default"/>
        </w:rPr>
      </w:pPr>
      <w:bookmarkStart w:id="220" w:name="_Toc16447"/>
      <w:bookmarkStart w:id="221" w:name="_Toc32156"/>
      <w:bookmarkStart w:id="222" w:name="_Toc7469"/>
      <w:bookmarkStart w:id="223" w:name="_Toc475876357"/>
      <w:bookmarkStart w:id="224" w:name="_Toc4464"/>
      <w:r>
        <w:rPr>
          <w:rFonts w:hint="default"/>
        </w:rPr>
        <w:t>6.1</w:t>
      </w:r>
      <w:r>
        <w:rPr>
          <w:rFonts w:hint="eastAsia"/>
          <w:lang w:eastAsia="zh-CN"/>
        </w:rPr>
        <w:t>、</w:t>
      </w:r>
      <w:r>
        <w:rPr>
          <w:rFonts w:hint="default"/>
        </w:rPr>
        <w:t>概述</w:t>
      </w:r>
      <w:bookmarkEnd w:id="220"/>
      <w:bookmarkEnd w:id="221"/>
    </w:p>
    <w:p>
      <w:pPr>
        <w:bidi w:val="0"/>
        <w:rPr>
          <w:rFonts w:hint="default"/>
        </w:rPr>
      </w:pPr>
      <w:r>
        <w:rPr>
          <w:rFonts w:hint="default"/>
        </w:rPr>
        <w:t>环境风险是指突发性事故造成的重大环境污染的事件，其特点是危害大、影响范围广、发生概率具有很大的不确定性。环境风险评价的目的是分析和预测本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pPr>
        <w:bidi w:val="0"/>
        <w:rPr>
          <w:rFonts w:hint="default"/>
        </w:rPr>
      </w:pPr>
      <w:r>
        <w:rPr>
          <w:rFonts w:hint="default"/>
        </w:rPr>
        <w:t>本次风险评价以《建设项目环境风险评价技术导则》（HJ/T169-2018）为指导，按照《关于进一步加强环境影响评价管理防范环境风险的通知》（环发〔2012〕77号）的原则，对本项目进行风险识别、源项分析和风险影响分析，从环境风险源、扩散途径、保护目标三方面识别环境风险，提出风险防范措施，为环境管理提供资料和依据，达到降低危险的目的。</w:t>
      </w:r>
    </w:p>
    <w:p>
      <w:pPr>
        <w:pStyle w:val="4"/>
        <w:bidi w:val="0"/>
        <w:rPr>
          <w:rFonts w:hint="default"/>
          <w:lang w:val="de-DE"/>
        </w:rPr>
      </w:pPr>
      <w:bookmarkStart w:id="225" w:name="_Toc31356"/>
      <w:bookmarkStart w:id="226" w:name="_Toc5136"/>
      <w:bookmarkStart w:id="227" w:name="_Toc9722"/>
      <w:r>
        <w:rPr>
          <w:rFonts w:hint="default"/>
          <w:lang w:val="de-DE"/>
        </w:rPr>
        <w:t>6.</w:t>
      </w:r>
      <w:r>
        <w:rPr>
          <w:rFonts w:hint="default"/>
        </w:rPr>
        <w:t>2</w:t>
      </w:r>
      <w:r>
        <w:rPr>
          <w:rFonts w:hint="eastAsia"/>
          <w:lang w:eastAsia="zh-CN"/>
        </w:rPr>
        <w:t>、</w:t>
      </w:r>
      <w:r>
        <w:rPr>
          <w:rFonts w:hint="default"/>
          <w:lang w:val="de-DE"/>
        </w:rPr>
        <w:t>风险</w:t>
      </w:r>
      <w:bookmarkEnd w:id="225"/>
      <w:r>
        <w:rPr>
          <w:rFonts w:hint="default"/>
          <w:lang w:val="de-DE"/>
        </w:rPr>
        <w:t>调查及评价等级</w:t>
      </w:r>
      <w:bookmarkEnd w:id="226"/>
      <w:bookmarkEnd w:id="227"/>
    </w:p>
    <w:p>
      <w:pPr>
        <w:pStyle w:val="5"/>
        <w:bidi w:val="0"/>
        <w:rPr>
          <w:rFonts w:hint="default"/>
        </w:rPr>
      </w:pPr>
      <w:r>
        <w:rPr>
          <w:rFonts w:hint="default"/>
        </w:rPr>
        <w:t>6.2.1</w:t>
      </w:r>
      <w:r>
        <w:rPr>
          <w:rFonts w:hint="eastAsia"/>
          <w:lang w:eastAsia="zh-CN"/>
        </w:rPr>
        <w:t>、</w:t>
      </w:r>
      <w:r>
        <w:rPr>
          <w:rFonts w:hint="default"/>
        </w:rPr>
        <w:t>环境风险调查</w:t>
      </w:r>
    </w:p>
    <w:p>
      <w:pPr>
        <w:bidi w:val="0"/>
        <w:rPr>
          <w:rFonts w:hint="default"/>
        </w:rPr>
      </w:pPr>
      <w:r>
        <w:rPr>
          <w:rFonts w:hint="default"/>
        </w:rPr>
        <w:t>本项目以废旧滴灌带为主要原料，制取塑料颗粒，进而生产滴灌带、</w:t>
      </w:r>
      <w:r>
        <w:rPr>
          <w:rFonts w:hint="default"/>
          <w:lang w:eastAsia="zh-CN"/>
        </w:rPr>
        <w:t>PE管材</w:t>
      </w:r>
      <w:r>
        <w:rPr>
          <w:rFonts w:hint="default"/>
        </w:rPr>
        <w:t>和地膜。项目生产过程不涉及有毒物质，原材料为聚乙烯，属于可燃性危险源。</w:t>
      </w:r>
      <w:r>
        <w:rPr>
          <w:rFonts w:hint="eastAsia"/>
          <w:lang w:val="en-US" w:eastAsia="zh-CN"/>
        </w:rPr>
        <w:t>造粒车间和生产</w:t>
      </w:r>
      <w:r>
        <w:rPr>
          <w:rFonts w:hint="default"/>
        </w:rPr>
        <w:t>车间内热熔、再生造粒、注塑定型过程中会产生非甲烷总烃有机废气。清洗废水经沉淀过滤后返回用于原料清洗，不外排；生活废水</w:t>
      </w:r>
      <w:r>
        <w:rPr>
          <w:rFonts w:hint="eastAsia"/>
          <w:lang w:val="en-US" w:eastAsia="zh-CN"/>
        </w:rPr>
        <w:t>抽运至吉木萨尔县二工镇污水处理厂</w:t>
      </w:r>
      <w:r>
        <w:rPr>
          <w:rFonts w:hint="default"/>
        </w:rPr>
        <w:t>。</w:t>
      </w:r>
    </w:p>
    <w:p>
      <w:pPr>
        <w:bidi w:val="0"/>
        <w:rPr>
          <w:rFonts w:hint="default"/>
        </w:rPr>
      </w:pPr>
      <w:r>
        <w:rPr>
          <w:rFonts w:hint="default"/>
        </w:rPr>
        <w:t>通过以上分析，本项目的风险类型主要为火灾。塑料厂火灾事故的发生主要是因为塑料厂库房等设施内存放有大量可燃塑料制品（废塑料及产品）。可燃塑料制品堆存时如遇热源，会因受到外来的热量且相互传热，而分解出可燃性有机气体，可燃性有机气体与空气中的氧气混合着火，从而引发火灾事故，从而对环境空气带来恶劣影响。</w:t>
      </w:r>
    </w:p>
    <w:p>
      <w:pPr>
        <w:pStyle w:val="5"/>
        <w:bidi w:val="0"/>
        <w:rPr>
          <w:rFonts w:hint="default"/>
        </w:rPr>
      </w:pPr>
      <w:r>
        <w:rPr>
          <w:rFonts w:hint="default"/>
        </w:rPr>
        <w:t>6.2.2</w:t>
      </w:r>
      <w:r>
        <w:rPr>
          <w:rFonts w:hint="eastAsia"/>
          <w:lang w:eastAsia="zh-CN"/>
        </w:rPr>
        <w:t>、</w:t>
      </w:r>
      <w:r>
        <w:rPr>
          <w:rFonts w:hint="default"/>
        </w:rPr>
        <w:t>评价等级</w:t>
      </w:r>
    </w:p>
    <w:p>
      <w:pPr>
        <w:bidi w:val="0"/>
        <w:rPr>
          <w:rFonts w:hint="default"/>
        </w:rPr>
      </w:pPr>
      <w:r>
        <w:rPr>
          <w:rFonts w:hint="default"/>
        </w:rPr>
        <w:t>本项目工艺温度未超过300℃，不属于高温工艺，因此行业及生产工艺为M=5，根据《建设项目环境风险评价技术导则》（HJ/T169-2018）和《危险化学品重大危险源辨识》（GB18218-2014），对本项目的危险物质存量进行重大危险源辨识，通过分析本项目在生产过程中使用的主要原材料为聚乙烯为可燃物质，未被列入《危险化学品重大危险源辨识》（GB18218-2014）监控目录</w:t>
      </w:r>
      <w:r>
        <w:rPr>
          <w:rFonts w:hint="default"/>
          <w:lang w:val="en-US" w:eastAsia="zh-CN"/>
        </w:rPr>
        <w:t>，不构成重大危险源，</w:t>
      </w:r>
      <w:r>
        <w:rPr>
          <w:rFonts w:hint="eastAsia"/>
          <w:lang w:val="en-US" w:eastAsia="zh-CN"/>
        </w:rPr>
        <w:t>本项目设备维养护产生的废机油属于突发环境事件风险物质，其临界量为2500t，本项目最大储量为0.2t。Q=0.2/2500=8×10</w:t>
      </w:r>
      <w:r>
        <w:rPr>
          <w:rFonts w:hint="eastAsia"/>
          <w:vertAlign w:val="superscript"/>
          <w:lang w:val="en-US" w:eastAsia="zh-CN"/>
        </w:rPr>
        <w:t>-5</w:t>
      </w:r>
      <w:r>
        <w:rPr>
          <w:rFonts w:hint="eastAsia"/>
          <w:vertAlign w:val="baseline"/>
          <w:lang w:val="en-US" w:eastAsia="zh-CN"/>
        </w:rPr>
        <w:t>＜1。</w:t>
      </w:r>
      <w:r>
        <w:rPr>
          <w:rFonts w:hint="default"/>
          <w:lang w:val="en-US" w:eastAsia="zh-CN"/>
        </w:rPr>
        <w:t>其存储量和临界量比值（Q）＜1，该项目环境风险潜势为Ⅰ</w:t>
      </w:r>
      <w:r>
        <w:rPr>
          <w:rFonts w:hint="default"/>
        </w:rPr>
        <w:t>。</w:t>
      </w:r>
    </w:p>
    <w:p>
      <w:pPr>
        <w:bidi w:val="0"/>
        <w:rPr>
          <w:rFonts w:hint="default"/>
        </w:rPr>
      </w:pPr>
      <w:r>
        <w:rPr>
          <w:rFonts w:hint="default"/>
        </w:rPr>
        <w:t>根据HJ610-2016附录C危险物质及工艺系统危险性等级判断，本项目危险物质及工艺系统危险性等级为P4。</w:t>
      </w:r>
    </w:p>
    <w:p>
      <w:pPr>
        <w:bidi w:val="0"/>
        <w:rPr>
          <w:rFonts w:hint="default"/>
        </w:rPr>
      </w:pPr>
      <w:r>
        <w:rPr>
          <w:rFonts w:hint="default"/>
        </w:rPr>
        <w:t>项目所在地为</w:t>
      </w:r>
      <w:r>
        <w:rPr>
          <w:rFonts w:hint="eastAsia"/>
          <w:lang w:val="en-US" w:eastAsia="zh-CN"/>
        </w:rPr>
        <w:t>建设</w:t>
      </w:r>
      <w:r>
        <w:rPr>
          <w:rFonts w:hint="default"/>
        </w:rPr>
        <w:t>用地，周边5</w:t>
      </w:r>
      <w:r>
        <w:rPr>
          <w:rFonts w:hint="default"/>
          <w:lang w:val="en-US" w:eastAsia="zh-CN"/>
        </w:rPr>
        <w:t>00</w:t>
      </w:r>
      <w:r>
        <w:rPr>
          <w:rFonts w:hint="default"/>
        </w:rPr>
        <w:t>m范围内人</w:t>
      </w:r>
      <w:r>
        <w:rPr>
          <w:rFonts w:hint="default"/>
          <w:lang w:val="en-US" w:eastAsia="zh-CN"/>
        </w:rPr>
        <w:t>口</w:t>
      </w:r>
      <w:r>
        <w:rPr>
          <w:rFonts w:hint="default"/>
        </w:rPr>
        <w:t>总数小于</w:t>
      </w:r>
      <w:r>
        <w:rPr>
          <w:rFonts w:hint="default"/>
          <w:lang w:val="en-US" w:eastAsia="zh-CN"/>
        </w:rPr>
        <w:t>500</w:t>
      </w:r>
      <w:r>
        <w:rPr>
          <w:rFonts w:hint="default"/>
        </w:rPr>
        <w:t>人，根据HJ169-2018附录D本项目属于环境低度敏感区（E3）。对照表建设项目环境风险潜势划分和表评价工作等级分级（见表6.2-</w:t>
      </w:r>
      <w:r>
        <w:rPr>
          <w:rFonts w:hint="default"/>
          <w:lang w:val="en-US" w:eastAsia="zh-CN"/>
        </w:rPr>
        <w:t>1</w:t>
      </w:r>
      <w:r>
        <w:rPr>
          <w:rFonts w:hint="default"/>
        </w:rPr>
        <w:t>和表</w:t>
      </w:r>
      <w:r>
        <w:rPr>
          <w:rFonts w:hint="default"/>
          <w:lang w:val="en-US" w:eastAsia="zh-CN"/>
        </w:rPr>
        <w:t>6.2</w:t>
      </w:r>
      <w:r>
        <w:rPr>
          <w:rFonts w:hint="default"/>
        </w:rPr>
        <w:t>-</w:t>
      </w:r>
      <w:r>
        <w:rPr>
          <w:rFonts w:hint="default"/>
          <w:lang w:val="en-US" w:eastAsia="zh-CN"/>
        </w:rPr>
        <w:t>2</w:t>
      </w:r>
      <w:r>
        <w:rPr>
          <w:rFonts w:hint="default"/>
        </w:rPr>
        <w:t>），确定本项目评价等级为简单分析，对事故影响进行分析，提出防范、减缓和应急措施。</w:t>
      </w:r>
    </w:p>
    <w:p>
      <w:pPr>
        <w:pStyle w:val="17"/>
        <w:bidi w:val="0"/>
        <w:rPr>
          <w:rFonts w:hint="default"/>
          <w:b/>
          <w:bCs/>
        </w:rPr>
      </w:pPr>
      <w:r>
        <w:rPr>
          <w:rFonts w:hint="default"/>
          <w:b/>
          <w:bCs/>
        </w:rPr>
        <w:t>表</w:t>
      </w:r>
      <w:r>
        <w:rPr>
          <w:rFonts w:hint="default"/>
          <w:b/>
          <w:bCs/>
          <w:lang w:val="en-US" w:eastAsia="zh-CN"/>
        </w:rPr>
        <w:t>6.2</w:t>
      </w:r>
      <w:r>
        <w:rPr>
          <w:rFonts w:hint="default"/>
          <w:b/>
          <w:bCs/>
        </w:rPr>
        <w:t>-</w:t>
      </w:r>
      <w:r>
        <w:rPr>
          <w:rFonts w:hint="default"/>
          <w:b/>
          <w:bCs/>
          <w:lang w:val="en-US" w:eastAsia="zh-CN"/>
        </w:rPr>
        <w:t>1</w:t>
      </w:r>
      <w:r>
        <w:rPr>
          <w:rFonts w:hint="default"/>
          <w:b/>
          <w:bCs/>
        </w:rPr>
        <w:t xml:space="preserve">   环境风险评价工作等级划分表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827"/>
        <w:gridCol w:w="1827"/>
        <w:gridCol w:w="1827"/>
        <w:gridCol w:w="18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760" w:type="dxa"/>
            <w:tcBorders>
              <w:tl2br w:val="nil"/>
              <w:tr2bl w:val="nil"/>
            </w:tcBorders>
            <w:vAlign w:val="center"/>
          </w:tcPr>
          <w:p>
            <w:pPr>
              <w:pStyle w:val="17"/>
              <w:bidi w:val="0"/>
              <w:rPr>
                <w:rFonts w:hint="default"/>
                <w:b/>
                <w:bCs/>
              </w:rPr>
            </w:pPr>
            <w:r>
              <w:rPr>
                <w:rFonts w:hint="default"/>
                <w:b/>
                <w:bCs/>
              </w:rPr>
              <w:t>环境风险潜势</w:t>
            </w:r>
          </w:p>
        </w:tc>
        <w:tc>
          <w:tcPr>
            <w:tcW w:w="1827" w:type="dxa"/>
            <w:tcBorders>
              <w:tl2br w:val="nil"/>
              <w:tr2bl w:val="nil"/>
            </w:tcBorders>
            <w:vAlign w:val="center"/>
          </w:tcPr>
          <w:p>
            <w:pPr>
              <w:pStyle w:val="17"/>
              <w:bidi w:val="0"/>
              <w:rPr>
                <w:rFonts w:hint="default"/>
                <w:b/>
                <w:bCs/>
              </w:rPr>
            </w:pPr>
            <w:r>
              <w:rPr>
                <w:rFonts w:hint="default"/>
                <w:b/>
                <w:bCs/>
              </w:rPr>
              <w:t xml:space="preserve"> IV、IV+</w:t>
            </w:r>
          </w:p>
        </w:tc>
        <w:tc>
          <w:tcPr>
            <w:tcW w:w="1827" w:type="dxa"/>
            <w:tcBorders>
              <w:tl2br w:val="nil"/>
              <w:tr2bl w:val="nil"/>
            </w:tcBorders>
            <w:vAlign w:val="center"/>
          </w:tcPr>
          <w:p>
            <w:pPr>
              <w:pStyle w:val="17"/>
              <w:bidi w:val="0"/>
              <w:rPr>
                <w:rFonts w:hint="default"/>
                <w:b/>
                <w:bCs/>
              </w:rPr>
            </w:pPr>
            <w:r>
              <w:rPr>
                <w:rFonts w:hint="default"/>
                <w:b/>
                <w:bCs/>
              </w:rPr>
              <w:t xml:space="preserve">III  </w:t>
            </w:r>
          </w:p>
        </w:tc>
        <w:tc>
          <w:tcPr>
            <w:tcW w:w="1827" w:type="dxa"/>
            <w:tcBorders>
              <w:tl2br w:val="nil"/>
              <w:tr2bl w:val="nil"/>
            </w:tcBorders>
            <w:vAlign w:val="center"/>
          </w:tcPr>
          <w:p>
            <w:pPr>
              <w:pStyle w:val="17"/>
              <w:bidi w:val="0"/>
              <w:rPr>
                <w:rFonts w:hint="default"/>
                <w:b/>
                <w:bCs/>
              </w:rPr>
            </w:pPr>
            <w:r>
              <w:rPr>
                <w:rFonts w:hint="default"/>
                <w:b/>
                <w:bCs/>
              </w:rPr>
              <w:t xml:space="preserve">Ⅱ </w:t>
            </w:r>
          </w:p>
        </w:tc>
        <w:tc>
          <w:tcPr>
            <w:tcW w:w="1830" w:type="dxa"/>
            <w:tcBorders>
              <w:tl2br w:val="nil"/>
              <w:tr2bl w:val="nil"/>
            </w:tcBorders>
            <w:vAlign w:val="center"/>
          </w:tcPr>
          <w:p>
            <w:pPr>
              <w:pStyle w:val="17"/>
              <w:bidi w:val="0"/>
              <w:rPr>
                <w:rFonts w:hint="default"/>
                <w:b/>
                <w:bCs/>
              </w:rPr>
            </w:pPr>
            <w:r>
              <w:rPr>
                <w:rFonts w:hint="default"/>
                <w:b/>
                <w:bCs/>
              </w:rPr>
              <w:t xml:space="preserve"> 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0" w:type="dxa"/>
            <w:tcBorders>
              <w:tl2br w:val="nil"/>
              <w:tr2bl w:val="nil"/>
            </w:tcBorders>
            <w:vAlign w:val="center"/>
          </w:tcPr>
          <w:p>
            <w:pPr>
              <w:pStyle w:val="17"/>
              <w:bidi w:val="0"/>
              <w:rPr>
                <w:rFonts w:hint="default"/>
                <w:b/>
                <w:bCs/>
              </w:rPr>
            </w:pPr>
            <w:r>
              <w:rPr>
                <w:rFonts w:hint="default"/>
                <w:b/>
                <w:bCs/>
              </w:rPr>
              <w:t>评价工作等级</w:t>
            </w:r>
          </w:p>
        </w:tc>
        <w:tc>
          <w:tcPr>
            <w:tcW w:w="1827" w:type="dxa"/>
            <w:tcBorders>
              <w:tl2br w:val="nil"/>
              <w:tr2bl w:val="nil"/>
            </w:tcBorders>
            <w:vAlign w:val="center"/>
          </w:tcPr>
          <w:p>
            <w:pPr>
              <w:pStyle w:val="17"/>
              <w:bidi w:val="0"/>
              <w:rPr>
                <w:rFonts w:hint="default"/>
                <w:b/>
                <w:bCs/>
              </w:rPr>
            </w:pPr>
            <w:r>
              <w:rPr>
                <w:rFonts w:hint="default"/>
                <w:b/>
                <w:bCs/>
              </w:rPr>
              <w:t>一</w:t>
            </w:r>
          </w:p>
        </w:tc>
        <w:tc>
          <w:tcPr>
            <w:tcW w:w="1827" w:type="dxa"/>
            <w:tcBorders>
              <w:tl2br w:val="nil"/>
              <w:tr2bl w:val="nil"/>
            </w:tcBorders>
            <w:vAlign w:val="center"/>
          </w:tcPr>
          <w:p>
            <w:pPr>
              <w:pStyle w:val="17"/>
              <w:bidi w:val="0"/>
              <w:rPr>
                <w:rFonts w:hint="default"/>
                <w:b/>
                <w:bCs/>
              </w:rPr>
            </w:pPr>
            <w:r>
              <w:rPr>
                <w:rFonts w:hint="default"/>
                <w:b/>
                <w:bCs/>
              </w:rPr>
              <w:t>二</w:t>
            </w:r>
          </w:p>
        </w:tc>
        <w:tc>
          <w:tcPr>
            <w:tcW w:w="1827" w:type="dxa"/>
            <w:tcBorders>
              <w:tl2br w:val="nil"/>
              <w:tr2bl w:val="nil"/>
            </w:tcBorders>
            <w:vAlign w:val="center"/>
          </w:tcPr>
          <w:p>
            <w:pPr>
              <w:pStyle w:val="17"/>
              <w:bidi w:val="0"/>
              <w:rPr>
                <w:rFonts w:hint="default"/>
                <w:b/>
                <w:bCs/>
              </w:rPr>
            </w:pPr>
            <w:r>
              <w:rPr>
                <w:rFonts w:hint="default"/>
                <w:b/>
                <w:bCs/>
              </w:rPr>
              <w:t>三</w:t>
            </w:r>
          </w:p>
        </w:tc>
        <w:tc>
          <w:tcPr>
            <w:tcW w:w="1830" w:type="dxa"/>
            <w:tcBorders>
              <w:tl2br w:val="nil"/>
              <w:tr2bl w:val="nil"/>
            </w:tcBorders>
            <w:vAlign w:val="center"/>
          </w:tcPr>
          <w:p>
            <w:pPr>
              <w:pStyle w:val="17"/>
              <w:bidi w:val="0"/>
              <w:rPr>
                <w:rFonts w:hint="default"/>
                <w:b/>
                <w:bCs/>
              </w:rPr>
            </w:pPr>
            <w:r>
              <w:rPr>
                <w:rFonts w:hint="default"/>
                <w:b/>
                <w:bCs/>
              </w:rPr>
              <w:t>简单分析a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9071" w:type="dxa"/>
            <w:gridSpan w:val="5"/>
            <w:tcBorders>
              <w:tl2br w:val="nil"/>
              <w:tr2bl w:val="nil"/>
            </w:tcBorders>
            <w:vAlign w:val="center"/>
          </w:tcPr>
          <w:p>
            <w:pPr>
              <w:pStyle w:val="17"/>
              <w:bidi w:val="0"/>
              <w:rPr>
                <w:rFonts w:hint="default"/>
              </w:rPr>
            </w:pPr>
            <w:r>
              <w:rPr>
                <w:rFonts w:hint="default"/>
              </w:rPr>
              <w:t>a是相对于详细评价工作内容而言，在描述危险物质、环境影响途径、环境危险后果、风险防范措施等方面给出定性的说明。</w:t>
            </w:r>
          </w:p>
        </w:tc>
      </w:tr>
    </w:tbl>
    <w:p>
      <w:pPr>
        <w:pStyle w:val="17"/>
        <w:bidi w:val="0"/>
        <w:rPr>
          <w:rFonts w:hint="default"/>
          <w:b/>
          <w:bCs/>
        </w:rPr>
      </w:pPr>
      <w:r>
        <w:rPr>
          <w:rFonts w:hint="default"/>
          <w:b/>
          <w:bCs/>
        </w:rPr>
        <w:t>表</w:t>
      </w:r>
      <w:r>
        <w:rPr>
          <w:rFonts w:hint="default"/>
          <w:b/>
          <w:bCs/>
          <w:lang w:val="en-US" w:eastAsia="zh-CN"/>
        </w:rPr>
        <w:t>6.2</w:t>
      </w:r>
      <w:r>
        <w:rPr>
          <w:rFonts w:hint="default"/>
          <w:b/>
          <w:bCs/>
        </w:rPr>
        <w:t>-</w:t>
      </w:r>
      <w:r>
        <w:rPr>
          <w:rFonts w:hint="default"/>
          <w:b/>
          <w:bCs/>
          <w:lang w:val="en-US" w:eastAsia="zh-CN"/>
        </w:rPr>
        <w:t>2</w:t>
      </w:r>
      <w:r>
        <w:rPr>
          <w:rFonts w:hint="eastAsia"/>
          <w:b/>
          <w:bCs/>
          <w:lang w:val="en-US" w:eastAsia="zh-CN"/>
        </w:rPr>
        <w:t xml:space="preserve">   </w:t>
      </w:r>
      <w:r>
        <w:rPr>
          <w:rFonts w:hint="default"/>
          <w:b/>
          <w:bCs/>
        </w:rPr>
        <w:t>建设项目环境风险潜势划分</w:t>
      </w:r>
    </w:p>
    <w:tbl>
      <w:tblPr>
        <w:tblStyle w:val="12"/>
        <w:tblW w:w="9071"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853"/>
        <w:gridCol w:w="1804"/>
        <w:gridCol w:w="1804"/>
        <w:gridCol w:w="1804"/>
        <w:gridCol w:w="180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PrEx>
        <w:trPr>
          <w:jc w:val="center"/>
        </w:trPr>
        <w:tc>
          <w:tcPr>
            <w:tcW w:w="1853" w:type="dxa"/>
            <w:vMerge w:val="restart"/>
            <w:tcBorders>
              <w:tl2br w:val="nil"/>
              <w:tr2bl w:val="nil"/>
            </w:tcBorders>
            <w:vAlign w:val="center"/>
          </w:tcPr>
          <w:p>
            <w:pPr>
              <w:pStyle w:val="17"/>
              <w:bidi w:val="0"/>
              <w:rPr>
                <w:rFonts w:hint="default"/>
                <w:b/>
                <w:bCs/>
              </w:rPr>
            </w:pPr>
            <w:r>
              <w:rPr>
                <w:rFonts w:hint="default"/>
                <w:b/>
                <w:bCs/>
              </w:rPr>
              <w:t>环境敏感程度（E）</w:t>
            </w:r>
          </w:p>
        </w:tc>
        <w:tc>
          <w:tcPr>
            <w:tcW w:w="7218" w:type="dxa"/>
            <w:gridSpan w:val="4"/>
            <w:tcBorders>
              <w:tl2br w:val="nil"/>
              <w:tr2bl w:val="nil"/>
            </w:tcBorders>
            <w:vAlign w:val="center"/>
          </w:tcPr>
          <w:p>
            <w:pPr>
              <w:pStyle w:val="17"/>
              <w:bidi w:val="0"/>
              <w:rPr>
                <w:rFonts w:hint="default"/>
                <w:b/>
                <w:bCs/>
              </w:rPr>
            </w:pPr>
            <w:r>
              <w:rPr>
                <w:rFonts w:hint="default"/>
                <w:b/>
                <w:bCs/>
              </w:rPr>
              <w:t>危险物质及工艺系统危险性（P）</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PrEx>
        <w:trPr>
          <w:jc w:val="center"/>
        </w:trPr>
        <w:tc>
          <w:tcPr>
            <w:tcW w:w="1853" w:type="dxa"/>
            <w:vMerge w:val="continue"/>
            <w:tcBorders>
              <w:tl2br w:val="nil"/>
              <w:tr2bl w:val="nil"/>
            </w:tcBorders>
            <w:vAlign w:val="center"/>
          </w:tcPr>
          <w:p>
            <w:pPr>
              <w:pStyle w:val="17"/>
              <w:bidi w:val="0"/>
              <w:rPr>
                <w:rFonts w:hint="default"/>
                <w:b/>
                <w:bCs/>
              </w:rPr>
            </w:pPr>
          </w:p>
        </w:tc>
        <w:tc>
          <w:tcPr>
            <w:tcW w:w="1804" w:type="dxa"/>
            <w:tcBorders>
              <w:tl2br w:val="nil"/>
              <w:tr2bl w:val="nil"/>
            </w:tcBorders>
            <w:vAlign w:val="center"/>
          </w:tcPr>
          <w:p>
            <w:pPr>
              <w:pStyle w:val="17"/>
              <w:bidi w:val="0"/>
              <w:rPr>
                <w:rFonts w:hint="default"/>
                <w:b/>
                <w:bCs/>
              </w:rPr>
            </w:pPr>
            <w:r>
              <w:rPr>
                <w:rFonts w:hint="default"/>
                <w:b/>
                <w:bCs/>
              </w:rPr>
              <w:t>极高危害（P1）</w:t>
            </w:r>
          </w:p>
        </w:tc>
        <w:tc>
          <w:tcPr>
            <w:tcW w:w="1804" w:type="dxa"/>
            <w:tcBorders>
              <w:tl2br w:val="nil"/>
              <w:tr2bl w:val="nil"/>
            </w:tcBorders>
            <w:vAlign w:val="center"/>
          </w:tcPr>
          <w:p>
            <w:pPr>
              <w:pStyle w:val="17"/>
              <w:bidi w:val="0"/>
              <w:rPr>
                <w:rFonts w:hint="default"/>
                <w:b/>
                <w:bCs/>
              </w:rPr>
            </w:pPr>
            <w:r>
              <w:rPr>
                <w:rFonts w:hint="default"/>
                <w:b/>
                <w:bCs/>
              </w:rPr>
              <w:t>高度危害（P2）</w:t>
            </w:r>
          </w:p>
        </w:tc>
        <w:tc>
          <w:tcPr>
            <w:tcW w:w="1804" w:type="dxa"/>
            <w:tcBorders>
              <w:tl2br w:val="nil"/>
              <w:tr2bl w:val="nil"/>
            </w:tcBorders>
            <w:vAlign w:val="center"/>
          </w:tcPr>
          <w:p>
            <w:pPr>
              <w:pStyle w:val="17"/>
              <w:bidi w:val="0"/>
              <w:rPr>
                <w:rFonts w:hint="default"/>
                <w:b/>
                <w:bCs/>
              </w:rPr>
            </w:pPr>
            <w:r>
              <w:rPr>
                <w:rFonts w:hint="default"/>
                <w:b/>
                <w:bCs/>
              </w:rPr>
              <w:t>中度危害（P3）</w:t>
            </w:r>
          </w:p>
        </w:tc>
        <w:tc>
          <w:tcPr>
            <w:tcW w:w="1806" w:type="dxa"/>
            <w:tcBorders>
              <w:tl2br w:val="nil"/>
              <w:tr2bl w:val="nil"/>
            </w:tcBorders>
            <w:vAlign w:val="center"/>
          </w:tcPr>
          <w:p>
            <w:pPr>
              <w:pStyle w:val="17"/>
              <w:bidi w:val="0"/>
              <w:rPr>
                <w:rFonts w:hint="default"/>
                <w:b/>
                <w:bCs/>
              </w:rPr>
            </w:pPr>
            <w:r>
              <w:rPr>
                <w:rFonts w:hint="default"/>
                <w:b/>
                <w:bCs/>
              </w:rPr>
              <w:t>轻度危害（P4）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853" w:type="dxa"/>
            <w:tcBorders>
              <w:tl2br w:val="nil"/>
              <w:tr2bl w:val="nil"/>
            </w:tcBorders>
            <w:vAlign w:val="center"/>
          </w:tcPr>
          <w:p>
            <w:pPr>
              <w:pStyle w:val="17"/>
              <w:bidi w:val="0"/>
              <w:rPr>
                <w:rFonts w:hint="default"/>
              </w:rPr>
            </w:pPr>
            <w:r>
              <w:rPr>
                <w:rFonts w:hint="default"/>
              </w:rPr>
              <w:t>环境高度敏感区（E1）</w:t>
            </w:r>
          </w:p>
        </w:tc>
        <w:tc>
          <w:tcPr>
            <w:tcW w:w="1804" w:type="dxa"/>
            <w:tcBorders>
              <w:tl2br w:val="nil"/>
              <w:tr2bl w:val="nil"/>
            </w:tcBorders>
            <w:vAlign w:val="center"/>
          </w:tcPr>
          <w:p>
            <w:pPr>
              <w:pStyle w:val="17"/>
              <w:bidi w:val="0"/>
              <w:rPr>
                <w:rFonts w:hint="default"/>
              </w:rPr>
            </w:pPr>
            <w:r>
              <w:rPr>
                <w:rFonts w:hint="default"/>
              </w:rPr>
              <w:t>Ⅳ+</w:t>
            </w:r>
          </w:p>
        </w:tc>
        <w:tc>
          <w:tcPr>
            <w:tcW w:w="1804" w:type="dxa"/>
            <w:tcBorders>
              <w:tl2br w:val="nil"/>
              <w:tr2bl w:val="nil"/>
            </w:tcBorders>
            <w:vAlign w:val="center"/>
          </w:tcPr>
          <w:p>
            <w:pPr>
              <w:pStyle w:val="17"/>
              <w:bidi w:val="0"/>
              <w:rPr>
                <w:rFonts w:hint="default"/>
              </w:rPr>
            </w:pPr>
            <w:r>
              <w:rPr>
                <w:rFonts w:hint="default"/>
              </w:rPr>
              <w:t>Ⅳ</w:t>
            </w:r>
          </w:p>
        </w:tc>
        <w:tc>
          <w:tcPr>
            <w:tcW w:w="1804" w:type="dxa"/>
            <w:tcBorders>
              <w:tl2br w:val="nil"/>
              <w:tr2bl w:val="nil"/>
            </w:tcBorders>
            <w:vAlign w:val="center"/>
          </w:tcPr>
          <w:p>
            <w:pPr>
              <w:pStyle w:val="17"/>
              <w:bidi w:val="0"/>
              <w:rPr>
                <w:rFonts w:hint="default"/>
              </w:rPr>
            </w:pPr>
            <w:r>
              <w:rPr>
                <w:rFonts w:hint="default"/>
              </w:rPr>
              <w:t>Ⅲ</w:t>
            </w:r>
          </w:p>
        </w:tc>
        <w:tc>
          <w:tcPr>
            <w:tcW w:w="1806" w:type="dxa"/>
            <w:tcBorders>
              <w:tl2br w:val="nil"/>
              <w:tr2bl w:val="nil"/>
            </w:tcBorders>
            <w:vAlign w:val="center"/>
          </w:tcPr>
          <w:p>
            <w:pPr>
              <w:pStyle w:val="17"/>
              <w:bidi w:val="0"/>
              <w:rPr>
                <w:rFonts w:hint="default"/>
              </w:rPr>
            </w:pPr>
            <w:r>
              <w:rPr>
                <w:rFonts w:hint="default"/>
              </w:rPr>
              <w:t>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853" w:type="dxa"/>
            <w:tcBorders>
              <w:tl2br w:val="nil"/>
              <w:tr2bl w:val="nil"/>
            </w:tcBorders>
            <w:vAlign w:val="center"/>
          </w:tcPr>
          <w:p>
            <w:pPr>
              <w:pStyle w:val="17"/>
              <w:bidi w:val="0"/>
              <w:rPr>
                <w:rFonts w:hint="default"/>
              </w:rPr>
            </w:pPr>
            <w:r>
              <w:rPr>
                <w:rFonts w:hint="default"/>
              </w:rPr>
              <w:t>环境中度敏感区（E2）</w:t>
            </w:r>
          </w:p>
        </w:tc>
        <w:tc>
          <w:tcPr>
            <w:tcW w:w="1804" w:type="dxa"/>
            <w:tcBorders>
              <w:tl2br w:val="nil"/>
              <w:tr2bl w:val="nil"/>
            </w:tcBorders>
            <w:vAlign w:val="center"/>
          </w:tcPr>
          <w:p>
            <w:pPr>
              <w:pStyle w:val="17"/>
              <w:bidi w:val="0"/>
              <w:rPr>
                <w:rFonts w:hint="default"/>
              </w:rPr>
            </w:pPr>
            <w:r>
              <w:rPr>
                <w:rFonts w:hint="default"/>
              </w:rPr>
              <w:t>Ⅳ</w:t>
            </w:r>
          </w:p>
        </w:tc>
        <w:tc>
          <w:tcPr>
            <w:tcW w:w="1804" w:type="dxa"/>
            <w:tcBorders>
              <w:tl2br w:val="nil"/>
              <w:tr2bl w:val="nil"/>
            </w:tcBorders>
            <w:vAlign w:val="center"/>
          </w:tcPr>
          <w:p>
            <w:pPr>
              <w:pStyle w:val="17"/>
              <w:bidi w:val="0"/>
              <w:rPr>
                <w:rFonts w:hint="default"/>
              </w:rPr>
            </w:pPr>
            <w:r>
              <w:rPr>
                <w:rFonts w:hint="default"/>
              </w:rPr>
              <w:t>Ⅲ</w:t>
            </w:r>
          </w:p>
        </w:tc>
        <w:tc>
          <w:tcPr>
            <w:tcW w:w="1804" w:type="dxa"/>
            <w:tcBorders>
              <w:tl2br w:val="nil"/>
              <w:tr2bl w:val="nil"/>
            </w:tcBorders>
            <w:vAlign w:val="center"/>
          </w:tcPr>
          <w:p>
            <w:pPr>
              <w:pStyle w:val="17"/>
              <w:bidi w:val="0"/>
              <w:rPr>
                <w:rFonts w:hint="default"/>
              </w:rPr>
            </w:pPr>
            <w:r>
              <w:rPr>
                <w:rFonts w:hint="default"/>
              </w:rPr>
              <w:t>Ⅲ</w:t>
            </w:r>
          </w:p>
        </w:tc>
        <w:tc>
          <w:tcPr>
            <w:tcW w:w="1806" w:type="dxa"/>
            <w:tcBorders>
              <w:tl2br w:val="nil"/>
              <w:tr2bl w:val="nil"/>
            </w:tcBorders>
            <w:vAlign w:val="center"/>
          </w:tcPr>
          <w:p>
            <w:pPr>
              <w:pStyle w:val="17"/>
              <w:bidi w:val="0"/>
              <w:rPr>
                <w:rFonts w:hint="default"/>
              </w:rPr>
            </w:pPr>
            <w:r>
              <w:rPr>
                <w:rFonts w:hint="default"/>
              </w:rPr>
              <w:t>Ⅱ</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853" w:type="dxa"/>
            <w:tcBorders>
              <w:tl2br w:val="nil"/>
              <w:tr2bl w:val="nil"/>
            </w:tcBorders>
            <w:vAlign w:val="center"/>
          </w:tcPr>
          <w:p>
            <w:pPr>
              <w:pStyle w:val="17"/>
              <w:bidi w:val="0"/>
              <w:rPr>
                <w:rFonts w:hint="default"/>
              </w:rPr>
            </w:pPr>
            <w:r>
              <w:rPr>
                <w:rFonts w:hint="default"/>
              </w:rPr>
              <w:t>环境低度敏感区（E3）</w:t>
            </w:r>
          </w:p>
        </w:tc>
        <w:tc>
          <w:tcPr>
            <w:tcW w:w="1804" w:type="dxa"/>
            <w:tcBorders>
              <w:tl2br w:val="nil"/>
              <w:tr2bl w:val="nil"/>
            </w:tcBorders>
            <w:vAlign w:val="center"/>
          </w:tcPr>
          <w:p>
            <w:pPr>
              <w:pStyle w:val="17"/>
              <w:bidi w:val="0"/>
              <w:rPr>
                <w:rFonts w:hint="default"/>
              </w:rPr>
            </w:pPr>
            <w:r>
              <w:rPr>
                <w:rFonts w:hint="default"/>
              </w:rPr>
              <w:t>Ⅲ</w:t>
            </w:r>
          </w:p>
        </w:tc>
        <w:tc>
          <w:tcPr>
            <w:tcW w:w="1804" w:type="dxa"/>
            <w:tcBorders>
              <w:tl2br w:val="nil"/>
              <w:tr2bl w:val="nil"/>
            </w:tcBorders>
            <w:vAlign w:val="center"/>
          </w:tcPr>
          <w:p>
            <w:pPr>
              <w:pStyle w:val="17"/>
              <w:bidi w:val="0"/>
              <w:rPr>
                <w:rFonts w:hint="default"/>
              </w:rPr>
            </w:pPr>
            <w:r>
              <w:rPr>
                <w:rFonts w:hint="default"/>
              </w:rPr>
              <w:t>Ⅲ</w:t>
            </w:r>
          </w:p>
        </w:tc>
        <w:tc>
          <w:tcPr>
            <w:tcW w:w="1804" w:type="dxa"/>
            <w:tcBorders>
              <w:tl2br w:val="nil"/>
              <w:tr2bl w:val="nil"/>
            </w:tcBorders>
            <w:vAlign w:val="center"/>
          </w:tcPr>
          <w:p>
            <w:pPr>
              <w:pStyle w:val="17"/>
              <w:bidi w:val="0"/>
              <w:rPr>
                <w:rFonts w:hint="default"/>
              </w:rPr>
            </w:pPr>
            <w:r>
              <w:rPr>
                <w:rFonts w:hint="default"/>
              </w:rPr>
              <w:t>Ⅱ</w:t>
            </w:r>
          </w:p>
        </w:tc>
        <w:tc>
          <w:tcPr>
            <w:tcW w:w="1806" w:type="dxa"/>
            <w:tcBorders>
              <w:tl2br w:val="nil"/>
              <w:tr2bl w:val="nil"/>
            </w:tcBorders>
            <w:vAlign w:val="center"/>
          </w:tcPr>
          <w:p>
            <w:pPr>
              <w:pStyle w:val="17"/>
              <w:bidi w:val="0"/>
              <w:rPr>
                <w:rFonts w:hint="default"/>
              </w:rPr>
            </w:pPr>
            <w:r>
              <w:rPr>
                <w:rFonts w:hint="default"/>
              </w:rPr>
              <w:t>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9071" w:type="dxa"/>
            <w:gridSpan w:val="5"/>
            <w:tcBorders>
              <w:tl2br w:val="nil"/>
              <w:tr2bl w:val="nil"/>
            </w:tcBorders>
            <w:vAlign w:val="center"/>
          </w:tcPr>
          <w:p>
            <w:pPr>
              <w:pStyle w:val="17"/>
              <w:bidi w:val="0"/>
              <w:rPr>
                <w:rFonts w:hint="default"/>
              </w:rPr>
            </w:pPr>
            <w:r>
              <w:rPr>
                <w:rFonts w:hint="default"/>
              </w:rPr>
              <w:t>注：Ⅳ+为极高环境风险</w:t>
            </w:r>
          </w:p>
        </w:tc>
      </w:tr>
    </w:tbl>
    <w:p>
      <w:pPr>
        <w:pStyle w:val="5"/>
        <w:bidi w:val="0"/>
        <w:rPr>
          <w:rFonts w:hint="default"/>
        </w:rPr>
      </w:pPr>
      <w:r>
        <w:rPr>
          <w:rFonts w:hint="default"/>
        </w:rPr>
        <w:t>6.2.3</w:t>
      </w:r>
      <w:r>
        <w:rPr>
          <w:rFonts w:hint="eastAsia"/>
          <w:lang w:eastAsia="zh-CN"/>
        </w:rPr>
        <w:t>、</w:t>
      </w:r>
      <w:r>
        <w:rPr>
          <w:rFonts w:hint="default"/>
        </w:rPr>
        <w:t>评价范围</w:t>
      </w:r>
    </w:p>
    <w:p>
      <w:pPr>
        <w:bidi w:val="0"/>
        <w:rPr>
          <w:rFonts w:hint="default"/>
        </w:rPr>
      </w:pPr>
      <w:r>
        <w:rPr>
          <w:rFonts w:hint="default"/>
        </w:rPr>
        <w:t>环境风险影响评价范围以生产装置区为中心，</w:t>
      </w:r>
      <w:r>
        <w:rPr>
          <w:rFonts w:hint="default"/>
          <w:lang w:val="en-US" w:eastAsia="zh-CN"/>
        </w:rPr>
        <w:t>厂址所在区域</w:t>
      </w:r>
      <w:r>
        <w:rPr>
          <w:rFonts w:hint="default"/>
        </w:rPr>
        <w:t>。</w:t>
      </w:r>
    </w:p>
    <w:p>
      <w:pPr>
        <w:pStyle w:val="5"/>
        <w:bidi w:val="0"/>
        <w:rPr>
          <w:rFonts w:hint="default"/>
        </w:rPr>
      </w:pPr>
      <w:r>
        <w:rPr>
          <w:rFonts w:hint="default"/>
        </w:rPr>
        <w:t>6.2.4</w:t>
      </w:r>
      <w:r>
        <w:rPr>
          <w:rFonts w:hint="eastAsia"/>
          <w:lang w:eastAsia="zh-CN"/>
        </w:rPr>
        <w:t>、</w:t>
      </w:r>
      <w:r>
        <w:rPr>
          <w:rFonts w:hint="default"/>
        </w:rPr>
        <w:t>环境敏感目标调查</w:t>
      </w:r>
    </w:p>
    <w:p>
      <w:pPr>
        <w:bidi w:val="0"/>
        <w:rPr>
          <w:rFonts w:hint="default"/>
        </w:rPr>
      </w:pPr>
      <w:r>
        <w:rPr>
          <w:rFonts w:hint="default"/>
        </w:rPr>
        <w:t>本项目位于工业，周围主要为工业企业，属于环境低度敏感区（E3），主要的环境敏感目标分布情况见表6.2-</w:t>
      </w:r>
      <w:r>
        <w:rPr>
          <w:rFonts w:hint="default"/>
          <w:lang w:val="en-US"/>
        </w:rPr>
        <w:t>2</w:t>
      </w:r>
      <w:r>
        <w:rPr>
          <w:rFonts w:hint="default"/>
        </w:rPr>
        <w:t>。</w:t>
      </w:r>
    </w:p>
    <w:p>
      <w:pPr>
        <w:pStyle w:val="17"/>
        <w:bidi w:val="0"/>
        <w:rPr>
          <w:rFonts w:hint="default"/>
          <w:b/>
          <w:bCs/>
        </w:rPr>
      </w:pPr>
      <w:r>
        <w:rPr>
          <w:rFonts w:hint="default"/>
          <w:b/>
          <w:bCs/>
        </w:rPr>
        <w:t>表6.2-2</w:t>
      </w:r>
      <w:r>
        <w:rPr>
          <w:rFonts w:hint="eastAsia"/>
          <w:b/>
          <w:bCs/>
          <w:lang w:val="en-US" w:eastAsia="zh-CN"/>
        </w:rPr>
        <w:t xml:space="preserve">  </w:t>
      </w:r>
      <w:r>
        <w:rPr>
          <w:rFonts w:hint="default"/>
          <w:b/>
          <w:bCs/>
        </w:rPr>
        <w:t xml:space="preserve"> 评价区附近主要环境保护目标</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2452"/>
        <w:gridCol w:w="1614"/>
        <w:gridCol w:w="1117"/>
        <w:gridCol w:w="1024"/>
        <w:gridCol w:w="15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2" w:type="dxa"/>
            <w:tcBorders>
              <w:tl2br w:val="nil"/>
              <w:tr2bl w:val="nil"/>
            </w:tcBorders>
            <w:vAlign w:val="center"/>
          </w:tcPr>
          <w:p>
            <w:pPr>
              <w:pStyle w:val="17"/>
              <w:bidi w:val="0"/>
              <w:rPr>
                <w:rFonts w:hint="default"/>
                <w:b/>
                <w:bCs/>
              </w:rPr>
            </w:pPr>
            <w:r>
              <w:rPr>
                <w:rFonts w:hint="default"/>
                <w:b/>
                <w:bCs/>
              </w:rPr>
              <w:t>环境要素</w:t>
            </w:r>
          </w:p>
        </w:tc>
        <w:tc>
          <w:tcPr>
            <w:tcW w:w="2452" w:type="dxa"/>
            <w:tcBorders>
              <w:tl2br w:val="nil"/>
              <w:tr2bl w:val="nil"/>
            </w:tcBorders>
            <w:vAlign w:val="center"/>
          </w:tcPr>
          <w:p>
            <w:pPr>
              <w:pStyle w:val="17"/>
              <w:bidi w:val="0"/>
              <w:rPr>
                <w:rFonts w:hint="default"/>
                <w:b/>
                <w:bCs/>
              </w:rPr>
            </w:pPr>
            <w:r>
              <w:rPr>
                <w:rFonts w:hint="default"/>
                <w:b/>
                <w:bCs/>
              </w:rPr>
              <w:t>保护对象</w:t>
            </w:r>
          </w:p>
        </w:tc>
        <w:tc>
          <w:tcPr>
            <w:tcW w:w="1614" w:type="dxa"/>
            <w:tcBorders>
              <w:tl2br w:val="nil"/>
              <w:tr2bl w:val="nil"/>
            </w:tcBorders>
            <w:vAlign w:val="center"/>
          </w:tcPr>
          <w:p>
            <w:pPr>
              <w:pStyle w:val="17"/>
              <w:bidi w:val="0"/>
              <w:rPr>
                <w:rFonts w:hint="default"/>
                <w:b/>
                <w:bCs/>
              </w:rPr>
            </w:pPr>
            <w:r>
              <w:rPr>
                <w:rFonts w:hint="default"/>
                <w:b/>
                <w:bCs/>
              </w:rPr>
              <w:t>相对厂址</w:t>
            </w:r>
          </w:p>
          <w:p>
            <w:pPr>
              <w:pStyle w:val="17"/>
              <w:bidi w:val="0"/>
              <w:rPr>
                <w:rFonts w:hint="default"/>
                <w:b/>
                <w:bCs/>
              </w:rPr>
            </w:pPr>
            <w:r>
              <w:rPr>
                <w:rFonts w:hint="default"/>
                <w:b/>
                <w:bCs/>
              </w:rPr>
              <w:t>位置</w:t>
            </w:r>
          </w:p>
        </w:tc>
        <w:tc>
          <w:tcPr>
            <w:tcW w:w="1117" w:type="dxa"/>
            <w:tcBorders>
              <w:tl2br w:val="nil"/>
              <w:tr2bl w:val="nil"/>
            </w:tcBorders>
            <w:vAlign w:val="center"/>
          </w:tcPr>
          <w:p>
            <w:pPr>
              <w:pStyle w:val="17"/>
              <w:bidi w:val="0"/>
              <w:rPr>
                <w:rFonts w:hint="default"/>
                <w:b/>
                <w:bCs/>
              </w:rPr>
            </w:pPr>
            <w:r>
              <w:rPr>
                <w:rFonts w:hint="default"/>
                <w:b/>
                <w:bCs/>
              </w:rPr>
              <w:t>功能</w:t>
            </w:r>
          </w:p>
        </w:tc>
        <w:tc>
          <w:tcPr>
            <w:tcW w:w="1024" w:type="dxa"/>
            <w:tcBorders>
              <w:tl2br w:val="nil"/>
              <w:tr2bl w:val="nil"/>
            </w:tcBorders>
            <w:vAlign w:val="center"/>
          </w:tcPr>
          <w:p>
            <w:pPr>
              <w:pStyle w:val="17"/>
              <w:bidi w:val="0"/>
              <w:rPr>
                <w:rFonts w:hint="default"/>
                <w:b/>
                <w:bCs/>
              </w:rPr>
            </w:pPr>
            <w:r>
              <w:rPr>
                <w:rFonts w:hint="default"/>
                <w:b/>
                <w:bCs/>
              </w:rPr>
              <w:t>人数（人）</w:t>
            </w:r>
          </w:p>
        </w:tc>
        <w:tc>
          <w:tcPr>
            <w:tcW w:w="1532" w:type="dxa"/>
            <w:tcBorders>
              <w:tl2br w:val="nil"/>
              <w:tr2bl w:val="nil"/>
            </w:tcBorders>
            <w:vAlign w:val="center"/>
          </w:tcPr>
          <w:p>
            <w:pPr>
              <w:pStyle w:val="17"/>
              <w:bidi w:val="0"/>
              <w:rPr>
                <w:rFonts w:hint="default"/>
                <w:b/>
                <w:bCs/>
              </w:rPr>
            </w:pPr>
            <w:r>
              <w:rPr>
                <w:rFonts w:hint="default"/>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2" w:type="dxa"/>
            <w:tcBorders>
              <w:tl2br w:val="nil"/>
              <w:tr2bl w:val="nil"/>
            </w:tcBorders>
            <w:vAlign w:val="center"/>
          </w:tcPr>
          <w:p>
            <w:pPr>
              <w:pStyle w:val="17"/>
              <w:bidi w:val="0"/>
              <w:rPr>
                <w:rFonts w:hint="default"/>
              </w:rPr>
            </w:pPr>
            <w:r>
              <w:rPr>
                <w:rFonts w:hint="default"/>
              </w:rPr>
              <w:t>环境空气</w:t>
            </w:r>
          </w:p>
        </w:tc>
        <w:tc>
          <w:tcPr>
            <w:tcW w:w="2452" w:type="dxa"/>
            <w:tcBorders>
              <w:tl2br w:val="nil"/>
              <w:tr2bl w:val="nil"/>
            </w:tcBorders>
            <w:vAlign w:val="center"/>
          </w:tcPr>
          <w:p>
            <w:pPr>
              <w:pStyle w:val="17"/>
              <w:bidi w:val="0"/>
              <w:rPr>
                <w:rFonts w:hint="default"/>
                <w:lang w:val="en-US" w:eastAsia="zh-CN"/>
              </w:rPr>
            </w:pPr>
            <w:r>
              <w:rPr>
                <w:rFonts w:hint="eastAsia"/>
                <w:lang w:val="en-US" w:eastAsia="zh-CN"/>
              </w:rPr>
              <w:t>厂界周围</w:t>
            </w:r>
          </w:p>
        </w:tc>
        <w:tc>
          <w:tcPr>
            <w:tcW w:w="1614" w:type="dxa"/>
            <w:tcBorders>
              <w:tl2br w:val="nil"/>
              <w:tr2bl w:val="nil"/>
            </w:tcBorders>
            <w:vAlign w:val="center"/>
          </w:tcPr>
          <w:p>
            <w:pPr>
              <w:pStyle w:val="17"/>
              <w:bidi w:val="0"/>
              <w:rPr>
                <w:rFonts w:hint="default"/>
                <w:lang w:val="en-US" w:eastAsia="zh-CN"/>
              </w:rPr>
            </w:pPr>
            <w:r>
              <w:rPr>
                <w:rFonts w:hint="eastAsia"/>
                <w:lang w:val="en-US" w:eastAsia="zh-CN"/>
              </w:rPr>
              <w:t>2.5km范围内</w:t>
            </w:r>
          </w:p>
        </w:tc>
        <w:tc>
          <w:tcPr>
            <w:tcW w:w="1117" w:type="dxa"/>
            <w:tcBorders>
              <w:tl2br w:val="nil"/>
              <w:tr2bl w:val="nil"/>
            </w:tcBorders>
            <w:vAlign w:val="center"/>
          </w:tcPr>
          <w:p>
            <w:pPr>
              <w:pStyle w:val="17"/>
              <w:bidi w:val="0"/>
              <w:rPr>
                <w:rFonts w:hint="default"/>
                <w:lang w:val="en-US" w:eastAsia="zh-CN"/>
              </w:rPr>
            </w:pPr>
            <w:r>
              <w:rPr>
                <w:rFonts w:hint="eastAsia"/>
                <w:lang w:val="en-US" w:eastAsia="zh-CN"/>
              </w:rPr>
              <w:t>农业</w:t>
            </w:r>
          </w:p>
        </w:tc>
        <w:tc>
          <w:tcPr>
            <w:tcW w:w="1024" w:type="dxa"/>
            <w:tcBorders>
              <w:tl2br w:val="nil"/>
              <w:tr2bl w:val="nil"/>
            </w:tcBorders>
            <w:vAlign w:val="center"/>
          </w:tcPr>
          <w:p>
            <w:pPr>
              <w:pStyle w:val="17"/>
              <w:bidi w:val="0"/>
              <w:rPr>
                <w:rFonts w:hint="default"/>
                <w:lang w:val="en-US" w:eastAsia="zh-CN"/>
              </w:rPr>
            </w:pPr>
            <w:r>
              <w:rPr>
                <w:rFonts w:hint="eastAsia"/>
                <w:lang w:val="en-US" w:eastAsia="zh-CN"/>
              </w:rPr>
              <w:t>500</w:t>
            </w:r>
          </w:p>
        </w:tc>
        <w:tc>
          <w:tcPr>
            <w:tcW w:w="1532" w:type="dxa"/>
            <w:tcBorders>
              <w:tl2br w:val="nil"/>
              <w:tr2bl w:val="nil"/>
            </w:tcBorders>
            <w:vAlign w:val="center"/>
          </w:tcPr>
          <w:p>
            <w:pPr>
              <w:pStyle w:val="17"/>
              <w:bidi w:val="0"/>
              <w:rPr>
                <w:rFonts w:hint="default"/>
              </w:rPr>
            </w:pPr>
            <w:r>
              <w:rPr>
                <w:rFonts w:hint="default"/>
              </w:rPr>
              <w:t>《环境空气质量标准》（GB3095-2012）二级标准要求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2" w:type="dxa"/>
            <w:tcBorders>
              <w:tl2br w:val="nil"/>
              <w:tr2bl w:val="nil"/>
            </w:tcBorders>
            <w:vAlign w:val="center"/>
          </w:tcPr>
          <w:p>
            <w:pPr>
              <w:pStyle w:val="17"/>
              <w:bidi w:val="0"/>
              <w:rPr>
                <w:rFonts w:hint="default"/>
              </w:rPr>
            </w:pPr>
            <w:r>
              <w:rPr>
                <w:rFonts w:hint="default"/>
              </w:rPr>
              <w:t>声环境</w:t>
            </w:r>
          </w:p>
        </w:tc>
        <w:tc>
          <w:tcPr>
            <w:tcW w:w="2452" w:type="dxa"/>
            <w:tcBorders>
              <w:tl2br w:val="nil"/>
              <w:tr2bl w:val="nil"/>
            </w:tcBorders>
            <w:vAlign w:val="center"/>
          </w:tcPr>
          <w:p>
            <w:pPr>
              <w:pStyle w:val="17"/>
              <w:bidi w:val="0"/>
              <w:rPr>
                <w:rFonts w:hint="default"/>
              </w:rPr>
            </w:pPr>
            <w:r>
              <w:rPr>
                <w:rFonts w:hint="default"/>
              </w:rPr>
              <w:t>厂界周围</w:t>
            </w:r>
          </w:p>
        </w:tc>
        <w:tc>
          <w:tcPr>
            <w:tcW w:w="1614" w:type="dxa"/>
            <w:tcBorders>
              <w:tl2br w:val="nil"/>
              <w:tr2bl w:val="nil"/>
            </w:tcBorders>
            <w:vAlign w:val="center"/>
          </w:tcPr>
          <w:p>
            <w:pPr>
              <w:pStyle w:val="17"/>
              <w:bidi w:val="0"/>
              <w:rPr>
                <w:rFonts w:hint="default"/>
              </w:rPr>
            </w:pPr>
            <w:r>
              <w:rPr>
                <w:rFonts w:hint="default"/>
              </w:rPr>
              <w:t>200m范围内</w:t>
            </w:r>
          </w:p>
        </w:tc>
        <w:tc>
          <w:tcPr>
            <w:tcW w:w="1117" w:type="dxa"/>
            <w:tcBorders>
              <w:tl2br w:val="nil"/>
              <w:tr2bl w:val="nil"/>
            </w:tcBorders>
            <w:vAlign w:val="center"/>
          </w:tcPr>
          <w:p>
            <w:pPr>
              <w:pStyle w:val="17"/>
              <w:bidi w:val="0"/>
              <w:rPr>
                <w:rFonts w:hint="default" w:eastAsia="宋体"/>
                <w:lang w:val="en-US" w:eastAsia="zh-CN"/>
              </w:rPr>
            </w:pPr>
            <w:r>
              <w:rPr>
                <w:rFonts w:hint="default"/>
              </w:rPr>
              <w:t>规划</w:t>
            </w:r>
            <w:r>
              <w:rPr>
                <w:rFonts w:hint="eastAsia"/>
                <w:lang w:val="en-US" w:eastAsia="zh-CN"/>
              </w:rPr>
              <w:t>建设用地</w:t>
            </w:r>
          </w:p>
        </w:tc>
        <w:tc>
          <w:tcPr>
            <w:tcW w:w="1024" w:type="dxa"/>
            <w:tcBorders>
              <w:tl2br w:val="nil"/>
              <w:tr2bl w:val="nil"/>
            </w:tcBorders>
            <w:vAlign w:val="center"/>
          </w:tcPr>
          <w:p>
            <w:pPr>
              <w:pStyle w:val="17"/>
              <w:bidi w:val="0"/>
              <w:rPr>
                <w:rFonts w:hint="default"/>
              </w:rPr>
            </w:pPr>
            <w:r>
              <w:rPr>
                <w:rFonts w:hint="default"/>
              </w:rPr>
              <w:t>/</w:t>
            </w:r>
          </w:p>
        </w:tc>
        <w:tc>
          <w:tcPr>
            <w:tcW w:w="1532" w:type="dxa"/>
            <w:tcBorders>
              <w:tl2br w:val="nil"/>
              <w:tr2bl w:val="nil"/>
            </w:tcBorders>
            <w:vAlign w:val="center"/>
          </w:tcPr>
          <w:p>
            <w:pPr>
              <w:pStyle w:val="17"/>
              <w:bidi w:val="0"/>
              <w:rPr>
                <w:rFonts w:hint="default"/>
              </w:rPr>
            </w:pPr>
            <w:r>
              <w:rPr>
                <w:rFonts w:hint="default"/>
              </w:rPr>
              <w:t>声环境功能</w:t>
            </w:r>
            <w:r>
              <w:rPr>
                <w:rFonts w:hint="eastAsia"/>
                <w:lang w:val="en-US" w:eastAsia="zh-CN"/>
              </w:rPr>
              <w:t>2</w:t>
            </w:r>
            <w:r>
              <w:rPr>
                <w:rFonts w:hint="default"/>
              </w:rPr>
              <w:t>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2" w:type="dxa"/>
            <w:tcBorders>
              <w:tl2br w:val="nil"/>
              <w:tr2bl w:val="nil"/>
            </w:tcBorders>
            <w:vAlign w:val="center"/>
          </w:tcPr>
          <w:p>
            <w:pPr>
              <w:pStyle w:val="17"/>
              <w:bidi w:val="0"/>
              <w:rPr>
                <w:rFonts w:hint="default"/>
              </w:rPr>
            </w:pPr>
            <w:r>
              <w:rPr>
                <w:rFonts w:hint="default"/>
              </w:rPr>
              <w:t>地下水环境</w:t>
            </w:r>
          </w:p>
        </w:tc>
        <w:tc>
          <w:tcPr>
            <w:tcW w:w="2452" w:type="dxa"/>
            <w:tcBorders>
              <w:tl2br w:val="nil"/>
              <w:tr2bl w:val="nil"/>
            </w:tcBorders>
            <w:vAlign w:val="center"/>
          </w:tcPr>
          <w:p>
            <w:pPr>
              <w:pStyle w:val="17"/>
              <w:bidi w:val="0"/>
              <w:rPr>
                <w:rFonts w:hint="default"/>
              </w:rPr>
            </w:pPr>
            <w:r>
              <w:rPr>
                <w:rFonts w:hint="default"/>
              </w:rPr>
              <w:t>厂区地下水</w:t>
            </w:r>
          </w:p>
        </w:tc>
        <w:tc>
          <w:tcPr>
            <w:tcW w:w="1614" w:type="dxa"/>
            <w:tcBorders>
              <w:tl2br w:val="nil"/>
              <w:tr2bl w:val="nil"/>
            </w:tcBorders>
            <w:vAlign w:val="center"/>
          </w:tcPr>
          <w:p>
            <w:pPr>
              <w:pStyle w:val="17"/>
              <w:bidi w:val="0"/>
              <w:rPr>
                <w:rFonts w:hint="default"/>
              </w:rPr>
            </w:pPr>
            <w:r>
              <w:rPr>
                <w:rFonts w:hint="default"/>
              </w:rPr>
              <w:t>/</w:t>
            </w:r>
          </w:p>
        </w:tc>
        <w:tc>
          <w:tcPr>
            <w:tcW w:w="1117" w:type="dxa"/>
            <w:tcBorders>
              <w:tl2br w:val="nil"/>
              <w:tr2bl w:val="nil"/>
            </w:tcBorders>
            <w:vAlign w:val="center"/>
          </w:tcPr>
          <w:p>
            <w:pPr>
              <w:pStyle w:val="17"/>
              <w:bidi w:val="0"/>
              <w:rPr>
                <w:rFonts w:hint="default"/>
              </w:rPr>
            </w:pPr>
            <w:r>
              <w:rPr>
                <w:rFonts w:hint="default"/>
              </w:rPr>
              <w:t>未利用</w:t>
            </w:r>
          </w:p>
        </w:tc>
        <w:tc>
          <w:tcPr>
            <w:tcW w:w="1024" w:type="dxa"/>
            <w:tcBorders>
              <w:tl2br w:val="nil"/>
              <w:tr2bl w:val="nil"/>
            </w:tcBorders>
            <w:vAlign w:val="center"/>
          </w:tcPr>
          <w:p>
            <w:pPr>
              <w:pStyle w:val="17"/>
              <w:bidi w:val="0"/>
              <w:rPr>
                <w:rFonts w:hint="default"/>
              </w:rPr>
            </w:pPr>
            <w:r>
              <w:rPr>
                <w:rFonts w:hint="default"/>
              </w:rPr>
              <w:t>/</w:t>
            </w:r>
          </w:p>
        </w:tc>
        <w:tc>
          <w:tcPr>
            <w:tcW w:w="1532" w:type="dxa"/>
            <w:tcBorders>
              <w:tl2br w:val="nil"/>
              <w:tr2bl w:val="nil"/>
            </w:tcBorders>
            <w:vAlign w:val="center"/>
          </w:tcPr>
          <w:p>
            <w:pPr>
              <w:pStyle w:val="17"/>
              <w:bidi w:val="0"/>
              <w:rPr>
                <w:rFonts w:hint="default"/>
              </w:rPr>
            </w:pPr>
            <w:r>
              <w:rPr>
                <w:rFonts w:hint="default"/>
              </w:rPr>
              <w:t>无生活和灌溉水井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2" w:type="dxa"/>
            <w:tcBorders>
              <w:tl2br w:val="nil"/>
              <w:tr2bl w:val="nil"/>
            </w:tcBorders>
            <w:vAlign w:val="center"/>
          </w:tcPr>
          <w:p>
            <w:pPr>
              <w:pStyle w:val="17"/>
              <w:bidi w:val="0"/>
              <w:rPr>
                <w:rFonts w:hint="default"/>
              </w:rPr>
            </w:pPr>
            <w:r>
              <w:rPr>
                <w:rFonts w:hint="default"/>
              </w:rPr>
              <w:t>生态环境</w:t>
            </w:r>
          </w:p>
        </w:tc>
        <w:tc>
          <w:tcPr>
            <w:tcW w:w="2452" w:type="dxa"/>
            <w:tcBorders>
              <w:tl2br w:val="nil"/>
              <w:tr2bl w:val="nil"/>
            </w:tcBorders>
            <w:vAlign w:val="center"/>
          </w:tcPr>
          <w:p>
            <w:pPr>
              <w:pStyle w:val="17"/>
              <w:bidi w:val="0"/>
              <w:rPr>
                <w:rFonts w:hint="default"/>
              </w:rPr>
            </w:pPr>
            <w:r>
              <w:rPr>
                <w:rFonts w:hint="default"/>
              </w:rPr>
              <w:t>厂址周围1000m</w:t>
            </w:r>
          </w:p>
        </w:tc>
        <w:tc>
          <w:tcPr>
            <w:tcW w:w="1614" w:type="dxa"/>
            <w:tcBorders>
              <w:tl2br w:val="nil"/>
              <w:tr2bl w:val="nil"/>
            </w:tcBorders>
            <w:vAlign w:val="center"/>
          </w:tcPr>
          <w:p>
            <w:pPr>
              <w:pStyle w:val="17"/>
              <w:bidi w:val="0"/>
              <w:rPr>
                <w:rFonts w:hint="default"/>
              </w:rPr>
            </w:pPr>
            <w:r>
              <w:rPr>
                <w:rFonts w:hint="default"/>
              </w:rPr>
              <w:t>/</w:t>
            </w:r>
          </w:p>
        </w:tc>
        <w:tc>
          <w:tcPr>
            <w:tcW w:w="1117" w:type="dxa"/>
            <w:tcBorders>
              <w:tl2br w:val="nil"/>
              <w:tr2bl w:val="nil"/>
            </w:tcBorders>
            <w:vAlign w:val="center"/>
          </w:tcPr>
          <w:p>
            <w:pPr>
              <w:pStyle w:val="17"/>
              <w:bidi w:val="0"/>
              <w:rPr>
                <w:rFonts w:hint="default"/>
              </w:rPr>
            </w:pPr>
            <w:r>
              <w:rPr>
                <w:rFonts w:hint="default"/>
              </w:rPr>
              <w:t>规划</w:t>
            </w:r>
            <w:r>
              <w:rPr>
                <w:rFonts w:hint="eastAsia"/>
                <w:lang w:val="en-US" w:eastAsia="zh-CN"/>
              </w:rPr>
              <w:t>建设用地</w:t>
            </w:r>
          </w:p>
        </w:tc>
        <w:tc>
          <w:tcPr>
            <w:tcW w:w="1024" w:type="dxa"/>
            <w:tcBorders>
              <w:tl2br w:val="nil"/>
              <w:tr2bl w:val="nil"/>
            </w:tcBorders>
            <w:vAlign w:val="center"/>
          </w:tcPr>
          <w:p>
            <w:pPr>
              <w:pStyle w:val="17"/>
              <w:bidi w:val="0"/>
              <w:rPr>
                <w:rFonts w:hint="default"/>
              </w:rPr>
            </w:pPr>
            <w:r>
              <w:rPr>
                <w:rFonts w:hint="default"/>
              </w:rPr>
              <w:t>/</w:t>
            </w:r>
          </w:p>
        </w:tc>
        <w:tc>
          <w:tcPr>
            <w:tcW w:w="1532" w:type="dxa"/>
            <w:tcBorders>
              <w:tl2br w:val="nil"/>
              <w:tr2bl w:val="nil"/>
            </w:tcBorders>
            <w:vAlign w:val="center"/>
          </w:tcPr>
          <w:p>
            <w:pPr>
              <w:pStyle w:val="17"/>
              <w:bidi w:val="0"/>
              <w:rPr>
                <w:rFonts w:hint="default"/>
              </w:rPr>
            </w:pPr>
            <w:r>
              <w:rPr>
                <w:rFonts w:hint="default"/>
              </w:rPr>
              <w:t>最大限度减少项目对区域生态的影响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2" w:type="dxa"/>
            <w:tcBorders>
              <w:tl2br w:val="nil"/>
              <w:tr2bl w:val="nil"/>
            </w:tcBorders>
            <w:vAlign w:val="center"/>
          </w:tcPr>
          <w:p>
            <w:pPr>
              <w:pStyle w:val="17"/>
              <w:bidi w:val="0"/>
              <w:rPr>
                <w:rFonts w:hint="eastAsia" w:eastAsia="宋体"/>
                <w:lang w:val="en-US" w:eastAsia="zh-CN"/>
              </w:rPr>
            </w:pPr>
            <w:r>
              <w:rPr>
                <w:rFonts w:hint="eastAsia"/>
                <w:lang w:val="en-US" w:eastAsia="zh-CN"/>
              </w:rPr>
              <w:t>土壤</w:t>
            </w:r>
          </w:p>
        </w:tc>
        <w:tc>
          <w:tcPr>
            <w:tcW w:w="2452" w:type="dxa"/>
            <w:tcBorders>
              <w:tl2br w:val="nil"/>
              <w:tr2bl w:val="nil"/>
            </w:tcBorders>
            <w:vAlign w:val="center"/>
          </w:tcPr>
          <w:p>
            <w:pPr>
              <w:pStyle w:val="17"/>
              <w:bidi w:val="0"/>
              <w:rPr>
                <w:rFonts w:hint="default" w:eastAsia="宋体"/>
                <w:lang w:val="en-US" w:eastAsia="zh-CN"/>
              </w:rPr>
            </w:pPr>
            <w:r>
              <w:rPr>
                <w:rFonts w:hint="eastAsia"/>
                <w:lang w:val="en-US" w:eastAsia="zh-CN"/>
              </w:rPr>
              <w:t>厂址西南侧50m</w:t>
            </w:r>
          </w:p>
        </w:tc>
        <w:tc>
          <w:tcPr>
            <w:tcW w:w="1614" w:type="dxa"/>
            <w:tcBorders>
              <w:tl2br w:val="nil"/>
              <w:tr2bl w:val="nil"/>
            </w:tcBorders>
            <w:vAlign w:val="center"/>
          </w:tcPr>
          <w:p>
            <w:pPr>
              <w:pStyle w:val="17"/>
              <w:bidi w:val="0"/>
              <w:rPr>
                <w:rFonts w:hint="default" w:eastAsia="宋体"/>
                <w:lang w:val="en-US" w:eastAsia="zh-CN"/>
              </w:rPr>
            </w:pPr>
            <w:r>
              <w:rPr>
                <w:rFonts w:hint="eastAsia"/>
                <w:lang w:val="en-US" w:eastAsia="zh-CN"/>
              </w:rPr>
              <w:t>50m范围内</w:t>
            </w:r>
          </w:p>
        </w:tc>
        <w:tc>
          <w:tcPr>
            <w:tcW w:w="1117" w:type="dxa"/>
            <w:tcBorders>
              <w:tl2br w:val="nil"/>
              <w:tr2bl w:val="nil"/>
            </w:tcBorders>
            <w:vAlign w:val="center"/>
          </w:tcPr>
          <w:p>
            <w:pPr>
              <w:pStyle w:val="17"/>
              <w:bidi w:val="0"/>
              <w:rPr>
                <w:rFonts w:hint="default" w:eastAsia="宋体"/>
                <w:lang w:val="en-US" w:eastAsia="zh-CN"/>
              </w:rPr>
            </w:pPr>
            <w:r>
              <w:rPr>
                <w:rFonts w:hint="eastAsia"/>
                <w:lang w:val="en-US" w:eastAsia="zh-CN"/>
              </w:rPr>
              <w:t>农田</w:t>
            </w:r>
          </w:p>
        </w:tc>
        <w:tc>
          <w:tcPr>
            <w:tcW w:w="1024" w:type="dxa"/>
            <w:tcBorders>
              <w:tl2br w:val="nil"/>
              <w:tr2bl w:val="nil"/>
            </w:tcBorders>
            <w:vAlign w:val="center"/>
          </w:tcPr>
          <w:p>
            <w:pPr>
              <w:pStyle w:val="17"/>
              <w:bidi w:val="0"/>
              <w:rPr>
                <w:rFonts w:hint="default"/>
              </w:rPr>
            </w:pPr>
          </w:p>
        </w:tc>
        <w:tc>
          <w:tcPr>
            <w:tcW w:w="1532" w:type="dxa"/>
            <w:tcBorders>
              <w:tl2br w:val="nil"/>
              <w:tr2bl w:val="nil"/>
            </w:tcBorders>
            <w:vAlign w:val="center"/>
          </w:tcPr>
          <w:p>
            <w:pPr>
              <w:pStyle w:val="17"/>
              <w:bidi w:val="0"/>
              <w:rPr>
                <w:rFonts w:hint="default"/>
              </w:rPr>
            </w:pPr>
          </w:p>
        </w:tc>
      </w:tr>
      <w:bookmarkEnd w:id="222"/>
      <w:bookmarkEnd w:id="223"/>
      <w:bookmarkEnd w:id="224"/>
    </w:tbl>
    <w:p>
      <w:pPr>
        <w:pStyle w:val="4"/>
        <w:bidi w:val="0"/>
        <w:rPr>
          <w:rFonts w:hint="default"/>
        </w:rPr>
      </w:pPr>
      <w:bookmarkStart w:id="228" w:name="_Toc299381563"/>
      <w:bookmarkStart w:id="229" w:name="_Toc300831165"/>
      <w:bookmarkStart w:id="230" w:name="_Toc310503820"/>
      <w:bookmarkStart w:id="231" w:name="_Toc321043938"/>
      <w:bookmarkStart w:id="232" w:name="_Toc9825"/>
      <w:bookmarkStart w:id="233" w:name="_Toc475876359"/>
      <w:bookmarkStart w:id="234" w:name="_Toc282283378"/>
      <w:bookmarkStart w:id="235" w:name="_Toc13023"/>
      <w:r>
        <w:rPr>
          <w:rFonts w:hint="default"/>
        </w:rPr>
        <w:t>6.3</w:t>
      </w:r>
      <w:r>
        <w:rPr>
          <w:rFonts w:hint="eastAsia"/>
          <w:lang w:eastAsia="zh-CN"/>
        </w:rPr>
        <w:t>、</w:t>
      </w:r>
      <w:r>
        <w:rPr>
          <w:rFonts w:hint="default"/>
        </w:rPr>
        <w:t>环境风险识别</w:t>
      </w:r>
      <w:bookmarkEnd w:id="228"/>
      <w:bookmarkEnd w:id="229"/>
      <w:bookmarkEnd w:id="230"/>
      <w:bookmarkEnd w:id="231"/>
      <w:bookmarkEnd w:id="232"/>
      <w:bookmarkEnd w:id="233"/>
      <w:bookmarkEnd w:id="234"/>
      <w:bookmarkEnd w:id="235"/>
    </w:p>
    <w:p>
      <w:pPr>
        <w:bidi w:val="0"/>
        <w:rPr>
          <w:rFonts w:hint="default"/>
        </w:rPr>
      </w:pPr>
      <w:r>
        <w:rPr>
          <w:rFonts w:hint="default"/>
        </w:rPr>
        <w:t>本次风险系统识别主要从物质危险性、设备装置危险性、贮存过程危险性和消防伴生环境风险等几个方面去分析本项目存在的环境风险。</w:t>
      </w:r>
    </w:p>
    <w:p>
      <w:pPr>
        <w:pStyle w:val="5"/>
        <w:bidi w:val="0"/>
        <w:rPr>
          <w:rFonts w:hint="default"/>
        </w:rPr>
      </w:pPr>
      <w:bookmarkStart w:id="236" w:name="_Toc287628663"/>
      <w:bookmarkStart w:id="237" w:name="_Toc287627770"/>
      <w:bookmarkStart w:id="238" w:name="_Toc286878510"/>
      <w:bookmarkStart w:id="239" w:name="_Toc255912747"/>
      <w:bookmarkStart w:id="240" w:name="_Toc256341250"/>
      <w:r>
        <w:rPr>
          <w:rFonts w:hint="default"/>
        </w:rPr>
        <w:t>6.3.1</w:t>
      </w:r>
      <w:r>
        <w:rPr>
          <w:rFonts w:hint="eastAsia"/>
          <w:lang w:eastAsia="zh-CN"/>
        </w:rPr>
        <w:t>、</w:t>
      </w:r>
      <w:r>
        <w:rPr>
          <w:rFonts w:hint="default"/>
        </w:rPr>
        <w:t>物质危险性识别</w:t>
      </w:r>
      <w:bookmarkEnd w:id="236"/>
      <w:bookmarkEnd w:id="237"/>
      <w:bookmarkEnd w:id="238"/>
      <w:bookmarkEnd w:id="239"/>
      <w:bookmarkEnd w:id="240"/>
    </w:p>
    <w:p>
      <w:pPr>
        <w:bidi w:val="0"/>
        <w:rPr>
          <w:rFonts w:hint="default"/>
        </w:rPr>
      </w:pPr>
      <w:r>
        <w:rPr>
          <w:rFonts w:hint="default"/>
        </w:rPr>
        <w:t>（1）原料的危险性识别</w:t>
      </w:r>
    </w:p>
    <w:p>
      <w:pPr>
        <w:bidi w:val="0"/>
        <w:rPr>
          <w:rFonts w:hint="default"/>
        </w:rPr>
      </w:pPr>
      <w:r>
        <w:rPr>
          <w:rFonts w:hint="default"/>
        </w:rPr>
        <w:t>危险化学品的危害特性主要包括火灾爆炸危险性、人体健康危险性以及反应危险性。本项目生产过程中并未使用有毒物质，原材料为聚乙烯，属于可燃性危险源。</w:t>
      </w:r>
    </w:p>
    <w:p>
      <w:pPr>
        <w:bidi w:val="0"/>
        <w:rPr>
          <w:rFonts w:hint="default" w:eastAsia="宋体"/>
          <w:lang w:val="en-US" w:eastAsia="zh-CN"/>
        </w:rPr>
      </w:pPr>
      <w:r>
        <w:rPr>
          <w:rFonts w:hint="default"/>
        </w:rPr>
        <w:t>根据《建设项目环境风险评价技术导则》（HJ/T169-2004）附录A、《危险化学品重大危险源辨识》（GB18218-2014）和《危险化学品目录（2005版）》的有关规定，本项目在生产过程中使用的主要原材料为聚乙烯，未被列入《危险化学品重大危险源辨识》（GB18218-2014）监控目录，属非重大危险源。</w:t>
      </w:r>
      <w:r>
        <w:rPr>
          <w:rFonts w:hint="eastAsia"/>
          <w:lang w:val="en-US" w:eastAsia="zh-CN"/>
        </w:rPr>
        <w:t>本项目设备维养护产生的废机油属于突发环境事件风险物质，其临界量为2500t，本项目最大储量为0.2t。</w:t>
      </w:r>
    </w:p>
    <w:p>
      <w:pPr>
        <w:bidi w:val="0"/>
        <w:rPr>
          <w:rFonts w:hint="default"/>
        </w:rPr>
      </w:pPr>
      <w:r>
        <w:rPr>
          <w:rFonts w:hint="default"/>
        </w:rPr>
        <w:t>（2）产品识别</w:t>
      </w:r>
    </w:p>
    <w:p>
      <w:pPr>
        <w:bidi w:val="0"/>
        <w:rPr>
          <w:rFonts w:hint="default"/>
        </w:rPr>
      </w:pPr>
      <w:r>
        <w:rPr>
          <w:rFonts w:hint="default"/>
        </w:rPr>
        <w:t>本项目以废旧滴灌带为主要原料，制取塑料颗粒和滴灌带，经查《危险化学品名录（2015）》，本项目产品不属于危险化学品，对照《建设项目环境风险评价技术导则》（HJ/T169-2004）不属于有毒物质。</w:t>
      </w:r>
    </w:p>
    <w:p>
      <w:pPr>
        <w:bidi w:val="0"/>
        <w:rPr>
          <w:rFonts w:hint="default"/>
        </w:rPr>
      </w:pPr>
      <w:r>
        <w:rPr>
          <w:rFonts w:hint="default"/>
        </w:rPr>
        <w:t>（3）</w:t>
      </w:r>
      <w:r>
        <w:rPr>
          <w:rFonts w:hint="eastAsia"/>
          <w:lang w:eastAsia="zh-CN"/>
        </w:rPr>
        <w:t>“</w:t>
      </w:r>
      <w:r>
        <w:rPr>
          <w:rFonts w:hint="default"/>
        </w:rPr>
        <w:t>三废</w:t>
      </w:r>
      <w:r>
        <w:rPr>
          <w:rFonts w:hint="eastAsia"/>
          <w:lang w:eastAsia="zh-CN"/>
        </w:rPr>
        <w:t>”</w:t>
      </w:r>
      <w:r>
        <w:rPr>
          <w:rFonts w:hint="default"/>
        </w:rPr>
        <w:t>污染物识别</w:t>
      </w:r>
    </w:p>
    <w:p>
      <w:pPr>
        <w:bidi w:val="0"/>
        <w:rPr>
          <w:rFonts w:hint="default"/>
        </w:rPr>
      </w:pPr>
      <w:r>
        <w:rPr>
          <w:rFonts w:hint="default"/>
        </w:rPr>
        <w:t>项目产生的污染物主要包括废气、废水和固体废物，本项目废水主要为生产废水和生活污水，生产废水主要污染因子为SS；固体废物主要是一般固体废气物和生活垃圾，废气主要是VOCs，VOCs废气属于有害物质。</w:t>
      </w:r>
    </w:p>
    <w:p>
      <w:pPr>
        <w:pStyle w:val="5"/>
        <w:bidi w:val="0"/>
        <w:rPr>
          <w:rFonts w:hint="default"/>
        </w:rPr>
      </w:pPr>
      <w:bookmarkStart w:id="241" w:name="_Toc255912748"/>
      <w:bookmarkStart w:id="242" w:name="_Toc286878511"/>
      <w:bookmarkStart w:id="243" w:name="_Toc287628664"/>
      <w:bookmarkStart w:id="244" w:name="_Toc256341251"/>
      <w:bookmarkStart w:id="245" w:name="_Toc287627771"/>
      <w:r>
        <w:rPr>
          <w:rFonts w:hint="default"/>
        </w:rPr>
        <w:t>6.3.2</w:t>
      </w:r>
      <w:r>
        <w:rPr>
          <w:rFonts w:hint="eastAsia"/>
          <w:lang w:eastAsia="zh-CN"/>
        </w:rPr>
        <w:t>、</w:t>
      </w:r>
      <w:r>
        <w:rPr>
          <w:rFonts w:hint="default"/>
        </w:rPr>
        <w:t>生产系统危险性</w:t>
      </w:r>
      <w:bookmarkEnd w:id="241"/>
      <w:bookmarkEnd w:id="242"/>
      <w:bookmarkEnd w:id="243"/>
      <w:bookmarkEnd w:id="244"/>
      <w:bookmarkEnd w:id="245"/>
    </w:p>
    <w:p>
      <w:pPr>
        <w:bidi w:val="0"/>
        <w:rPr>
          <w:rFonts w:hint="default"/>
        </w:rPr>
      </w:pPr>
      <w:bookmarkStart w:id="246" w:name="_Toc286878512"/>
      <w:bookmarkStart w:id="247" w:name="_Toc287628665"/>
      <w:bookmarkStart w:id="248" w:name="_Toc287627772"/>
      <w:r>
        <w:rPr>
          <w:rFonts w:hint="default"/>
        </w:rPr>
        <w:t>（1）生产装置风险识别</w:t>
      </w:r>
    </w:p>
    <w:p>
      <w:pPr>
        <w:bidi w:val="0"/>
        <w:rPr>
          <w:rFonts w:hint="default"/>
        </w:rPr>
      </w:pPr>
      <w:r>
        <w:rPr>
          <w:rFonts w:hint="default"/>
        </w:rPr>
        <w:t>生产操作过程中必须加强安全管理，提高事故防范措施。突发性污染事故，</w:t>
      </w:r>
      <w:r>
        <w:rPr>
          <w:rFonts w:hint="eastAsia"/>
          <w:lang w:val="en-US" w:eastAsia="zh-CN"/>
        </w:rPr>
        <w:t>主要是</w:t>
      </w:r>
      <w:r>
        <w:rPr>
          <w:rFonts w:hint="default"/>
        </w:rPr>
        <w:t>是废气处理设施发生故障将对事故现场人员的生命和健康造成严重危害，此外还</w:t>
      </w:r>
      <w:r>
        <w:rPr>
          <w:rFonts w:hint="eastAsia"/>
          <w:lang w:val="en-US" w:eastAsia="zh-CN"/>
        </w:rPr>
        <w:t>可能</w:t>
      </w:r>
      <w:r>
        <w:rPr>
          <w:rFonts w:hint="default"/>
        </w:rPr>
        <w:t>将造成巨大的经济损失，以及社会不安定因素，同时对生态环境也会造成严重的破坏。因此，做好突发性环境污染事故的预防，提高对突发性污染事故的应急处理和处置能力，对企业具有重要的意义。发生突发性污染事故的诱发因素很多，其中被认为重要的因素有：</w:t>
      </w:r>
    </w:p>
    <w:p>
      <w:pPr>
        <w:bidi w:val="0"/>
        <w:rPr>
          <w:rFonts w:hint="default"/>
        </w:rPr>
      </w:pPr>
      <w:r>
        <w:rPr>
          <w:rFonts w:hint="default"/>
        </w:rPr>
        <w:t>a 设计上存在缺陷；</w:t>
      </w:r>
    </w:p>
    <w:p>
      <w:pPr>
        <w:bidi w:val="0"/>
        <w:rPr>
          <w:rFonts w:hint="default"/>
        </w:rPr>
      </w:pPr>
      <w:r>
        <w:rPr>
          <w:rFonts w:hint="default"/>
        </w:rPr>
        <w:t>b 设备质量差，或过度超时、超负荷运转；</w:t>
      </w:r>
    </w:p>
    <w:p>
      <w:pPr>
        <w:bidi w:val="0"/>
        <w:rPr>
          <w:rFonts w:hint="default"/>
        </w:rPr>
      </w:pPr>
      <w:r>
        <w:rPr>
          <w:rFonts w:hint="default"/>
        </w:rPr>
        <w:t>c 管理或指挥失误；</w:t>
      </w:r>
    </w:p>
    <w:p>
      <w:pPr>
        <w:bidi w:val="0"/>
        <w:rPr>
          <w:rFonts w:hint="default"/>
        </w:rPr>
      </w:pPr>
      <w:r>
        <w:rPr>
          <w:rFonts w:hint="default"/>
        </w:rPr>
        <w:t>d 违章操作；</w:t>
      </w:r>
    </w:p>
    <w:p>
      <w:pPr>
        <w:bidi w:val="0"/>
        <w:rPr>
          <w:rFonts w:hint="default"/>
        </w:rPr>
      </w:pPr>
      <w:r>
        <w:rPr>
          <w:rFonts w:hint="default"/>
        </w:rPr>
        <w:t>e 废气处理设施出现故障或是长时间没有经过整修清理。</w:t>
      </w:r>
    </w:p>
    <w:p>
      <w:pPr>
        <w:bidi w:val="0"/>
        <w:rPr>
          <w:rFonts w:hint="default"/>
        </w:rPr>
      </w:pPr>
      <w:r>
        <w:rPr>
          <w:rFonts w:hint="default"/>
        </w:rPr>
        <w:t>因此，对突发性污染事故的防治对策，应从以上几点严格控制和管理，加强事故措施和事故应急处理单技能，懂得紧急救援的知识。将预防为主，安全第一的理念作为减少事故发生、降低污染事故损害的主要保障。</w:t>
      </w:r>
    </w:p>
    <w:p>
      <w:pPr>
        <w:bidi w:val="0"/>
        <w:rPr>
          <w:rFonts w:hint="default"/>
        </w:rPr>
      </w:pPr>
      <w:r>
        <w:rPr>
          <w:rFonts w:hint="default"/>
        </w:rPr>
        <w:t>（2）贮存过程危险性</w:t>
      </w:r>
      <w:bookmarkEnd w:id="246"/>
      <w:bookmarkEnd w:id="247"/>
      <w:bookmarkEnd w:id="248"/>
    </w:p>
    <w:p>
      <w:pPr>
        <w:bidi w:val="0"/>
        <w:rPr>
          <w:rFonts w:hint="default"/>
        </w:rPr>
      </w:pPr>
      <w:r>
        <w:rPr>
          <w:rFonts w:hint="default"/>
        </w:rPr>
        <w:t>废塑料的储存过程在正常情况下的环境风险很小，但堆存时遇热源，废塑料会因受到外来的热量且相互传热，而分解出可燃性有机气体，对周围大气环境造成一定程度的污染。如果贮存过程管理不善，与空气中的氧气相混合而着火，有可能发生火灾事故。</w:t>
      </w:r>
    </w:p>
    <w:p>
      <w:pPr>
        <w:bidi w:val="0"/>
        <w:rPr>
          <w:rFonts w:hint="default"/>
        </w:rPr>
      </w:pPr>
      <w:r>
        <w:rPr>
          <w:rFonts w:hint="default"/>
        </w:rPr>
        <w:t>（3）公用工程</w:t>
      </w:r>
    </w:p>
    <w:p>
      <w:pPr>
        <w:bidi w:val="0"/>
        <w:rPr>
          <w:rFonts w:hint="default"/>
        </w:rPr>
      </w:pPr>
      <w:r>
        <w:rPr>
          <w:rFonts w:hint="default"/>
        </w:rPr>
        <w:t>配电室内由于变、配电设备较多，本身就具有</w:t>
      </w:r>
      <w:r>
        <w:rPr>
          <w:rFonts w:hint="eastAsia"/>
          <w:lang w:val="en-US" w:eastAsia="zh-CN"/>
        </w:rPr>
        <w:t>一定</w:t>
      </w:r>
      <w:r>
        <w:rPr>
          <w:rFonts w:hint="default"/>
        </w:rPr>
        <w:t>的危险性，发生事故的危险程度</w:t>
      </w:r>
      <w:r>
        <w:rPr>
          <w:rFonts w:hint="eastAsia"/>
          <w:lang w:val="en-US" w:eastAsia="zh-CN"/>
        </w:rPr>
        <w:t>较</w:t>
      </w:r>
      <w:r>
        <w:rPr>
          <w:rFonts w:hint="default"/>
        </w:rPr>
        <w:t>高。该装置发生火灾和爆炸事故的主要原因有：线路短路和断路产生电火花，油气串入渗入与电发生火灾，用电负荷超载引起线路起火，设备自身故障导致过热引起火灾，设备接地不良遇雷电引起火灾等。</w:t>
      </w:r>
    </w:p>
    <w:p>
      <w:pPr>
        <w:bidi w:val="0"/>
        <w:rPr>
          <w:rFonts w:hint="default"/>
        </w:rPr>
      </w:pPr>
      <w:r>
        <w:rPr>
          <w:rFonts w:hint="default"/>
        </w:rPr>
        <w:t>如果易燃物料、可燃气体引发火灾风险，对火灾消防泡沫、消防水等处理不当会引发伴生的环境污染影响。</w:t>
      </w:r>
    </w:p>
    <w:p>
      <w:pPr>
        <w:bidi w:val="0"/>
        <w:rPr>
          <w:rFonts w:hint="default"/>
        </w:rPr>
      </w:pPr>
      <w:r>
        <w:rPr>
          <w:rFonts w:hint="default"/>
        </w:rPr>
        <w:t>（4）环保工程</w:t>
      </w:r>
    </w:p>
    <w:p>
      <w:pPr>
        <w:bidi w:val="0"/>
        <w:rPr>
          <w:rFonts w:hint="default"/>
        </w:rPr>
      </w:pPr>
      <w:r>
        <w:rPr>
          <w:rFonts w:hint="default"/>
        </w:rPr>
        <w:t>本项目废气主要是非甲烷总烃，根据本项目特点采用等离子光氧</w:t>
      </w:r>
      <w:r>
        <w:rPr>
          <w:rFonts w:hint="default"/>
          <w:lang w:val="en-US" w:eastAsia="zh-CN"/>
        </w:rPr>
        <w:t>一体机</w:t>
      </w:r>
      <w:r>
        <w:rPr>
          <w:rFonts w:hint="eastAsia"/>
          <w:lang w:val="en-US" w:eastAsia="zh-CN"/>
        </w:rPr>
        <w:t>+活性炭吸附装置</w:t>
      </w:r>
      <w:r>
        <w:rPr>
          <w:rFonts w:hint="default"/>
        </w:rPr>
        <w:t>处置废气；生活污水经</w:t>
      </w:r>
      <w:r>
        <w:rPr>
          <w:rFonts w:hint="eastAsia"/>
          <w:lang w:val="en-US" w:eastAsia="zh-CN"/>
        </w:rPr>
        <w:t>隔油、化粪池预处理后，抽运至吉木萨尔县二工镇污水处理厂进行后续处理</w:t>
      </w:r>
      <w:r>
        <w:rPr>
          <w:rFonts w:hint="default"/>
        </w:rPr>
        <w:t>，生产废水经循环沉淀后全部回用于生产，不外排，固废主要为一般生产固废和生活垃圾。以上环保工程正常情况下的环境风险很小。但当设备出现故障，管理不到位等情况下，将会造成环境污染。</w:t>
      </w:r>
    </w:p>
    <w:p>
      <w:pPr>
        <w:bidi w:val="0"/>
        <w:rPr>
          <w:rFonts w:hint="default"/>
        </w:rPr>
      </w:pPr>
      <w:bookmarkStart w:id="249" w:name="_Toc286878513"/>
      <w:bookmarkStart w:id="250" w:name="_Toc255912750"/>
      <w:bookmarkStart w:id="251" w:name="_Toc256341253"/>
      <w:bookmarkStart w:id="252" w:name="_Toc287627773"/>
      <w:bookmarkStart w:id="253" w:name="_Toc287628666"/>
      <w:r>
        <w:rPr>
          <w:rFonts w:hint="default"/>
        </w:rPr>
        <w:t>（5）其他风险因素</w:t>
      </w:r>
      <w:bookmarkEnd w:id="249"/>
      <w:bookmarkEnd w:id="250"/>
      <w:bookmarkEnd w:id="251"/>
      <w:bookmarkEnd w:id="252"/>
      <w:bookmarkEnd w:id="253"/>
    </w:p>
    <w:p>
      <w:pPr>
        <w:bidi w:val="0"/>
        <w:rPr>
          <w:rFonts w:hint="default"/>
        </w:rPr>
      </w:pPr>
      <w:r>
        <w:rPr>
          <w:rFonts w:hint="default"/>
        </w:rPr>
        <w:t>当发生自然灾害，如地震、强风、雷电、气候骤冷、骤热，公共消防设施支援不够、受相邻危险性大的装置事故影响等都可能导致风险事故的发生。</w:t>
      </w:r>
    </w:p>
    <w:p>
      <w:pPr>
        <w:bidi w:val="0"/>
        <w:rPr>
          <w:rFonts w:hint="default"/>
        </w:rPr>
      </w:pPr>
      <w:r>
        <w:rPr>
          <w:rFonts w:hint="default"/>
        </w:rPr>
        <w:t>结合本项目所在地区的自然环境、社会环境对事故风险因素分析如下：</w:t>
      </w:r>
    </w:p>
    <w:p>
      <w:pPr>
        <w:bidi w:val="0"/>
        <w:rPr>
          <w:rFonts w:hint="default"/>
        </w:rPr>
      </w:pPr>
      <w:r>
        <w:rPr>
          <w:rFonts w:hint="default"/>
        </w:rPr>
        <w:t>①地震</w:t>
      </w:r>
    </w:p>
    <w:p>
      <w:pPr>
        <w:bidi w:val="0"/>
        <w:rPr>
          <w:rFonts w:hint="default"/>
        </w:rPr>
      </w:pPr>
      <w:r>
        <w:rPr>
          <w:rFonts w:hint="default"/>
        </w:rPr>
        <w:t>评价区在中国地震烈度区划图中地震烈度为7度，区域内未发现明显的地震构造断裂结构，地震直接破坏生产设施的可能性较小。</w:t>
      </w:r>
    </w:p>
    <w:p>
      <w:pPr>
        <w:bidi w:val="0"/>
        <w:rPr>
          <w:rFonts w:hint="default"/>
        </w:rPr>
      </w:pPr>
      <w:r>
        <w:rPr>
          <w:rFonts w:hint="default"/>
        </w:rPr>
        <w:t>②雷电</w:t>
      </w:r>
    </w:p>
    <w:p>
      <w:pPr>
        <w:bidi w:val="0"/>
        <w:rPr>
          <w:rFonts w:hint="default"/>
        </w:rPr>
      </w:pPr>
      <w:r>
        <w:rPr>
          <w:rFonts w:hint="default"/>
        </w:rPr>
        <w:t>发生雷电天气的几率较小，但是一旦引发事故后果严重，因此要加强生产装置防雷、防静电设施的维护，定期检测，确保达到设计规范的要求。</w:t>
      </w:r>
    </w:p>
    <w:p>
      <w:pPr>
        <w:bidi w:val="0"/>
        <w:rPr>
          <w:rFonts w:hint="default"/>
        </w:rPr>
      </w:pPr>
      <w:r>
        <w:rPr>
          <w:rFonts w:hint="default"/>
        </w:rPr>
        <w:t>③极端气温</w:t>
      </w:r>
    </w:p>
    <w:p>
      <w:pPr>
        <w:bidi w:val="0"/>
        <w:rPr>
          <w:rFonts w:hint="default"/>
        </w:rPr>
      </w:pPr>
      <w:r>
        <w:rPr>
          <w:rFonts w:hint="default"/>
        </w:rPr>
        <w:t>厂址所在地区极端最高气温</w:t>
      </w:r>
      <w:r>
        <w:rPr>
          <w:rFonts w:hint="eastAsia"/>
          <w:lang w:val="en-US" w:eastAsia="zh-CN"/>
        </w:rPr>
        <w:t>41.0</w:t>
      </w:r>
      <w:r>
        <w:rPr>
          <w:rFonts w:hint="default"/>
        </w:rPr>
        <w:t>℃，极端最低气温-</w:t>
      </w:r>
      <w:r>
        <w:rPr>
          <w:rFonts w:hint="eastAsia"/>
          <w:lang w:val="en-US" w:eastAsia="zh-CN"/>
        </w:rPr>
        <w:t>36.8</w:t>
      </w:r>
      <w:r>
        <w:rPr>
          <w:rFonts w:hint="default"/>
        </w:rPr>
        <w:t>℃，年极端温差达7</w:t>
      </w:r>
      <w:r>
        <w:rPr>
          <w:rFonts w:hint="eastAsia"/>
          <w:lang w:val="en-US" w:eastAsia="zh-CN"/>
        </w:rPr>
        <w:t>7</w:t>
      </w:r>
      <w:r>
        <w:rPr>
          <w:rFonts w:hint="default"/>
        </w:rPr>
        <w:t>.8℃左右。高温天气容易诱发火源，寒冷天气有可能造成水管道冻裂。</w:t>
      </w:r>
    </w:p>
    <w:p>
      <w:pPr>
        <w:pStyle w:val="5"/>
        <w:bidi w:val="0"/>
        <w:rPr>
          <w:rFonts w:hint="default"/>
        </w:rPr>
      </w:pPr>
      <w:bookmarkStart w:id="254" w:name="_Toc256341254"/>
      <w:bookmarkStart w:id="255" w:name="_Toc287628667"/>
      <w:bookmarkStart w:id="256" w:name="_Toc286878514"/>
      <w:bookmarkStart w:id="257" w:name="_Toc287627774"/>
      <w:bookmarkStart w:id="258" w:name="_Toc255912751"/>
      <w:bookmarkStart w:id="259" w:name="_Toc287628670"/>
      <w:bookmarkStart w:id="260" w:name="_Toc255912754"/>
      <w:bookmarkStart w:id="261" w:name="_Toc256341257"/>
      <w:bookmarkStart w:id="262" w:name="_Toc286878517"/>
      <w:bookmarkStart w:id="263" w:name="_Toc287627777"/>
      <w:r>
        <w:rPr>
          <w:rFonts w:hint="default"/>
        </w:rPr>
        <w:t>6.3.3</w:t>
      </w:r>
      <w:r>
        <w:rPr>
          <w:rFonts w:hint="eastAsia"/>
          <w:lang w:eastAsia="zh-CN"/>
        </w:rPr>
        <w:t>、</w:t>
      </w:r>
      <w:r>
        <w:rPr>
          <w:rFonts w:hint="default"/>
        </w:rPr>
        <w:t>风险识别小结</w:t>
      </w:r>
      <w:bookmarkEnd w:id="254"/>
      <w:bookmarkEnd w:id="255"/>
      <w:bookmarkEnd w:id="256"/>
      <w:bookmarkEnd w:id="257"/>
      <w:bookmarkEnd w:id="258"/>
    </w:p>
    <w:p>
      <w:pPr>
        <w:bidi w:val="0"/>
        <w:rPr>
          <w:rFonts w:hint="default"/>
        </w:rPr>
      </w:pPr>
      <w:r>
        <w:rPr>
          <w:rFonts w:hint="default"/>
        </w:rPr>
        <w:t>根据对环境风险物质的筛选和工艺流程确定本评价的生产设施风险单元主要为储存单元（储存原料和成品的库房）和生产车间，在生产过程中有可能发生火灾事故，将对人类生命、物质财产和环境安全构成威胁。</w:t>
      </w:r>
    </w:p>
    <w:p>
      <w:pPr>
        <w:bidi w:val="0"/>
        <w:rPr>
          <w:rFonts w:hint="default"/>
        </w:rPr>
      </w:pPr>
      <w:r>
        <w:rPr>
          <w:rFonts w:hint="default"/>
        </w:rPr>
        <w:t>潜在风险事故类型及因素见表6.3-1。</w:t>
      </w:r>
    </w:p>
    <w:p>
      <w:pPr>
        <w:pStyle w:val="17"/>
        <w:bidi w:val="0"/>
        <w:rPr>
          <w:rFonts w:hint="default"/>
          <w:b/>
          <w:bCs/>
        </w:rPr>
      </w:pPr>
      <w:r>
        <w:rPr>
          <w:rFonts w:hint="default"/>
          <w:b/>
          <w:bCs/>
        </w:rPr>
        <w:t xml:space="preserve">表6.3-1  </w:t>
      </w:r>
      <w:r>
        <w:rPr>
          <w:rFonts w:hint="eastAsia"/>
          <w:b/>
          <w:bCs/>
          <w:lang w:val="en-US" w:eastAsia="zh-CN"/>
        </w:rPr>
        <w:t xml:space="preserve"> </w:t>
      </w:r>
      <w:r>
        <w:rPr>
          <w:rFonts w:hint="default"/>
          <w:b/>
          <w:bCs/>
        </w:rPr>
        <w:t>潜在风险事故类型及因素</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43"/>
        <w:gridCol w:w="1366"/>
        <w:gridCol w:w="2449"/>
        <w:gridCol w:w="36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1643" w:type="dxa"/>
            <w:tcBorders>
              <w:tl2br w:val="nil"/>
              <w:tr2bl w:val="nil"/>
            </w:tcBorders>
            <w:vAlign w:val="center"/>
          </w:tcPr>
          <w:p>
            <w:pPr>
              <w:pStyle w:val="17"/>
              <w:bidi w:val="0"/>
              <w:rPr>
                <w:rFonts w:hint="default"/>
                <w:b/>
                <w:bCs/>
              </w:rPr>
            </w:pPr>
            <w:r>
              <w:rPr>
                <w:rFonts w:hint="default"/>
                <w:b/>
                <w:bCs/>
              </w:rPr>
              <w:t>设施</w:t>
            </w:r>
          </w:p>
        </w:tc>
        <w:tc>
          <w:tcPr>
            <w:tcW w:w="1366" w:type="dxa"/>
            <w:tcBorders>
              <w:tl2br w:val="nil"/>
              <w:tr2bl w:val="nil"/>
            </w:tcBorders>
            <w:vAlign w:val="center"/>
          </w:tcPr>
          <w:p>
            <w:pPr>
              <w:pStyle w:val="17"/>
              <w:bidi w:val="0"/>
              <w:rPr>
                <w:rFonts w:hint="default"/>
                <w:b/>
                <w:bCs/>
              </w:rPr>
            </w:pPr>
            <w:r>
              <w:rPr>
                <w:rFonts w:hint="default"/>
                <w:b/>
                <w:bCs/>
              </w:rPr>
              <w:t>事故类型</w:t>
            </w:r>
          </w:p>
        </w:tc>
        <w:tc>
          <w:tcPr>
            <w:tcW w:w="2449" w:type="dxa"/>
            <w:tcBorders>
              <w:tl2br w:val="nil"/>
              <w:tr2bl w:val="nil"/>
            </w:tcBorders>
            <w:vAlign w:val="center"/>
          </w:tcPr>
          <w:p>
            <w:pPr>
              <w:pStyle w:val="17"/>
              <w:bidi w:val="0"/>
              <w:rPr>
                <w:rFonts w:hint="default"/>
                <w:b/>
                <w:bCs/>
              </w:rPr>
            </w:pPr>
            <w:r>
              <w:rPr>
                <w:rFonts w:hint="default"/>
                <w:b/>
                <w:bCs/>
              </w:rPr>
              <w:t>事故原因</w:t>
            </w:r>
          </w:p>
        </w:tc>
        <w:tc>
          <w:tcPr>
            <w:tcW w:w="3613" w:type="dxa"/>
            <w:tcBorders>
              <w:tl2br w:val="nil"/>
              <w:tr2bl w:val="nil"/>
            </w:tcBorders>
            <w:vAlign w:val="center"/>
          </w:tcPr>
          <w:p>
            <w:pPr>
              <w:pStyle w:val="17"/>
              <w:bidi w:val="0"/>
              <w:rPr>
                <w:rFonts w:hint="default"/>
                <w:b/>
                <w:bCs/>
              </w:rPr>
            </w:pPr>
            <w:r>
              <w:rPr>
                <w:rFonts w:hint="default"/>
                <w:b/>
                <w:bCs/>
              </w:rPr>
              <w:t>事故后果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1643" w:type="dxa"/>
            <w:vMerge w:val="restart"/>
            <w:tcBorders>
              <w:tl2br w:val="nil"/>
              <w:tr2bl w:val="nil"/>
            </w:tcBorders>
            <w:vAlign w:val="center"/>
          </w:tcPr>
          <w:p>
            <w:pPr>
              <w:pStyle w:val="17"/>
              <w:bidi w:val="0"/>
              <w:rPr>
                <w:rFonts w:hint="default"/>
              </w:rPr>
            </w:pPr>
            <w:r>
              <w:rPr>
                <w:rFonts w:hint="default"/>
              </w:rPr>
              <w:t>生产单元</w:t>
            </w:r>
          </w:p>
        </w:tc>
        <w:tc>
          <w:tcPr>
            <w:tcW w:w="1366" w:type="dxa"/>
            <w:vMerge w:val="restart"/>
            <w:tcBorders>
              <w:tl2br w:val="nil"/>
              <w:tr2bl w:val="nil"/>
            </w:tcBorders>
            <w:vAlign w:val="center"/>
          </w:tcPr>
          <w:p>
            <w:pPr>
              <w:pStyle w:val="17"/>
              <w:bidi w:val="0"/>
              <w:rPr>
                <w:rFonts w:hint="default"/>
              </w:rPr>
            </w:pPr>
            <w:r>
              <w:rPr>
                <w:rFonts w:hint="default"/>
              </w:rPr>
              <w:t>火灾</w:t>
            </w:r>
          </w:p>
        </w:tc>
        <w:tc>
          <w:tcPr>
            <w:tcW w:w="2449" w:type="dxa"/>
            <w:vMerge w:val="restart"/>
            <w:tcBorders>
              <w:tl2br w:val="nil"/>
              <w:tr2bl w:val="nil"/>
            </w:tcBorders>
            <w:vAlign w:val="center"/>
          </w:tcPr>
          <w:p>
            <w:pPr>
              <w:pStyle w:val="17"/>
              <w:bidi w:val="0"/>
              <w:rPr>
                <w:rFonts w:hint="default"/>
              </w:rPr>
            </w:pPr>
            <w:r>
              <w:rPr>
                <w:rFonts w:hint="default"/>
              </w:rPr>
              <w:t>在贮存和使用过程中操作不当引起火灾事故</w:t>
            </w:r>
          </w:p>
        </w:tc>
        <w:tc>
          <w:tcPr>
            <w:tcW w:w="3613" w:type="dxa"/>
            <w:tcBorders>
              <w:tl2br w:val="nil"/>
              <w:tr2bl w:val="nil"/>
            </w:tcBorders>
            <w:vAlign w:val="center"/>
          </w:tcPr>
          <w:p>
            <w:pPr>
              <w:pStyle w:val="17"/>
              <w:bidi w:val="0"/>
              <w:rPr>
                <w:rFonts w:hint="default"/>
              </w:rPr>
            </w:pPr>
            <w:r>
              <w:rPr>
                <w:rFonts w:hint="eastAsia"/>
                <w:lang w:val="en-US" w:eastAsia="zh-CN"/>
              </w:rPr>
              <w:t>污染</w:t>
            </w:r>
            <w:r>
              <w:rPr>
                <w:rFonts w:hint="default"/>
              </w:rPr>
              <w:t>环境空气、</w:t>
            </w:r>
            <w:r>
              <w:rPr>
                <w:rFonts w:hint="eastAsia"/>
                <w:lang w:val="en-US" w:eastAsia="zh-CN"/>
              </w:rPr>
              <w:t>危害</w:t>
            </w:r>
            <w:r>
              <w:rPr>
                <w:rFonts w:hint="default"/>
              </w:rPr>
              <w:t>人员健康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1643" w:type="dxa"/>
            <w:vMerge w:val="continue"/>
            <w:tcBorders>
              <w:tl2br w:val="nil"/>
              <w:tr2bl w:val="nil"/>
            </w:tcBorders>
            <w:vAlign w:val="center"/>
          </w:tcPr>
          <w:p>
            <w:pPr>
              <w:pStyle w:val="17"/>
              <w:bidi w:val="0"/>
              <w:rPr>
                <w:rFonts w:hint="default"/>
              </w:rPr>
            </w:pPr>
          </w:p>
        </w:tc>
        <w:tc>
          <w:tcPr>
            <w:tcW w:w="1366" w:type="dxa"/>
            <w:vMerge w:val="continue"/>
            <w:tcBorders>
              <w:tl2br w:val="nil"/>
              <w:tr2bl w:val="nil"/>
            </w:tcBorders>
            <w:vAlign w:val="center"/>
          </w:tcPr>
          <w:p>
            <w:pPr>
              <w:pStyle w:val="17"/>
              <w:bidi w:val="0"/>
              <w:rPr>
                <w:rFonts w:hint="default"/>
              </w:rPr>
            </w:pPr>
          </w:p>
        </w:tc>
        <w:tc>
          <w:tcPr>
            <w:tcW w:w="2449" w:type="dxa"/>
            <w:vMerge w:val="continue"/>
            <w:tcBorders>
              <w:tl2br w:val="nil"/>
              <w:tr2bl w:val="nil"/>
            </w:tcBorders>
            <w:vAlign w:val="center"/>
          </w:tcPr>
          <w:p>
            <w:pPr>
              <w:pStyle w:val="17"/>
              <w:bidi w:val="0"/>
              <w:rPr>
                <w:rFonts w:hint="default"/>
              </w:rPr>
            </w:pPr>
          </w:p>
        </w:tc>
        <w:tc>
          <w:tcPr>
            <w:tcW w:w="3613" w:type="dxa"/>
            <w:tcBorders>
              <w:tl2br w:val="nil"/>
              <w:tr2bl w:val="nil"/>
            </w:tcBorders>
            <w:vAlign w:val="center"/>
          </w:tcPr>
          <w:p>
            <w:pPr>
              <w:pStyle w:val="17"/>
              <w:bidi w:val="0"/>
              <w:rPr>
                <w:rFonts w:hint="default"/>
              </w:rPr>
            </w:pPr>
            <w:r>
              <w:rPr>
                <w:rFonts w:hint="eastAsia"/>
                <w:lang w:val="en-US" w:eastAsia="zh-CN"/>
              </w:rPr>
              <w:t>污染</w:t>
            </w:r>
            <w:r>
              <w:rPr>
                <w:rFonts w:hint="default"/>
              </w:rPr>
              <w:t>环境空气、</w:t>
            </w:r>
            <w:r>
              <w:rPr>
                <w:rFonts w:hint="eastAsia"/>
                <w:lang w:val="en-US" w:eastAsia="zh-CN"/>
              </w:rPr>
              <w:t>危害</w:t>
            </w:r>
            <w:r>
              <w:rPr>
                <w:rFonts w:hint="default"/>
              </w:rPr>
              <w:t>人员健康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1643" w:type="dxa"/>
            <w:tcBorders>
              <w:tl2br w:val="nil"/>
              <w:tr2bl w:val="nil"/>
            </w:tcBorders>
            <w:vAlign w:val="center"/>
          </w:tcPr>
          <w:p>
            <w:pPr>
              <w:pStyle w:val="17"/>
              <w:bidi w:val="0"/>
              <w:rPr>
                <w:rFonts w:hint="default"/>
              </w:rPr>
            </w:pPr>
            <w:r>
              <w:rPr>
                <w:rFonts w:hint="default"/>
              </w:rPr>
              <w:t>废气、废水治理设施</w:t>
            </w:r>
          </w:p>
        </w:tc>
        <w:tc>
          <w:tcPr>
            <w:tcW w:w="1366" w:type="dxa"/>
            <w:tcBorders>
              <w:tl2br w:val="nil"/>
              <w:tr2bl w:val="nil"/>
            </w:tcBorders>
            <w:vAlign w:val="center"/>
          </w:tcPr>
          <w:p>
            <w:pPr>
              <w:pStyle w:val="17"/>
              <w:bidi w:val="0"/>
              <w:rPr>
                <w:rFonts w:hint="default"/>
              </w:rPr>
            </w:pPr>
            <w:r>
              <w:rPr>
                <w:rFonts w:hint="default"/>
              </w:rPr>
              <w:t>事故排放</w:t>
            </w:r>
          </w:p>
        </w:tc>
        <w:tc>
          <w:tcPr>
            <w:tcW w:w="2449" w:type="dxa"/>
            <w:tcBorders>
              <w:tl2br w:val="nil"/>
              <w:tr2bl w:val="nil"/>
            </w:tcBorders>
            <w:vAlign w:val="center"/>
          </w:tcPr>
          <w:p>
            <w:pPr>
              <w:pStyle w:val="17"/>
              <w:bidi w:val="0"/>
              <w:rPr>
                <w:rFonts w:hint="default"/>
              </w:rPr>
            </w:pPr>
            <w:r>
              <w:rPr>
                <w:rFonts w:hint="default"/>
              </w:rPr>
              <w:t>处理设施异常，废气、废水超标排放</w:t>
            </w:r>
          </w:p>
        </w:tc>
        <w:tc>
          <w:tcPr>
            <w:tcW w:w="3613" w:type="dxa"/>
            <w:tcBorders>
              <w:tl2br w:val="nil"/>
              <w:tr2bl w:val="nil"/>
            </w:tcBorders>
            <w:vAlign w:val="center"/>
          </w:tcPr>
          <w:p>
            <w:pPr>
              <w:pStyle w:val="17"/>
              <w:bidi w:val="0"/>
              <w:rPr>
                <w:rFonts w:hint="default"/>
              </w:rPr>
            </w:pPr>
            <w:r>
              <w:rPr>
                <w:rFonts w:hint="eastAsia"/>
                <w:lang w:val="en-US" w:eastAsia="zh-CN"/>
              </w:rPr>
              <w:t>污染</w:t>
            </w:r>
            <w:r>
              <w:rPr>
                <w:rFonts w:hint="default"/>
              </w:rPr>
              <w:t>环境空气、水环境、</w:t>
            </w:r>
            <w:r>
              <w:rPr>
                <w:rFonts w:hint="eastAsia"/>
                <w:lang w:val="en-US" w:eastAsia="zh-CN"/>
              </w:rPr>
              <w:t>危害</w:t>
            </w:r>
            <w:r>
              <w:rPr>
                <w:rFonts w:hint="default"/>
              </w:rPr>
              <w:t>人员健康</w:t>
            </w:r>
          </w:p>
        </w:tc>
      </w:tr>
    </w:tbl>
    <w:p>
      <w:pPr>
        <w:pStyle w:val="4"/>
        <w:bidi w:val="0"/>
        <w:rPr>
          <w:rFonts w:hint="default"/>
        </w:rPr>
      </w:pPr>
      <w:bookmarkStart w:id="264" w:name="_Toc310503821"/>
      <w:bookmarkStart w:id="265" w:name="_Toc475876360"/>
      <w:bookmarkStart w:id="266" w:name="_Toc321043939"/>
      <w:bookmarkStart w:id="267" w:name="_Toc287628668"/>
      <w:bookmarkStart w:id="268" w:name="_Toc12086"/>
      <w:bookmarkStart w:id="269" w:name="_Toc26765"/>
      <w:r>
        <w:rPr>
          <w:rFonts w:hint="default"/>
        </w:rPr>
        <w:t>6.4</w:t>
      </w:r>
      <w:bookmarkEnd w:id="264"/>
      <w:bookmarkEnd w:id="265"/>
      <w:bookmarkEnd w:id="266"/>
      <w:bookmarkEnd w:id="267"/>
      <w:r>
        <w:rPr>
          <w:rFonts w:hint="eastAsia"/>
          <w:lang w:eastAsia="zh-CN"/>
        </w:rPr>
        <w:t>、</w:t>
      </w:r>
      <w:r>
        <w:rPr>
          <w:rFonts w:hint="default"/>
        </w:rPr>
        <w:t>环境风险分析</w:t>
      </w:r>
      <w:bookmarkEnd w:id="268"/>
      <w:bookmarkEnd w:id="269"/>
    </w:p>
    <w:bookmarkEnd w:id="259"/>
    <w:bookmarkEnd w:id="260"/>
    <w:bookmarkEnd w:id="261"/>
    <w:bookmarkEnd w:id="262"/>
    <w:bookmarkEnd w:id="263"/>
    <w:p>
      <w:pPr>
        <w:bidi w:val="0"/>
        <w:rPr>
          <w:rFonts w:hint="default"/>
        </w:rPr>
      </w:pPr>
      <w:bookmarkStart w:id="270" w:name="_Toc310503823"/>
      <w:bookmarkStart w:id="271" w:name="_Toc256341263"/>
      <w:bookmarkStart w:id="272" w:name="_Toc475876362"/>
      <w:bookmarkStart w:id="273" w:name="_Toc256612103"/>
      <w:bookmarkStart w:id="274" w:name="_Toc2414"/>
      <w:bookmarkStart w:id="275" w:name="_Toc255912769"/>
      <w:bookmarkStart w:id="276" w:name="_Toc321043941"/>
      <w:bookmarkStart w:id="277" w:name="_Toc287628675"/>
      <w:r>
        <w:rPr>
          <w:rFonts w:hint="default"/>
        </w:rPr>
        <w:t>根据项目风险因素识别和比较的结果，本评价认为</w:t>
      </w:r>
      <w:r>
        <w:rPr>
          <w:rFonts w:hint="default"/>
          <w:lang w:val="zh-CN"/>
        </w:rPr>
        <w:t>废塑料</w:t>
      </w:r>
      <w:r>
        <w:rPr>
          <w:rFonts w:hint="default"/>
        </w:rPr>
        <w:t>或产品</w:t>
      </w:r>
      <w:r>
        <w:rPr>
          <w:rFonts w:hint="default"/>
          <w:lang w:val="zh-CN"/>
        </w:rPr>
        <w:t>燃</w:t>
      </w:r>
      <w:r>
        <w:rPr>
          <w:rFonts w:hint="default"/>
        </w:rPr>
        <w:t>烧，废气和废水处理装置物料泄漏是本工程重点防范对象。</w:t>
      </w:r>
    </w:p>
    <w:p>
      <w:pPr>
        <w:bidi w:val="0"/>
        <w:rPr>
          <w:rFonts w:hint="default"/>
        </w:rPr>
      </w:pPr>
      <w:r>
        <w:rPr>
          <w:rFonts w:hint="default"/>
        </w:rPr>
        <w:t>本项目储存的废塑料和产品数量较大，废塑料和产品堆存时如遇热源，废塑料及产品会因受到外来的热量且相互传热，而分解出可燃性有机气体，对周围大气环境造成一定程度的污染。如果管理不善，分解出的可燃性气体与空气中的氧气相混合而着火，从而引发火灾事故。一旦发生火灾，火势会迅速蔓延，如果灾情控制不住，将会对项目造成一定的经济损失，严重可危及周围的企业，同时燃烧产生大量的有害气体，如CO、烟尘等，引发一系列的次生环境问题。</w:t>
      </w:r>
    </w:p>
    <w:p>
      <w:pPr>
        <w:pStyle w:val="5"/>
        <w:bidi w:val="0"/>
        <w:rPr>
          <w:rFonts w:hint="default"/>
        </w:rPr>
      </w:pPr>
      <w:r>
        <w:rPr>
          <w:rFonts w:hint="default"/>
        </w:rPr>
        <w:t>6.4.1</w:t>
      </w:r>
      <w:r>
        <w:rPr>
          <w:rFonts w:hint="eastAsia"/>
          <w:lang w:eastAsia="zh-CN"/>
        </w:rPr>
        <w:t>、</w:t>
      </w:r>
      <w:r>
        <w:rPr>
          <w:rFonts w:hint="default"/>
        </w:rPr>
        <w:t>大气环境风险分析</w:t>
      </w:r>
    </w:p>
    <w:p>
      <w:pPr>
        <w:bidi w:val="0"/>
        <w:rPr>
          <w:rFonts w:hint="default"/>
        </w:rPr>
      </w:pPr>
      <w:r>
        <w:rPr>
          <w:rFonts w:hint="default"/>
        </w:rPr>
        <w:t>发生火灾对环境的污染影响主要来自原辅材料及成品燃烧释放的大量的有害气体，由于燃烧产生的有害气体释放量难以定量，本次评价主要定性分析火灾发生时产生的有害气体对周围环境的影响。在正常情况下，空气的组成主要有氮气、氧气、氩气、二氧化碳及氢、氖、臭氧、氪等，而火宅所产生烟雾的成分主要为二氧化碳和水蒸气，这两种物质约占所有烟雾的90%~95%；另外还有乙稀、丙烯、一氧化碳、碳氢化合物及微粒物质等，约占5%~10%，对环境和人体健康产生较大危害的CO、烟尘等有害物质。一氧化碳产生量相对较大，危害也较大，一氧化碳的浓度过高或持续时间过长都会使人窒息或死亡。一般情况下，火场附近的一氧化碳的浓度较高（浓度可达到0.02%），距离火场30m处，一氧化碳的浓度逐渐降低（0.001%）。因此距离靠近火场会有造成一氧化碳中毒的危险。据以往报道，在火灾而造成人员死亡中，3/4的人死于有害气体，而且有害气体中一氧化碳是主要的有毒物质。因此，火灾发生时将不可避免的对厂区人员安全与生产设施产生不利影响。</w:t>
      </w:r>
    </w:p>
    <w:p>
      <w:pPr>
        <w:pStyle w:val="5"/>
        <w:bidi w:val="0"/>
        <w:rPr>
          <w:rFonts w:hint="default"/>
        </w:rPr>
      </w:pPr>
      <w:r>
        <w:rPr>
          <w:rFonts w:hint="default"/>
        </w:rPr>
        <w:t>6.4.2</w:t>
      </w:r>
      <w:r>
        <w:rPr>
          <w:rFonts w:hint="eastAsia"/>
          <w:lang w:eastAsia="zh-CN"/>
        </w:rPr>
        <w:t>、</w:t>
      </w:r>
      <w:r>
        <w:rPr>
          <w:rFonts w:hint="default"/>
        </w:rPr>
        <w:t>水环境影响分析</w:t>
      </w:r>
    </w:p>
    <w:p>
      <w:pPr>
        <w:pStyle w:val="6"/>
        <w:bidi w:val="0"/>
        <w:rPr>
          <w:rFonts w:hint="default"/>
        </w:rPr>
      </w:pPr>
      <w:r>
        <w:rPr>
          <w:rFonts w:hint="default"/>
        </w:rPr>
        <w:t>6.4.2.1</w:t>
      </w:r>
      <w:r>
        <w:rPr>
          <w:rFonts w:hint="eastAsia"/>
          <w:lang w:eastAsia="zh-CN"/>
        </w:rPr>
        <w:t>、</w:t>
      </w:r>
      <w:r>
        <w:rPr>
          <w:rFonts w:hint="default"/>
        </w:rPr>
        <w:t>事故池的作用</w:t>
      </w:r>
    </w:p>
    <w:p>
      <w:pPr>
        <w:bidi w:val="0"/>
        <w:rPr>
          <w:rFonts w:hint="default"/>
        </w:rPr>
      </w:pPr>
      <w:r>
        <w:rPr>
          <w:rFonts w:hint="default"/>
        </w:rPr>
        <w:t>在发生火灾、爆炸事故处理过程中，会产生以下伴生/次生污染：消防污水、液体废物料、燃烧烟气、污染雨水（事故过程中伴随降雨）。</w:t>
      </w:r>
    </w:p>
    <w:p>
      <w:pPr>
        <w:bidi w:val="0"/>
        <w:rPr>
          <w:rFonts w:hint="default"/>
        </w:rPr>
      </w:pPr>
      <w:r>
        <w:rPr>
          <w:rFonts w:hint="default"/>
        </w:rPr>
        <w:t>由于消防水瞬间用量较大，污染消防水产生量也相对较多，进入污水处理系统将对其造成冲击，可能导致伴生污染的发生。本项目应根据</w:t>
      </w:r>
      <w:r>
        <w:rPr>
          <w:rFonts w:hint="default"/>
          <w:lang w:val="en-US" w:eastAsia="zh-CN"/>
        </w:rPr>
        <w:t>生产</w:t>
      </w:r>
      <w:r>
        <w:rPr>
          <w:rFonts w:hint="default"/>
        </w:rPr>
        <w:t>车间的工作特征，设立事故应急水池，用以接纳处理事故时产生的消防废水，收集生产装置发生重大事故进行事故应急处理时产生的大量含油类的废液废水，并将收集后的废液废水处理后排放。</w:t>
      </w:r>
    </w:p>
    <w:p>
      <w:pPr>
        <w:pStyle w:val="6"/>
        <w:bidi w:val="0"/>
        <w:rPr>
          <w:rFonts w:hint="default"/>
        </w:rPr>
      </w:pPr>
      <w:r>
        <w:rPr>
          <w:rFonts w:hint="default"/>
        </w:rPr>
        <w:t>6.4.2.2</w:t>
      </w:r>
      <w:r>
        <w:rPr>
          <w:rFonts w:hint="eastAsia"/>
          <w:lang w:eastAsia="zh-CN"/>
        </w:rPr>
        <w:t>、</w:t>
      </w:r>
      <w:r>
        <w:rPr>
          <w:rFonts w:hint="default"/>
        </w:rPr>
        <w:t>事故池的计算</w:t>
      </w:r>
    </w:p>
    <w:p>
      <w:pPr>
        <w:bidi w:val="0"/>
        <w:rPr>
          <w:rFonts w:hint="default"/>
        </w:rPr>
      </w:pPr>
      <w:r>
        <w:rPr>
          <w:rFonts w:hint="default"/>
        </w:rPr>
        <w:t>由于本项目涉及多种易燃危险物质，且涉及的危险物质数量较大，一旦发生火灾事故，在火灾扑救过程中，消防水携带油污形成污染水。由于消防水瞬间用量较大，污染消防水的产生量也相应较多，直接排放会对区域地下水造成污染。</w:t>
      </w:r>
    </w:p>
    <w:p>
      <w:pPr>
        <w:bidi w:val="0"/>
        <w:rPr>
          <w:rFonts w:hint="default"/>
        </w:rPr>
      </w:pPr>
      <w:r>
        <w:rPr>
          <w:rFonts w:hint="default"/>
          <w:lang w:eastAsia="zh-CN"/>
        </w:rPr>
        <w:t>事</w:t>
      </w:r>
      <w:r>
        <w:rPr>
          <w:rFonts w:hint="default"/>
        </w:rPr>
        <w:t>故池根据《化工建设项目环境保护设计规范》</w:t>
      </w:r>
      <w:r>
        <w:rPr>
          <w:rFonts w:hint="default"/>
          <w:lang w:val="en-US" w:eastAsia="zh-CN"/>
        </w:rPr>
        <w:t>（GB50483-2009）</w:t>
      </w:r>
      <w:r>
        <w:rPr>
          <w:rFonts w:hint="default"/>
        </w:rPr>
        <w:t>和《事故状态下水体污染的预防与控制技术要求》</w:t>
      </w:r>
      <w:r>
        <w:rPr>
          <w:rFonts w:hint="default"/>
          <w:lang w:val="en-US" w:eastAsia="zh-CN"/>
        </w:rPr>
        <w:t>（Q/SY1190-2009）</w:t>
      </w:r>
      <w:r>
        <w:rPr>
          <w:rFonts w:hint="default"/>
        </w:rPr>
        <w:t>中的相关规定设置。事故池主要用于区内发生事故或火灾时，控制、收集和存放</w:t>
      </w:r>
      <w:r>
        <w:rPr>
          <w:rFonts w:hint="default"/>
          <w:lang w:eastAsia="zh-CN"/>
        </w:rPr>
        <w:t>污</w:t>
      </w:r>
      <w:r>
        <w:rPr>
          <w:rFonts w:hint="default"/>
        </w:rPr>
        <w:t>染事故水（包括污染雨水）及污染消防水。污染事故水及污染消防水通过管道收集。案故应急水池容量按下式计算：</w:t>
      </w:r>
    </w:p>
    <w:p>
      <w:pPr>
        <w:bidi w:val="0"/>
        <w:rPr>
          <w:rFonts w:hint="default"/>
          <w:lang w:val="en-US"/>
        </w:rPr>
      </w:pPr>
      <w:r>
        <w:rPr>
          <w:rFonts w:hint="default"/>
          <w:lang w:val="en-US"/>
        </w:rPr>
        <w:t>V事故池=（V1+V2+V雨）max-V3</w:t>
      </w:r>
    </w:p>
    <w:p>
      <w:pPr>
        <w:bidi w:val="0"/>
        <w:rPr>
          <w:rFonts w:hint="default"/>
        </w:rPr>
      </w:pPr>
      <w:r>
        <w:rPr>
          <w:rFonts w:hint="default"/>
        </w:rPr>
        <w:t>式中：</w:t>
      </w:r>
      <w:r>
        <w:rPr>
          <w:rFonts w:hint="default"/>
          <w:lang w:val="en-US" w:eastAsia="zh-CN"/>
        </w:rPr>
        <w:t>（V1+V2+V雨）max—</w:t>
      </w:r>
      <w:r>
        <w:rPr>
          <w:rFonts w:hint="default"/>
        </w:rPr>
        <w:t>为应急事故废水最大计算量，</w:t>
      </w:r>
      <w:r>
        <w:rPr>
          <w:rFonts w:hint="eastAsia"/>
          <w:lang w:val="en-US" w:eastAsia="zh-CN"/>
        </w:rPr>
        <w:t>m³</w:t>
      </w:r>
      <w:r>
        <w:rPr>
          <w:rFonts w:hint="default"/>
          <w:lang w:val="en-US" w:eastAsia="zh-CN"/>
        </w:rPr>
        <w:t>；</w:t>
      </w:r>
    </w:p>
    <w:p>
      <w:pPr>
        <w:bidi w:val="0"/>
        <w:rPr>
          <w:rFonts w:hint="default"/>
          <w:lang w:val="en-US" w:eastAsia="zh-CN"/>
        </w:rPr>
      </w:pPr>
      <w:r>
        <w:rPr>
          <w:rFonts w:hint="default"/>
          <w:lang w:val="en-US" w:eastAsia="zh-CN"/>
        </w:rPr>
        <w:t>V1—</w:t>
      </w:r>
      <w:r>
        <w:rPr>
          <w:rFonts w:hint="default"/>
        </w:rPr>
        <w:t>为最</w:t>
      </w:r>
      <w:r>
        <w:rPr>
          <w:rFonts w:hint="default"/>
          <w:lang w:eastAsia="zh-CN"/>
        </w:rPr>
        <w:t>大一个</w:t>
      </w:r>
      <w:r>
        <w:rPr>
          <w:rFonts w:hint="default"/>
        </w:rPr>
        <w:t>容器的设备</w:t>
      </w:r>
      <w:r>
        <w:rPr>
          <w:rFonts w:hint="default"/>
          <w:lang w:eastAsia="zh-CN"/>
        </w:rPr>
        <w:t>（装置）或贮罐</w:t>
      </w:r>
      <w:r>
        <w:rPr>
          <w:rFonts w:hint="default"/>
        </w:rPr>
        <w:t>的物料贮存量</w:t>
      </w:r>
      <w:r>
        <w:rPr>
          <w:rFonts w:hint="eastAsia"/>
          <w:lang w:val="en-US" w:eastAsia="zh-CN"/>
        </w:rPr>
        <w:t>m³</w:t>
      </w:r>
      <w:r>
        <w:rPr>
          <w:rFonts w:hint="default"/>
          <w:lang w:val="en-US" w:eastAsia="zh-CN"/>
        </w:rPr>
        <w:t>；</w:t>
      </w:r>
    </w:p>
    <w:p>
      <w:pPr>
        <w:bidi w:val="0"/>
        <w:rPr>
          <w:rFonts w:hint="default"/>
        </w:rPr>
      </w:pPr>
      <w:r>
        <w:rPr>
          <w:rFonts w:hint="default"/>
          <w:lang w:val="en-US" w:eastAsia="zh-CN"/>
        </w:rPr>
        <w:t>V2</w:t>
      </w:r>
      <w:r>
        <w:rPr>
          <w:rFonts w:hint="default"/>
        </w:rPr>
        <w:t>—为在装置区或贮罐区一旦发生火灾爆炸及泄漏时的最大消防水量，包括扑灭火灾所需用水量和保护邻近设备或贮罐（最少3个）的喷淋水量，</w:t>
      </w:r>
      <w:r>
        <w:rPr>
          <w:rFonts w:hint="eastAsia"/>
          <w:lang w:val="en-US" w:eastAsia="zh-CN"/>
        </w:rPr>
        <w:t>m³</w:t>
      </w:r>
      <w:r>
        <w:rPr>
          <w:rFonts w:hint="default"/>
        </w:rPr>
        <w:t>；</w:t>
      </w:r>
    </w:p>
    <w:p>
      <w:pPr>
        <w:bidi w:val="0"/>
        <w:rPr>
          <w:rFonts w:hint="default"/>
        </w:rPr>
      </w:pPr>
      <w:r>
        <w:rPr>
          <w:rFonts w:hint="default"/>
          <w:lang w:val="en-US" w:eastAsia="zh-CN"/>
        </w:rPr>
        <w:t>V雨—</w:t>
      </w:r>
      <w:r>
        <w:rPr>
          <w:rFonts w:hint="default"/>
        </w:rPr>
        <w:t>为发生事故时可能进入该废水收集系统的当地的最大降雨量，</w:t>
      </w:r>
      <w:r>
        <w:rPr>
          <w:rFonts w:hint="eastAsia"/>
          <w:lang w:val="en-US" w:eastAsia="zh-CN"/>
        </w:rPr>
        <w:t>m³</w:t>
      </w:r>
      <w:r>
        <w:rPr>
          <w:rFonts w:hint="default"/>
          <w:lang w:val="en-US" w:eastAsia="zh-CN"/>
        </w:rPr>
        <w:t>，</w:t>
      </w:r>
      <w:r>
        <w:rPr>
          <w:rFonts w:hint="default"/>
        </w:rPr>
        <w:t>V</w:t>
      </w:r>
      <w:r>
        <w:rPr>
          <w:rFonts w:hint="default"/>
          <w:lang w:eastAsia="zh-CN"/>
        </w:rPr>
        <w:t>雨</w:t>
      </w:r>
      <w:r>
        <w:rPr>
          <w:rFonts w:hint="default"/>
          <w:lang w:val="en-US" w:eastAsia="zh-CN"/>
        </w:rPr>
        <w:t>=10q*Ft；</w:t>
      </w:r>
    </w:p>
    <w:p>
      <w:pPr>
        <w:bidi w:val="0"/>
        <w:rPr>
          <w:rFonts w:hint="default"/>
        </w:rPr>
      </w:pPr>
      <w:r>
        <w:rPr>
          <w:rFonts w:hint="default"/>
          <w:lang w:val="en-US" w:eastAsia="zh-CN"/>
        </w:rPr>
        <w:t>V3—</w:t>
      </w:r>
      <w:r>
        <w:rPr>
          <w:rFonts w:hint="default"/>
        </w:rPr>
        <w:t>为事故废水收集系统的装置或</w:t>
      </w:r>
      <w:r>
        <w:rPr>
          <w:rFonts w:hint="default"/>
          <w:lang w:eastAsia="zh-CN"/>
        </w:rPr>
        <w:t>罐</w:t>
      </w:r>
      <w:r>
        <w:rPr>
          <w:rFonts w:hint="default"/>
        </w:rPr>
        <w:t>区围堰、防火堤内净空容量（</w:t>
      </w:r>
      <w:r>
        <w:rPr>
          <w:rFonts w:hint="eastAsia"/>
          <w:lang w:val="en-US" w:eastAsia="zh-CN"/>
        </w:rPr>
        <w:t>m³</w:t>
      </w:r>
      <w:r>
        <w:rPr>
          <w:rFonts w:hint="default"/>
        </w:rPr>
        <w:t>）与事故废水导排管道容量</w:t>
      </w:r>
      <w:r>
        <w:rPr>
          <w:rFonts w:hint="default"/>
          <w:lang w:val="en-US" w:eastAsia="zh-CN"/>
        </w:rPr>
        <w:t>（</w:t>
      </w:r>
      <w:r>
        <w:rPr>
          <w:rFonts w:hint="eastAsia"/>
          <w:lang w:val="en-US" w:eastAsia="zh-CN"/>
        </w:rPr>
        <w:t>m³</w:t>
      </w:r>
      <w:r>
        <w:rPr>
          <w:rFonts w:hint="default"/>
          <w:lang w:val="en-US" w:eastAsia="zh-CN"/>
        </w:rPr>
        <w:t>）</w:t>
      </w:r>
      <w:r>
        <w:rPr>
          <w:rFonts w:hint="default"/>
        </w:rPr>
        <w:t>之和。</w:t>
      </w:r>
    </w:p>
    <w:p>
      <w:pPr>
        <w:bidi w:val="0"/>
        <w:rPr>
          <w:rFonts w:hint="default"/>
        </w:rPr>
      </w:pPr>
      <w:bookmarkStart w:id="278" w:name="bookmark0"/>
      <w:r>
        <w:rPr>
          <w:rFonts w:hint="default"/>
        </w:rPr>
        <w:t>（</w:t>
      </w:r>
      <w:bookmarkEnd w:id="278"/>
      <w:r>
        <w:rPr>
          <w:rFonts w:hint="default"/>
        </w:rPr>
        <w:t>1）事故状态下物料</w:t>
      </w:r>
      <w:r>
        <w:rPr>
          <w:rFonts w:hint="default"/>
          <w:lang w:eastAsia="zh-CN"/>
        </w:rPr>
        <w:t>量</w:t>
      </w:r>
      <w:r>
        <w:rPr>
          <w:rFonts w:hint="default"/>
          <w:lang w:val="en-US" w:eastAsia="zh-CN"/>
        </w:rPr>
        <w:t>（V1）：事故发生时全厂停工</w:t>
      </w:r>
      <w:r>
        <w:rPr>
          <w:rFonts w:hint="default"/>
        </w:rPr>
        <w:t>，则事故状态下的物料量</w:t>
      </w:r>
      <w:r>
        <w:rPr>
          <w:rFonts w:hint="default"/>
          <w:lang w:val="en-US" w:eastAsia="zh-CN"/>
        </w:rPr>
        <w:t>V1</w:t>
      </w:r>
      <w:r>
        <w:rPr>
          <w:rFonts w:hint="default"/>
        </w:rPr>
        <w:t>为0</w:t>
      </w:r>
      <w:r>
        <w:rPr>
          <w:rFonts w:hint="eastAsia"/>
          <w:lang w:val="en-US" w:eastAsia="zh-CN"/>
        </w:rPr>
        <w:t>m³</w:t>
      </w:r>
      <w:r>
        <w:rPr>
          <w:rFonts w:hint="default"/>
        </w:rPr>
        <w:t>。</w:t>
      </w:r>
    </w:p>
    <w:p>
      <w:pPr>
        <w:bidi w:val="0"/>
        <w:rPr>
          <w:rFonts w:hint="default"/>
        </w:rPr>
      </w:pPr>
      <w:bookmarkStart w:id="279" w:name="bookmark1"/>
      <w:r>
        <w:rPr>
          <w:rFonts w:hint="default"/>
        </w:rPr>
        <w:t>（</w:t>
      </w:r>
      <w:bookmarkEnd w:id="279"/>
      <w:r>
        <w:rPr>
          <w:rFonts w:hint="default"/>
        </w:rPr>
        <w:t>2）消防用水量</w:t>
      </w:r>
      <w:r>
        <w:rPr>
          <w:rFonts w:hint="default"/>
          <w:lang w:val="en-US" w:eastAsia="zh-CN"/>
        </w:rPr>
        <w:t>（V2）：</w:t>
      </w:r>
      <w:r>
        <w:rPr>
          <w:rFonts w:hint="default"/>
        </w:rPr>
        <w:t>一次灭火消防最大用水量建筑为乙类车间，消防用水量为</w:t>
      </w:r>
      <w:r>
        <w:rPr>
          <w:rFonts w:hint="default"/>
          <w:lang w:val="en-US" w:eastAsia="zh-CN"/>
        </w:rPr>
        <w:t>40L/S</w:t>
      </w:r>
      <w:r>
        <w:rPr>
          <w:rFonts w:hint="default"/>
        </w:rPr>
        <w:t>（其中室外</w:t>
      </w:r>
      <w:r>
        <w:rPr>
          <w:rFonts w:hint="default"/>
          <w:lang w:val="en-US" w:eastAsia="zh-CN"/>
        </w:rPr>
        <w:t>30L/S，</w:t>
      </w:r>
      <w:r>
        <w:rPr>
          <w:rFonts w:hint="default"/>
        </w:rPr>
        <w:t>室内</w:t>
      </w:r>
      <w:r>
        <w:rPr>
          <w:rFonts w:hint="default"/>
          <w:lang w:val="en-US" w:eastAsia="zh-CN"/>
        </w:rPr>
        <w:t>10L/s），</w:t>
      </w:r>
      <w:r>
        <w:rPr>
          <w:rFonts w:hint="default"/>
        </w:rPr>
        <w:t>火灾延续时间为</w:t>
      </w:r>
      <w:r>
        <w:rPr>
          <w:rFonts w:hint="default"/>
          <w:lang w:val="en-US" w:eastAsia="zh-CN"/>
        </w:rPr>
        <w:t>2h，</w:t>
      </w:r>
      <w:r>
        <w:rPr>
          <w:rFonts w:hint="default"/>
        </w:rPr>
        <w:t>则最大消防用水量</w:t>
      </w:r>
      <w:r>
        <w:rPr>
          <w:rFonts w:hint="default"/>
          <w:lang w:val="en-US" w:eastAsia="zh-CN"/>
        </w:rPr>
        <w:t>V2</w:t>
      </w:r>
      <w:r>
        <w:rPr>
          <w:rFonts w:hint="default"/>
        </w:rPr>
        <w:t>为</w:t>
      </w:r>
      <w:r>
        <w:rPr>
          <w:rFonts w:hint="default"/>
          <w:lang w:val="en-US" w:eastAsia="zh-CN"/>
        </w:rPr>
        <w:t>288</w:t>
      </w:r>
      <w:r>
        <w:rPr>
          <w:rFonts w:hint="eastAsia"/>
          <w:lang w:val="en-US" w:eastAsia="zh-CN"/>
        </w:rPr>
        <w:t>m³</w:t>
      </w:r>
      <w:r>
        <w:rPr>
          <w:rFonts w:hint="default"/>
          <w:lang w:val="en-US" w:eastAsia="zh-CN"/>
        </w:rPr>
        <w:t>。</w:t>
      </w:r>
    </w:p>
    <w:p>
      <w:pPr>
        <w:bidi w:val="0"/>
        <w:rPr>
          <w:rFonts w:hint="default"/>
        </w:rPr>
      </w:pPr>
      <w:r>
        <w:rPr>
          <w:rFonts w:hint="default"/>
          <w:lang w:val="zh-TW" w:eastAsia="zh-TW"/>
        </w:rPr>
        <w:t>（3）雨水量</w:t>
      </w:r>
      <w:r>
        <w:rPr>
          <w:rFonts w:hint="default"/>
        </w:rPr>
        <w:t>（V雨）：</w:t>
      </w:r>
    </w:p>
    <w:p>
      <w:pPr>
        <w:bidi w:val="0"/>
        <w:rPr>
          <w:rFonts w:hint="default"/>
        </w:rPr>
      </w:pPr>
      <w:r>
        <w:rPr>
          <w:rFonts w:hint="default"/>
        </w:rPr>
        <w:t>式中：V</w:t>
      </w:r>
      <w:r>
        <w:rPr>
          <w:rFonts w:hint="default"/>
          <w:lang w:eastAsia="zh-CN"/>
        </w:rPr>
        <w:t>雨—</w:t>
      </w:r>
      <w:r>
        <w:rPr>
          <w:rFonts w:hint="default"/>
        </w:rPr>
        <w:t>发生事故时可能进入该收集系统的降雨量，</w:t>
      </w:r>
      <w:r>
        <w:rPr>
          <w:rFonts w:hint="eastAsia"/>
          <w:lang w:val="en-US" w:eastAsia="zh-CN"/>
        </w:rPr>
        <w:t>m³</w:t>
      </w:r>
      <w:r>
        <w:rPr>
          <w:rFonts w:hint="default"/>
          <w:lang w:val="en-US" w:eastAsia="zh-CN"/>
        </w:rPr>
        <w:t>；</w:t>
      </w:r>
    </w:p>
    <w:p>
      <w:pPr>
        <w:bidi w:val="0"/>
        <w:rPr>
          <w:rFonts w:hint="default"/>
          <w:lang w:eastAsia="zh-CN"/>
        </w:rPr>
      </w:pPr>
      <w:r>
        <w:rPr>
          <w:rFonts w:hint="default"/>
          <w:lang w:val="en-US" w:eastAsia="zh-CN"/>
        </w:rPr>
        <w:t>q</w:t>
      </w:r>
      <w:r>
        <w:rPr>
          <w:rFonts w:hint="default"/>
          <w:lang w:eastAsia="zh-CN"/>
        </w:rPr>
        <w:t>—</w:t>
      </w:r>
      <w:r>
        <w:rPr>
          <w:rFonts w:hint="default"/>
        </w:rPr>
        <w:t>降雨强度，</w:t>
      </w:r>
      <w:r>
        <w:rPr>
          <w:rFonts w:hint="default"/>
          <w:lang w:val="en-US" w:eastAsia="zh-CN"/>
        </w:rPr>
        <w:t>mm：</w:t>
      </w:r>
      <w:r>
        <w:rPr>
          <w:rFonts w:hint="default"/>
        </w:rPr>
        <w:t>按平均日降雨量</w:t>
      </w:r>
      <w:r>
        <w:rPr>
          <w:rFonts w:hint="default"/>
          <w:lang w:eastAsia="zh-CN"/>
        </w:rPr>
        <w:t>；</w:t>
      </w:r>
    </w:p>
    <w:p>
      <w:pPr>
        <w:bidi w:val="0"/>
        <w:rPr>
          <w:rFonts w:hint="default"/>
        </w:rPr>
      </w:pPr>
      <w:r>
        <w:rPr>
          <w:rFonts w:hint="default"/>
          <w:lang w:val="en-US" w:eastAsia="zh-CN"/>
        </w:rPr>
        <w:t>F</w:t>
      </w:r>
      <w:r>
        <w:rPr>
          <w:rFonts w:hint="default"/>
        </w:rPr>
        <w:t>——必须进入事故废水收集系统的雨水汇水面积，</w:t>
      </w:r>
      <w:r>
        <w:rPr>
          <w:rFonts w:hint="default"/>
          <w:lang w:val="en-US" w:eastAsia="zh-CN"/>
        </w:rPr>
        <w:t>ha；F=0.25ha；</w:t>
      </w:r>
      <w:r>
        <w:rPr>
          <w:rFonts w:hint="default"/>
        </w:rPr>
        <w:t>（该公司生产区域约</w:t>
      </w:r>
      <w:r>
        <w:rPr>
          <w:rFonts w:hint="default"/>
          <w:lang w:val="en-US" w:eastAsia="zh-CN"/>
        </w:rPr>
        <w:t>2000</w:t>
      </w:r>
      <w:r>
        <w:rPr>
          <w:rFonts w:hint="eastAsia"/>
          <w:lang w:val="en-US" w:eastAsia="zh-CN"/>
        </w:rPr>
        <w:t>m²</w:t>
      </w:r>
      <w:r>
        <w:rPr>
          <w:rFonts w:hint="default"/>
          <w:lang w:val="en-US" w:eastAsia="zh-CN"/>
        </w:rPr>
        <w:t>）</w:t>
      </w:r>
    </w:p>
    <w:p>
      <w:pPr>
        <w:bidi w:val="0"/>
        <w:rPr>
          <w:rFonts w:hint="default"/>
        </w:rPr>
      </w:pPr>
      <w:r>
        <w:rPr>
          <w:rFonts w:hint="default"/>
          <w:lang w:val="en-US" w:eastAsia="zh-CN"/>
        </w:rPr>
        <w:t>t</w:t>
      </w:r>
      <w:r>
        <w:rPr>
          <w:rFonts w:hint="default"/>
        </w:rPr>
        <w:t>—降雨持续时间，</w:t>
      </w:r>
      <w:r>
        <w:rPr>
          <w:rFonts w:hint="default"/>
          <w:lang w:val="en-US" w:eastAsia="zh-CN"/>
        </w:rPr>
        <w:t>h；t=4h；</w:t>
      </w:r>
      <w:r>
        <w:rPr>
          <w:rFonts w:hint="default"/>
        </w:rPr>
        <w:t>（取发生事故时降雨持续时间为</w:t>
      </w:r>
      <w:r>
        <w:rPr>
          <w:rFonts w:hint="default"/>
          <w:lang w:val="en-US" w:eastAsia="zh-CN"/>
        </w:rPr>
        <w:t>4h）</w:t>
      </w:r>
    </w:p>
    <w:p>
      <w:pPr>
        <w:bidi w:val="0"/>
        <w:rPr>
          <w:rFonts w:hint="eastAsia"/>
          <w:lang w:eastAsia="zh-CN"/>
        </w:rPr>
      </w:pPr>
      <w:r>
        <w:rPr>
          <w:rFonts w:hint="default"/>
        </w:rPr>
        <w:t>V雨=10qFt/24=0.21</w:t>
      </w:r>
      <w:r>
        <w:rPr>
          <w:rFonts w:hint="eastAsia"/>
          <w:lang w:eastAsia="zh-CN"/>
        </w:rPr>
        <w:t>m³</w:t>
      </w:r>
    </w:p>
    <w:p>
      <w:pPr>
        <w:bidi w:val="0"/>
        <w:rPr>
          <w:rFonts w:hint="default"/>
        </w:rPr>
      </w:pPr>
      <w:r>
        <w:rPr>
          <w:rFonts w:hint="default"/>
        </w:rPr>
        <w:t>（4）事故废水导排管道容量</w:t>
      </w:r>
      <w:r>
        <w:rPr>
          <w:rFonts w:hint="default"/>
          <w:lang w:val="en-US" w:eastAsia="zh-CN"/>
        </w:rPr>
        <w:t>（V3）：本项目不单独设置</w:t>
      </w:r>
      <w:r>
        <w:rPr>
          <w:rFonts w:hint="default"/>
        </w:rPr>
        <w:t>雨水管道</w:t>
      </w:r>
      <w:r>
        <w:rPr>
          <w:rFonts w:hint="default"/>
          <w:lang w:val="en-US" w:eastAsia="zh-CN"/>
        </w:rPr>
        <w:t>。故</w:t>
      </w:r>
      <w:r>
        <w:rPr>
          <w:rFonts w:hint="default"/>
        </w:rPr>
        <w:t>事故废水导排管道容量</w:t>
      </w:r>
      <w:r>
        <w:rPr>
          <w:rFonts w:hint="default"/>
          <w:lang w:val="en-US" w:eastAsia="zh-CN"/>
        </w:rPr>
        <w:t>V3</w:t>
      </w:r>
      <w:r>
        <w:rPr>
          <w:rFonts w:hint="default"/>
        </w:rPr>
        <w:t>为</w:t>
      </w:r>
      <w:r>
        <w:rPr>
          <w:rFonts w:hint="default"/>
          <w:lang w:val="en-US" w:eastAsia="zh-CN"/>
        </w:rPr>
        <w:t>0</w:t>
      </w:r>
      <w:r>
        <w:rPr>
          <w:rFonts w:hint="eastAsia"/>
          <w:lang w:val="en-US" w:eastAsia="zh-CN"/>
        </w:rPr>
        <w:t>m³</w:t>
      </w:r>
      <w:r>
        <w:rPr>
          <w:rFonts w:hint="default"/>
          <w:lang w:val="en-US" w:eastAsia="zh-CN"/>
        </w:rPr>
        <w:t>。</w:t>
      </w:r>
    </w:p>
    <w:p>
      <w:pPr>
        <w:bidi w:val="0"/>
        <w:rPr>
          <w:rFonts w:hint="default"/>
          <w:lang w:eastAsia="zh-CN"/>
        </w:rPr>
      </w:pPr>
      <w:r>
        <w:rPr>
          <w:rFonts w:hint="default"/>
        </w:rPr>
        <w:t>因此，公司准备的最小事故应急池容积为：V</w:t>
      </w:r>
      <w:r>
        <w:rPr>
          <w:rFonts w:hint="default"/>
          <w:lang w:eastAsia="zh-CN"/>
        </w:rPr>
        <w:t>事故池</w:t>
      </w:r>
      <w:r>
        <w:rPr>
          <w:rFonts w:hint="default"/>
        </w:rPr>
        <w:t>=</w:t>
      </w:r>
      <w:r>
        <w:rPr>
          <w:rFonts w:hint="default"/>
          <w:lang w:val="en-US" w:eastAsia="zh-CN"/>
        </w:rPr>
        <w:t>288.21</w:t>
      </w:r>
      <w:r>
        <w:rPr>
          <w:rFonts w:hint="eastAsia"/>
          <w:lang w:val="en-US" w:eastAsia="zh-CN"/>
        </w:rPr>
        <w:t>m³</w:t>
      </w:r>
      <w:r>
        <w:rPr>
          <w:rFonts w:hint="default"/>
        </w:rPr>
        <w:t>，取</w:t>
      </w:r>
      <w:r>
        <w:rPr>
          <w:rFonts w:hint="default"/>
          <w:lang w:val="en-US" w:eastAsia="zh-CN"/>
        </w:rPr>
        <w:t>300</w:t>
      </w:r>
      <w:r>
        <w:rPr>
          <w:rFonts w:hint="eastAsia"/>
          <w:lang w:val="en-US" w:eastAsia="zh-CN"/>
        </w:rPr>
        <w:t>m³</w:t>
      </w:r>
      <w:r>
        <w:rPr>
          <w:rFonts w:hint="default"/>
          <w:lang w:val="en-US" w:eastAsia="zh-CN"/>
        </w:rPr>
        <w:t>。</w:t>
      </w:r>
    </w:p>
    <w:bookmarkEnd w:id="270"/>
    <w:bookmarkEnd w:id="271"/>
    <w:bookmarkEnd w:id="272"/>
    <w:bookmarkEnd w:id="273"/>
    <w:bookmarkEnd w:id="274"/>
    <w:bookmarkEnd w:id="275"/>
    <w:bookmarkEnd w:id="276"/>
    <w:bookmarkEnd w:id="277"/>
    <w:p>
      <w:pPr>
        <w:pStyle w:val="4"/>
        <w:bidi w:val="0"/>
        <w:rPr>
          <w:rFonts w:hint="default"/>
        </w:rPr>
      </w:pPr>
      <w:bookmarkStart w:id="280" w:name="_Toc3935"/>
      <w:bookmarkStart w:id="281" w:name="_Toc2868"/>
      <w:bookmarkStart w:id="282" w:name="_Toc6862_WPSOffice_Level3"/>
      <w:bookmarkStart w:id="283" w:name="_Toc12985"/>
      <w:r>
        <w:rPr>
          <w:rFonts w:hint="default"/>
        </w:rPr>
        <w:t>6.5</w:t>
      </w:r>
      <w:r>
        <w:rPr>
          <w:rFonts w:hint="eastAsia"/>
          <w:lang w:eastAsia="zh-CN"/>
        </w:rPr>
        <w:t>、</w:t>
      </w:r>
      <w:r>
        <w:rPr>
          <w:rFonts w:hint="default"/>
        </w:rPr>
        <w:t>风险防范措施和管理措施</w:t>
      </w:r>
      <w:bookmarkEnd w:id="280"/>
      <w:bookmarkEnd w:id="281"/>
      <w:bookmarkEnd w:id="282"/>
    </w:p>
    <w:p>
      <w:pPr>
        <w:bidi w:val="0"/>
        <w:rPr>
          <w:rFonts w:hint="default"/>
        </w:rPr>
      </w:pPr>
      <w:r>
        <w:rPr>
          <w:rFonts w:hint="default"/>
        </w:rPr>
        <w:t>本项目具有潜在的火灾危险性，因此，建设项目的规划设计、施工和运营等必须进行科学规划、合理布置、严格执行国家的防火安全设计规范，特别是原料区和产品贮存区，物料存储量最大，风险事故源强最大，应保证施工质量，严格安全生产制度，严格管理，提高操作人员的素质和水平，避免或减少事故的发生。</w:t>
      </w:r>
    </w:p>
    <w:p>
      <w:pPr>
        <w:pStyle w:val="5"/>
        <w:bidi w:val="0"/>
        <w:rPr>
          <w:rFonts w:hint="default"/>
        </w:rPr>
      </w:pPr>
      <w:r>
        <w:rPr>
          <w:rFonts w:hint="default"/>
        </w:rPr>
        <w:t>6.5.1</w:t>
      </w:r>
      <w:r>
        <w:rPr>
          <w:rFonts w:hint="eastAsia"/>
          <w:lang w:eastAsia="zh-CN"/>
        </w:rPr>
        <w:t>、</w:t>
      </w:r>
      <w:r>
        <w:rPr>
          <w:rFonts w:hint="default"/>
        </w:rPr>
        <w:t>环境风险管理</w:t>
      </w:r>
    </w:p>
    <w:p>
      <w:pPr>
        <w:bidi w:val="0"/>
        <w:rPr>
          <w:rFonts w:hint="default"/>
        </w:rPr>
      </w:pPr>
      <w:r>
        <w:rPr>
          <w:rFonts w:hint="default"/>
        </w:rPr>
        <w:t>（1）安全管理措施</w:t>
      </w:r>
    </w:p>
    <w:p>
      <w:pPr>
        <w:bidi w:val="0"/>
        <w:rPr>
          <w:rFonts w:hint="default"/>
        </w:rPr>
      </w:pPr>
      <w:r>
        <w:rPr>
          <w:rFonts w:hint="default"/>
        </w:rPr>
        <w:t>建立健全安全管理体系及相应的规章制度，理顺协调各部门之间的关系，明确分工、职责和权限，增强企业内部各级人员的</w:t>
      </w:r>
      <w:r>
        <w:rPr>
          <w:rFonts w:hint="eastAsia"/>
          <w:lang w:eastAsia="zh-CN"/>
        </w:rPr>
        <w:t>“</w:t>
      </w:r>
      <w:r>
        <w:rPr>
          <w:rFonts w:hint="default"/>
        </w:rPr>
        <w:t>安全意识</w:t>
      </w:r>
      <w:r>
        <w:rPr>
          <w:rFonts w:hint="eastAsia"/>
          <w:lang w:eastAsia="zh-CN"/>
        </w:rPr>
        <w:t>”</w:t>
      </w:r>
      <w:r>
        <w:rPr>
          <w:rFonts w:hint="default"/>
        </w:rPr>
        <w:t>，对于指导企业科学、有效地控制污染事故，保护环境不受其污染，人群健康不受伤害，是十分重要的前提和手段之一。</w:t>
      </w:r>
    </w:p>
    <w:p>
      <w:pPr>
        <w:bidi w:val="0"/>
        <w:rPr>
          <w:rFonts w:hint="default"/>
        </w:rPr>
      </w:pPr>
      <w:r>
        <w:rPr>
          <w:rFonts w:hint="default"/>
        </w:rPr>
        <w:t>① 严格遵照国家有关的法律、法规、设计规范、操作规程进行选购、设计、施工、安装、建设。</w:t>
      </w:r>
    </w:p>
    <w:p>
      <w:pPr>
        <w:bidi w:val="0"/>
        <w:rPr>
          <w:rFonts w:hint="default"/>
        </w:rPr>
      </w:pPr>
      <w:r>
        <w:rPr>
          <w:rFonts w:hint="default"/>
        </w:rPr>
        <w:t>② 工程建成后，须经消防、环保等有关部门全面验收合格后方可开始运营。</w:t>
      </w:r>
    </w:p>
    <w:p>
      <w:pPr>
        <w:bidi w:val="0"/>
        <w:rPr>
          <w:rFonts w:hint="default"/>
        </w:rPr>
      </w:pPr>
      <w:r>
        <w:rPr>
          <w:rFonts w:hint="default"/>
        </w:rPr>
        <w:t>③ 强化安全、消防和环保管理，建立管理机构，制订各项管理制度，加强日常安全检查和整改。</w:t>
      </w:r>
    </w:p>
    <w:p>
      <w:pPr>
        <w:bidi w:val="0"/>
        <w:rPr>
          <w:rFonts w:hint="default"/>
        </w:rPr>
      </w:pPr>
      <w:r>
        <w:rPr>
          <w:rFonts w:hint="default"/>
        </w:rPr>
        <w:t>④ 对操作人员进行岗位规范定期培训、考核，合格者方可上岗，并加强对职工和周围人员的自我保护常识宣传。</w:t>
      </w:r>
    </w:p>
    <w:p>
      <w:pPr>
        <w:bidi w:val="0"/>
        <w:rPr>
          <w:rFonts w:hint="default"/>
        </w:rPr>
      </w:pPr>
      <w:r>
        <w:rPr>
          <w:rFonts w:hint="default"/>
        </w:rPr>
        <w:t>（2）贮存过程中的环境风险管理</w:t>
      </w:r>
    </w:p>
    <w:p>
      <w:pPr>
        <w:bidi w:val="0"/>
        <w:rPr>
          <w:rFonts w:hint="default"/>
        </w:rPr>
      </w:pPr>
      <w:r>
        <w:rPr>
          <w:rFonts w:hint="default"/>
        </w:rPr>
        <w:t>本项目拟对储存过程的环境风险进行系列的管理，具体措施如下：</w:t>
      </w:r>
    </w:p>
    <w:p>
      <w:pPr>
        <w:bidi w:val="0"/>
        <w:rPr>
          <w:rFonts w:hint="default"/>
        </w:rPr>
      </w:pPr>
      <w:r>
        <w:rPr>
          <w:rFonts w:hint="default"/>
        </w:rPr>
        <w:t>① 仓库储存物存放处设置明显的标志；</w:t>
      </w:r>
    </w:p>
    <w:p>
      <w:pPr>
        <w:bidi w:val="0"/>
        <w:rPr>
          <w:rFonts w:hint="default"/>
        </w:rPr>
      </w:pPr>
      <w:r>
        <w:rPr>
          <w:rFonts w:hint="default"/>
        </w:rPr>
        <w:t>② 对各类废塑料按计划采购、分期分批入库，严格控制贮存量；</w:t>
      </w:r>
    </w:p>
    <w:p>
      <w:pPr>
        <w:bidi w:val="0"/>
        <w:rPr>
          <w:rFonts w:hint="default"/>
        </w:rPr>
      </w:pPr>
      <w:r>
        <w:rPr>
          <w:rFonts w:hint="default"/>
        </w:rPr>
        <w:t>③ 对各类火种、火源和有散发火花危险的机械设备、作业活动，以及可燃、易燃物品加强控制和管理；</w:t>
      </w:r>
    </w:p>
    <w:p>
      <w:pPr>
        <w:bidi w:val="0"/>
        <w:rPr>
          <w:rFonts w:hint="default"/>
        </w:rPr>
      </w:pPr>
      <w:r>
        <w:rPr>
          <w:rFonts w:hint="default"/>
        </w:rPr>
        <w:t>④ 实行安全检查制度，对各类安全设施、消防器材，应进行各种日常的、定期的、专业的防火安全检查，并将发现的问题定人、限期落实整改；</w:t>
      </w:r>
    </w:p>
    <w:p>
      <w:pPr>
        <w:bidi w:val="0"/>
        <w:rPr>
          <w:rFonts w:hint="default"/>
        </w:rPr>
      </w:pPr>
      <w:r>
        <w:rPr>
          <w:rFonts w:hint="default"/>
        </w:rPr>
        <w:t>⑤ 制定各种操作规范，加强监督管理，避免事故的发生；</w:t>
      </w:r>
    </w:p>
    <w:p>
      <w:pPr>
        <w:bidi w:val="0"/>
        <w:rPr>
          <w:rFonts w:hint="default"/>
        </w:rPr>
      </w:pPr>
      <w:r>
        <w:rPr>
          <w:rFonts w:hint="default"/>
        </w:rPr>
        <w:t>⑥ 制定、落实事故风险应急预案和环境监测计划。</w:t>
      </w:r>
    </w:p>
    <w:p>
      <w:pPr>
        <w:pStyle w:val="5"/>
        <w:bidi w:val="0"/>
        <w:rPr>
          <w:rFonts w:hint="default"/>
        </w:rPr>
      </w:pPr>
      <w:r>
        <w:rPr>
          <w:rFonts w:hint="default"/>
        </w:rPr>
        <w:t>6.5.2</w:t>
      </w:r>
      <w:r>
        <w:rPr>
          <w:rFonts w:hint="eastAsia"/>
          <w:lang w:eastAsia="zh-CN"/>
        </w:rPr>
        <w:t>、</w:t>
      </w:r>
      <w:r>
        <w:rPr>
          <w:rFonts w:hint="default"/>
        </w:rPr>
        <w:t>风险预防措施</w:t>
      </w:r>
    </w:p>
    <w:p>
      <w:pPr>
        <w:bidi w:val="0"/>
        <w:rPr>
          <w:rFonts w:hint="default"/>
        </w:rPr>
      </w:pPr>
      <w:r>
        <w:rPr>
          <w:rFonts w:hint="default"/>
        </w:rPr>
        <w:t>（1）贮存过程中的事故防范措施</w:t>
      </w:r>
    </w:p>
    <w:p>
      <w:pPr>
        <w:bidi w:val="0"/>
        <w:rPr>
          <w:rFonts w:hint="default"/>
        </w:rPr>
      </w:pPr>
      <w:r>
        <w:rPr>
          <w:rFonts w:hint="default"/>
        </w:rPr>
        <w:t>① 加强回收废物的储存管理，储存过程必须严格遵守安全防火规定，仓库配备防火器材，项目的原料、产品及产生的生产固废严禁与易燃易爆品混存；</w:t>
      </w:r>
    </w:p>
    <w:p>
      <w:pPr>
        <w:bidi w:val="0"/>
        <w:rPr>
          <w:rFonts w:hint="default"/>
        </w:rPr>
      </w:pPr>
      <w:r>
        <w:rPr>
          <w:rFonts w:hint="default"/>
        </w:rPr>
        <w:t>② 成品仓库及原材料仓库应设置为禁火区，远离明火、禁烟；生产车间设置防火通道，禁止在通道内堆放物品，并配备防火器材；</w:t>
      </w:r>
    </w:p>
    <w:p>
      <w:pPr>
        <w:bidi w:val="0"/>
        <w:rPr>
          <w:rFonts w:hint="default"/>
        </w:rPr>
      </w:pPr>
      <w:r>
        <w:rPr>
          <w:rFonts w:hint="default"/>
        </w:rPr>
        <w:t>③ 落实责任制，生产车间、仓库应分设负责人看管，确保生产车间、仓库消防隐患时刻监控，不可利用废物定期清理；</w:t>
      </w:r>
    </w:p>
    <w:p>
      <w:pPr>
        <w:bidi w:val="0"/>
        <w:rPr>
          <w:rFonts w:hint="default"/>
        </w:rPr>
      </w:pPr>
      <w:r>
        <w:rPr>
          <w:rFonts w:hint="default"/>
        </w:rPr>
        <w:t>④ 如突发火灾，应立即采取急救措施，并及时向当地环保局等有关部门报告。</w:t>
      </w:r>
    </w:p>
    <w:p>
      <w:pPr>
        <w:bidi w:val="0"/>
        <w:rPr>
          <w:rFonts w:hint="default"/>
        </w:rPr>
      </w:pPr>
      <w:r>
        <w:rPr>
          <w:rFonts w:hint="default"/>
        </w:rPr>
        <w:t>（2）运行过程中的事故防范措施</w:t>
      </w:r>
    </w:p>
    <w:p>
      <w:pPr>
        <w:bidi w:val="0"/>
        <w:rPr>
          <w:rFonts w:hint="default"/>
        </w:rPr>
      </w:pPr>
      <w:r>
        <w:rPr>
          <w:rFonts w:hint="default"/>
        </w:rPr>
        <w:t>① 严格操作规程，加强对生产和辅助设备定期检修，确保废气处理设施正常运行和加工过程中产生的废气达标排放；</w:t>
      </w:r>
    </w:p>
    <w:p>
      <w:pPr>
        <w:bidi w:val="0"/>
        <w:rPr>
          <w:rFonts w:hint="default"/>
        </w:rPr>
      </w:pPr>
      <w:r>
        <w:rPr>
          <w:rFonts w:hint="default"/>
        </w:rPr>
        <w:t>② 加强管理，定期向当地环保主管部门及安全消防部门汇报，以便得到有效监管。</w:t>
      </w:r>
    </w:p>
    <w:p>
      <w:pPr>
        <w:bidi w:val="0"/>
        <w:rPr>
          <w:rFonts w:hint="default"/>
        </w:rPr>
      </w:pPr>
      <w:r>
        <w:rPr>
          <w:rFonts w:hint="default"/>
        </w:rPr>
        <w:t>（3）火灾风险防范措施</w:t>
      </w:r>
    </w:p>
    <w:p>
      <w:pPr>
        <w:bidi w:val="0"/>
        <w:rPr>
          <w:rFonts w:hint="default"/>
        </w:rPr>
      </w:pPr>
      <w:r>
        <w:rPr>
          <w:rFonts w:hint="default"/>
        </w:rPr>
        <w:t>① 加强消防安全教育培训。定期组织员工学习消防法规和各项规章制度，做到依法治火；各部门应针对岗位特点进行消防安全教育培训；对消防设施维护保养和使用人员应进行实地演示和培训；对新员工进行岗前消防培训，经考试合格后方可上岗；消控中心等特殊岗位要进行专业培训，经考试合格，持证上岗。</w:t>
      </w:r>
    </w:p>
    <w:p>
      <w:pPr>
        <w:bidi w:val="0"/>
        <w:rPr>
          <w:rFonts w:hint="default"/>
        </w:rPr>
      </w:pPr>
      <w:r>
        <w:rPr>
          <w:rFonts w:hint="default"/>
        </w:rPr>
        <w:t>② 加强防火巡查检查。落实逐级消防安全责任制和岗位消防安全责任制，落实巡查检查制度；每月对单位进行一次防火检查并复查追踪改善，检查中发现火灾隐患，检查人员应填写防火检查记录；检查部门应将检查情况及时通知受检部门，各部门负责人应每日消防安全检查情况通知，若发现本单位存在火灾隐患，应及时整改。</w:t>
      </w:r>
    </w:p>
    <w:p>
      <w:pPr>
        <w:bidi w:val="0"/>
        <w:rPr>
          <w:rFonts w:hint="default"/>
        </w:rPr>
      </w:pPr>
      <w:r>
        <w:rPr>
          <w:rFonts w:hint="default"/>
        </w:rPr>
        <w:t>③ 加强安全疏散设施管理。单位应保持疏散通道、安全出口畅通，严禁占用疏散通道，严禁在安全出口或疏散通道上安装栅栏等影响疏散的障碍物；应按规范设置符合国家规定的消防安全疏散指示标志和应急照明设施；应保持防火门、消防安全疏散指示标志、应急照明、机械排烟送风、火灾事故广播等设施处于正常状态，并定期组织检查、测试、维护和保养；严禁在营业或工作期间将安全出口上锁。</w:t>
      </w:r>
    </w:p>
    <w:p>
      <w:pPr>
        <w:bidi w:val="0"/>
        <w:rPr>
          <w:rFonts w:hint="default"/>
        </w:rPr>
      </w:pPr>
      <w:r>
        <w:rPr>
          <w:rFonts w:hint="default"/>
        </w:rPr>
        <w:t>④ 加强消防设施、器材维护管理。每年在冬防、夏防期间定期两次对灭火器进行普查换药。派专人管理，定期巡查消防器材，包括烟、温感报警系统、消防水泵、喷淋水泵、水幕水泵、正压送风、防排烟系统及室内消火栓等，保证处于完好状态。</w:t>
      </w:r>
    </w:p>
    <w:p>
      <w:pPr>
        <w:pStyle w:val="4"/>
        <w:bidi w:val="0"/>
        <w:rPr>
          <w:rFonts w:hint="default"/>
        </w:rPr>
      </w:pPr>
      <w:bookmarkStart w:id="284" w:name="_Toc2266"/>
      <w:bookmarkStart w:id="285" w:name="_Toc21032_WPSOffice_Level3"/>
      <w:bookmarkStart w:id="286" w:name="_Toc32745"/>
      <w:r>
        <w:rPr>
          <w:rFonts w:hint="default"/>
        </w:rPr>
        <w:t>6.6</w:t>
      </w:r>
      <w:r>
        <w:rPr>
          <w:rFonts w:hint="eastAsia"/>
          <w:lang w:eastAsia="zh-CN"/>
        </w:rPr>
        <w:t>、</w:t>
      </w:r>
      <w:r>
        <w:rPr>
          <w:rFonts w:hint="default"/>
        </w:rPr>
        <w:t>事故应急预案</w:t>
      </w:r>
      <w:bookmarkEnd w:id="284"/>
      <w:bookmarkEnd w:id="285"/>
      <w:bookmarkEnd w:id="286"/>
    </w:p>
    <w:p>
      <w:pPr>
        <w:bidi w:val="0"/>
        <w:rPr>
          <w:rFonts w:hint="default"/>
        </w:rPr>
      </w:pPr>
      <w:r>
        <w:rPr>
          <w:rFonts w:hint="default"/>
        </w:rPr>
        <w:t>在项目建成试运营前，要全面详尽地设计好各种情况下风险事故应急预案。应急预案是在贯彻预防为主的前提下，对建设项目可能出现的事故，为及时控制危险源，抢救受害人员，指导居民防护和组织撤离，消除危害后果而组织的救援活动的预想方案。按不同情况预定事故处理负责人，一旦发生事故，就能快速有领导地按计划处理，执行预案所规定的各项措施，将风险损失降低到最低程度。</w:t>
      </w:r>
    </w:p>
    <w:p>
      <w:pPr>
        <w:bidi w:val="0"/>
        <w:rPr>
          <w:rFonts w:hint="default"/>
        </w:rPr>
      </w:pPr>
      <w:r>
        <w:rPr>
          <w:rFonts w:hint="default"/>
        </w:rPr>
        <w:t>事故应急救援预案应由企业管理和操作人员针对项目的具体情况进行编写，为了能在事故发生的初期阶段采取紧急措施，控制事态，把事故损失、对环境影响降低到最小。</w:t>
      </w:r>
    </w:p>
    <w:p>
      <w:pPr>
        <w:bidi w:val="0"/>
        <w:rPr>
          <w:rFonts w:hint="default"/>
        </w:rPr>
      </w:pPr>
      <w:r>
        <w:rPr>
          <w:rFonts w:hint="default"/>
        </w:rPr>
        <w:t>应急预案内容详见表6.6-1。</w:t>
      </w:r>
    </w:p>
    <w:p>
      <w:pPr>
        <w:pStyle w:val="17"/>
        <w:bidi w:val="0"/>
        <w:rPr>
          <w:rFonts w:hint="default"/>
          <w:b/>
          <w:bCs/>
        </w:rPr>
      </w:pPr>
      <w:r>
        <w:rPr>
          <w:rFonts w:hint="default"/>
          <w:b/>
          <w:bCs/>
        </w:rPr>
        <w:t xml:space="preserve">表6.6-1 </w:t>
      </w:r>
      <w:r>
        <w:rPr>
          <w:rFonts w:hint="eastAsia"/>
          <w:b/>
          <w:bCs/>
          <w:lang w:val="en-US" w:eastAsia="zh-CN"/>
        </w:rPr>
        <w:t xml:space="preserve"> </w:t>
      </w:r>
      <w:r>
        <w:rPr>
          <w:rFonts w:hint="default"/>
          <w:b/>
          <w:bCs/>
        </w:rPr>
        <w:t xml:space="preserve"> 应急预案内容</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234"/>
        <w:gridCol w:w="60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5" w:type="dxa"/>
            <w:tcBorders>
              <w:tl2br w:val="nil"/>
              <w:tr2bl w:val="nil"/>
            </w:tcBorders>
            <w:vAlign w:val="center"/>
          </w:tcPr>
          <w:p>
            <w:pPr>
              <w:pStyle w:val="17"/>
              <w:bidi w:val="0"/>
              <w:rPr>
                <w:rFonts w:hint="default"/>
                <w:b/>
                <w:bCs/>
              </w:rPr>
            </w:pPr>
            <w:r>
              <w:rPr>
                <w:rFonts w:hint="default"/>
                <w:b/>
                <w:bCs/>
              </w:rPr>
              <w:t>序号</w:t>
            </w:r>
          </w:p>
        </w:tc>
        <w:tc>
          <w:tcPr>
            <w:tcW w:w="2234" w:type="dxa"/>
            <w:tcBorders>
              <w:tl2br w:val="nil"/>
              <w:tr2bl w:val="nil"/>
            </w:tcBorders>
            <w:vAlign w:val="center"/>
          </w:tcPr>
          <w:p>
            <w:pPr>
              <w:pStyle w:val="17"/>
              <w:bidi w:val="0"/>
              <w:rPr>
                <w:rFonts w:hint="default"/>
                <w:b/>
                <w:bCs/>
              </w:rPr>
            </w:pPr>
            <w:r>
              <w:rPr>
                <w:rFonts w:hint="default"/>
                <w:b/>
                <w:bCs/>
              </w:rPr>
              <w:t>项目</w:t>
            </w:r>
          </w:p>
        </w:tc>
        <w:tc>
          <w:tcPr>
            <w:tcW w:w="6052" w:type="dxa"/>
            <w:tcBorders>
              <w:tl2br w:val="nil"/>
              <w:tr2bl w:val="nil"/>
            </w:tcBorders>
            <w:vAlign w:val="center"/>
          </w:tcPr>
          <w:p>
            <w:pPr>
              <w:pStyle w:val="17"/>
              <w:bidi w:val="0"/>
              <w:rPr>
                <w:rFonts w:hint="default"/>
                <w:b/>
                <w:bCs/>
              </w:rPr>
            </w:pPr>
            <w:r>
              <w:rPr>
                <w:rFonts w:hint="default"/>
                <w:b/>
                <w:bCs/>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5" w:type="dxa"/>
            <w:tcBorders>
              <w:tl2br w:val="nil"/>
              <w:tr2bl w:val="nil"/>
            </w:tcBorders>
            <w:vAlign w:val="center"/>
          </w:tcPr>
          <w:p>
            <w:pPr>
              <w:pStyle w:val="17"/>
              <w:bidi w:val="0"/>
              <w:rPr>
                <w:rFonts w:hint="default"/>
              </w:rPr>
            </w:pPr>
            <w:r>
              <w:rPr>
                <w:rFonts w:hint="default"/>
              </w:rPr>
              <w:t>1</w:t>
            </w:r>
          </w:p>
        </w:tc>
        <w:tc>
          <w:tcPr>
            <w:tcW w:w="2234" w:type="dxa"/>
            <w:tcBorders>
              <w:tl2br w:val="nil"/>
              <w:tr2bl w:val="nil"/>
            </w:tcBorders>
            <w:vAlign w:val="center"/>
          </w:tcPr>
          <w:p>
            <w:pPr>
              <w:pStyle w:val="17"/>
              <w:bidi w:val="0"/>
              <w:rPr>
                <w:rFonts w:hint="default"/>
              </w:rPr>
            </w:pPr>
            <w:r>
              <w:rPr>
                <w:rFonts w:hint="default"/>
              </w:rPr>
              <w:t>应急计划区</w:t>
            </w:r>
          </w:p>
        </w:tc>
        <w:tc>
          <w:tcPr>
            <w:tcW w:w="6052" w:type="dxa"/>
            <w:tcBorders>
              <w:tl2br w:val="nil"/>
              <w:tr2bl w:val="nil"/>
            </w:tcBorders>
            <w:vAlign w:val="center"/>
          </w:tcPr>
          <w:p>
            <w:pPr>
              <w:pStyle w:val="17"/>
              <w:bidi w:val="0"/>
              <w:rPr>
                <w:rFonts w:hint="default"/>
              </w:rPr>
            </w:pPr>
            <w:r>
              <w:rPr>
                <w:rFonts w:hint="default"/>
              </w:rPr>
              <w:t>生产车间、库房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5" w:type="dxa"/>
            <w:tcBorders>
              <w:tl2br w:val="nil"/>
              <w:tr2bl w:val="nil"/>
            </w:tcBorders>
            <w:vAlign w:val="center"/>
          </w:tcPr>
          <w:p>
            <w:pPr>
              <w:pStyle w:val="17"/>
              <w:bidi w:val="0"/>
              <w:rPr>
                <w:rFonts w:hint="default"/>
              </w:rPr>
            </w:pPr>
            <w:r>
              <w:rPr>
                <w:rFonts w:hint="default"/>
              </w:rPr>
              <w:t>2</w:t>
            </w:r>
          </w:p>
        </w:tc>
        <w:tc>
          <w:tcPr>
            <w:tcW w:w="2234" w:type="dxa"/>
            <w:tcBorders>
              <w:tl2br w:val="nil"/>
              <w:tr2bl w:val="nil"/>
            </w:tcBorders>
            <w:vAlign w:val="center"/>
          </w:tcPr>
          <w:p>
            <w:pPr>
              <w:pStyle w:val="17"/>
              <w:bidi w:val="0"/>
              <w:rPr>
                <w:rFonts w:hint="default"/>
              </w:rPr>
            </w:pPr>
            <w:r>
              <w:rPr>
                <w:rFonts w:hint="default"/>
              </w:rPr>
              <w:t>应急组织机构、人员</w:t>
            </w:r>
          </w:p>
        </w:tc>
        <w:tc>
          <w:tcPr>
            <w:tcW w:w="6052" w:type="dxa"/>
            <w:tcBorders>
              <w:tl2br w:val="nil"/>
              <w:tr2bl w:val="nil"/>
            </w:tcBorders>
            <w:vAlign w:val="center"/>
          </w:tcPr>
          <w:p>
            <w:pPr>
              <w:pStyle w:val="17"/>
              <w:bidi w:val="0"/>
              <w:rPr>
                <w:rFonts w:hint="default"/>
              </w:rPr>
            </w:pPr>
            <w:r>
              <w:rPr>
                <w:rFonts w:hint="default"/>
              </w:rPr>
              <w:t>以厂区为主体，各主要负责人为应急计划、协调第一人，应急人员必须为持证上岗熟练工；区域应急组织机构由当地政府、相关行业专家、卫生安全相关单位组成，并由当地政府进行统一调度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5" w:type="dxa"/>
            <w:tcBorders>
              <w:tl2br w:val="nil"/>
              <w:tr2bl w:val="nil"/>
            </w:tcBorders>
            <w:vAlign w:val="center"/>
          </w:tcPr>
          <w:p>
            <w:pPr>
              <w:pStyle w:val="17"/>
              <w:bidi w:val="0"/>
              <w:rPr>
                <w:rFonts w:hint="default"/>
              </w:rPr>
            </w:pPr>
            <w:r>
              <w:rPr>
                <w:rFonts w:hint="default"/>
              </w:rPr>
              <w:t>3</w:t>
            </w:r>
          </w:p>
        </w:tc>
        <w:tc>
          <w:tcPr>
            <w:tcW w:w="2234" w:type="dxa"/>
            <w:tcBorders>
              <w:tl2br w:val="nil"/>
              <w:tr2bl w:val="nil"/>
            </w:tcBorders>
            <w:vAlign w:val="center"/>
          </w:tcPr>
          <w:p>
            <w:pPr>
              <w:pStyle w:val="17"/>
              <w:bidi w:val="0"/>
              <w:rPr>
                <w:rFonts w:hint="default"/>
              </w:rPr>
            </w:pPr>
            <w:r>
              <w:rPr>
                <w:rFonts w:hint="default"/>
              </w:rPr>
              <w:t>预案分级响应条件</w:t>
            </w:r>
          </w:p>
        </w:tc>
        <w:tc>
          <w:tcPr>
            <w:tcW w:w="6052" w:type="dxa"/>
            <w:tcBorders>
              <w:tl2br w:val="nil"/>
              <w:tr2bl w:val="nil"/>
            </w:tcBorders>
            <w:vAlign w:val="center"/>
          </w:tcPr>
          <w:p>
            <w:pPr>
              <w:pStyle w:val="17"/>
              <w:bidi w:val="0"/>
              <w:rPr>
                <w:rFonts w:hint="default"/>
              </w:rPr>
            </w:pPr>
            <w:r>
              <w:rPr>
                <w:rFonts w:hint="default"/>
              </w:rPr>
              <w:t>据事故的严重程度制定相应级别的应急预案，以及适合相应情况的处理措施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5" w:type="dxa"/>
            <w:tcBorders>
              <w:tl2br w:val="nil"/>
              <w:tr2bl w:val="nil"/>
            </w:tcBorders>
            <w:vAlign w:val="center"/>
          </w:tcPr>
          <w:p>
            <w:pPr>
              <w:pStyle w:val="17"/>
              <w:bidi w:val="0"/>
              <w:rPr>
                <w:rFonts w:hint="default"/>
              </w:rPr>
            </w:pPr>
            <w:r>
              <w:rPr>
                <w:rFonts w:hint="default"/>
              </w:rPr>
              <w:t>4</w:t>
            </w:r>
          </w:p>
        </w:tc>
        <w:tc>
          <w:tcPr>
            <w:tcW w:w="2234" w:type="dxa"/>
            <w:tcBorders>
              <w:tl2br w:val="nil"/>
              <w:tr2bl w:val="nil"/>
            </w:tcBorders>
            <w:vAlign w:val="center"/>
          </w:tcPr>
          <w:p>
            <w:pPr>
              <w:pStyle w:val="17"/>
              <w:bidi w:val="0"/>
              <w:rPr>
                <w:rFonts w:hint="default"/>
              </w:rPr>
            </w:pPr>
            <w:r>
              <w:rPr>
                <w:rFonts w:hint="default"/>
              </w:rPr>
              <w:t>应急救援保障</w:t>
            </w:r>
          </w:p>
        </w:tc>
        <w:tc>
          <w:tcPr>
            <w:tcW w:w="6052" w:type="dxa"/>
            <w:tcBorders>
              <w:tl2br w:val="nil"/>
              <w:tr2bl w:val="nil"/>
            </w:tcBorders>
            <w:vAlign w:val="center"/>
          </w:tcPr>
          <w:p>
            <w:pPr>
              <w:pStyle w:val="17"/>
              <w:bidi w:val="0"/>
              <w:rPr>
                <w:rFonts w:hint="default"/>
              </w:rPr>
            </w:pPr>
            <w:r>
              <w:rPr>
                <w:rFonts w:hint="default"/>
              </w:rPr>
              <w:t>应急设施和器材准备全面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5" w:type="dxa"/>
            <w:tcBorders>
              <w:tl2br w:val="nil"/>
              <w:tr2bl w:val="nil"/>
            </w:tcBorders>
            <w:vAlign w:val="center"/>
          </w:tcPr>
          <w:p>
            <w:pPr>
              <w:pStyle w:val="17"/>
              <w:bidi w:val="0"/>
              <w:rPr>
                <w:rFonts w:hint="default"/>
              </w:rPr>
            </w:pPr>
            <w:r>
              <w:rPr>
                <w:rFonts w:hint="default"/>
              </w:rPr>
              <w:t>5</w:t>
            </w:r>
          </w:p>
        </w:tc>
        <w:tc>
          <w:tcPr>
            <w:tcW w:w="2234" w:type="dxa"/>
            <w:tcBorders>
              <w:tl2br w:val="nil"/>
              <w:tr2bl w:val="nil"/>
            </w:tcBorders>
            <w:vAlign w:val="center"/>
          </w:tcPr>
          <w:p>
            <w:pPr>
              <w:pStyle w:val="17"/>
              <w:bidi w:val="0"/>
              <w:rPr>
                <w:rFonts w:hint="default"/>
              </w:rPr>
            </w:pPr>
            <w:r>
              <w:rPr>
                <w:rFonts w:hint="default"/>
              </w:rPr>
              <w:t>报警、通讯联络方式</w:t>
            </w:r>
          </w:p>
        </w:tc>
        <w:tc>
          <w:tcPr>
            <w:tcW w:w="6052" w:type="dxa"/>
            <w:tcBorders>
              <w:tl2br w:val="nil"/>
              <w:tr2bl w:val="nil"/>
            </w:tcBorders>
            <w:vAlign w:val="center"/>
          </w:tcPr>
          <w:p>
            <w:pPr>
              <w:pStyle w:val="17"/>
              <w:bidi w:val="0"/>
              <w:rPr>
                <w:rFonts w:hint="default"/>
              </w:rPr>
            </w:pPr>
            <w:r>
              <w:rPr>
                <w:rFonts w:hint="default"/>
              </w:rPr>
              <w:t>逐一细化应急状态下各主要负责单位的报警通讯方式、地点、电话号码以及相关配套的交通保障、管制、消防、环境保护部门联络方法，及时通报事故处理情况，以获得区域性支援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5" w:type="dxa"/>
            <w:tcBorders>
              <w:tl2br w:val="nil"/>
              <w:tr2bl w:val="nil"/>
            </w:tcBorders>
            <w:vAlign w:val="center"/>
          </w:tcPr>
          <w:p>
            <w:pPr>
              <w:pStyle w:val="17"/>
              <w:bidi w:val="0"/>
              <w:rPr>
                <w:rFonts w:hint="default"/>
              </w:rPr>
            </w:pPr>
            <w:r>
              <w:rPr>
                <w:rFonts w:hint="default"/>
              </w:rPr>
              <w:t>6</w:t>
            </w:r>
          </w:p>
        </w:tc>
        <w:tc>
          <w:tcPr>
            <w:tcW w:w="2234" w:type="dxa"/>
            <w:tcBorders>
              <w:tl2br w:val="nil"/>
              <w:tr2bl w:val="nil"/>
            </w:tcBorders>
            <w:vAlign w:val="center"/>
          </w:tcPr>
          <w:p>
            <w:pPr>
              <w:pStyle w:val="17"/>
              <w:bidi w:val="0"/>
              <w:rPr>
                <w:rFonts w:hint="default"/>
              </w:rPr>
            </w:pPr>
            <w:r>
              <w:rPr>
                <w:rFonts w:hint="default"/>
              </w:rPr>
              <w:t>应急环境监测、抢险、救援及控制措施</w:t>
            </w:r>
          </w:p>
        </w:tc>
        <w:tc>
          <w:tcPr>
            <w:tcW w:w="6052" w:type="dxa"/>
            <w:tcBorders>
              <w:tl2br w:val="nil"/>
              <w:tr2bl w:val="nil"/>
            </w:tcBorders>
            <w:vAlign w:val="center"/>
          </w:tcPr>
          <w:p>
            <w:pPr>
              <w:pStyle w:val="17"/>
              <w:bidi w:val="0"/>
              <w:rPr>
                <w:rFonts w:hint="default"/>
              </w:rPr>
            </w:pPr>
            <w:r>
              <w:rPr>
                <w:rFonts w:hint="default"/>
              </w:rPr>
              <w:t>由专业队伍负责对事故现场进行侦查监测、对事故性质、参数与后果进行评估、为指挥部门提供决策依据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5" w:type="dxa"/>
            <w:tcBorders>
              <w:tl2br w:val="nil"/>
              <w:tr2bl w:val="nil"/>
            </w:tcBorders>
            <w:vAlign w:val="center"/>
          </w:tcPr>
          <w:p>
            <w:pPr>
              <w:pStyle w:val="17"/>
              <w:bidi w:val="0"/>
              <w:rPr>
                <w:rFonts w:hint="default"/>
              </w:rPr>
            </w:pPr>
            <w:r>
              <w:rPr>
                <w:rFonts w:hint="default"/>
              </w:rPr>
              <w:t>7</w:t>
            </w:r>
          </w:p>
        </w:tc>
        <w:tc>
          <w:tcPr>
            <w:tcW w:w="2234" w:type="dxa"/>
            <w:tcBorders>
              <w:tl2br w:val="nil"/>
              <w:tr2bl w:val="nil"/>
            </w:tcBorders>
            <w:vAlign w:val="center"/>
          </w:tcPr>
          <w:p>
            <w:pPr>
              <w:pStyle w:val="17"/>
              <w:bidi w:val="0"/>
              <w:rPr>
                <w:rFonts w:hint="default"/>
              </w:rPr>
            </w:pPr>
            <w:r>
              <w:rPr>
                <w:rFonts w:hint="default"/>
              </w:rPr>
              <w:t>应急检测、防护措施、清除泄露措施和器材</w:t>
            </w:r>
          </w:p>
        </w:tc>
        <w:tc>
          <w:tcPr>
            <w:tcW w:w="6052" w:type="dxa"/>
            <w:tcBorders>
              <w:tl2br w:val="nil"/>
              <w:tr2bl w:val="nil"/>
            </w:tcBorders>
            <w:vAlign w:val="center"/>
          </w:tcPr>
          <w:p>
            <w:pPr>
              <w:pStyle w:val="17"/>
              <w:bidi w:val="0"/>
              <w:rPr>
                <w:rFonts w:hint="default"/>
              </w:rPr>
            </w:pPr>
            <w:r>
              <w:rPr>
                <w:rFonts w:hint="default"/>
              </w:rPr>
              <w:t>配备各种防护器材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5" w:type="dxa"/>
            <w:tcBorders>
              <w:tl2br w:val="nil"/>
              <w:tr2bl w:val="nil"/>
            </w:tcBorders>
            <w:vAlign w:val="center"/>
          </w:tcPr>
          <w:p>
            <w:pPr>
              <w:pStyle w:val="17"/>
              <w:bidi w:val="0"/>
              <w:rPr>
                <w:rFonts w:hint="default"/>
              </w:rPr>
            </w:pPr>
            <w:r>
              <w:rPr>
                <w:rFonts w:hint="default"/>
              </w:rPr>
              <w:t>8</w:t>
            </w:r>
          </w:p>
        </w:tc>
        <w:tc>
          <w:tcPr>
            <w:tcW w:w="2234" w:type="dxa"/>
            <w:tcBorders>
              <w:tl2br w:val="nil"/>
              <w:tr2bl w:val="nil"/>
            </w:tcBorders>
            <w:vAlign w:val="center"/>
          </w:tcPr>
          <w:p>
            <w:pPr>
              <w:pStyle w:val="17"/>
              <w:bidi w:val="0"/>
              <w:rPr>
                <w:rFonts w:hint="default"/>
              </w:rPr>
            </w:pPr>
            <w:r>
              <w:rPr>
                <w:rFonts w:hint="default"/>
              </w:rPr>
              <w:t>人员紧急撤离、疏散、撤离组织计划</w:t>
            </w:r>
          </w:p>
        </w:tc>
        <w:tc>
          <w:tcPr>
            <w:tcW w:w="6052" w:type="dxa"/>
            <w:tcBorders>
              <w:tl2br w:val="nil"/>
              <w:tr2bl w:val="nil"/>
            </w:tcBorders>
            <w:vAlign w:val="center"/>
          </w:tcPr>
          <w:p>
            <w:pPr>
              <w:pStyle w:val="17"/>
              <w:bidi w:val="0"/>
              <w:rPr>
                <w:rFonts w:hint="default"/>
              </w:rPr>
            </w:pPr>
            <w:r>
              <w:rPr>
                <w:rFonts w:hint="default"/>
              </w:rPr>
              <w:t>对事故现场、邻近区和受事故影响的区域人员组织撤离和疏散，必要时进行医疗救护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5" w:type="dxa"/>
            <w:tcBorders>
              <w:tl2br w:val="nil"/>
              <w:tr2bl w:val="nil"/>
            </w:tcBorders>
            <w:vAlign w:val="center"/>
          </w:tcPr>
          <w:p>
            <w:pPr>
              <w:pStyle w:val="17"/>
              <w:bidi w:val="0"/>
              <w:rPr>
                <w:rFonts w:hint="default"/>
              </w:rPr>
            </w:pPr>
            <w:r>
              <w:rPr>
                <w:rFonts w:hint="default"/>
              </w:rPr>
              <w:t>9</w:t>
            </w:r>
          </w:p>
        </w:tc>
        <w:tc>
          <w:tcPr>
            <w:tcW w:w="2234" w:type="dxa"/>
            <w:tcBorders>
              <w:tl2br w:val="nil"/>
              <w:tr2bl w:val="nil"/>
            </w:tcBorders>
            <w:vAlign w:val="center"/>
          </w:tcPr>
          <w:p>
            <w:pPr>
              <w:pStyle w:val="17"/>
              <w:bidi w:val="0"/>
              <w:rPr>
                <w:rFonts w:hint="default"/>
              </w:rPr>
            </w:pPr>
            <w:r>
              <w:rPr>
                <w:rFonts w:hint="default"/>
              </w:rPr>
              <w:t>事故应急救援关闭程序与恢复措施</w:t>
            </w:r>
          </w:p>
        </w:tc>
        <w:tc>
          <w:tcPr>
            <w:tcW w:w="6052" w:type="dxa"/>
            <w:tcBorders>
              <w:tl2br w:val="nil"/>
              <w:tr2bl w:val="nil"/>
            </w:tcBorders>
            <w:vAlign w:val="center"/>
          </w:tcPr>
          <w:p>
            <w:pPr>
              <w:pStyle w:val="17"/>
              <w:bidi w:val="0"/>
              <w:rPr>
                <w:rFonts w:hint="default"/>
              </w:rPr>
            </w:pPr>
            <w:r>
              <w:rPr>
                <w:rFonts w:hint="default"/>
              </w:rPr>
              <w:t>制定应急状态终止程序，对事故现场进行善后处理和恢复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5" w:type="dxa"/>
            <w:tcBorders>
              <w:tl2br w:val="nil"/>
              <w:tr2bl w:val="nil"/>
            </w:tcBorders>
            <w:vAlign w:val="center"/>
          </w:tcPr>
          <w:p>
            <w:pPr>
              <w:pStyle w:val="17"/>
              <w:bidi w:val="0"/>
              <w:rPr>
                <w:rFonts w:hint="default"/>
              </w:rPr>
            </w:pPr>
            <w:r>
              <w:rPr>
                <w:rFonts w:hint="default"/>
              </w:rPr>
              <w:t>10</w:t>
            </w:r>
          </w:p>
        </w:tc>
        <w:tc>
          <w:tcPr>
            <w:tcW w:w="2234" w:type="dxa"/>
            <w:tcBorders>
              <w:tl2br w:val="nil"/>
              <w:tr2bl w:val="nil"/>
            </w:tcBorders>
            <w:vAlign w:val="center"/>
          </w:tcPr>
          <w:p>
            <w:pPr>
              <w:pStyle w:val="17"/>
              <w:bidi w:val="0"/>
              <w:rPr>
                <w:rFonts w:hint="default"/>
              </w:rPr>
            </w:pPr>
            <w:r>
              <w:rPr>
                <w:rFonts w:hint="default"/>
              </w:rPr>
              <w:t>应急培训计划</w:t>
            </w:r>
          </w:p>
        </w:tc>
        <w:tc>
          <w:tcPr>
            <w:tcW w:w="6052" w:type="dxa"/>
            <w:tcBorders>
              <w:tl2br w:val="nil"/>
              <w:tr2bl w:val="nil"/>
            </w:tcBorders>
            <w:vAlign w:val="center"/>
          </w:tcPr>
          <w:p>
            <w:pPr>
              <w:pStyle w:val="17"/>
              <w:bidi w:val="0"/>
              <w:rPr>
                <w:rFonts w:hint="default"/>
              </w:rPr>
            </w:pPr>
            <w:r>
              <w:rPr>
                <w:rFonts w:hint="default"/>
              </w:rPr>
              <w:t>安排人员培训与演练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5" w:type="dxa"/>
            <w:tcBorders>
              <w:tl2br w:val="nil"/>
              <w:tr2bl w:val="nil"/>
            </w:tcBorders>
            <w:vAlign w:val="center"/>
          </w:tcPr>
          <w:p>
            <w:pPr>
              <w:pStyle w:val="17"/>
              <w:bidi w:val="0"/>
              <w:rPr>
                <w:rFonts w:hint="default"/>
              </w:rPr>
            </w:pPr>
            <w:r>
              <w:rPr>
                <w:rFonts w:hint="default"/>
              </w:rPr>
              <w:t>11</w:t>
            </w:r>
          </w:p>
        </w:tc>
        <w:tc>
          <w:tcPr>
            <w:tcW w:w="2234" w:type="dxa"/>
            <w:tcBorders>
              <w:tl2br w:val="nil"/>
              <w:tr2bl w:val="nil"/>
            </w:tcBorders>
            <w:vAlign w:val="center"/>
          </w:tcPr>
          <w:p>
            <w:pPr>
              <w:pStyle w:val="17"/>
              <w:bidi w:val="0"/>
              <w:rPr>
                <w:rFonts w:hint="default"/>
              </w:rPr>
            </w:pPr>
            <w:r>
              <w:rPr>
                <w:rFonts w:hint="default"/>
              </w:rPr>
              <w:t>公众教育和信息</w:t>
            </w:r>
          </w:p>
        </w:tc>
        <w:tc>
          <w:tcPr>
            <w:tcW w:w="6052" w:type="dxa"/>
            <w:tcBorders>
              <w:tl2br w:val="nil"/>
              <w:tr2bl w:val="nil"/>
            </w:tcBorders>
            <w:vAlign w:val="center"/>
          </w:tcPr>
          <w:p>
            <w:pPr>
              <w:pStyle w:val="17"/>
              <w:bidi w:val="0"/>
              <w:rPr>
                <w:rFonts w:hint="default"/>
              </w:rPr>
            </w:pPr>
            <w:r>
              <w:rPr>
                <w:rFonts w:hint="default"/>
              </w:rPr>
              <w:t>对工厂邻近地区开展公众教育、培训和发布有关信息</w:t>
            </w:r>
          </w:p>
        </w:tc>
      </w:tr>
    </w:tbl>
    <w:p>
      <w:pPr>
        <w:pStyle w:val="4"/>
        <w:bidi w:val="0"/>
        <w:rPr>
          <w:rFonts w:hint="default"/>
        </w:rPr>
      </w:pPr>
      <w:bookmarkStart w:id="287" w:name="_Toc30429"/>
      <w:bookmarkStart w:id="288" w:name="_Toc28868"/>
      <w:bookmarkStart w:id="289" w:name="_Toc14189_WPSOffice_Level3"/>
      <w:r>
        <w:rPr>
          <w:rFonts w:hint="default"/>
        </w:rPr>
        <w:t>6.7</w:t>
      </w:r>
      <w:r>
        <w:rPr>
          <w:rFonts w:hint="eastAsia"/>
          <w:lang w:eastAsia="zh-CN"/>
        </w:rPr>
        <w:t>、</w:t>
      </w:r>
      <w:r>
        <w:rPr>
          <w:rFonts w:hint="default"/>
        </w:rPr>
        <w:t>水环境风险</w:t>
      </w:r>
      <w:bookmarkEnd w:id="287"/>
      <w:bookmarkEnd w:id="288"/>
    </w:p>
    <w:p>
      <w:pPr>
        <w:bidi w:val="0"/>
        <w:rPr>
          <w:rFonts w:hint="default"/>
        </w:rPr>
      </w:pPr>
      <w:r>
        <w:rPr>
          <w:rFonts w:hint="default"/>
        </w:rPr>
        <w:t>发生事故时，全厂将在第一时间内立即停产，建议建设单位新建事故池，因项目生产产生废水污染因子较少，污染程度较轻，没有必要建设事故池，生产废水沉淀后可以循环使用，故项目以沉降池作为事故池，</w:t>
      </w:r>
      <w:r>
        <w:rPr>
          <w:rFonts w:hint="default"/>
          <w:lang w:val="en-US"/>
        </w:rPr>
        <w:t>满足</w:t>
      </w:r>
      <w:r>
        <w:rPr>
          <w:rFonts w:hint="default"/>
        </w:rPr>
        <w:t>容积为</w:t>
      </w:r>
      <w:r>
        <w:rPr>
          <w:rFonts w:hint="default"/>
          <w:lang w:val="en-US"/>
        </w:rPr>
        <w:t>300</w:t>
      </w:r>
      <w:r>
        <w:rPr>
          <w:rFonts w:hint="eastAsia"/>
          <w:lang w:eastAsia="zh-CN"/>
        </w:rPr>
        <w:t>m³</w:t>
      </w:r>
      <w:r>
        <w:rPr>
          <w:rFonts w:hint="default"/>
          <w:lang w:val="en-US"/>
        </w:rPr>
        <w:t>事故池的需求</w:t>
      </w:r>
      <w:r>
        <w:rPr>
          <w:rFonts w:hint="default"/>
        </w:rPr>
        <w:t>，产生的废水可暂存于沉降池内，确保废水不会因废水处理事故而外排，沉降池内废水经沉淀</w:t>
      </w:r>
      <w:r>
        <w:rPr>
          <w:rFonts w:hint="default"/>
          <w:lang w:val="en-US" w:eastAsia="zh-CN"/>
        </w:rPr>
        <w:t>过滤</w:t>
      </w:r>
      <w:r>
        <w:rPr>
          <w:rFonts w:hint="eastAsia"/>
          <w:lang w:val="en-US" w:eastAsia="zh-CN"/>
        </w:rPr>
        <w:t>和污水处理设施</w:t>
      </w:r>
      <w:r>
        <w:rPr>
          <w:rFonts w:hint="default"/>
          <w:lang w:val="en-US"/>
        </w:rPr>
        <w:t>处理后</w:t>
      </w:r>
      <w:r>
        <w:rPr>
          <w:rFonts w:hint="default"/>
        </w:rPr>
        <w:t>回用于生产。</w:t>
      </w:r>
    </w:p>
    <w:p>
      <w:pPr>
        <w:bidi w:val="0"/>
        <w:rPr>
          <w:rFonts w:hint="default"/>
        </w:rPr>
      </w:pPr>
      <w:r>
        <w:rPr>
          <w:rFonts w:hint="default"/>
        </w:rPr>
        <w:t>因此，在废水处理场事故状态下，废水不会出现外排，对周围地表水及地下水产生不利影响。</w:t>
      </w:r>
    </w:p>
    <w:p>
      <w:pPr>
        <w:pStyle w:val="4"/>
        <w:bidi w:val="0"/>
        <w:rPr>
          <w:rFonts w:hint="default"/>
        </w:rPr>
      </w:pPr>
      <w:bookmarkStart w:id="290" w:name="_Toc3193"/>
      <w:bookmarkStart w:id="291" w:name="_Toc8549"/>
      <w:r>
        <w:rPr>
          <w:rFonts w:hint="default"/>
        </w:rPr>
        <w:t>6.8</w:t>
      </w:r>
      <w:r>
        <w:rPr>
          <w:rFonts w:hint="eastAsia"/>
          <w:lang w:eastAsia="zh-CN"/>
        </w:rPr>
        <w:t>、</w:t>
      </w:r>
      <w:r>
        <w:rPr>
          <w:rFonts w:hint="default"/>
        </w:rPr>
        <w:t>环境风险分析结论</w:t>
      </w:r>
      <w:bookmarkEnd w:id="289"/>
      <w:bookmarkEnd w:id="290"/>
      <w:bookmarkEnd w:id="291"/>
    </w:p>
    <w:p>
      <w:pPr>
        <w:bidi w:val="0"/>
        <w:rPr>
          <w:rFonts w:hint="eastAsia"/>
          <w:lang w:val="en-US" w:eastAsia="zh-CN"/>
        </w:rPr>
      </w:pPr>
      <w:r>
        <w:rPr>
          <w:rFonts w:hint="default"/>
        </w:rPr>
        <w:t>根据分析结果，本项目运营过程中主要的环境风险为火灾，风险评价工作等级确定为</w:t>
      </w:r>
      <w:r>
        <w:rPr>
          <w:rFonts w:hint="default"/>
          <w:lang w:val="en-US" w:eastAsia="zh-CN"/>
        </w:rPr>
        <w:t>简单分析</w:t>
      </w:r>
      <w:r>
        <w:rPr>
          <w:rFonts w:hint="default"/>
        </w:rPr>
        <w:t>。建设单位在建设过程中应落实本项目提出的风险防范措施，并根据今后实际生产情况结合本报告中提出的事故应急预案，制定更详实的应急预案，确保防范措施的运行。在落实风险防范措施、做好应急预案的前提下，本项目的风险处于可接受水平。</w:t>
      </w:r>
      <w:r>
        <w:rPr>
          <w:rFonts w:hint="eastAsia"/>
          <w:lang w:val="en-US" w:eastAsia="zh-CN"/>
        </w:rPr>
        <w:t>环境风险结果表见表6.8-1。</w:t>
      </w:r>
    </w:p>
    <w:p>
      <w:pPr>
        <w:pStyle w:val="17"/>
        <w:bidi w:val="0"/>
        <w:rPr>
          <w:rFonts w:hint="default"/>
          <w:b/>
          <w:bCs/>
        </w:rPr>
      </w:pPr>
      <w:r>
        <w:rPr>
          <w:rFonts w:hint="eastAsia"/>
          <w:b/>
          <w:bCs/>
          <w:lang w:val="en-US" w:eastAsia="zh-CN"/>
        </w:rPr>
        <w:t xml:space="preserve">表6.8-1   </w:t>
      </w:r>
      <w:r>
        <w:rPr>
          <w:rFonts w:hint="default"/>
          <w:b/>
          <w:bCs/>
        </w:rPr>
        <w:t>建设项目环境风险简单分析内容表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89"/>
        <w:gridCol w:w="64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89" w:type="dxa"/>
            <w:tcBorders>
              <w:tl2br w:val="nil"/>
              <w:tr2bl w:val="nil"/>
            </w:tcBorders>
            <w:noWrap w:val="0"/>
            <w:vAlign w:val="center"/>
          </w:tcPr>
          <w:p>
            <w:pPr>
              <w:pStyle w:val="17"/>
              <w:bidi w:val="0"/>
              <w:rPr>
                <w:rFonts w:hint="default"/>
                <w:b/>
                <w:bCs/>
              </w:rPr>
            </w:pPr>
            <w:r>
              <w:rPr>
                <w:rFonts w:hint="default"/>
                <w:b/>
                <w:bCs/>
              </w:rPr>
              <w:t>建设项目名称</w:t>
            </w:r>
          </w:p>
        </w:tc>
        <w:tc>
          <w:tcPr>
            <w:tcW w:w="6482" w:type="dxa"/>
            <w:tcBorders>
              <w:tl2br w:val="nil"/>
              <w:tr2bl w:val="nil"/>
            </w:tcBorders>
            <w:noWrap w:val="0"/>
            <w:vAlign w:val="center"/>
          </w:tcPr>
          <w:p>
            <w:pPr>
              <w:pStyle w:val="17"/>
              <w:bidi w:val="0"/>
              <w:rPr>
                <w:rFonts w:hint="default"/>
                <w:b/>
                <w:bCs/>
                <w:lang w:eastAsia="zh-CN"/>
              </w:rPr>
            </w:pPr>
            <w:r>
              <w:rPr>
                <w:rFonts w:hint="eastAsia"/>
                <w:b/>
                <w:bCs/>
                <w:lang w:eastAsia="zh-CN"/>
              </w:rPr>
              <w:t>吉木萨尔县天雨滴灌带地膜加工建设项目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89" w:type="dxa"/>
            <w:tcBorders>
              <w:tl2br w:val="nil"/>
              <w:tr2bl w:val="nil"/>
            </w:tcBorders>
            <w:noWrap w:val="0"/>
            <w:vAlign w:val="center"/>
          </w:tcPr>
          <w:p>
            <w:pPr>
              <w:pStyle w:val="17"/>
              <w:bidi w:val="0"/>
              <w:rPr>
                <w:rFonts w:hint="default"/>
              </w:rPr>
            </w:pPr>
            <w:r>
              <w:rPr>
                <w:rFonts w:hint="default"/>
              </w:rPr>
              <w:t>建设地点</w:t>
            </w:r>
          </w:p>
        </w:tc>
        <w:tc>
          <w:tcPr>
            <w:tcW w:w="6482" w:type="dxa"/>
            <w:tcBorders>
              <w:tl2br w:val="nil"/>
              <w:tr2bl w:val="nil"/>
            </w:tcBorders>
            <w:noWrap w:val="0"/>
            <w:vAlign w:val="center"/>
          </w:tcPr>
          <w:p>
            <w:pPr>
              <w:pStyle w:val="17"/>
              <w:bidi w:val="0"/>
              <w:rPr>
                <w:rFonts w:hint="default"/>
                <w:lang w:eastAsia="zh-CN"/>
              </w:rPr>
            </w:pPr>
            <w:r>
              <w:rPr>
                <w:rFonts w:hint="eastAsia"/>
                <w:lang w:eastAsia="zh-CN"/>
              </w:rPr>
              <w:t>新疆吉木萨尔县二工镇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89" w:type="dxa"/>
            <w:tcBorders>
              <w:tl2br w:val="nil"/>
              <w:tr2bl w:val="nil"/>
            </w:tcBorders>
            <w:noWrap w:val="0"/>
            <w:vAlign w:val="center"/>
          </w:tcPr>
          <w:p>
            <w:pPr>
              <w:pStyle w:val="17"/>
              <w:bidi w:val="0"/>
              <w:rPr>
                <w:rFonts w:hint="default"/>
              </w:rPr>
            </w:pPr>
            <w:r>
              <w:rPr>
                <w:rFonts w:hint="default"/>
              </w:rPr>
              <w:t>地理坐标</w:t>
            </w:r>
          </w:p>
        </w:tc>
        <w:tc>
          <w:tcPr>
            <w:tcW w:w="6482" w:type="dxa"/>
            <w:tcBorders>
              <w:tl2br w:val="nil"/>
              <w:tr2bl w:val="nil"/>
            </w:tcBorders>
            <w:noWrap w:val="0"/>
            <w:vAlign w:val="center"/>
          </w:tcPr>
          <w:p>
            <w:pPr>
              <w:pStyle w:val="17"/>
              <w:bidi w:val="0"/>
              <w:rPr>
                <w:rFonts w:hint="default"/>
              </w:rPr>
            </w:pPr>
            <w:r>
              <w:rPr>
                <w:rFonts w:hint="default"/>
              </w:rPr>
              <w:t>N</w:t>
            </w:r>
            <w:r>
              <w:rPr>
                <w:rFonts w:hint="eastAsia"/>
                <w:lang w:eastAsia="zh-CN"/>
              </w:rPr>
              <w:t>44°0'44.39"</w:t>
            </w:r>
            <w:r>
              <w:rPr>
                <w:rFonts w:hint="default"/>
              </w:rPr>
              <w:t>，E</w:t>
            </w:r>
            <w:r>
              <w:rPr>
                <w:rFonts w:hint="eastAsia"/>
                <w:lang w:eastAsia="zh-CN"/>
              </w:rPr>
              <w:t>89°20'50.28"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89" w:type="dxa"/>
            <w:tcBorders>
              <w:tl2br w:val="nil"/>
              <w:tr2bl w:val="nil"/>
            </w:tcBorders>
            <w:noWrap w:val="0"/>
            <w:vAlign w:val="center"/>
          </w:tcPr>
          <w:p>
            <w:pPr>
              <w:pStyle w:val="17"/>
              <w:bidi w:val="0"/>
              <w:rPr>
                <w:rFonts w:hint="default"/>
              </w:rPr>
            </w:pPr>
            <w:r>
              <w:rPr>
                <w:rFonts w:hint="default"/>
              </w:rPr>
              <w:t>主要危险物质及分布</w:t>
            </w:r>
          </w:p>
        </w:tc>
        <w:tc>
          <w:tcPr>
            <w:tcW w:w="6482" w:type="dxa"/>
            <w:tcBorders>
              <w:tl2br w:val="nil"/>
              <w:tr2bl w:val="nil"/>
            </w:tcBorders>
            <w:noWrap w:val="0"/>
            <w:vAlign w:val="center"/>
          </w:tcPr>
          <w:p>
            <w:pPr>
              <w:pStyle w:val="17"/>
              <w:bidi w:val="0"/>
              <w:rPr>
                <w:rFonts w:hint="default"/>
                <w:lang w:val="en-US" w:eastAsia="zh-CN"/>
              </w:rPr>
            </w:pPr>
            <w:r>
              <w:rPr>
                <w:rFonts w:hint="eastAsia"/>
                <w:lang w:val="en-US" w:eastAsia="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89" w:type="dxa"/>
            <w:tcBorders>
              <w:tl2br w:val="nil"/>
              <w:tr2bl w:val="nil"/>
            </w:tcBorders>
            <w:noWrap w:val="0"/>
            <w:vAlign w:val="center"/>
          </w:tcPr>
          <w:p>
            <w:pPr>
              <w:pStyle w:val="17"/>
              <w:bidi w:val="0"/>
              <w:rPr>
                <w:rFonts w:hint="default"/>
              </w:rPr>
            </w:pPr>
            <w:r>
              <w:rPr>
                <w:rFonts w:hint="default"/>
              </w:rPr>
              <w:t>环境影响途径及危害后果（大气、地表水、地下水）</w:t>
            </w:r>
          </w:p>
        </w:tc>
        <w:tc>
          <w:tcPr>
            <w:tcW w:w="6482" w:type="dxa"/>
            <w:tcBorders>
              <w:tl2br w:val="nil"/>
              <w:tr2bl w:val="nil"/>
            </w:tcBorders>
            <w:noWrap w:val="0"/>
            <w:vAlign w:val="center"/>
          </w:tcPr>
          <w:p>
            <w:pPr>
              <w:pStyle w:val="17"/>
              <w:bidi w:val="0"/>
              <w:rPr>
                <w:rFonts w:hint="default"/>
                <w:lang w:val="en-US" w:eastAsia="zh-CN"/>
              </w:rPr>
            </w:pPr>
            <w:r>
              <w:rPr>
                <w:rFonts w:hint="default"/>
                <w:lang w:val="en-US" w:eastAsia="zh-CN"/>
              </w:rPr>
              <w:t>火灾事故</w:t>
            </w:r>
            <w:r>
              <w:rPr>
                <w:rFonts w:hint="eastAsia"/>
                <w:lang w:val="en-US" w:eastAsia="zh-CN"/>
              </w:rPr>
              <w:t>次生危害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89" w:type="dxa"/>
            <w:tcBorders>
              <w:tl2br w:val="nil"/>
              <w:tr2bl w:val="nil"/>
            </w:tcBorders>
            <w:noWrap w:val="0"/>
            <w:vAlign w:val="center"/>
          </w:tcPr>
          <w:p>
            <w:pPr>
              <w:pStyle w:val="17"/>
              <w:bidi w:val="0"/>
              <w:rPr>
                <w:rFonts w:hint="default"/>
              </w:rPr>
            </w:pPr>
            <w:r>
              <w:rPr>
                <w:rFonts w:hint="default"/>
              </w:rPr>
              <w:t>风险防范措施要求</w:t>
            </w:r>
          </w:p>
        </w:tc>
        <w:tc>
          <w:tcPr>
            <w:tcW w:w="6482" w:type="dxa"/>
            <w:tcBorders>
              <w:tl2br w:val="nil"/>
              <w:tr2bl w:val="nil"/>
            </w:tcBorders>
            <w:noWrap w:val="0"/>
            <w:vAlign w:val="center"/>
          </w:tcPr>
          <w:p>
            <w:pPr>
              <w:pStyle w:val="17"/>
              <w:bidi w:val="0"/>
              <w:rPr>
                <w:rFonts w:hint="default"/>
              </w:rPr>
            </w:pPr>
            <w:r>
              <w:rPr>
                <w:rFonts w:hint="default"/>
              </w:rPr>
              <w:t>（1）该项目客观上存在着一定的不安全因素，对周围环境存在着潜在的威胁。发生环境安全事故后，对周围环境有严重的损害，所以在贯彻</w:t>
            </w:r>
            <w:r>
              <w:rPr>
                <w:rFonts w:hint="eastAsia"/>
                <w:lang w:eastAsia="zh-CN"/>
              </w:rPr>
              <w:t>“</w:t>
            </w:r>
            <w:r>
              <w:rPr>
                <w:rFonts w:hint="default"/>
              </w:rPr>
              <w:t>安全第一，预防为主</w:t>
            </w:r>
            <w:r>
              <w:rPr>
                <w:rFonts w:hint="eastAsia"/>
                <w:lang w:eastAsia="zh-CN"/>
              </w:rPr>
              <w:t>”</w:t>
            </w:r>
            <w:r>
              <w:rPr>
                <w:rFonts w:hint="default"/>
              </w:rPr>
              <w:t>的方针同时，应树立环境风险意识，强化环境风险责任，体现出环境保护的内容。</w:t>
            </w:r>
          </w:p>
          <w:p>
            <w:pPr>
              <w:pStyle w:val="17"/>
              <w:bidi w:val="0"/>
              <w:rPr>
                <w:rFonts w:hint="default"/>
              </w:rPr>
            </w:pPr>
            <w:r>
              <w:rPr>
                <w:rFonts w:hint="default"/>
              </w:rPr>
              <w:t>（2）建立严格的环境管理制度及操作规程，严格培训操作人员，严格遵守各项规章制度。</w:t>
            </w:r>
          </w:p>
          <w:p>
            <w:pPr>
              <w:pStyle w:val="17"/>
              <w:bidi w:val="0"/>
              <w:rPr>
                <w:rFonts w:hint="default"/>
              </w:rPr>
            </w:pPr>
            <w:r>
              <w:rPr>
                <w:rFonts w:hint="default"/>
              </w:rPr>
              <w:t>（3）确保各项环保治理措施切实可行，并保证治理设施正常运行，且做到达标排放。</w:t>
            </w:r>
          </w:p>
          <w:p>
            <w:pPr>
              <w:pStyle w:val="17"/>
              <w:bidi w:val="0"/>
              <w:rPr>
                <w:rFonts w:hint="default"/>
              </w:rPr>
            </w:pPr>
            <w:r>
              <w:rPr>
                <w:rFonts w:hint="default"/>
              </w:rPr>
              <w:t>（4）定期检查和维修环保治理设施，及时发现问题及时解决，使事故发生率降至最低。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1" w:type="dxa"/>
            <w:gridSpan w:val="2"/>
            <w:tcBorders>
              <w:tl2br w:val="nil"/>
              <w:tr2bl w:val="nil"/>
            </w:tcBorders>
            <w:noWrap w:val="0"/>
            <w:vAlign w:val="center"/>
          </w:tcPr>
          <w:p>
            <w:pPr>
              <w:pStyle w:val="17"/>
              <w:bidi w:val="0"/>
              <w:rPr>
                <w:rFonts w:hint="default"/>
              </w:rPr>
            </w:pPr>
            <w:r>
              <w:rPr>
                <w:rFonts w:hint="default"/>
              </w:rPr>
              <w:t>填表说明：</w:t>
            </w:r>
          </w:p>
          <w:p>
            <w:pPr>
              <w:pStyle w:val="17"/>
              <w:bidi w:val="0"/>
              <w:rPr>
                <w:rFonts w:hint="default"/>
              </w:rPr>
            </w:pPr>
            <w:r>
              <w:rPr>
                <w:rFonts w:hint="default"/>
              </w:rPr>
              <w:t>根据本项目污染物特性，本项目应建立独立的环境风险应急预案，并报备地环境主管部门备案。</w:t>
            </w:r>
          </w:p>
        </w:tc>
      </w:tr>
    </w:tbl>
    <w:p>
      <w:pPr>
        <w:pStyle w:val="4"/>
        <w:bidi w:val="0"/>
        <w:rPr>
          <w:rFonts w:hint="eastAsia"/>
          <w:lang w:val="en-US" w:eastAsia="zh-CN"/>
        </w:rPr>
      </w:pPr>
      <w:bookmarkStart w:id="292" w:name="_Toc26130"/>
      <w:r>
        <w:rPr>
          <w:rFonts w:hint="eastAsia"/>
          <w:lang w:val="en-US" w:eastAsia="zh-CN"/>
        </w:rPr>
        <w:t>6.9、环境风险评价自查</w:t>
      </w:r>
      <w:bookmarkEnd w:id="292"/>
    </w:p>
    <w:p>
      <w:pPr>
        <w:bidi w:val="0"/>
        <w:rPr>
          <w:rFonts w:hint="default"/>
        </w:rPr>
      </w:pPr>
      <w:r>
        <w:rPr>
          <w:rFonts w:hint="default"/>
        </w:rPr>
        <w:t>对本项目环境风险评价进行自查，具体如</w:t>
      </w:r>
      <w:r>
        <w:rPr>
          <w:rFonts w:hint="eastAsia"/>
          <w:lang w:val="en-US" w:eastAsia="zh-CN"/>
        </w:rPr>
        <w:t>表6.9-1</w:t>
      </w:r>
      <w:r>
        <w:rPr>
          <w:rFonts w:hint="default"/>
        </w:rPr>
        <w:t>。</w:t>
      </w:r>
    </w:p>
    <w:p>
      <w:pPr>
        <w:pStyle w:val="17"/>
        <w:bidi w:val="0"/>
        <w:rPr>
          <w:rFonts w:hint="default"/>
          <w:b/>
          <w:bCs/>
        </w:rPr>
      </w:pPr>
      <w:r>
        <w:rPr>
          <w:rFonts w:hint="default"/>
          <w:b/>
          <w:bCs/>
        </w:rPr>
        <w:t>表</w:t>
      </w:r>
      <w:r>
        <w:rPr>
          <w:rFonts w:hint="eastAsia"/>
          <w:b/>
          <w:bCs/>
          <w:lang w:val="en-US" w:eastAsia="zh-CN"/>
        </w:rPr>
        <w:t>6.9-1</w:t>
      </w:r>
      <w:r>
        <w:rPr>
          <w:rFonts w:hint="default"/>
          <w:b/>
          <w:bCs/>
        </w:rPr>
        <w:t xml:space="preserve">   环境风险评价自查表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8"/>
        <w:gridCol w:w="907"/>
        <w:gridCol w:w="1286"/>
        <w:gridCol w:w="973"/>
        <w:gridCol w:w="574"/>
        <w:gridCol w:w="463"/>
        <w:gridCol w:w="429"/>
        <w:gridCol w:w="480"/>
        <w:gridCol w:w="786"/>
        <w:gridCol w:w="927"/>
        <w:gridCol w:w="774"/>
        <w:gridCol w:w="7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605" w:type="dxa"/>
            <w:gridSpan w:val="2"/>
            <w:tcBorders>
              <w:tl2br w:val="nil"/>
              <w:tr2bl w:val="nil"/>
            </w:tcBorders>
            <w:noWrap w:val="0"/>
            <w:vAlign w:val="center"/>
          </w:tcPr>
          <w:p>
            <w:pPr>
              <w:pStyle w:val="17"/>
              <w:bidi w:val="0"/>
              <w:rPr>
                <w:rFonts w:hint="default"/>
                <w:b/>
                <w:bCs/>
              </w:rPr>
            </w:pPr>
            <w:r>
              <w:rPr>
                <w:rFonts w:hint="default"/>
                <w:b/>
                <w:bCs/>
              </w:rPr>
              <w:t>工作内容</w:t>
            </w:r>
          </w:p>
        </w:tc>
        <w:tc>
          <w:tcPr>
            <w:tcW w:w="7466" w:type="dxa"/>
            <w:gridSpan w:val="10"/>
            <w:tcBorders>
              <w:tl2br w:val="nil"/>
              <w:tr2bl w:val="nil"/>
            </w:tcBorders>
            <w:noWrap w:val="0"/>
            <w:vAlign w:val="center"/>
          </w:tcPr>
          <w:p>
            <w:pPr>
              <w:pStyle w:val="17"/>
              <w:bidi w:val="0"/>
              <w:rPr>
                <w:rFonts w:hint="default"/>
                <w:b/>
                <w:bCs/>
              </w:rPr>
            </w:pPr>
            <w:r>
              <w:rPr>
                <w:rFonts w:hint="default"/>
                <w:b/>
                <w:bCs/>
              </w:rPr>
              <w:t>完成情况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698" w:type="dxa"/>
            <w:vMerge w:val="restart"/>
            <w:tcBorders>
              <w:tl2br w:val="nil"/>
              <w:tr2bl w:val="nil"/>
            </w:tcBorders>
            <w:noWrap w:val="0"/>
            <w:vAlign w:val="center"/>
          </w:tcPr>
          <w:p>
            <w:pPr>
              <w:pStyle w:val="17"/>
              <w:bidi w:val="0"/>
              <w:rPr>
                <w:rFonts w:hint="default"/>
              </w:rPr>
            </w:pPr>
            <w:r>
              <w:rPr>
                <w:rFonts w:hint="default"/>
              </w:rPr>
              <w:t>风险调查</w:t>
            </w:r>
          </w:p>
        </w:tc>
        <w:tc>
          <w:tcPr>
            <w:tcW w:w="907" w:type="dxa"/>
            <w:vMerge w:val="restart"/>
            <w:tcBorders>
              <w:tl2br w:val="nil"/>
              <w:tr2bl w:val="nil"/>
            </w:tcBorders>
            <w:noWrap w:val="0"/>
            <w:vAlign w:val="center"/>
          </w:tcPr>
          <w:p>
            <w:pPr>
              <w:pStyle w:val="17"/>
              <w:bidi w:val="0"/>
              <w:rPr>
                <w:rFonts w:hint="default"/>
              </w:rPr>
            </w:pPr>
            <w:r>
              <w:rPr>
                <w:rFonts w:hint="default"/>
              </w:rPr>
              <w:t>危险物质</w:t>
            </w:r>
          </w:p>
        </w:tc>
        <w:tc>
          <w:tcPr>
            <w:tcW w:w="1286" w:type="dxa"/>
            <w:tcBorders>
              <w:tl2br w:val="nil"/>
              <w:tr2bl w:val="nil"/>
            </w:tcBorders>
            <w:noWrap w:val="0"/>
            <w:vAlign w:val="center"/>
          </w:tcPr>
          <w:p>
            <w:pPr>
              <w:pStyle w:val="17"/>
              <w:bidi w:val="0"/>
              <w:rPr>
                <w:rFonts w:hint="default"/>
              </w:rPr>
            </w:pPr>
            <w:r>
              <w:rPr>
                <w:rFonts w:hint="default"/>
              </w:rPr>
              <w:t>名称</w:t>
            </w:r>
          </w:p>
        </w:tc>
        <w:tc>
          <w:tcPr>
            <w:tcW w:w="973" w:type="dxa"/>
            <w:tcBorders>
              <w:tl2br w:val="nil"/>
              <w:tr2bl w:val="nil"/>
            </w:tcBorders>
            <w:noWrap w:val="0"/>
            <w:vAlign w:val="center"/>
          </w:tcPr>
          <w:p>
            <w:pPr>
              <w:pStyle w:val="17"/>
              <w:bidi w:val="0"/>
              <w:rPr>
                <w:rFonts w:hint="default"/>
                <w:lang w:val="en-US" w:eastAsia="zh-CN"/>
              </w:rPr>
            </w:pPr>
            <w:r>
              <w:rPr>
                <w:rFonts w:hint="default"/>
              </w:rPr>
              <w:t>/</w:t>
            </w:r>
          </w:p>
        </w:tc>
        <w:tc>
          <w:tcPr>
            <w:tcW w:w="1037" w:type="dxa"/>
            <w:gridSpan w:val="2"/>
            <w:tcBorders>
              <w:tl2br w:val="nil"/>
              <w:tr2bl w:val="nil"/>
            </w:tcBorders>
            <w:noWrap w:val="0"/>
            <w:vAlign w:val="center"/>
          </w:tcPr>
          <w:p>
            <w:pPr>
              <w:pStyle w:val="17"/>
              <w:bidi w:val="0"/>
              <w:rPr>
                <w:rFonts w:hint="default"/>
              </w:rPr>
            </w:pPr>
            <w:r>
              <w:rPr>
                <w:rFonts w:hint="default"/>
              </w:rPr>
              <w:t>/</w:t>
            </w:r>
          </w:p>
        </w:tc>
        <w:tc>
          <w:tcPr>
            <w:tcW w:w="909" w:type="dxa"/>
            <w:gridSpan w:val="2"/>
            <w:tcBorders>
              <w:tl2br w:val="nil"/>
              <w:tr2bl w:val="nil"/>
            </w:tcBorders>
            <w:noWrap w:val="0"/>
            <w:vAlign w:val="center"/>
          </w:tcPr>
          <w:p>
            <w:pPr>
              <w:pStyle w:val="17"/>
              <w:bidi w:val="0"/>
              <w:rPr>
                <w:rFonts w:hint="default"/>
              </w:rPr>
            </w:pPr>
            <w:r>
              <w:rPr>
                <w:rFonts w:hint="default"/>
              </w:rPr>
              <w:t>/</w:t>
            </w:r>
          </w:p>
        </w:tc>
        <w:tc>
          <w:tcPr>
            <w:tcW w:w="786" w:type="dxa"/>
            <w:tcBorders>
              <w:tl2br w:val="nil"/>
              <w:tr2bl w:val="nil"/>
            </w:tcBorders>
            <w:noWrap w:val="0"/>
            <w:vAlign w:val="center"/>
          </w:tcPr>
          <w:p>
            <w:pPr>
              <w:pStyle w:val="17"/>
              <w:bidi w:val="0"/>
              <w:rPr>
                <w:rFonts w:hint="default"/>
              </w:rPr>
            </w:pPr>
            <w:r>
              <w:rPr>
                <w:rFonts w:hint="default"/>
              </w:rPr>
              <w:t>/</w:t>
            </w:r>
          </w:p>
        </w:tc>
        <w:tc>
          <w:tcPr>
            <w:tcW w:w="927" w:type="dxa"/>
            <w:tcBorders>
              <w:tl2br w:val="nil"/>
              <w:tr2bl w:val="nil"/>
            </w:tcBorders>
            <w:noWrap w:val="0"/>
            <w:vAlign w:val="center"/>
          </w:tcPr>
          <w:p>
            <w:pPr>
              <w:pStyle w:val="17"/>
              <w:bidi w:val="0"/>
              <w:rPr>
                <w:rFonts w:hint="default"/>
              </w:rPr>
            </w:pPr>
            <w:r>
              <w:rPr>
                <w:rFonts w:hint="default"/>
              </w:rPr>
              <w:t>/</w:t>
            </w:r>
          </w:p>
        </w:tc>
        <w:tc>
          <w:tcPr>
            <w:tcW w:w="774" w:type="dxa"/>
            <w:tcBorders>
              <w:tl2br w:val="nil"/>
              <w:tr2bl w:val="nil"/>
            </w:tcBorders>
            <w:noWrap w:val="0"/>
            <w:vAlign w:val="center"/>
          </w:tcPr>
          <w:p>
            <w:pPr>
              <w:pStyle w:val="17"/>
              <w:bidi w:val="0"/>
              <w:rPr>
                <w:rFonts w:hint="default"/>
              </w:rPr>
            </w:pPr>
            <w:r>
              <w:rPr>
                <w:rFonts w:hint="default"/>
              </w:rPr>
              <w:t>/</w:t>
            </w:r>
          </w:p>
        </w:tc>
        <w:tc>
          <w:tcPr>
            <w:tcW w:w="774" w:type="dxa"/>
            <w:tcBorders>
              <w:tl2br w:val="nil"/>
              <w:tr2bl w:val="nil"/>
            </w:tcBorders>
            <w:noWrap w:val="0"/>
            <w:vAlign w:val="center"/>
          </w:tcPr>
          <w:p>
            <w:pPr>
              <w:pStyle w:val="17"/>
              <w:bidi w:val="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698" w:type="dxa"/>
            <w:vMerge w:val="continue"/>
            <w:tcBorders>
              <w:tl2br w:val="nil"/>
              <w:tr2bl w:val="nil"/>
            </w:tcBorders>
            <w:noWrap w:val="0"/>
            <w:vAlign w:val="center"/>
          </w:tcPr>
          <w:p>
            <w:pPr>
              <w:pStyle w:val="17"/>
              <w:bidi w:val="0"/>
              <w:rPr>
                <w:rFonts w:hint="default"/>
              </w:rPr>
            </w:pPr>
          </w:p>
        </w:tc>
        <w:tc>
          <w:tcPr>
            <w:tcW w:w="907" w:type="dxa"/>
            <w:vMerge w:val="continue"/>
            <w:tcBorders>
              <w:tl2br w:val="nil"/>
              <w:tr2bl w:val="nil"/>
            </w:tcBorders>
            <w:noWrap w:val="0"/>
            <w:vAlign w:val="center"/>
          </w:tcPr>
          <w:p>
            <w:pPr>
              <w:pStyle w:val="17"/>
              <w:bidi w:val="0"/>
              <w:rPr>
                <w:rFonts w:hint="default"/>
              </w:rPr>
            </w:pPr>
          </w:p>
        </w:tc>
        <w:tc>
          <w:tcPr>
            <w:tcW w:w="1286" w:type="dxa"/>
            <w:tcBorders>
              <w:tl2br w:val="nil"/>
              <w:tr2bl w:val="nil"/>
            </w:tcBorders>
            <w:noWrap w:val="0"/>
            <w:vAlign w:val="center"/>
          </w:tcPr>
          <w:p>
            <w:pPr>
              <w:pStyle w:val="17"/>
              <w:bidi w:val="0"/>
              <w:rPr>
                <w:rFonts w:hint="default"/>
              </w:rPr>
            </w:pPr>
            <w:r>
              <w:rPr>
                <w:rFonts w:hint="default"/>
              </w:rPr>
              <w:t>存在总量/t</w:t>
            </w:r>
          </w:p>
        </w:tc>
        <w:tc>
          <w:tcPr>
            <w:tcW w:w="973" w:type="dxa"/>
            <w:tcBorders>
              <w:tl2br w:val="nil"/>
              <w:tr2bl w:val="nil"/>
            </w:tcBorders>
            <w:noWrap w:val="0"/>
            <w:vAlign w:val="center"/>
          </w:tcPr>
          <w:p>
            <w:pPr>
              <w:pStyle w:val="17"/>
              <w:bidi w:val="0"/>
              <w:rPr>
                <w:rFonts w:hint="default"/>
                <w:lang w:val="en-US" w:eastAsia="zh-CN"/>
              </w:rPr>
            </w:pPr>
            <w:r>
              <w:rPr>
                <w:rFonts w:hint="default"/>
              </w:rPr>
              <w:t>/</w:t>
            </w:r>
          </w:p>
        </w:tc>
        <w:tc>
          <w:tcPr>
            <w:tcW w:w="1037" w:type="dxa"/>
            <w:gridSpan w:val="2"/>
            <w:tcBorders>
              <w:tl2br w:val="nil"/>
              <w:tr2bl w:val="nil"/>
            </w:tcBorders>
            <w:noWrap w:val="0"/>
            <w:vAlign w:val="center"/>
          </w:tcPr>
          <w:p>
            <w:pPr>
              <w:pStyle w:val="17"/>
              <w:bidi w:val="0"/>
              <w:rPr>
                <w:rFonts w:hint="default"/>
              </w:rPr>
            </w:pPr>
            <w:r>
              <w:rPr>
                <w:rFonts w:hint="default"/>
              </w:rPr>
              <w:t>/</w:t>
            </w:r>
          </w:p>
        </w:tc>
        <w:tc>
          <w:tcPr>
            <w:tcW w:w="909" w:type="dxa"/>
            <w:gridSpan w:val="2"/>
            <w:tcBorders>
              <w:tl2br w:val="nil"/>
              <w:tr2bl w:val="nil"/>
            </w:tcBorders>
            <w:noWrap w:val="0"/>
            <w:vAlign w:val="center"/>
          </w:tcPr>
          <w:p>
            <w:pPr>
              <w:pStyle w:val="17"/>
              <w:bidi w:val="0"/>
              <w:rPr>
                <w:rFonts w:hint="default"/>
              </w:rPr>
            </w:pPr>
            <w:r>
              <w:rPr>
                <w:rFonts w:hint="default"/>
              </w:rPr>
              <w:t>/</w:t>
            </w:r>
          </w:p>
        </w:tc>
        <w:tc>
          <w:tcPr>
            <w:tcW w:w="786" w:type="dxa"/>
            <w:tcBorders>
              <w:tl2br w:val="nil"/>
              <w:tr2bl w:val="nil"/>
            </w:tcBorders>
            <w:noWrap w:val="0"/>
            <w:vAlign w:val="center"/>
          </w:tcPr>
          <w:p>
            <w:pPr>
              <w:pStyle w:val="17"/>
              <w:bidi w:val="0"/>
              <w:rPr>
                <w:rFonts w:hint="default"/>
              </w:rPr>
            </w:pPr>
            <w:r>
              <w:rPr>
                <w:rFonts w:hint="default"/>
              </w:rPr>
              <w:t>/</w:t>
            </w:r>
          </w:p>
        </w:tc>
        <w:tc>
          <w:tcPr>
            <w:tcW w:w="927" w:type="dxa"/>
            <w:tcBorders>
              <w:tl2br w:val="nil"/>
              <w:tr2bl w:val="nil"/>
            </w:tcBorders>
            <w:noWrap w:val="0"/>
            <w:vAlign w:val="center"/>
          </w:tcPr>
          <w:p>
            <w:pPr>
              <w:pStyle w:val="17"/>
              <w:bidi w:val="0"/>
              <w:rPr>
                <w:rFonts w:hint="default"/>
              </w:rPr>
            </w:pPr>
            <w:r>
              <w:rPr>
                <w:rFonts w:hint="default"/>
              </w:rPr>
              <w:t>/</w:t>
            </w:r>
          </w:p>
        </w:tc>
        <w:tc>
          <w:tcPr>
            <w:tcW w:w="774" w:type="dxa"/>
            <w:tcBorders>
              <w:tl2br w:val="nil"/>
              <w:tr2bl w:val="nil"/>
            </w:tcBorders>
            <w:noWrap w:val="0"/>
            <w:vAlign w:val="center"/>
          </w:tcPr>
          <w:p>
            <w:pPr>
              <w:pStyle w:val="17"/>
              <w:bidi w:val="0"/>
              <w:rPr>
                <w:rFonts w:hint="default"/>
              </w:rPr>
            </w:pPr>
            <w:r>
              <w:rPr>
                <w:rFonts w:hint="default"/>
              </w:rPr>
              <w:t>/</w:t>
            </w:r>
          </w:p>
        </w:tc>
        <w:tc>
          <w:tcPr>
            <w:tcW w:w="774" w:type="dxa"/>
            <w:tcBorders>
              <w:tl2br w:val="nil"/>
              <w:tr2bl w:val="nil"/>
            </w:tcBorders>
            <w:noWrap w:val="0"/>
            <w:vAlign w:val="center"/>
          </w:tcPr>
          <w:p>
            <w:pPr>
              <w:pStyle w:val="17"/>
              <w:bidi w:val="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698" w:type="dxa"/>
            <w:vMerge w:val="continue"/>
            <w:tcBorders>
              <w:tl2br w:val="nil"/>
              <w:tr2bl w:val="nil"/>
            </w:tcBorders>
            <w:noWrap w:val="0"/>
            <w:vAlign w:val="center"/>
          </w:tcPr>
          <w:p>
            <w:pPr>
              <w:pStyle w:val="17"/>
              <w:bidi w:val="0"/>
              <w:rPr>
                <w:rFonts w:hint="default"/>
              </w:rPr>
            </w:pPr>
          </w:p>
        </w:tc>
        <w:tc>
          <w:tcPr>
            <w:tcW w:w="907" w:type="dxa"/>
            <w:vMerge w:val="restart"/>
            <w:tcBorders>
              <w:tl2br w:val="nil"/>
              <w:tr2bl w:val="nil"/>
            </w:tcBorders>
            <w:noWrap w:val="0"/>
            <w:vAlign w:val="center"/>
          </w:tcPr>
          <w:p>
            <w:pPr>
              <w:pStyle w:val="17"/>
              <w:bidi w:val="0"/>
              <w:rPr>
                <w:rFonts w:hint="default"/>
              </w:rPr>
            </w:pPr>
            <w:r>
              <w:rPr>
                <w:rFonts w:hint="default"/>
              </w:rPr>
              <w:t>环境敏感性</w:t>
            </w:r>
          </w:p>
        </w:tc>
        <w:tc>
          <w:tcPr>
            <w:tcW w:w="1286" w:type="dxa"/>
            <w:vMerge w:val="restart"/>
            <w:tcBorders>
              <w:tl2br w:val="nil"/>
              <w:tr2bl w:val="nil"/>
            </w:tcBorders>
            <w:noWrap w:val="0"/>
            <w:vAlign w:val="center"/>
          </w:tcPr>
          <w:p>
            <w:pPr>
              <w:pStyle w:val="17"/>
              <w:bidi w:val="0"/>
              <w:rPr>
                <w:rFonts w:hint="default"/>
              </w:rPr>
            </w:pPr>
            <w:r>
              <w:rPr>
                <w:rFonts w:hint="default"/>
              </w:rPr>
              <w:t>大气</w:t>
            </w:r>
          </w:p>
        </w:tc>
        <w:tc>
          <w:tcPr>
            <w:tcW w:w="2919" w:type="dxa"/>
            <w:gridSpan w:val="5"/>
            <w:tcBorders>
              <w:tl2br w:val="nil"/>
              <w:tr2bl w:val="nil"/>
            </w:tcBorders>
            <w:noWrap w:val="0"/>
            <w:vAlign w:val="center"/>
          </w:tcPr>
          <w:p>
            <w:pPr>
              <w:pStyle w:val="17"/>
              <w:bidi w:val="0"/>
              <w:rPr>
                <w:rFonts w:hint="default"/>
              </w:rPr>
            </w:pPr>
            <w:r>
              <w:rPr>
                <w:rFonts w:hint="default"/>
              </w:rPr>
              <w:t>500m范围内人口数</w:t>
            </w:r>
            <w:r>
              <w:rPr>
                <w:rFonts w:hint="default"/>
                <w:lang w:val="en-US" w:eastAsia="zh-CN"/>
              </w:rPr>
              <w:t>200</w:t>
            </w:r>
            <w:r>
              <w:rPr>
                <w:rFonts w:hint="default"/>
              </w:rPr>
              <w:t>人</w:t>
            </w:r>
          </w:p>
        </w:tc>
        <w:tc>
          <w:tcPr>
            <w:tcW w:w="3261" w:type="dxa"/>
            <w:gridSpan w:val="4"/>
            <w:tcBorders>
              <w:tl2br w:val="nil"/>
              <w:tr2bl w:val="nil"/>
            </w:tcBorders>
            <w:noWrap w:val="0"/>
            <w:vAlign w:val="center"/>
          </w:tcPr>
          <w:p>
            <w:pPr>
              <w:pStyle w:val="17"/>
              <w:bidi w:val="0"/>
              <w:rPr>
                <w:rFonts w:hint="default"/>
              </w:rPr>
            </w:pPr>
            <w:r>
              <w:rPr>
                <w:rFonts w:hint="default"/>
              </w:rPr>
              <w:t>5km范围内人口数</w:t>
            </w:r>
            <w:r>
              <w:rPr>
                <w:rFonts w:hint="default"/>
                <w:lang w:val="en-US" w:eastAsia="zh-CN"/>
              </w:rPr>
              <w:t>5</w:t>
            </w:r>
            <w:r>
              <w:rPr>
                <w:rFonts w:hint="default"/>
              </w:rPr>
              <w:t>000人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698" w:type="dxa"/>
            <w:vMerge w:val="continue"/>
            <w:tcBorders>
              <w:tl2br w:val="nil"/>
              <w:tr2bl w:val="nil"/>
            </w:tcBorders>
            <w:noWrap w:val="0"/>
            <w:vAlign w:val="center"/>
          </w:tcPr>
          <w:p>
            <w:pPr>
              <w:pStyle w:val="17"/>
              <w:bidi w:val="0"/>
              <w:rPr>
                <w:rFonts w:hint="default"/>
              </w:rPr>
            </w:pPr>
          </w:p>
        </w:tc>
        <w:tc>
          <w:tcPr>
            <w:tcW w:w="907" w:type="dxa"/>
            <w:vMerge w:val="continue"/>
            <w:tcBorders>
              <w:tl2br w:val="nil"/>
              <w:tr2bl w:val="nil"/>
            </w:tcBorders>
            <w:noWrap w:val="0"/>
            <w:vAlign w:val="center"/>
          </w:tcPr>
          <w:p>
            <w:pPr>
              <w:pStyle w:val="17"/>
              <w:bidi w:val="0"/>
              <w:rPr>
                <w:rFonts w:hint="default"/>
              </w:rPr>
            </w:pPr>
          </w:p>
        </w:tc>
        <w:tc>
          <w:tcPr>
            <w:tcW w:w="1286" w:type="dxa"/>
            <w:vMerge w:val="continue"/>
            <w:tcBorders>
              <w:tl2br w:val="nil"/>
              <w:tr2bl w:val="nil"/>
            </w:tcBorders>
            <w:noWrap w:val="0"/>
            <w:vAlign w:val="center"/>
          </w:tcPr>
          <w:p>
            <w:pPr>
              <w:pStyle w:val="17"/>
              <w:bidi w:val="0"/>
              <w:rPr>
                <w:rFonts w:hint="default"/>
              </w:rPr>
            </w:pPr>
          </w:p>
        </w:tc>
        <w:tc>
          <w:tcPr>
            <w:tcW w:w="4632" w:type="dxa"/>
            <w:gridSpan w:val="7"/>
            <w:tcBorders>
              <w:tl2br w:val="nil"/>
              <w:tr2bl w:val="nil"/>
            </w:tcBorders>
            <w:noWrap w:val="0"/>
            <w:vAlign w:val="center"/>
          </w:tcPr>
          <w:p>
            <w:pPr>
              <w:pStyle w:val="17"/>
              <w:bidi w:val="0"/>
              <w:rPr>
                <w:rFonts w:hint="default"/>
              </w:rPr>
            </w:pPr>
            <w:r>
              <w:rPr>
                <w:rFonts w:hint="default"/>
              </w:rPr>
              <w:t>每公里管段周边200m范围内人口数（最大）</w:t>
            </w:r>
          </w:p>
        </w:tc>
        <w:tc>
          <w:tcPr>
            <w:tcW w:w="1548" w:type="dxa"/>
            <w:gridSpan w:val="2"/>
            <w:tcBorders>
              <w:tl2br w:val="nil"/>
              <w:tr2bl w:val="nil"/>
            </w:tcBorders>
            <w:noWrap w:val="0"/>
            <w:vAlign w:val="center"/>
          </w:tcPr>
          <w:p>
            <w:pPr>
              <w:pStyle w:val="17"/>
              <w:bidi w:val="0"/>
              <w:rPr>
                <w:rFonts w:hint="default"/>
              </w:rPr>
            </w:pPr>
            <w:r>
              <w:rPr>
                <w:rFonts w:hint="default"/>
              </w:rPr>
              <w:t xml:space="preserve">    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698" w:type="dxa"/>
            <w:vMerge w:val="continue"/>
            <w:tcBorders>
              <w:tl2br w:val="nil"/>
              <w:tr2bl w:val="nil"/>
            </w:tcBorders>
            <w:noWrap w:val="0"/>
            <w:vAlign w:val="center"/>
          </w:tcPr>
          <w:p>
            <w:pPr>
              <w:pStyle w:val="17"/>
              <w:bidi w:val="0"/>
              <w:rPr>
                <w:rFonts w:hint="default"/>
              </w:rPr>
            </w:pPr>
          </w:p>
        </w:tc>
        <w:tc>
          <w:tcPr>
            <w:tcW w:w="907" w:type="dxa"/>
            <w:vMerge w:val="continue"/>
            <w:tcBorders>
              <w:tl2br w:val="nil"/>
              <w:tr2bl w:val="nil"/>
            </w:tcBorders>
            <w:noWrap w:val="0"/>
            <w:vAlign w:val="center"/>
          </w:tcPr>
          <w:p>
            <w:pPr>
              <w:pStyle w:val="17"/>
              <w:bidi w:val="0"/>
              <w:rPr>
                <w:rFonts w:hint="default"/>
              </w:rPr>
            </w:pPr>
          </w:p>
        </w:tc>
        <w:tc>
          <w:tcPr>
            <w:tcW w:w="1286" w:type="dxa"/>
            <w:vMerge w:val="restart"/>
            <w:tcBorders>
              <w:tl2br w:val="nil"/>
              <w:tr2bl w:val="nil"/>
            </w:tcBorders>
            <w:noWrap w:val="0"/>
            <w:vAlign w:val="center"/>
          </w:tcPr>
          <w:p>
            <w:pPr>
              <w:pStyle w:val="17"/>
              <w:bidi w:val="0"/>
              <w:rPr>
                <w:rFonts w:hint="default"/>
              </w:rPr>
            </w:pPr>
            <w:r>
              <w:rPr>
                <w:rFonts w:hint="default"/>
              </w:rPr>
              <w:t>地表水</w:t>
            </w:r>
          </w:p>
        </w:tc>
        <w:tc>
          <w:tcPr>
            <w:tcW w:w="1547" w:type="dxa"/>
            <w:gridSpan w:val="2"/>
            <w:tcBorders>
              <w:tl2br w:val="nil"/>
              <w:tr2bl w:val="nil"/>
            </w:tcBorders>
            <w:noWrap w:val="0"/>
            <w:vAlign w:val="center"/>
          </w:tcPr>
          <w:p>
            <w:pPr>
              <w:pStyle w:val="17"/>
              <w:bidi w:val="0"/>
              <w:rPr>
                <w:rFonts w:hint="default"/>
              </w:rPr>
            </w:pPr>
            <w:r>
              <w:rPr>
                <w:rFonts w:hint="default"/>
              </w:rPr>
              <w:t>地表水功能敏感性</w:t>
            </w:r>
          </w:p>
        </w:tc>
        <w:tc>
          <w:tcPr>
            <w:tcW w:w="1372" w:type="dxa"/>
            <w:gridSpan w:val="3"/>
            <w:tcBorders>
              <w:tl2br w:val="nil"/>
              <w:tr2bl w:val="nil"/>
            </w:tcBorders>
            <w:noWrap w:val="0"/>
            <w:vAlign w:val="center"/>
          </w:tcPr>
          <w:p>
            <w:pPr>
              <w:pStyle w:val="17"/>
              <w:bidi w:val="0"/>
              <w:rPr>
                <w:rFonts w:hint="default"/>
              </w:rPr>
            </w:pPr>
            <w:r>
              <w:rPr>
                <w:rFonts w:hint="default"/>
              </w:rPr>
              <w:t xml:space="preserve">F1 </w:t>
            </w:r>
            <w:r>
              <w:rPr>
                <w:rFonts w:hint="default"/>
              </w:rPr>
              <w:sym w:font="Wingdings" w:char="00A8"/>
            </w:r>
          </w:p>
        </w:tc>
        <w:tc>
          <w:tcPr>
            <w:tcW w:w="1713" w:type="dxa"/>
            <w:gridSpan w:val="2"/>
            <w:tcBorders>
              <w:tl2br w:val="nil"/>
              <w:tr2bl w:val="nil"/>
            </w:tcBorders>
            <w:noWrap w:val="0"/>
            <w:vAlign w:val="center"/>
          </w:tcPr>
          <w:p>
            <w:pPr>
              <w:pStyle w:val="17"/>
              <w:bidi w:val="0"/>
              <w:rPr>
                <w:rFonts w:hint="default"/>
              </w:rPr>
            </w:pPr>
            <w:r>
              <w:rPr>
                <w:rFonts w:hint="default"/>
              </w:rPr>
              <w:t xml:space="preserve">F2 </w:t>
            </w:r>
            <w:r>
              <w:rPr>
                <w:rFonts w:hint="default"/>
              </w:rPr>
              <w:sym w:font="Wingdings" w:char="00A8"/>
            </w:r>
          </w:p>
        </w:tc>
        <w:tc>
          <w:tcPr>
            <w:tcW w:w="1548" w:type="dxa"/>
            <w:gridSpan w:val="2"/>
            <w:tcBorders>
              <w:tl2br w:val="nil"/>
              <w:tr2bl w:val="nil"/>
            </w:tcBorders>
            <w:noWrap w:val="0"/>
            <w:vAlign w:val="center"/>
          </w:tcPr>
          <w:p>
            <w:pPr>
              <w:pStyle w:val="17"/>
              <w:bidi w:val="0"/>
              <w:rPr>
                <w:rFonts w:hint="default"/>
              </w:rPr>
            </w:pPr>
            <w:r>
              <w:rPr>
                <w:rFonts w:hint="default"/>
              </w:rPr>
              <w:t xml:space="preserve">F3 </w:t>
            </w:r>
            <w:r>
              <w:rPr>
                <w:rFonts w:hint="default"/>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698" w:type="dxa"/>
            <w:vMerge w:val="continue"/>
            <w:tcBorders>
              <w:tl2br w:val="nil"/>
              <w:tr2bl w:val="nil"/>
            </w:tcBorders>
            <w:noWrap w:val="0"/>
            <w:vAlign w:val="center"/>
          </w:tcPr>
          <w:p>
            <w:pPr>
              <w:pStyle w:val="17"/>
              <w:bidi w:val="0"/>
              <w:rPr>
                <w:rFonts w:hint="default"/>
              </w:rPr>
            </w:pPr>
          </w:p>
        </w:tc>
        <w:tc>
          <w:tcPr>
            <w:tcW w:w="907" w:type="dxa"/>
            <w:vMerge w:val="continue"/>
            <w:tcBorders>
              <w:tl2br w:val="nil"/>
              <w:tr2bl w:val="nil"/>
            </w:tcBorders>
            <w:noWrap w:val="0"/>
            <w:vAlign w:val="center"/>
          </w:tcPr>
          <w:p>
            <w:pPr>
              <w:pStyle w:val="17"/>
              <w:bidi w:val="0"/>
              <w:rPr>
                <w:rFonts w:hint="default"/>
              </w:rPr>
            </w:pPr>
          </w:p>
        </w:tc>
        <w:tc>
          <w:tcPr>
            <w:tcW w:w="1286" w:type="dxa"/>
            <w:vMerge w:val="continue"/>
            <w:tcBorders>
              <w:tl2br w:val="nil"/>
              <w:tr2bl w:val="nil"/>
            </w:tcBorders>
            <w:noWrap w:val="0"/>
            <w:vAlign w:val="center"/>
          </w:tcPr>
          <w:p>
            <w:pPr>
              <w:pStyle w:val="17"/>
              <w:bidi w:val="0"/>
              <w:rPr>
                <w:rFonts w:hint="default"/>
              </w:rPr>
            </w:pPr>
          </w:p>
        </w:tc>
        <w:tc>
          <w:tcPr>
            <w:tcW w:w="1547" w:type="dxa"/>
            <w:gridSpan w:val="2"/>
            <w:tcBorders>
              <w:tl2br w:val="nil"/>
              <w:tr2bl w:val="nil"/>
            </w:tcBorders>
            <w:noWrap w:val="0"/>
            <w:vAlign w:val="center"/>
          </w:tcPr>
          <w:p>
            <w:pPr>
              <w:pStyle w:val="17"/>
              <w:bidi w:val="0"/>
              <w:rPr>
                <w:rFonts w:hint="default"/>
              </w:rPr>
            </w:pPr>
            <w:r>
              <w:rPr>
                <w:rFonts w:hint="default"/>
              </w:rPr>
              <w:t>环境敏感目标分级</w:t>
            </w:r>
          </w:p>
        </w:tc>
        <w:tc>
          <w:tcPr>
            <w:tcW w:w="1372" w:type="dxa"/>
            <w:gridSpan w:val="3"/>
            <w:tcBorders>
              <w:tl2br w:val="nil"/>
              <w:tr2bl w:val="nil"/>
            </w:tcBorders>
            <w:noWrap w:val="0"/>
            <w:vAlign w:val="center"/>
          </w:tcPr>
          <w:p>
            <w:pPr>
              <w:pStyle w:val="17"/>
              <w:bidi w:val="0"/>
              <w:rPr>
                <w:rFonts w:hint="default"/>
              </w:rPr>
            </w:pPr>
            <w:r>
              <w:rPr>
                <w:rFonts w:hint="default"/>
              </w:rPr>
              <w:t xml:space="preserve">S1 </w:t>
            </w:r>
            <w:r>
              <w:rPr>
                <w:rFonts w:hint="default"/>
              </w:rPr>
              <w:sym w:font="Wingdings" w:char="00A8"/>
            </w:r>
          </w:p>
        </w:tc>
        <w:tc>
          <w:tcPr>
            <w:tcW w:w="1713" w:type="dxa"/>
            <w:gridSpan w:val="2"/>
            <w:tcBorders>
              <w:tl2br w:val="nil"/>
              <w:tr2bl w:val="nil"/>
            </w:tcBorders>
            <w:noWrap w:val="0"/>
            <w:vAlign w:val="center"/>
          </w:tcPr>
          <w:p>
            <w:pPr>
              <w:pStyle w:val="17"/>
              <w:bidi w:val="0"/>
              <w:rPr>
                <w:rFonts w:hint="default"/>
              </w:rPr>
            </w:pPr>
            <w:r>
              <w:rPr>
                <w:rFonts w:hint="default"/>
              </w:rPr>
              <w:t xml:space="preserve">S2 </w:t>
            </w:r>
            <w:r>
              <w:rPr>
                <w:rFonts w:hint="default"/>
              </w:rPr>
              <w:sym w:font="Wingdings" w:char="00A8"/>
            </w:r>
          </w:p>
        </w:tc>
        <w:tc>
          <w:tcPr>
            <w:tcW w:w="1548" w:type="dxa"/>
            <w:gridSpan w:val="2"/>
            <w:tcBorders>
              <w:tl2br w:val="nil"/>
              <w:tr2bl w:val="nil"/>
            </w:tcBorders>
            <w:noWrap w:val="0"/>
            <w:vAlign w:val="center"/>
          </w:tcPr>
          <w:p>
            <w:pPr>
              <w:pStyle w:val="17"/>
              <w:bidi w:val="0"/>
              <w:rPr>
                <w:rFonts w:hint="default"/>
              </w:rPr>
            </w:pPr>
            <w:r>
              <w:rPr>
                <w:rFonts w:hint="default"/>
              </w:rPr>
              <w:t xml:space="preserve">S3 </w:t>
            </w:r>
            <w:r>
              <w:rPr>
                <w:rFonts w:hint="default"/>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698" w:type="dxa"/>
            <w:vMerge w:val="continue"/>
            <w:tcBorders>
              <w:tl2br w:val="nil"/>
              <w:tr2bl w:val="nil"/>
            </w:tcBorders>
            <w:noWrap w:val="0"/>
            <w:vAlign w:val="center"/>
          </w:tcPr>
          <w:p>
            <w:pPr>
              <w:pStyle w:val="17"/>
              <w:bidi w:val="0"/>
              <w:rPr>
                <w:rFonts w:hint="default"/>
              </w:rPr>
            </w:pPr>
          </w:p>
        </w:tc>
        <w:tc>
          <w:tcPr>
            <w:tcW w:w="907" w:type="dxa"/>
            <w:vMerge w:val="continue"/>
            <w:tcBorders>
              <w:tl2br w:val="nil"/>
              <w:tr2bl w:val="nil"/>
            </w:tcBorders>
            <w:noWrap w:val="0"/>
            <w:vAlign w:val="center"/>
          </w:tcPr>
          <w:p>
            <w:pPr>
              <w:pStyle w:val="17"/>
              <w:bidi w:val="0"/>
              <w:rPr>
                <w:rFonts w:hint="default"/>
              </w:rPr>
            </w:pPr>
          </w:p>
        </w:tc>
        <w:tc>
          <w:tcPr>
            <w:tcW w:w="1286" w:type="dxa"/>
            <w:vMerge w:val="restart"/>
            <w:tcBorders>
              <w:tl2br w:val="nil"/>
              <w:tr2bl w:val="nil"/>
            </w:tcBorders>
            <w:noWrap w:val="0"/>
            <w:vAlign w:val="center"/>
          </w:tcPr>
          <w:p>
            <w:pPr>
              <w:pStyle w:val="17"/>
              <w:bidi w:val="0"/>
              <w:rPr>
                <w:rFonts w:hint="default"/>
              </w:rPr>
            </w:pPr>
            <w:r>
              <w:rPr>
                <w:rFonts w:hint="default"/>
              </w:rPr>
              <w:t>地下水</w:t>
            </w:r>
          </w:p>
        </w:tc>
        <w:tc>
          <w:tcPr>
            <w:tcW w:w="1547" w:type="dxa"/>
            <w:gridSpan w:val="2"/>
            <w:tcBorders>
              <w:tl2br w:val="nil"/>
              <w:tr2bl w:val="nil"/>
            </w:tcBorders>
            <w:noWrap w:val="0"/>
            <w:vAlign w:val="center"/>
          </w:tcPr>
          <w:p>
            <w:pPr>
              <w:pStyle w:val="17"/>
              <w:bidi w:val="0"/>
              <w:rPr>
                <w:rFonts w:hint="default"/>
              </w:rPr>
            </w:pPr>
            <w:r>
              <w:rPr>
                <w:rFonts w:hint="default"/>
              </w:rPr>
              <w:t>地下水功能敏感性</w:t>
            </w:r>
          </w:p>
        </w:tc>
        <w:tc>
          <w:tcPr>
            <w:tcW w:w="1372" w:type="dxa"/>
            <w:gridSpan w:val="3"/>
            <w:tcBorders>
              <w:tl2br w:val="nil"/>
              <w:tr2bl w:val="nil"/>
            </w:tcBorders>
            <w:noWrap w:val="0"/>
            <w:vAlign w:val="center"/>
          </w:tcPr>
          <w:p>
            <w:pPr>
              <w:pStyle w:val="17"/>
              <w:bidi w:val="0"/>
              <w:rPr>
                <w:rFonts w:hint="default"/>
              </w:rPr>
            </w:pPr>
            <w:r>
              <w:rPr>
                <w:rFonts w:hint="default"/>
              </w:rPr>
              <w:t xml:space="preserve">G1 </w:t>
            </w:r>
            <w:r>
              <w:rPr>
                <w:rFonts w:hint="default"/>
              </w:rPr>
              <w:sym w:font="Wingdings" w:char="00A8"/>
            </w:r>
          </w:p>
        </w:tc>
        <w:tc>
          <w:tcPr>
            <w:tcW w:w="1713" w:type="dxa"/>
            <w:gridSpan w:val="2"/>
            <w:tcBorders>
              <w:tl2br w:val="nil"/>
              <w:tr2bl w:val="nil"/>
            </w:tcBorders>
            <w:noWrap w:val="0"/>
            <w:vAlign w:val="center"/>
          </w:tcPr>
          <w:p>
            <w:pPr>
              <w:pStyle w:val="17"/>
              <w:bidi w:val="0"/>
              <w:rPr>
                <w:rFonts w:hint="default"/>
              </w:rPr>
            </w:pPr>
            <w:r>
              <w:rPr>
                <w:rFonts w:hint="default"/>
              </w:rPr>
              <w:t xml:space="preserve">G2 </w:t>
            </w:r>
            <w:r>
              <w:rPr>
                <w:rFonts w:hint="default"/>
              </w:rPr>
              <w:sym w:font="Wingdings" w:char="00A8"/>
            </w:r>
          </w:p>
        </w:tc>
        <w:tc>
          <w:tcPr>
            <w:tcW w:w="1548" w:type="dxa"/>
            <w:gridSpan w:val="2"/>
            <w:tcBorders>
              <w:tl2br w:val="nil"/>
              <w:tr2bl w:val="nil"/>
            </w:tcBorders>
            <w:noWrap w:val="0"/>
            <w:vAlign w:val="center"/>
          </w:tcPr>
          <w:p>
            <w:pPr>
              <w:pStyle w:val="17"/>
              <w:bidi w:val="0"/>
              <w:rPr>
                <w:rFonts w:hint="default"/>
              </w:rPr>
            </w:pPr>
            <w:r>
              <w:rPr>
                <w:rFonts w:hint="default"/>
              </w:rPr>
              <w:t xml:space="preserve">G3 </w:t>
            </w:r>
            <w:r>
              <w:rPr>
                <w:rFonts w:hint="default"/>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698" w:type="dxa"/>
            <w:vMerge w:val="continue"/>
            <w:tcBorders>
              <w:tl2br w:val="nil"/>
              <w:tr2bl w:val="nil"/>
            </w:tcBorders>
            <w:noWrap w:val="0"/>
            <w:vAlign w:val="center"/>
          </w:tcPr>
          <w:p>
            <w:pPr>
              <w:pStyle w:val="17"/>
              <w:bidi w:val="0"/>
              <w:rPr>
                <w:rFonts w:hint="default"/>
              </w:rPr>
            </w:pPr>
          </w:p>
        </w:tc>
        <w:tc>
          <w:tcPr>
            <w:tcW w:w="907" w:type="dxa"/>
            <w:vMerge w:val="continue"/>
            <w:tcBorders>
              <w:tl2br w:val="nil"/>
              <w:tr2bl w:val="nil"/>
            </w:tcBorders>
            <w:noWrap w:val="0"/>
            <w:vAlign w:val="center"/>
          </w:tcPr>
          <w:p>
            <w:pPr>
              <w:pStyle w:val="17"/>
              <w:bidi w:val="0"/>
              <w:rPr>
                <w:rFonts w:hint="default"/>
              </w:rPr>
            </w:pPr>
          </w:p>
        </w:tc>
        <w:tc>
          <w:tcPr>
            <w:tcW w:w="1286" w:type="dxa"/>
            <w:vMerge w:val="continue"/>
            <w:tcBorders>
              <w:tl2br w:val="nil"/>
              <w:tr2bl w:val="nil"/>
            </w:tcBorders>
            <w:noWrap w:val="0"/>
            <w:vAlign w:val="center"/>
          </w:tcPr>
          <w:p>
            <w:pPr>
              <w:pStyle w:val="17"/>
              <w:bidi w:val="0"/>
              <w:rPr>
                <w:rFonts w:hint="default"/>
              </w:rPr>
            </w:pPr>
          </w:p>
        </w:tc>
        <w:tc>
          <w:tcPr>
            <w:tcW w:w="1547" w:type="dxa"/>
            <w:gridSpan w:val="2"/>
            <w:tcBorders>
              <w:tl2br w:val="nil"/>
              <w:tr2bl w:val="nil"/>
            </w:tcBorders>
            <w:noWrap w:val="0"/>
            <w:vAlign w:val="center"/>
          </w:tcPr>
          <w:p>
            <w:pPr>
              <w:pStyle w:val="17"/>
              <w:bidi w:val="0"/>
              <w:rPr>
                <w:rFonts w:hint="default"/>
              </w:rPr>
            </w:pPr>
            <w:r>
              <w:rPr>
                <w:rFonts w:hint="default"/>
              </w:rPr>
              <w:t>包气带防污性能</w:t>
            </w:r>
          </w:p>
        </w:tc>
        <w:tc>
          <w:tcPr>
            <w:tcW w:w="1372" w:type="dxa"/>
            <w:gridSpan w:val="3"/>
            <w:tcBorders>
              <w:tl2br w:val="nil"/>
              <w:tr2bl w:val="nil"/>
            </w:tcBorders>
            <w:noWrap w:val="0"/>
            <w:vAlign w:val="center"/>
          </w:tcPr>
          <w:p>
            <w:pPr>
              <w:pStyle w:val="17"/>
              <w:bidi w:val="0"/>
              <w:rPr>
                <w:rFonts w:hint="default"/>
              </w:rPr>
            </w:pPr>
            <w:r>
              <w:rPr>
                <w:rFonts w:hint="default"/>
              </w:rPr>
              <w:t xml:space="preserve">D1 </w:t>
            </w:r>
            <w:r>
              <w:rPr>
                <w:rFonts w:hint="default"/>
              </w:rPr>
              <w:sym w:font="Wingdings" w:char="00A8"/>
            </w:r>
          </w:p>
        </w:tc>
        <w:tc>
          <w:tcPr>
            <w:tcW w:w="1713" w:type="dxa"/>
            <w:gridSpan w:val="2"/>
            <w:tcBorders>
              <w:tl2br w:val="nil"/>
              <w:tr2bl w:val="nil"/>
            </w:tcBorders>
            <w:noWrap w:val="0"/>
            <w:vAlign w:val="center"/>
          </w:tcPr>
          <w:p>
            <w:pPr>
              <w:pStyle w:val="17"/>
              <w:bidi w:val="0"/>
              <w:rPr>
                <w:rFonts w:hint="default"/>
              </w:rPr>
            </w:pPr>
            <w:r>
              <w:rPr>
                <w:rFonts w:hint="default"/>
              </w:rPr>
              <w:t xml:space="preserve">D2 </w:t>
            </w:r>
            <w:r>
              <w:rPr>
                <w:rFonts w:hint="default"/>
              </w:rPr>
              <w:sym w:font="Wingdings" w:char="00A8"/>
            </w:r>
          </w:p>
        </w:tc>
        <w:tc>
          <w:tcPr>
            <w:tcW w:w="1548" w:type="dxa"/>
            <w:gridSpan w:val="2"/>
            <w:tcBorders>
              <w:tl2br w:val="nil"/>
              <w:tr2bl w:val="nil"/>
            </w:tcBorders>
            <w:noWrap w:val="0"/>
            <w:vAlign w:val="center"/>
          </w:tcPr>
          <w:p>
            <w:pPr>
              <w:pStyle w:val="17"/>
              <w:bidi w:val="0"/>
              <w:rPr>
                <w:rFonts w:hint="default"/>
              </w:rPr>
            </w:pPr>
            <w:r>
              <w:rPr>
                <w:rFonts w:hint="default"/>
              </w:rPr>
              <w:t xml:space="preserve">D3 </w:t>
            </w:r>
            <w:r>
              <w:rPr>
                <w:rFonts w:hint="default"/>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605" w:type="dxa"/>
            <w:gridSpan w:val="2"/>
            <w:vMerge w:val="restart"/>
            <w:tcBorders>
              <w:tl2br w:val="nil"/>
              <w:tr2bl w:val="nil"/>
            </w:tcBorders>
            <w:noWrap w:val="0"/>
            <w:vAlign w:val="center"/>
          </w:tcPr>
          <w:p>
            <w:pPr>
              <w:pStyle w:val="17"/>
              <w:bidi w:val="0"/>
              <w:rPr>
                <w:rFonts w:hint="default"/>
              </w:rPr>
            </w:pPr>
            <w:r>
              <w:rPr>
                <w:rFonts w:hint="default"/>
              </w:rPr>
              <w:t>物质及工艺系统危险性</w:t>
            </w:r>
          </w:p>
        </w:tc>
        <w:tc>
          <w:tcPr>
            <w:tcW w:w="1286" w:type="dxa"/>
            <w:tcBorders>
              <w:tl2br w:val="nil"/>
              <w:tr2bl w:val="nil"/>
            </w:tcBorders>
            <w:noWrap w:val="0"/>
            <w:vAlign w:val="center"/>
          </w:tcPr>
          <w:p>
            <w:pPr>
              <w:pStyle w:val="17"/>
              <w:bidi w:val="0"/>
              <w:rPr>
                <w:rFonts w:hint="default"/>
              </w:rPr>
            </w:pPr>
            <w:r>
              <w:rPr>
                <w:rFonts w:hint="default"/>
              </w:rPr>
              <w:t>Q值</w:t>
            </w:r>
          </w:p>
        </w:tc>
        <w:tc>
          <w:tcPr>
            <w:tcW w:w="1547" w:type="dxa"/>
            <w:gridSpan w:val="2"/>
            <w:tcBorders>
              <w:tl2br w:val="nil"/>
              <w:tr2bl w:val="nil"/>
            </w:tcBorders>
            <w:noWrap w:val="0"/>
            <w:vAlign w:val="center"/>
          </w:tcPr>
          <w:p>
            <w:pPr>
              <w:pStyle w:val="17"/>
              <w:bidi w:val="0"/>
              <w:rPr>
                <w:rFonts w:hint="default"/>
              </w:rPr>
            </w:pPr>
            <w:r>
              <w:rPr>
                <w:rFonts w:hint="default"/>
              </w:rPr>
              <w:t>Q＜1</w:t>
            </w:r>
            <w:r>
              <w:rPr>
                <w:rFonts w:hint="default"/>
              </w:rPr>
              <w:sym w:font="Wingdings" w:char="F0FE"/>
            </w:r>
          </w:p>
        </w:tc>
        <w:tc>
          <w:tcPr>
            <w:tcW w:w="1372" w:type="dxa"/>
            <w:gridSpan w:val="3"/>
            <w:tcBorders>
              <w:tl2br w:val="nil"/>
              <w:tr2bl w:val="nil"/>
            </w:tcBorders>
            <w:noWrap w:val="0"/>
            <w:vAlign w:val="center"/>
          </w:tcPr>
          <w:p>
            <w:pPr>
              <w:pStyle w:val="17"/>
              <w:bidi w:val="0"/>
              <w:rPr>
                <w:rFonts w:hint="default"/>
              </w:rPr>
            </w:pPr>
            <w:r>
              <w:rPr>
                <w:rFonts w:hint="default"/>
              </w:rPr>
              <w:t xml:space="preserve">1≤Q＜10 </w:t>
            </w:r>
            <w:r>
              <w:rPr>
                <w:rFonts w:hint="default"/>
              </w:rPr>
              <w:sym w:font="Wingdings" w:char="00A8"/>
            </w:r>
          </w:p>
        </w:tc>
        <w:tc>
          <w:tcPr>
            <w:tcW w:w="1713" w:type="dxa"/>
            <w:gridSpan w:val="2"/>
            <w:tcBorders>
              <w:tl2br w:val="nil"/>
              <w:tr2bl w:val="nil"/>
            </w:tcBorders>
            <w:noWrap w:val="0"/>
            <w:vAlign w:val="center"/>
          </w:tcPr>
          <w:p>
            <w:pPr>
              <w:pStyle w:val="17"/>
              <w:bidi w:val="0"/>
              <w:rPr>
                <w:rFonts w:hint="default"/>
              </w:rPr>
            </w:pPr>
            <w:r>
              <w:rPr>
                <w:rFonts w:hint="default"/>
              </w:rPr>
              <w:t xml:space="preserve">10≤Q＜100 </w:t>
            </w:r>
            <w:r>
              <w:rPr>
                <w:rFonts w:hint="default"/>
              </w:rPr>
              <w:sym w:font="Wingdings" w:char="00A8"/>
            </w:r>
          </w:p>
        </w:tc>
        <w:tc>
          <w:tcPr>
            <w:tcW w:w="1548" w:type="dxa"/>
            <w:gridSpan w:val="2"/>
            <w:tcBorders>
              <w:tl2br w:val="nil"/>
              <w:tr2bl w:val="nil"/>
            </w:tcBorders>
            <w:noWrap w:val="0"/>
            <w:vAlign w:val="center"/>
          </w:tcPr>
          <w:p>
            <w:pPr>
              <w:pStyle w:val="17"/>
              <w:bidi w:val="0"/>
              <w:rPr>
                <w:rFonts w:hint="default"/>
              </w:rPr>
            </w:pPr>
            <w:r>
              <w:rPr>
                <w:rFonts w:hint="default"/>
              </w:rPr>
              <w:t xml:space="preserve">Q＞100 </w:t>
            </w:r>
            <w:r>
              <w:rPr>
                <w:rFonts w:hint="default"/>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605" w:type="dxa"/>
            <w:gridSpan w:val="2"/>
            <w:vMerge w:val="continue"/>
            <w:tcBorders>
              <w:tl2br w:val="nil"/>
              <w:tr2bl w:val="nil"/>
            </w:tcBorders>
            <w:noWrap w:val="0"/>
            <w:vAlign w:val="center"/>
          </w:tcPr>
          <w:p>
            <w:pPr>
              <w:pStyle w:val="17"/>
              <w:bidi w:val="0"/>
              <w:rPr>
                <w:rFonts w:hint="default"/>
              </w:rPr>
            </w:pPr>
          </w:p>
        </w:tc>
        <w:tc>
          <w:tcPr>
            <w:tcW w:w="1286" w:type="dxa"/>
            <w:tcBorders>
              <w:tl2br w:val="nil"/>
              <w:tr2bl w:val="nil"/>
            </w:tcBorders>
            <w:noWrap w:val="0"/>
            <w:vAlign w:val="center"/>
          </w:tcPr>
          <w:p>
            <w:pPr>
              <w:pStyle w:val="17"/>
              <w:bidi w:val="0"/>
              <w:rPr>
                <w:rFonts w:hint="default"/>
              </w:rPr>
            </w:pPr>
            <w:r>
              <w:rPr>
                <w:rFonts w:hint="default"/>
              </w:rPr>
              <w:t>M值</w:t>
            </w:r>
          </w:p>
        </w:tc>
        <w:tc>
          <w:tcPr>
            <w:tcW w:w="1547" w:type="dxa"/>
            <w:gridSpan w:val="2"/>
            <w:tcBorders>
              <w:tl2br w:val="nil"/>
              <w:tr2bl w:val="nil"/>
            </w:tcBorders>
            <w:noWrap w:val="0"/>
            <w:vAlign w:val="center"/>
          </w:tcPr>
          <w:p>
            <w:pPr>
              <w:pStyle w:val="17"/>
              <w:bidi w:val="0"/>
              <w:rPr>
                <w:rFonts w:hint="default"/>
              </w:rPr>
            </w:pPr>
            <w:r>
              <w:rPr>
                <w:rFonts w:hint="default"/>
              </w:rPr>
              <w:t xml:space="preserve">M1 </w:t>
            </w:r>
            <w:r>
              <w:rPr>
                <w:rFonts w:hint="default"/>
              </w:rPr>
              <w:sym w:font="Wingdings" w:char="00A8"/>
            </w:r>
          </w:p>
        </w:tc>
        <w:tc>
          <w:tcPr>
            <w:tcW w:w="1372" w:type="dxa"/>
            <w:gridSpan w:val="3"/>
            <w:tcBorders>
              <w:tl2br w:val="nil"/>
              <w:tr2bl w:val="nil"/>
            </w:tcBorders>
            <w:noWrap w:val="0"/>
            <w:vAlign w:val="center"/>
          </w:tcPr>
          <w:p>
            <w:pPr>
              <w:pStyle w:val="17"/>
              <w:bidi w:val="0"/>
              <w:rPr>
                <w:rFonts w:hint="default"/>
              </w:rPr>
            </w:pPr>
            <w:r>
              <w:rPr>
                <w:rFonts w:hint="eastAsia"/>
                <w:lang w:val="en-US" w:eastAsia="zh-CN"/>
              </w:rPr>
              <w:t>M2</w:t>
            </w:r>
            <w:r>
              <w:rPr>
                <w:rFonts w:hint="default"/>
              </w:rPr>
              <w:t xml:space="preserve"> </w:t>
            </w:r>
            <w:r>
              <w:rPr>
                <w:rFonts w:hint="default"/>
              </w:rPr>
              <w:sym w:font="Wingdings" w:char="00A8"/>
            </w:r>
          </w:p>
        </w:tc>
        <w:tc>
          <w:tcPr>
            <w:tcW w:w="1713" w:type="dxa"/>
            <w:gridSpan w:val="2"/>
            <w:tcBorders>
              <w:tl2br w:val="nil"/>
              <w:tr2bl w:val="nil"/>
            </w:tcBorders>
            <w:noWrap w:val="0"/>
            <w:vAlign w:val="center"/>
          </w:tcPr>
          <w:p>
            <w:pPr>
              <w:pStyle w:val="17"/>
              <w:bidi w:val="0"/>
              <w:rPr>
                <w:rFonts w:hint="default"/>
              </w:rPr>
            </w:pPr>
            <w:r>
              <w:rPr>
                <w:rFonts w:hint="eastAsia"/>
                <w:lang w:val="en-US" w:eastAsia="zh-CN"/>
              </w:rPr>
              <w:t>m³</w:t>
            </w:r>
            <w:r>
              <w:rPr>
                <w:rFonts w:hint="default"/>
              </w:rPr>
              <w:t xml:space="preserve"> </w:t>
            </w:r>
            <w:r>
              <w:rPr>
                <w:rFonts w:hint="default"/>
              </w:rPr>
              <w:sym w:font="Wingdings" w:char="00A8"/>
            </w:r>
          </w:p>
        </w:tc>
        <w:tc>
          <w:tcPr>
            <w:tcW w:w="1548" w:type="dxa"/>
            <w:gridSpan w:val="2"/>
            <w:tcBorders>
              <w:tl2br w:val="nil"/>
              <w:tr2bl w:val="nil"/>
            </w:tcBorders>
            <w:noWrap w:val="0"/>
            <w:vAlign w:val="center"/>
          </w:tcPr>
          <w:p>
            <w:pPr>
              <w:pStyle w:val="17"/>
              <w:bidi w:val="0"/>
              <w:rPr>
                <w:rFonts w:hint="default"/>
              </w:rPr>
            </w:pPr>
            <w:r>
              <w:rPr>
                <w:rFonts w:hint="default"/>
              </w:rPr>
              <w:t xml:space="preserve">M4 </w:t>
            </w:r>
            <w:r>
              <w:rPr>
                <w:rFonts w:hint="default"/>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605" w:type="dxa"/>
            <w:gridSpan w:val="2"/>
            <w:vMerge w:val="continue"/>
            <w:tcBorders>
              <w:tl2br w:val="nil"/>
              <w:tr2bl w:val="nil"/>
            </w:tcBorders>
            <w:noWrap w:val="0"/>
            <w:vAlign w:val="center"/>
          </w:tcPr>
          <w:p>
            <w:pPr>
              <w:pStyle w:val="17"/>
              <w:bidi w:val="0"/>
              <w:rPr>
                <w:rFonts w:hint="default"/>
              </w:rPr>
            </w:pPr>
          </w:p>
        </w:tc>
        <w:tc>
          <w:tcPr>
            <w:tcW w:w="1286" w:type="dxa"/>
            <w:tcBorders>
              <w:tl2br w:val="nil"/>
              <w:tr2bl w:val="nil"/>
            </w:tcBorders>
            <w:noWrap w:val="0"/>
            <w:vAlign w:val="center"/>
          </w:tcPr>
          <w:p>
            <w:pPr>
              <w:pStyle w:val="17"/>
              <w:bidi w:val="0"/>
              <w:rPr>
                <w:rFonts w:hint="default"/>
              </w:rPr>
            </w:pPr>
            <w:r>
              <w:rPr>
                <w:rFonts w:hint="default"/>
              </w:rPr>
              <w:t>P值</w:t>
            </w:r>
          </w:p>
        </w:tc>
        <w:tc>
          <w:tcPr>
            <w:tcW w:w="1547" w:type="dxa"/>
            <w:gridSpan w:val="2"/>
            <w:tcBorders>
              <w:tl2br w:val="nil"/>
              <w:tr2bl w:val="nil"/>
            </w:tcBorders>
            <w:noWrap w:val="0"/>
            <w:vAlign w:val="center"/>
          </w:tcPr>
          <w:p>
            <w:pPr>
              <w:pStyle w:val="17"/>
              <w:bidi w:val="0"/>
              <w:rPr>
                <w:rFonts w:hint="default"/>
              </w:rPr>
            </w:pPr>
            <w:r>
              <w:rPr>
                <w:rFonts w:hint="default"/>
              </w:rPr>
              <w:t xml:space="preserve">P1 </w:t>
            </w:r>
            <w:r>
              <w:rPr>
                <w:rFonts w:hint="default"/>
              </w:rPr>
              <w:sym w:font="Wingdings" w:char="00A8"/>
            </w:r>
          </w:p>
        </w:tc>
        <w:tc>
          <w:tcPr>
            <w:tcW w:w="1372" w:type="dxa"/>
            <w:gridSpan w:val="3"/>
            <w:tcBorders>
              <w:tl2br w:val="nil"/>
              <w:tr2bl w:val="nil"/>
            </w:tcBorders>
            <w:noWrap w:val="0"/>
            <w:vAlign w:val="center"/>
          </w:tcPr>
          <w:p>
            <w:pPr>
              <w:pStyle w:val="17"/>
              <w:bidi w:val="0"/>
              <w:rPr>
                <w:rFonts w:hint="default"/>
              </w:rPr>
            </w:pPr>
            <w:r>
              <w:rPr>
                <w:rFonts w:hint="default"/>
              </w:rPr>
              <w:t xml:space="preserve">P2 </w:t>
            </w:r>
            <w:r>
              <w:rPr>
                <w:rFonts w:hint="default"/>
              </w:rPr>
              <w:sym w:font="Wingdings" w:char="00A8"/>
            </w:r>
          </w:p>
        </w:tc>
        <w:tc>
          <w:tcPr>
            <w:tcW w:w="1713" w:type="dxa"/>
            <w:gridSpan w:val="2"/>
            <w:tcBorders>
              <w:tl2br w:val="nil"/>
              <w:tr2bl w:val="nil"/>
            </w:tcBorders>
            <w:noWrap w:val="0"/>
            <w:vAlign w:val="center"/>
          </w:tcPr>
          <w:p>
            <w:pPr>
              <w:pStyle w:val="17"/>
              <w:bidi w:val="0"/>
              <w:rPr>
                <w:rFonts w:hint="default"/>
              </w:rPr>
            </w:pPr>
            <w:r>
              <w:rPr>
                <w:rFonts w:hint="default"/>
              </w:rPr>
              <w:t xml:space="preserve">P3 </w:t>
            </w:r>
            <w:r>
              <w:rPr>
                <w:rFonts w:hint="default"/>
              </w:rPr>
              <w:sym w:font="Wingdings" w:char="00A8"/>
            </w:r>
          </w:p>
        </w:tc>
        <w:tc>
          <w:tcPr>
            <w:tcW w:w="1548" w:type="dxa"/>
            <w:gridSpan w:val="2"/>
            <w:tcBorders>
              <w:tl2br w:val="nil"/>
              <w:tr2bl w:val="nil"/>
            </w:tcBorders>
            <w:noWrap w:val="0"/>
            <w:vAlign w:val="center"/>
          </w:tcPr>
          <w:p>
            <w:pPr>
              <w:pStyle w:val="17"/>
              <w:bidi w:val="0"/>
              <w:rPr>
                <w:rFonts w:hint="default"/>
              </w:rPr>
            </w:pPr>
            <w:r>
              <w:rPr>
                <w:rFonts w:hint="default"/>
              </w:rPr>
              <w:t xml:space="preserve">P4 </w:t>
            </w:r>
            <w:r>
              <w:rPr>
                <w:rFonts w:hint="default"/>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605" w:type="dxa"/>
            <w:gridSpan w:val="2"/>
            <w:vMerge w:val="restart"/>
            <w:tcBorders>
              <w:tl2br w:val="nil"/>
              <w:tr2bl w:val="nil"/>
            </w:tcBorders>
            <w:noWrap w:val="0"/>
            <w:vAlign w:val="center"/>
          </w:tcPr>
          <w:p>
            <w:pPr>
              <w:pStyle w:val="17"/>
              <w:bidi w:val="0"/>
              <w:rPr>
                <w:rFonts w:hint="default"/>
              </w:rPr>
            </w:pPr>
            <w:r>
              <w:rPr>
                <w:rFonts w:hint="default"/>
              </w:rPr>
              <w:t>环境敏感程度</w:t>
            </w:r>
          </w:p>
        </w:tc>
        <w:tc>
          <w:tcPr>
            <w:tcW w:w="1286" w:type="dxa"/>
            <w:tcBorders>
              <w:tl2br w:val="nil"/>
              <w:tr2bl w:val="nil"/>
            </w:tcBorders>
            <w:noWrap w:val="0"/>
            <w:vAlign w:val="center"/>
          </w:tcPr>
          <w:p>
            <w:pPr>
              <w:pStyle w:val="17"/>
              <w:bidi w:val="0"/>
              <w:rPr>
                <w:rFonts w:hint="default"/>
              </w:rPr>
            </w:pPr>
            <w:r>
              <w:rPr>
                <w:rFonts w:hint="default"/>
              </w:rPr>
              <w:t>大气</w:t>
            </w:r>
          </w:p>
        </w:tc>
        <w:tc>
          <w:tcPr>
            <w:tcW w:w="1547" w:type="dxa"/>
            <w:gridSpan w:val="2"/>
            <w:tcBorders>
              <w:tl2br w:val="nil"/>
              <w:tr2bl w:val="nil"/>
            </w:tcBorders>
            <w:noWrap w:val="0"/>
            <w:vAlign w:val="center"/>
          </w:tcPr>
          <w:p>
            <w:pPr>
              <w:pStyle w:val="17"/>
              <w:bidi w:val="0"/>
              <w:rPr>
                <w:rFonts w:hint="default"/>
              </w:rPr>
            </w:pPr>
            <w:r>
              <w:rPr>
                <w:rFonts w:hint="default"/>
              </w:rPr>
              <w:t xml:space="preserve">E1 </w:t>
            </w:r>
            <w:r>
              <w:rPr>
                <w:rFonts w:hint="default"/>
              </w:rPr>
              <w:sym w:font="Wingdings" w:char="00A8"/>
            </w:r>
          </w:p>
        </w:tc>
        <w:tc>
          <w:tcPr>
            <w:tcW w:w="2158" w:type="dxa"/>
            <w:gridSpan w:val="4"/>
            <w:tcBorders>
              <w:tl2br w:val="nil"/>
              <w:tr2bl w:val="nil"/>
            </w:tcBorders>
            <w:noWrap w:val="0"/>
            <w:vAlign w:val="center"/>
          </w:tcPr>
          <w:p>
            <w:pPr>
              <w:pStyle w:val="17"/>
              <w:bidi w:val="0"/>
              <w:rPr>
                <w:rFonts w:hint="default"/>
              </w:rPr>
            </w:pPr>
            <w:r>
              <w:rPr>
                <w:rFonts w:hint="default"/>
              </w:rPr>
              <w:t xml:space="preserve">E2 </w:t>
            </w:r>
            <w:r>
              <w:rPr>
                <w:rFonts w:hint="default"/>
              </w:rPr>
              <w:sym w:font="Wingdings" w:char="00A8"/>
            </w:r>
          </w:p>
        </w:tc>
        <w:tc>
          <w:tcPr>
            <w:tcW w:w="2475" w:type="dxa"/>
            <w:gridSpan w:val="3"/>
            <w:tcBorders>
              <w:tl2br w:val="nil"/>
              <w:tr2bl w:val="nil"/>
            </w:tcBorders>
            <w:noWrap w:val="0"/>
            <w:vAlign w:val="center"/>
          </w:tcPr>
          <w:p>
            <w:pPr>
              <w:pStyle w:val="17"/>
              <w:bidi w:val="0"/>
              <w:rPr>
                <w:rFonts w:hint="default"/>
              </w:rPr>
            </w:pPr>
            <w:r>
              <w:rPr>
                <w:rFonts w:hint="default"/>
              </w:rPr>
              <w:t xml:space="preserve">E3 </w:t>
            </w:r>
            <w:r>
              <w:rPr>
                <w:rFonts w:hint="default"/>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605" w:type="dxa"/>
            <w:gridSpan w:val="2"/>
            <w:vMerge w:val="continue"/>
            <w:tcBorders>
              <w:tl2br w:val="nil"/>
              <w:tr2bl w:val="nil"/>
            </w:tcBorders>
            <w:noWrap w:val="0"/>
            <w:vAlign w:val="center"/>
          </w:tcPr>
          <w:p>
            <w:pPr>
              <w:pStyle w:val="17"/>
              <w:bidi w:val="0"/>
              <w:rPr>
                <w:rFonts w:hint="default"/>
              </w:rPr>
            </w:pPr>
          </w:p>
        </w:tc>
        <w:tc>
          <w:tcPr>
            <w:tcW w:w="1286" w:type="dxa"/>
            <w:tcBorders>
              <w:tl2br w:val="nil"/>
              <w:tr2bl w:val="nil"/>
            </w:tcBorders>
            <w:noWrap w:val="0"/>
            <w:vAlign w:val="center"/>
          </w:tcPr>
          <w:p>
            <w:pPr>
              <w:pStyle w:val="17"/>
              <w:bidi w:val="0"/>
              <w:rPr>
                <w:rFonts w:hint="default"/>
              </w:rPr>
            </w:pPr>
            <w:r>
              <w:rPr>
                <w:rFonts w:hint="default"/>
              </w:rPr>
              <w:t>地表水</w:t>
            </w:r>
          </w:p>
        </w:tc>
        <w:tc>
          <w:tcPr>
            <w:tcW w:w="1547" w:type="dxa"/>
            <w:gridSpan w:val="2"/>
            <w:tcBorders>
              <w:tl2br w:val="nil"/>
              <w:tr2bl w:val="nil"/>
            </w:tcBorders>
            <w:noWrap w:val="0"/>
            <w:vAlign w:val="center"/>
          </w:tcPr>
          <w:p>
            <w:pPr>
              <w:pStyle w:val="17"/>
              <w:bidi w:val="0"/>
              <w:rPr>
                <w:rFonts w:hint="default"/>
              </w:rPr>
            </w:pPr>
            <w:r>
              <w:rPr>
                <w:rFonts w:hint="default"/>
              </w:rPr>
              <w:t xml:space="preserve">E1 </w:t>
            </w:r>
            <w:r>
              <w:rPr>
                <w:rFonts w:hint="default"/>
              </w:rPr>
              <w:sym w:font="Wingdings" w:char="00A8"/>
            </w:r>
          </w:p>
        </w:tc>
        <w:tc>
          <w:tcPr>
            <w:tcW w:w="2158" w:type="dxa"/>
            <w:gridSpan w:val="4"/>
            <w:tcBorders>
              <w:tl2br w:val="nil"/>
              <w:tr2bl w:val="nil"/>
            </w:tcBorders>
            <w:noWrap w:val="0"/>
            <w:vAlign w:val="center"/>
          </w:tcPr>
          <w:p>
            <w:pPr>
              <w:pStyle w:val="17"/>
              <w:bidi w:val="0"/>
              <w:rPr>
                <w:rFonts w:hint="default"/>
              </w:rPr>
            </w:pPr>
            <w:r>
              <w:rPr>
                <w:rFonts w:hint="default"/>
              </w:rPr>
              <w:t xml:space="preserve">E2 </w:t>
            </w:r>
            <w:r>
              <w:rPr>
                <w:rFonts w:hint="default"/>
              </w:rPr>
              <w:sym w:font="Wingdings" w:char="00A8"/>
            </w:r>
          </w:p>
        </w:tc>
        <w:tc>
          <w:tcPr>
            <w:tcW w:w="2475" w:type="dxa"/>
            <w:gridSpan w:val="3"/>
            <w:tcBorders>
              <w:tl2br w:val="nil"/>
              <w:tr2bl w:val="nil"/>
            </w:tcBorders>
            <w:noWrap w:val="0"/>
            <w:vAlign w:val="center"/>
          </w:tcPr>
          <w:p>
            <w:pPr>
              <w:pStyle w:val="17"/>
              <w:bidi w:val="0"/>
              <w:rPr>
                <w:rFonts w:hint="default"/>
              </w:rPr>
            </w:pPr>
            <w:r>
              <w:rPr>
                <w:rFonts w:hint="default"/>
              </w:rPr>
              <w:t xml:space="preserve">E3 </w:t>
            </w:r>
            <w:r>
              <w:rPr>
                <w:rFonts w:hint="default"/>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605" w:type="dxa"/>
            <w:gridSpan w:val="2"/>
            <w:vMerge w:val="continue"/>
            <w:tcBorders>
              <w:tl2br w:val="nil"/>
              <w:tr2bl w:val="nil"/>
            </w:tcBorders>
            <w:noWrap w:val="0"/>
            <w:vAlign w:val="center"/>
          </w:tcPr>
          <w:p>
            <w:pPr>
              <w:pStyle w:val="17"/>
              <w:bidi w:val="0"/>
              <w:rPr>
                <w:rFonts w:hint="default"/>
              </w:rPr>
            </w:pPr>
          </w:p>
        </w:tc>
        <w:tc>
          <w:tcPr>
            <w:tcW w:w="1286" w:type="dxa"/>
            <w:tcBorders>
              <w:tl2br w:val="nil"/>
              <w:tr2bl w:val="nil"/>
            </w:tcBorders>
            <w:noWrap w:val="0"/>
            <w:vAlign w:val="center"/>
          </w:tcPr>
          <w:p>
            <w:pPr>
              <w:pStyle w:val="17"/>
              <w:bidi w:val="0"/>
              <w:rPr>
                <w:rFonts w:hint="default"/>
              </w:rPr>
            </w:pPr>
            <w:r>
              <w:rPr>
                <w:rFonts w:hint="default"/>
              </w:rPr>
              <w:t>地下水</w:t>
            </w:r>
          </w:p>
        </w:tc>
        <w:tc>
          <w:tcPr>
            <w:tcW w:w="1547" w:type="dxa"/>
            <w:gridSpan w:val="2"/>
            <w:tcBorders>
              <w:tl2br w:val="nil"/>
              <w:tr2bl w:val="nil"/>
            </w:tcBorders>
            <w:noWrap w:val="0"/>
            <w:vAlign w:val="center"/>
          </w:tcPr>
          <w:p>
            <w:pPr>
              <w:pStyle w:val="17"/>
              <w:bidi w:val="0"/>
              <w:rPr>
                <w:rFonts w:hint="default"/>
              </w:rPr>
            </w:pPr>
            <w:r>
              <w:rPr>
                <w:rFonts w:hint="default"/>
              </w:rPr>
              <w:t xml:space="preserve">E1 </w:t>
            </w:r>
            <w:r>
              <w:rPr>
                <w:rFonts w:hint="default"/>
              </w:rPr>
              <w:sym w:font="Wingdings" w:char="00A8"/>
            </w:r>
          </w:p>
        </w:tc>
        <w:tc>
          <w:tcPr>
            <w:tcW w:w="2158" w:type="dxa"/>
            <w:gridSpan w:val="4"/>
            <w:tcBorders>
              <w:tl2br w:val="nil"/>
              <w:tr2bl w:val="nil"/>
            </w:tcBorders>
            <w:noWrap w:val="0"/>
            <w:vAlign w:val="center"/>
          </w:tcPr>
          <w:p>
            <w:pPr>
              <w:pStyle w:val="17"/>
              <w:bidi w:val="0"/>
              <w:rPr>
                <w:rFonts w:hint="default"/>
              </w:rPr>
            </w:pPr>
            <w:r>
              <w:rPr>
                <w:rFonts w:hint="default"/>
              </w:rPr>
              <w:t xml:space="preserve">E2 </w:t>
            </w:r>
            <w:r>
              <w:rPr>
                <w:rFonts w:hint="default"/>
              </w:rPr>
              <w:sym w:font="Wingdings" w:char="00A8"/>
            </w:r>
          </w:p>
        </w:tc>
        <w:tc>
          <w:tcPr>
            <w:tcW w:w="2475" w:type="dxa"/>
            <w:gridSpan w:val="3"/>
            <w:tcBorders>
              <w:tl2br w:val="nil"/>
              <w:tr2bl w:val="nil"/>
            </w:tcBorders>
            <w:noWrap w:val="0"/>
            <w:vAlign w:val="center"/>
          </w:tcPr>
          <w:p>
            <w:pPr>
              <w:pStyle w:val="17"/>
              <w:bidi w:val="0"/>
              <w:rPr>
                <w:rFonts w:hint="default"/>
              </w:rPr>
            </w:pPr>
            <w:r>
              <w:rPr>
                <w:rFonts w:hint="default"/>
              </w:rPr>
              <w:t xml:space="preserve">E3 </w:t>
            </w:r>
            <w:r>
              <w:rPr>
                <w:rFonts w:hint="default"/>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605" w:type="dxa"/>
            <w:gridSpan w:val="2"/>
            <w:tcBorders>
              <w:tl2br w:val="nil"/>
              <w:tr2bl w:val="nil"/>
            </w:tcBorders>
            <w:noWrap w:val="0"/>
            <w:vAlign w:val="center"/>
          </w:tcPr>
          <w:p>
            <w:pPr>
              <w:pStyle w:val="17"/>
              <w:bidi w:val="0"/>
              <w:rPr>
                <w:rFonts w:hint="default"/>
              </w:rPr>
            </w:pPr>
            <w:r>
              <w:rPr>
                <w:rFonts w:hint="default"/>
              </w:rPr>
              <w:t>环境风险潜势</w:t>
            </w:r>
          </w:p>
        </w:tc>
        <w:tc>
          <w:tcPr>
            <w:tcW w:w="1286" w:type="dxa"/>
            <w:tcBorders>
              <w:tl2br w:val="nil"/>
              <w:tr2bl w:val="nil"/>
            </w:tcBorders>
            <w:noWrap w:val="0"/>
            <w:vAlign w:val="center"/>
          </w:tcPr>
          <w:p>
            <w:pPr>
              <w:pStyle w:val="17"/>
              <w:bidi w:val="0"/>
              <w:rPr>
                <w:rFonts w:hint="default"/>
              </w:rPr>
            </w:pPr>
            <w:r>
              <w:rPr>
                <w:rFonts w:hint="default"/>
              </w:rPr>
              <w:t xml:space="preserve">IV+ </w:t>
            </w:r>
            <w:r>
              <w:rPr>
                <w:rFonts w:hint="default"/>
              </w:rPr>
              <w:sym w:font="Wingdings" w:char="00A8"/>
            </w:r>
          </w:p>
        </w:tc>
        <w:tc>
          <w:tcPr>
            <w:tcW w:w="1547" w:type="dxa"/>
            <w:gridSpan w:val="2"/>
            <w:tcBorders>
              <w:tl2br w:val="nil"/>
              <w:tr2bl w:val="nil"/>
            </w:tcBorders>
            <w:noWrap w:val="0"/>
            <w:vAlign w:val="center"/>
          </w:tcPr>
          <w:p>
            <w:pPr>
              <w:pStyle w:val="17"/>
              <w:bidi w:val="0"/>
              <w:rPr>
                <w:rFonts w:hint="default"/>
              </w:rPr>
            </w:pPr>
            <w:r>
              <w:rPr>
                <w:rFonts w:hint="default"/>
              </w:rPr>
              <w:t xml:space="preserve">IV </w:t>
            </w:r>
            <w:r>
              <w:rPr>
                <w:rFonts w:hint="default"/>
              </w:rPr>
              <w:sym w:font="Wingdings" w:char="00A8"/>
            </w:r>
          </w:p>
        </w:tc>
        <w:tc>
          <w:tcPr>
            <w:tcW w:w="1372" w:type="dxa"/>
            <w:gridSpan w:val="3"/>
            <w:tcBorders>
              <w:tl2br w:val="nil"/>
              <w:tr2bl w:val="nil"/>
            </w:tcBorders>
            <w:noWrap w:val="0"/>
            <w:vAlign w:val="center"/>
          </w:tcPr>
          <w:p>
            <w:pPr>
              <w:pStyle w:val="17"/>
              <w:bidi w:val="0"/>
              <w:rPr>
                <w:rFonts w:hint="default"/>
              </w:rPr>
            </w:pPr>
            <w:r>
              <w:rPr>
                <w:rFonts w:hint="default"/>
              </w:rPr>
              <w:t xml:space="preserve">III </w:t>
            </w:r>
            <w:r>
              <w:rPr>
                <w:rFonts w:hint="default"/>
              </w:rPr>
              <w:sym w:font="Wingdings" w:char="00A8"/>
            </w:r>
          </w:p>
        </w:tc>
        <w:tc>
          <w:tcPr>
            <w:tcW w:w="1713" w:type="dxa"/>
            <w:gridSpan w:val="2"/>
            <w:tcBorders>
              <w:tl2br w:val="nil"/>
              <w:tr2bl w:val="nil"/>
            </w:tcBorders>
            <w:noWrap w:val="0"/>
            <w:vAlign w:val="center"/>
          </w:tcPr>
          <w:p>
            <w:pPr>
              <w:pStyle w:val="17"/>
              <w:bidi w:val="0"/>
              <w:rPr>
                <w:rFonts w:hint="default"/>
              </w:rPr>
            </w:pPr>
            <w:r>
              <w:rPr>
                <w:rFonts w:hint="default"/>
              </w:rPr>
              <w:t xml:space="preserve">II </w:t>
            </w:r>
            <w:r>
              <w:rPr>
                <w:rFonts w:hint="default"/>
              </w:rPr>
              <w:sym w:font="Wingdings" w:char="00A8"/>
            </w:r>
          </w:p>
        </w:tc>
        <w:tc>
          <w:tcPr>
            <w:tcW w:w="1548" w:type="dxa"/>
            <w:gridSpan w:val="2"/>
            <w:tcBorders>
              <w:tl2br w:val="nil"/>
              <w:tr2bl w:val="nil"/>
            </w:tcBorders>
            <w:noWrap w:val="0"/>
            <w:vAlign w:val="center"/>
          </w:tcPr>
          <w:p>
            <w:pPr>
              <w:pStyle w:val="17"/>
              <w:bidi w:val="0"/>
              <w:rPr>
                <w:rFonts w:hint="default"/>
              </w:rPr>
            </w:pPr>
            <w:r>
              <w:rPr>
                <w:rFonts w:hint="default"/>
              </w:rPr>
              <w:t xml:space="preserve">I </w:t>
            </w:r>
            <w:r>
              <w:rPr>
                <w:rFonts w:hint="default"/>
              </w:rPr>
              <w:sym w:font="Wingdings" w:char="00FE"/>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605" w:type="dxa"/>
            <w:gridSpan w:val="2"/>
            <w:tcBorders>
              <w:tl2br w:val="nil"/>
              <w:tr2bl w:val="nil"/>
            </w:tcBorders>
            <w:noWrap w:val="0"/>
            <w:vAlign w:val="center"/>
          </w:tcPr>
          <w:p>
            <w:pPr>
              <w:pStyle w:val="17"/>
              <w:bidi w:val="0"/>
              <w:rPr>
                <w:rFonts w:hint="default"/>
              </w:rPr>
            </w:pPr>
            <w:r>
              <w:rPr>
                <w:rFonts w:hint="default"/>
              </w:rPr>
              <w:t>评价等级</w:t>
            </w:r>
          </w:p>
        </w:tc>
        <w:tc>
          <w:tcPr>
            <w:tcW w:w="2833" w:type="dxa"/>
            <w:gridSpan w:val="3"/>
            <w:tcBorders>
              <w:tl2br w:val="nil"/>
              <w:tr2bl w:val="nil"/>
            </w:tcBorders>
            <w:noWrap w:val="0"/>
            <w:vAlign w:val="center"/>
          </w:tcPr>
          <w:p>
            <w:pPr>
              <w:pStyle w:val="17"/>
              <w:bidi w:val="0"/>
              <w:rPr>
                <w:rFonts w:hint="default"/>
              </w:rPr>
            </w:pPr>
            <w:r>
              <w:rPr>
                <w:rFonts w:hint="default"/>
              </w:rPr>
              <w:t xml:space="preserve">一级 </w:t>
            </w:r>
            <w:r>
              <w:rPr>
                <w:rFonts w:hint="default"/>
              </w:rPr>
              <w:sym w:font="Wingdings" w:char="00A8"/>
            </w:r>
          </w:p>
        </w:tc>
        <w:tc>
          <w:tcPr>
            <w:tcW w:w="1372" w:type="dxa"/>
            <w:gridSpan w:val="3"/>
            <w:tcBorders>
              <w:tl2br w:val="nil"/>
              <w:tr2bl w:val="nil"/>
            </w:tcBorders>
            <w:noWrap w:val="0"/>
            <w:vAlign w:val="center"/>
          </w:tcPr>
          <w:p>
            <w:pPr>
              <w:pStyle w:val="17"/>
              <w:bidi w:val="0"/>
              <w:rPr>
                <w:rFonts w:hint="default"/>
              </w:rPr>
            </w:pPr>
            <w:r>
              <w:rPr>
                <w:rFonts w:hint="default"/>
              </w:rPr>
              <w:t xml:space="preserve">二级 </w:t>
            </w:r>
            <w:r>
              <w:rPr>
                <w:rFonts w:hint="default"/>
              </w:rPr>
              <w:sym w:font="Wingdings" w:char="00A8"/>
            </w:r>
          </w:p>
        </w:tc>
        <w:tc>
          <w:tcPr>
            <w:tcW w:w="1713" w:type="dxa"/>
            <w:gridSpan w:val="2"/>
            <w:tcBorders>
              <w:tl2br w:val="nil"/>
              <w:tr2bl w:val="nil"/>
            </w:tcBorders>
            <w:noWrap w:val="0"/>
            <w:vAlign w:val="center"/>
          </w:tcPr>
          <w:p>
            <w:pPr>
              <w:pStyle w:val="17"/>
              <w:bidi w:val="0"/>
              <w:rPr>
                <w:rFonts w:hint="default"/>
              </w:rPr>
            </w:pPr>
            <w:r>
              <w:rPr>
                <w:rFonts w:hint="default"/>
              </w:rPr>
              <w:t xml:space="preserve">三级 </w:t>
            </w:r>
            <w:r>
              <w:rPr>
                <w:rFonts w:hint="default"/>
              </w:rPr>
              <w:sym w:font="Wingdings" w:char="00A8"/>
            </w:r>
          </w:p>
        </w:tc>
        <w:tc>
          <w:tcPr>
            <w:tcW w:w="1548" w:type="dxa"/>
            <w:gridSpan w:val="2"/>
            <w:tcBorders>
              <w:tl2br w:val="nil"/>
              <w:tr2bl w:val="nil"/>
            </w:tcBorders>
            <w:noWrap w:val="0"/>
            <w:vAlign w:val="center"/>
          </w:tcPr>
          <w:p>
            <w:pPr>
              <w:pStyle w:val="17"/>
              <w:bidi w:val="0"/>
              <w:rPr>
                <w:rFonts w:hint="default"/>
              </w:rPr>
            </w:pPr>
            <w:r>
              <w:rPr>
                <w:rFonts w:hint="default"/>
              </w:rPr>
              <w:t xml:space="preserve">简单分析 </w:t>
            </w:r>
            <w:r>
              <w:rPr>
                <w:rFonts w:hint="default"/>
              </w:rPr>
              <w:sym w:font="Wingdings" w:char="00FE"/>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698" w:type="dxa"/>
            <w:vMerge w:val="restart"/>
            <w:tcBorders>
              <w:tl2br w:val="nil"/>
              <w:tr2bl w:val="nil"/>
            </w:tcBorders>
            <w:noWrap w:val="0"/>
            <w:textDirection w:val="tbRlV"/>
            <w:vAlign w:val="center"/>
          </w:tcPr>
          <w:p>
            <w:pPr>
              <w:pStyle w:val="17"/>
              <w:bidi w:val="0"/>
              <w:rPr>
                <w:rFonts w:hint="default"/>
              </w:rPr>
            </w:pPr>
            <w:r>
              <w:rPr>
                <w:rFonts w:hint="default"/>
              </w:rPr>
              <w:t>风 险 识 别</w:t>
            </w:r>
          </w:p>
        </w:tc>
        <w:tc>
          <w:tcPr>
            <w:tcW w:w="907" w:type="dxa"/>
            <w:tcBorders>
              <w:tl2br w:val="nil"/>
              <w:tr2bl w:val="nil"/>
            </w:tcBorders>
            <w:noWrap w:val="0"/>
            <w:vAlign w:val="center"/>
          </w:tcPr>
          <w:p>
            <w:pPr>
              <w:pStyle w:val="17"/>
              <w:bidi w:val="0"/>
              <w:rPr>
                <w:rFonts w:hint="default"/>
              </w:rPr>
            </w:pPr>
            <w:r>
              <w:rPr>
                <w:rFonts w:hint="default"/>
              </w:rPr>
              <w:t>物质危险性</w:t>
            </w:r>
          </w:p>
        </w:tc>
        <w:tc>
          <w:tcPr>
            <w:tcW w:w="3725" w:type="dxa"/>
            <w:gridSpan w:val="5"/>
            <w:tcBorders>
              <w:tl2br w:val="nil"/>
              <w:tr2bl w:val="nil"/>
            </w:tcBorders>
            <w:noWrap w:val="0"/>
            <w:vAlign w:val="center"/>
          </w:tcPr>
          <w:p>
            <w:pPr>
              <w:pStyle w:val="17"/>
              <w:bidi w:val="0"/>
              <w:rPr>
                <w:rFonts w:hint="default"/>
              </w:rPr>
            </w:pPr>
            <w:r>
              <w:rPr>
                <w:rFonts w:hint="default"/>
              </w:rPr>
              <w:t xml:space="preserve">有毒有害 </w:t>
            </w:r>
            <w:r>
              <w:rPr>
                <w:rFonts w:hint="default"/>
              </w:rPr>
              <w:sym w:font="Wingdings" w:char="00A8"/>
            </w:r>
          </w:p>
        </w:tc>
        <w:tc>
          <w:tcPr>
            <w:tcW w:w="3741" w:type="dxa"/>
            <w:gridSpan w:val="5"/>
            <w:tcBorders>
              <w:tl2br w:val="nil"/>
              <w:tr2bl w:val="nil"/>
            </w:tcBorders>
            <w:noWrap w:val="0"/>
            <w:vAlign w:val="center"/>
          </w:tcPr>
          <w:p>
            <w:pPr>
              <w:pStyle w:val="17"/>
              <w:bidi w:val="0"/>
              <w:rPr>
                <w:rFonts w:hint="default"/>
              </w:rPr>
            </w:pPr>
            <w:r>
              <w:rPr>
                <w:rFonts w:hint="default"/>
              </w:rPr>
              <w:t xml:space="preserve">易燃易爆 </w:t>
            </w:r>
            <w:r>
              <w:rPr>
                <w:rFonts w:hint="default"/>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698" w:type="dxa"/>
            <w:vMerge w:val="continue"/>
            <w:tcBorders>
              <w:tl2br w:val="nil"/>
              <w:tr2bl w:val="nil"/>
            </w:tcBorders>
            <w:noWrap w:val="0"/>
            <w:vAlign w:val="center"/>
          </w:tcPr>
          <w:p>
            <w:pPr>
              <w:pStyle w:val="17"/>
              <w:bidi w:val="0"/>
              <w:rPr>
                <w:rFonts w:hint="default"/>
              </w:rPr>
            </w:pPr>
          </w:p>
        </w:tc>
        <w:tc>
          <w:tcPr>
            <w:tcW w:w="907" w:type="dxa"/>
            <w:tcBorders>
              <w:tl2br w:val="nil"/>
              <w:tr2bl w:val="nil"/>
            </w:tcBorders>
            <w:noWrap w:val="0"/>
            <w:vAlign w:val="center"/>
          </w:tcPr>
          <w:p>
            <w:pPr>
              <w:pStyle w:val="17"/>
              <w:bidi w:val="0"/>
              <w:rPr>
                <w:rFonts w:hint="default"/>
              </w:rPr>
            </w:pPr>
            <w:r>
              <w:rPr>
                <w:rFonts w:hint="default"/>
              </w:rPr>
              <w:t>环境风险类型</w:t>
            </w:r>
          </w:p>
        </w:tc>
        <w:tc>
          <w:tcPr>
            <w:tcW w:w="2833" w:type="dxa"/>
            <w:gridSpan w:val="3"/>
            <w:tcBorders>
              <w:tl2br w:val="nil"/>
              <w:tr2bl w:val="nil"/>
            </w:tcBorders>
            <w:noWrap w:val="0"/>
            <w:vAlign w:val="center"/>
          </w:tcPr>
          <w:p>
            <w:pPr>
              <w:pStyle w:val="17"/>
              <w:bidi w:val="0"/>
              <w:rPr>
                <w:rFonts w:hint="default"/>
              </w:rPr>
            </w:pPr>
            <w:r>
              <w:rPr>
                <w:rFonts w:hint="default"/>
              </w:rPr>
              <w:t xml:space="preserve">泄漏 </w:t>
            </w:r>
            <w:r>
              <w:rPr>
                <w:rFonts w:hint="default"/>
              </w:rPr>
              <w:sym w:font="Wingdings" w:char="00FE"/>
            </w:r>
          </w:p>
        </w:tc>
        <w:tc>
          <w:tcPr>
            <w:tcW w:w="4633" w:type="dxa"/>
            <w:gridSpan w:val="7"/>
            <w:tcBorders>
              <w:tl2br w:val="nil"/>
              <w:tr2bl w:val="nil"/>
            </w:tcBorders>
            <w:noWrap w:val="0"/>
            <w:vAlign w:val="center"/>
          </w:tcPr>
          <w:p>
            <w:pPr>
              <w:pStyle w:val="17"/>
              <w:bidi w:val="0"/>
              <w:rPr>
                <w:rFonts w:hint="default"/>
              </w:rPr>
            </w:pPr>
            <w:r>
              <w:rPr>
                <w:rFonts w:hint="default"/>
              </w:rPr>
              <w:t xml:space="preserve">火灾、爆炸引发伴生/次生污染物排放 </w:t>
            </w:r>
            <w:r>
              <w:rPr>
                <w:rFonts w:hint="default"/>
              </w:rPr>
              <w:sym w:font="Wingdings" w:char="00FE"/>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698" w:type="dxa"/>
            <w:vMerge w:val="continue"/>
            <w:tcBorders>
              <w:tl2br w:val="nil"/>
              <w:tr2bl w:val="nil"/>
            </w:tcBorders>
            <w:noWrap w:val="0"/>
            <w:vAlign w:val="center"/>
          </w:tcPr>
          <w:p>
            <w:pPr>
              <w:pStyle w:val="17"/>
              <w:bidi w:val="0"/>
              <w:rPr>
                <w:rFonts w:hint="default"/>
              </w:rPr>
            </w:pPr>
          </w:p>
        </w:tc>
        <w:tc>
          <w:tcPr>
            <w:tcW w:w="907" w:type="dxa"/>
            <w:tcBorders>
              <w:tl2br w:val="nil"/>
              <w:tr2bl w:val="nil"/>
            </w:tcBorders>
            <w:noWrap w:val="0"/>
            <w:vAlign w:val="center"/>
          </w:tcPr>
          <w:p>
            <w:pPr>
              <w:pStyle w:val="17"/>
              <w:bidi w:val="0"/>
              <w:rPr>
                <w:rFonts w:hint="default"/>
              </w:rPr>
            </w:pPr>
            <w:r>
              <w:rPr>
                <w:rFonts w:hint="default"/>
              </w:rPr>
              <w:t>影响途径</w:t>
            </w:r>
          </w:p>
        </w:tc>
        <w:tc>
          <w:tcPr>
            <w:tcW w:w="2833" w:type="dxa"/>
            <w:gridSpan w:val="3"/>
            <w:tcBorders>
              <w:tl2br w:val="nil"/>
              <w:tr2bl w:val="nil"/>
            </w:tcBorders>
            <w:noWrap w:val="0"/>
            <w:vAlign w:val="center"/>
          </w:tcPr>
          <w:p>
            <w:pPr>
              <w:pStyle w:val="17"/>
              <w:bidi w:val="0"/>
              <w:rPr>
                <w:rFonts w:hint="default"/>
              </w:rPr>
            </w:pPr>
            <w:r>
              <w:rPr>
                <w:rFonts w:hint="default"/>
              </w:rPr>
              <w:t xml:space="preserve">大气 </w:t>
            </w:r>
            <w:r>
              <w:rPr>
                <w:rFonts w:hint="default"/>
              </w:rPr>
              <w:sym w:font="Wingdings" w:char="00FE"/>
            </w:r>
          </w:p>
        </w:tc>
        <w:tc>
          <w:tcPr>
            <w:tcW w:w="2158" w:type="dxa"/>
            <w:gridSpan w:val="4"/>
            <w:tcBorders>
              <w:tl2br w:val="nil"/>
              <w:tr2bl w:val="nil"/>
            </w:tcBorders>
            <w:noWrap w:val="0"/>
            <w:vAlign w:val="center"/>
          </w:tcPr>
          <w:p>
            <w:pPr>
              <w:pStyle w:val="17"/>
              <w:bidi w:val="0"/>
              <w:rPr>
                <w:rFonts w:hint="default"/>
              </w:rPr>
            </w:pPr>
            <w:r>
              <w:rPr>
                <w:rFonts w:hint="default"/>
              </w:rPr>
              <w:t xml:space="preserve">地表水 </w:t>
            </w:r>
            <w:r>
              <w:rPr>
                <w:rFonts w:hint="default"/>
              </w:rPr>
              <w:sym w:font="Wingdings" w:char="00FE"/>
            </w:r>
          </w:p>
        </w:tc>
        <w:tc>
          <w:tcPr>
            <w:tcW w:w="2475" w:type="dxa"/>
            <w:gridSpan w:val="3"/>
            <w:tcBorders>
              <w:tl2br w:val="nil"/>
              <w:tr2bl w:val="nil"/>
            </w:tcBorders>
            <w:noWrap w:val="0"/>
            <w:vAlign w:val="center"/>
          </w:tcPr>
          <w:p>
            <w:pPr>
              <w:pStyle w:val="17"/>
              <w:bidi w:val="0"/>
              <w:rPr>
                <w:rFonts w:hint="default"/>
              </w:rPr>
            </w:pPr>
            <w:r>
              <w:rPr>
                <w:rFonts w:hint="default"/>
              </w:rPr>
              <w:t xml:space="preserve">地下水 </w:t>
            </w:r>
            <w:r>
              <w:rPr>
                <w:rFonts w:hint="default"/>
              </w:rPr>
              <w:sym w:font="Wingdings" w:char="00FE"/>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605" w:type="dxa"/>
            <w:gridSpan w:val="2"/>
            <w:tcBorders>
              <w:tl2br w:val="nil"/>
              <w:tr2bl w:val="nil"/>
            </w:tcBorders>
            <w:noWrap w:val="0"/>
            <w:vAlign w:val="center"/>
          </w:tcPr>
          <w:p>
            <w:pPr>
              <w:pStyle w:val="17"/>
              <w:bidi w:val="0"/>
              <w:rPr>
                <w:rFonts w:hint="default"/>
              </w:rPr>
            </w:pPr>
            <w:r>
              <w:rPr>
                <w:rFonts w:hint="default"/>
              </w:rPr>
              <w:t>事故情形分析</w:t>
            </w:r>
          </w:p>
        </w:tc>
        <w:tc>
          <w:tcPr>
            <w:tcW w:w="1286" w:type="dxa"/>
            <w:tcBorders>
              <w:tl2br w:val="nil"/>
              <w:tr2bl w:val="nil"/>
            </w:tcBorders>
            <w:noWrap w:val="0"/>
            <w:vAlign w:val="center"/>
          </w:tcPr>
          <w:p>
            <w:pPr>
              <w:pStyle w:val="17"/>
              <w:bidi w:val="0"/>
              <w:rPr>
                <w:rFonts w:hint="default"/>
              </w:rPr>
            </w:pPr>
            <w:r>
              <w:rPr>
                <w:rFonts w:hint="default"/>
              </w:rPr>
              <w:t>源强设定方法</w:t>
            </w:r>
          </w:p>
        </w:tc>
        <w:tc>
          <w:tcPr>
            <w:tcW w:w="1547" w:type="dxa"/>
            <w:gridSpan w:val="2"/>
            <w:tcBorders>
              <w:tl2br w:val="nil"/>
              <w:tr2bl w:val="nil"/>
            </w:tcBorders>
            <w:noWrap w:val="0"/>
            <w:vAlign w:val="center"/>
          </w:tcPr>
          <w:p>
            <w:pPr>
              <w:pStyle w:val="17"/>
              <w:bidi w:val="0"/>
              <w:rPr>
                <w:rFonts w:hint="default"/>
              </w:rPr>
            </w:pPr>
            <w:r>
              <w:rPr>
                <w:rFonts w:hint="default"/>
              </w:rPr>
              <w:t xml:space="preserve">计算法 </w:t>
            </w:r>
            <w:r>
              <w:rPr>
                <w:rFonts w:hint="default"/>
              </w:rPr>
              <w:sym w:font="Wingdings" w:char="00A8"/>
            </w:r>
          </w:p>
        </w:tc>
        <w:tc>
          <w:tcPr>
            <w:tcW w:w="2158" w:type="dxa"/>
            <w:gridSpan w:val="4"/>
            <w:tcBorders>
              <w:tl2br w:val="nil"/>
              <w:tr2bl w:val="nil"/>
            </w:tcBorders>
            <w:noWrap w:val="0"/>
            <w:vAlign w:val="center"/>
          </w:tcPr>
          <w:p>
            <w:pPr>
              <w:pStyle w:val="17"/>
              <w:bidi w:val="0"/>
              <w:rPr>
                <w:rFonts w:hint="default"/>
              </w:rPr>
            </w:pPr>
            <w:r>
              <w:rPr>
                <w:rFonts w:hint="default"/>
              </w:rPr>
              <w:t xml:space="preserve">经验估算法 </w:t>
            </w:r>
            <w:r>
              <w:rPr>
                <w:rFonts w:hint="default"/>
              </w:rPr>
              <w:sym w:font="Wingdings" w:char="00A8"/>
            </w:r>
          </w:p>
        </w:tc>
        <w:tc>
          <w:tcPr>
            <w:tcW w:w="2475" w:type="dxa"/>
            <w:gridSpan w:val="3"/>
            <w:tcBorders>
              <w:tl2br w:val="nil"/>
              <w:tr2bl w:val="nil"/>
            </w:tcBorders>
            <w:noWrap w:val="0"/>
            <w:vAlign w:val="center"/>
          </w:tcPr>
          <w:p>
            <w:pPr>
              <w:pStyle w:val="17"/>
              <w:bidi w:val="0"/>
              <w:rPr>
                <w:rFonts w:hint="default"/>
              </w:rPr>
            </w:pPr>
            <w:r>
              <w:rPr>
                <w:rFonts w:hint="default"/>
              </w:rPr>
              <w:t xml:space="preserve">其他估算法 </w:t>
            </w:r>
            <w:r>
              <w:rPr>
                <w:rFonts w:hint="default"/>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698" w:type="dxa"/>
            <w:vMerge w:val="restart"/>
            <w:tcBorders>
              <w:tl2br w:val="nil"/>
              <w:tr2bl w:val="nil"/>
            </w:tcBorders>
            <w:noWrap w:val="0"/>
            <w:textDirection w:val="tbRlV"/>
            <w:vAlign w:val="center"/>
          </w:tcPr>
          <w:p>
            <w:pPr>
              <w:pStyle w:val="17"/>
              <w:bidi w:val="0"/>
              <w:rPr>
                <w:rFonts w:hint="default"/>
              </w:rPr>
            </w:pPr>
            <w:r>
              <w:rPr>
                <w:rFonts w:hint="default"/>
              </w:rPr>
              <w:t>风 险 预 测 与 评 价</w:t>
            </w:r>
          </w:p>
        </w:tc>
        <w:tc>
          <w:tcPr>
            <w:tcW w:w="907" w:type="dxa"/>
            <w:vMerge w:val="restart"/>
            <w:tcBorders>
              <w:tl2br w:val="nil"/>
              <w:tr2bl w:val="nil"/>
            </w:tcBorders>
            <w:noWrap w:val="0"/>
            <w:vAlign w:val="center"/>
          </w:tcPr>
          <w:p>
            <w:pPr>
              <w:pStyle w:val="17"/>
              <w:bidi w:val="0"/>
              <w:rPr>
                <w:rFonts w:hint="default"/>
              </w:rPr>
            </w:pPr>
            <w:r>
              <w:rPr>
                <w:rFonts w:hint="default"/>
              </w:rPr>
              <w:t>大气</w:t>
            </w:r>
          </w:p>
        </w:tc>
        <w:tc>
          <w:tcPr>
            <w:tcW w:w="1286" w:type="dxa"/>
            <w:tcBorders>
              <w:tl2br w:val="nil"/>
              <w:tr2bl w:val="nil"/>
            </w:tcBorders>
            <w:noWrap w:val="0"/>
            <w:vAlign w:val="center"/>
          </w:tcPr>
          <w:p>
            <w:pPr>
              <w:pStyle w:val="17"/>
              <w:bidi w:val="0"/>
              <w:rPr>
                <w:rFonts w:hint="default"/>
              </w:rPr>
            </w:pPr>
            <w:r>
              <w:rPr>
                <w:rFonts w:hint="default"/>
              </w:rPr>
              <w:t>预测模型</w:t>
            </w:r>
          </w:p>
        </w:tc>
        <w:tc>
          <w:tcPr>
            <w:tcW w:w="1547" w:type="dxa"/>
            <w:gridSpan w:val="2"/>
            <w:tcBorders>
              <w:tl2br w:val="nil"/>
              <w:tr2bl w:val="nil"/>
            </w:tcBorders>
            <w:noWrap w:val="0"/>
            <w:vAlign w:val="center"/>
          </w:tcPr>
          <w:p>
            <w:pPr>
              <w:pStyle w:val="17"/>
              <w:bidi w:val="0"/>
              <w:rPr>
                <w:rFonts w:hint="default"/>
              </w:rPr>
            </w:pPr>
            <w:r>
              <w:rPr>
                <w:rFonts w:hint="default"/>
              </w:rPr>
              <w:t xml:space="preserve">SLAB </w:t>
            </w:r>
            <w:r>
              <w:rPr>
                <w:rFonts w:hint="default"/>
              </w:rPr>
              <w:sym w:font="Wingdings" w:char="00A8"/>
            </w:r>
          </w:p>
        </w:tc>
        <w:tc>
          <w:tcPr>
            <w:tcW w:w="2158" w:type="dxa"/>
            <w:gridSpan w:val="4"/>
            <w:tcBorders>
              <w:tl2br w:val="nil"/>
              <w:tr2bl w:val="nil"/>
            </w:tcBorders>
            <w:noWrap w:val="0"/>
            <w:vAlign w:val="center"/>
          </w:tcPr>
          <w:p>
            <w:pPr>
              <w:pStyle w:val="17"/>
              <w:bidi w:val="0"/>
              <w:rPr>
                <w:rFonts w:hint="default"/>
              </w:rPr>
            </w:pPr>
            <w:r>
              <w:rPr>
                <w:rFonts w:hint="default"/>
              </w:rPr>
              <w:t xml:space="preserve">AFTOX </w:t>
            </w:r>
            <w:r>
              <w:rPr>
                <w:rFonts w:hint="default"/>
              </w:rPr>
              <w:sym w:font="Wingdings" w:char="00A8"/>
            </w:r>
          </w:p>
        </w:tc>
        <w:tc>
          <w:tcPr>
            <w:tcW w:w="2475" w:type="dxa"/>
            <w:gridSpan w:val="3"/>
            <w:tcBorders>
              <w:tl2br w:val="nil"/>
              <w:tr2bl w:val="nil"/>
            </w:tcBorders>
            <w:noWrap w:val="0"/>
            <w:vAlign w:val="center"/>
          </w:tcPr>
          <w:p>
            <w:pPr>
              <w:pStyle w:val="17"/>
              <w:bidi w:val="0"/>
              <w:rPr>
                <w:rFonts w:hint="default"/>
              </w:rPr>
            </w:pPr>
            <w:r>
              <w:rPr>
                <w:rFonts w:hint="default"/>
              </w:rPr>
              <w:t xml:space="preserve">其他 </w:t>
            </w:r>
            <w:r>
              <w:rPr>
                <w:rFonts w:hint="default"/>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698" w:type="dxa"/>
            <w:vMerge w:val="continue"/>
            <w:tcBorders>
              <w:tl2br w:val="nil"/>
              <w:tr2bl w:val="nil"/>
            </w:tcBorders>
            <w:noWrap w:val="0"/>
            <w:vAlign w:val="center"/>
          </w:tcPr>
          <w:p>
            <w:pPr>
              <w:pStyle w:val="17"/>
              <w:bidi w:val="0"/>
              <w:rPr>
                <w:rFonts w:hint="default"/>
              </w:rPr>
            </w:pPr>
          </w:p>
        </w:tc>
        <w:tc>
          <w:tcPr>
            <w:tcW w:w="907" w:type="dxa"/>
            <w:vMerge w:val="continue"/>
            <w:tcBorders>
              <w:tl2br w:val="nil"/>
              <w:tr2bl w:val="nil"/>
            </w:tcBorders>
            <w:noWrap w:val="0"/>
            <w:vAlign w:val="center"/>
          </w:tcPr>
          <w:p>
            <w:pPr>
              <w:pStyle w:val="17"/>
              <w:bidi w:val="0"/>
              <w:rPr>
                <w:rFonts w:hint="default"/>
              </w:rPr>
            </w:pPr>
          </w:p>
        </w:tc>
        <w:tc>
          <w:tcPr>
            <w:tcW w:w="1286" w:type="dxa"/>
            <w:vMerge w:val="restart"/>
            <w:tcBorders>
              <w:tl2br w:val="nil"/>
              <w:tr2bl w:val="nil"/>
            </w:tcBorders>
            <w:noWrap w:val="0"/>
            <w:vAlign w:val="center"/>
          </w:tcPr>
          <w:p>
            <w:pPr>
              <w:pStyle w:val="17"/>
              <w:bidi w:val="0"/>
              <w:rPr>
                <w:rFonts w:hint="default"/>
              </w:rPr>
            </w:pPr>
            <w:r>
              <w:rPr>
                <w:rFonts w:hint="default"/>
              </w:rPr>
              <w:t>预测结果</w:t>
            </w:r>
          </w:p>
        </w:tc>
        <w:tc>
          <w:tcPr>
            <w:tcW w:w="6180" w:type="dxa"/>
            <w:gridSpan w:val="9"/>
            <w:tcBorders>
              <w:tl2br w:val="nil"/>
              <w:tr2bl w:val="nil"/>
            </w:tcBorders>
            <w:noWrap w:val="0"/>
            <w:vAlign w:val="center"/>
          </w:tcPr>
          <w:p>
            <w:pPr>
              <w:pStyle w:val="17"/>
              <w:bidi w:val="0"/>
              <w:rPr>
                <w:rFonts w:hint="default"/>
              </w:rPr>
            </w:pPr>
            <w:r>
              <w:rPr>
                <w:rFonts w:hint="default"/>
              </w:rPr>
              <w:t>大气毒性终点浓度-1 最大影响范围     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698" w:type="dxa"/>
            <w:vMerge w:val="continue"/>
            <w:tcBorders>
              <w:tl2br w:val="nil"/>
              <w:tr2bl w:val="nil"/>
            </w:tcBorders>
            <w:noWrap w:val="0"/>
            <w:vAlign w:val="center"/>
          </w:tcPr>
          <w:p>
            <w:pPr>
              <w:pStyle w:val="17"/>
              <w:bidi w:val="0"/>
              <w:rPr>
                <w:rFonts w:hint="default"/>
              </w:rPr>
            </w:pPr>
          </w:p>
        </w:tc>
        <w:tc>
          <w:tcPr>
            <w:tcW w:w="907" w:type="dxa"/>
            <w:vMerge w:val="continue"/>
            <w:tcBorders>
              <w:tl2br w:val="nil"/>
              <w:tr2bl w:val="nil"/>
            </w:tcBorders>
            <w:noWrap w:val="0"/>
            <w:vAlign w:val="center"/>
          </w:tcPr>
          <w:p>
            <w:pPr>
              <w:pStyle w:val="17"/>
              <w:bidi w:val="0"/>
              <w:rPr>
                <w:rFonts w:hint="default"/>
              </w:rPr>
            </w:pPr>
          </w:p>
        </w:tc>
        <w:tc>
          <w:tcPr>
            <w:tcW w:w="1286" w:type="dxa"/>
            <w:vMerge w:val="continue"/>
            <w:tcBorders>
              <w:tl2br w:val="nil"/>
              <w:tr2bl w:val="nil"/>
            </w:tcBorders>
            <w:noWrap w:val="0"/>
            <w:vAlign w:val="center"/>
          </w:tcPr>
          <w:p>
            <w:pPr>
              <w:pStyle w:val="17"/>
              <w:bidi w:val="0"/>
              <w:rPr>
                <w:rFonts w:hint="default"/>
              </w:rPr>
            </w:pPr>
          </w:p>
        </w:tc>
        <w:tc>
          <w:tcPr>
            <w:tcW w:w="6180" w:type="dxa"/>
            <w:gridSpan w:val="9"/>
            <w:tcBorders>
              <w:tl2br w:val="nil"/>
              <w:tr2bl w:val="nil"/>
            </w:tcBorders>
            <w:noWrap w:val="0"/>
            <w:vAlign w:val="center"/>
          </w:tcPr>
          <w:p>
            <w:pPr>
              <w:pStyle w:val="17"/>
              <w:bidi w:val="0"/>
              <w:rPr>
                <w:rFonts w:hint="default"/>
              </w:rPr>
            </w:pPr>
            <w:r>
              <w:rPr>
                <w:rFonts w:hint="default"/>
              </w:rPr>
              <w:t>大气毒性终点浓度-2 最大影响范围     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698" w:type="dxa"/>
            <w:vMerge w:val="continue"/>
            <w:tcBorders>
              <w:tl2br w:val="nil"/>
              <w:tr2bl w:val="nil"/>
            </w:tcBorders>
            <w:noWrap w:val="0"/>
            <w:vAlign w:val="center"/>
          </w:tcPr>
          <w:p>
            <w:pPr>
              <w:pStyle w:val="17"/>
              <w:bidi w:val="0"/>
              <w:rPr>
                <w:rFonts w:hint="default"/>
              </w:rPr>
            </w:pPr>
          </w:p>
        </w:tc>
        <w:tc>
          <w:tcPr>
            <w:tcW w:w="907" w:type="dxa"/>
            <w:tcBorders>
              <w:tl2br w:val="nil"/>
              <w:tr2bl w:val="nil"/>
            </w:tcBorders>
            <w:noWrap w:val="0"/>
            <w:vAlign w:val="center"/>
          </w:tcPr>
          <w:p>
            <w:pPr>
              <w:pStyle w:val="17"/>
              <w:bidi w:val="0"/>
              <w:rPr>
                <w:rFonts w:hint="default"/>
              </w:rPr>
            </w:pPr>
            <w:r>
              <w:rPr>
                <w:rFonts w:hint="default"/>
              </w:rPr>
              <w:t>地表水</w:t>
            </w:r>
          </w:p>
        </w:tc>
        <w:tc>
          <w:tcPr>
            <w:tcW w:w="7466" w:type="dxa"/>
            <w:gridSpan w:val="10"/>
            <w:tcBorders>
              <w:tl2br w:val="nil"/>
              <w:tr2bl w:val="nil"/>
            </w:tcBorders>
            <w:noWrap w:val="0"/>
            <w:vAlign w:val="center"/>
          </w:tcPr>
          <w:p>
            <w:pPr>
              <w:pStyle w:val="17"/>
              <w:bidi w:val="0"/>
              <w:rPr>
                <w:rFonts w:hint="default"/>
              </w:rPr>
            </w:pPr>
            <w:r>
              <w:rPr>
                <w:rFonts w:hint="default"/>
              </w:rPr>
              <w:t>最近环境敏感目标        ，到达时间     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698" w:type="dxa"/>
            <w:vMerge w:val="continue"/>
            <w:tcBorders>
              <w:tl2br w:val="nil"/>
              <w:tr2bl w:val="nil"/>
            </w:tcBorders>
            <w:noWrap w:val="0"/>
            <w:vAlign w:val="center"/>
          </w:tcPr>
          <w:p>
            <w:pPr>
              <w:pStyle w:val="17"/>
              <w:bidi w:val="0"/>
              <w:rPr>
                <w:rFonts w:hint="default"/>
              </w:rPr>
            </w:pPr>
          </w:p>
        </w:tc>
        <w:tc>
          <w:tcPr>
            <w:tcW w:w="907" w:type="dxa"/>
            <w:vMerge w:val="restart"/>
            <w:tcBorders>
              <w:tl2br w:val="nil"/>
              <w:tr2bl w:val="nil"/>
            </w:tcBorders>
            <w:noWrap w:val="0"/>
            <w:vAlign w:val="center"/>
          </w:tcPr>
          <w:p>
            <w:pPr>
              <w:pStyle w:val="17"/>
              <w:bidi w:val="0"/>
              <w:rPr>
                <w:rFonts w:hint="default"/>
              </w:rPr>
            </w:pPr>
            <w:r>
              <w:rPr>
                <w:rFonts w:hint="default"/>
              </w:rPr>
              <w:t>地下水</w:t>
            </w:r>
          </w:p>
        </w:tc>
        <w:tc>
          <w:tcPr>
            <w:tcW w:w="7466" w:type="dxa"/>
            <w:gridSpan w:val="10"/>
            <w:tcBorders>
              <w:tl2br w:val="nil"/>
              <w:tr2bl w:val="nil"/>
            </w:tcBorders>
            <w:noWrap w:val="0"/>
            <w:vAlign w:val="center"/>
          </w:tcPr>
          <w:p>
            <w:pPr>
              <w:pStyle w:val="17"/>
              <w:bidi w:val="0"/>
              <w:rPr>
                <w:rFonts w:hint="default"/>
              </w:rPr>
            </w:pPr>
            <w:r>
              <w:rPr>
                <w:rFonts w:hint="default"/>
              </w:rPr>
              <w:t>下游厂区边界到达时间     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jc w:val="center"/>
        </w:trPr>
        <w:tc>
          <w:tcPr>
            <w:tcW w:w="698" w:type="dxa"/>
            <w:vMerge w:val="continue"/>
            <w:tcBorders>
              <w:tl2br w:val="nil"/>
              <w:tr2bl w:val="nil"/>
            </w:tcBorders>
            <w:noWrap w:val="0"/>
            <w:vAlign w:val="center"/>
          </w:tcPr>
          <w:p>
            <w:pPr>
              <w:pStyle w:val="17"/>
              <w:bidi w:val="0"/>
              <w:rPr>
                <w:rFonts w:hint="default"/>
              </w:rPr>
            </w:pPr>
          </w:p>
        </w:tc>
        <w:tc>
          <w:tcPr>
            <w:tcW w:w="907" w:type="dxa"/>
            <w:vMerge w:val="continue"/>
            <w:tcBorders>
              <w:tl2br w:val="nil"/>
              <w:tr2bl w:val="nil"/>
            </w:tcBorders>
            <w:noWrap w:val="0"/>
            <w:vAlign w:val="center"/>
          </w:tcPr>
          <w:p>
            <w:pPr>
              <w:pStyle w:val="17"/>
              <w:bidi w:val="0"/>
              <w:rPr>
                <w:rFonts w:hint="default"/>
              </w:rPr>
            </w:pPr>
          </w:p>
        </w:tc>
        <w:tc>
          <w:tcPr>
            <w:tcW w:w="7466" w:type="dxa"/>
            <w:gridSpan w:val="10"/>
            <w:tcBorders>
              <w:tl2br w:val="nil"/>
              <w:tr2bl w:val="nil"/>
            </w:tcBorders>
            <w:noWrap w:val="0"/>
            <w:vAlign w:val="center"/>
          </w:tcPr>
          <w:p>
            <w:pPr>
              <w:pStyle w:val="17"/>
              <w:bidi w:val="0"/>
              <w:rPr>
                <w:rFonts w:hint="default"/>
              </w:rPr>
            </w:pPr>
            <w:r>
              <w:rPr>
                <w:rFonts w:hint="default"/>
              </w:rPr>
              <w:t>最近环境敏感目标        ，到达时间     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605" w:type="dxa"/>
            <w:gridSpan w:val="2"/>
            <w:tcBorders>
              <w:tl2br w:val="nil"/>
              <w:tr2bl w:val="nil"/>
            </w:tcBorders>
            <w:noWrap w:val="0"/>
            <w:vAlign w:val="center"/>
          </w:tcPr>
          <w:p>
            <w:pPr>
              <w:pStyle w:val="17"/>
              <w:bidi w:val="0"/>
              <w:rPr>
                <w:rFonts w:hint="default"/>
              </w:rPr>
            </w:pPr>
            <w:r>
              <w:rPr>
                <w:rFonts w:hint="default"/>
              </w:rPr>
              <w:t>重点风险防范措施</w:t>
            </w:r>
          </w:p>
        </w:tc>
        <w:tc>
          <w:tcPr>
            <w:tcW w:w="7466" w:type="dxa"/>
            <w:gridSpan w:val="10"/>
            <w:tcBorders>
              <w:tl2br w:val="nil"/>
              <w:tr2bl w:val="nil"/>
            </w:tcBorders>
            <w:noWrap w:val="0"/>
            <w:vAlign w:val="center"/>
          </w:tcPr>
          <w:p>
            <w:pPr>
              <w:pStyle w:val="17"/>
              <w:bidi w:val="0"/>
              <w:rPr>
                <w:rFonts w:hint="default"/>
              </w:rPr>
            </w:pPr>
            <w:r>
              <w:rPr>
                <w:rFonts w:hint="default"/>
              </w:rPr>
              <w:t>（1）该项目客观上存在着一定的不安全因素，对周围环境存在着潜在的威胁。发生环境安全事故后，对周围环境有严重的损害，所以在贯彻</w:t>
            </w:r>
            <w:r>
              <w:rPr>
                <w:rFonts w:hint="eastAsia"/>
                <w:lang w:eastAsia="zh-CN"/>
              </w:rPr>
              <w:t>“</w:t>
            </w:r>
            <w:r>
              <w:rPr>
                <w:rFonts w:hint="default"/>
              </w:rPr>
              <w:t>安全第一，预防为主</w:t>
            </w:r>
            <w:r>
              <w:rPr>
                <w:rFonts w:hint="eastAsia"/>
                <w:lang w:eastAsia="zh-CN"/>
              </w:rPr>
              <w:t>”</w:t>
            </w:r>
            <w:r>
              <w:rPr>
                <w:rFonts w:hint="default"/>
              </w:rPr>
              <w:t>的方针同时，应树立环境风险意识，强化环境风险责任，体现出环境保护的内容。</w:t>
            </w:r>
          </w:p>
          <w:p>
            <w:pPr>
              <w:pStyle w:val="17"/>
              <w:bidi w:val="0"/>
              <w:rPr>
                <w:rFonts w:hint="default"/>
              </w:rPr>
            </w:pPr>
            <w:r>
              <w:rPr>
                <w:rFonts w:hint="default"/>
              </w:rPr>
              <w:t>（2）建立严格的环境管理制度及操作规程，严格培训操作人员，严格遵守各项规章制度。</w:t>
            </w:r>
          </w:p>
          <w:p>
            <w:pPr>
              <w:pStyle w:val="17"/>
              <w:bidi w:val="0"/>
              <w:rPr>
                <w:rFonts w:hint="default"/>
              </w:rPr>
            </w:pPr>
            <w:r>
              <w:rPr>
                <w:rFonts w:hint="default"/>
              </w:rPr>
              <w:t>（3）确保各项环保治理措施切实可行，并保证治理设施正常运行，且做到达标排放。</w:t>
            </w:r>
          </w:p>
          <w:p>
            <w:pPr>
              <w:pStyle w:val="17"/>
              <w:bidi w:val="0"/>
              <w:rPr>
                <w:rFonts w:hint="default"/>
              </w:rPr>
            </w:pPr>
            <w:r>
              <w:rPr>
                <w:rFonts w:hint="default"/>
              </w:rPr>
              <w:t>（4）定期检查和维修环保治理设施，及时发现问题及时解决，使事故发生率降至最低。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605" w:type="dxa"/>
            <w:gridSpan w:val="2"/>
            <w:tcBorders>
              <w:tl2br w:val="nil"/>
              <w:tr2bl w:val="nil"/>
            </w:tcBorders>
            <w:noWrap w:val="0"/>
            <w:vAlign w:val="center"/>
          </w:tcPr>
          <w:p>
            <w:pPr>
              <w:pStyle w:val="17"/>
              <w:bidi w:val="0"/>
              <w:rPr>
                <w:rFonts w:hint="default"/>
              </w:rPr>
            </w:pPr>
            <w:r>
              <w:rPr>
                <w:rFonts w:hint="default"/>
              </w:rPr>
              <w:t>评价结论与建议</w:t>
            </w:r>
          </w:p>
        </w:tc>
        <w:tc>
          <w:tcPr>
            <w:tcW w:w="7466" w:type="dxa"/>
            <w:gridSpan w:val="10"/>
            <w:tcBorders>
              <w:tl2br w:val="nil"/>
              <w:tr2bl w:val="nil"/>
            </w:tcBorders>
            <w:noWrap w:val="0"/>
            <w:vAlign w:val="center"/>
          </w:tcPr>
          <w:p>
            <w:pPr>
              <w:pStyle w:val="17"/>
              <w:bidi w:val="0"/>
              <w:rPr>
                <w:rFonts w:hint="default"/>
                <w:lang w:eastAsia="zh-CN"/>
              </w:rPr>
            </w:pPr>
            <w:r>
              <w:rPr>
                <w:rFonts w:hint="default"/>
              </w:rPr>
              <w:t>项目运营过程中主要的环境风险为火灾，风险评价工作等级确定为</w:t>
            </w:r>
            <w:r>
              <w:rPr>
                <w:rFonts w:hint="default"/>
                <w:lang w:val="en-US" w:eastAsia="zh-CN"/>
              </w:rPr>
              <w:t>简单分析</w:t>
            </w:r>
            <w:r>
              <w:rPr>
                <w:rFonts w:hint="default"/>
              </w:rPr>
              <w:t>。建设单位在建设过程中应落实本项目提出的风险防范措施，并根据今后实际生产情况结合本报告中提出的事故应急预案，制定更详实的应急预案，确保防范措施的运行。在落实风险防范措施、做好应急预案的前提下，本项目的风险处于可接受水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9071" w:type="dxa"/>
            <w:gridSpan w:val="12"/>
            <w:tcBorders>
              <w:tl2br w:val="nil"/>
              <w:tr2bl w:val="nil"/>
            </w:tcBorders>
            <w:noWrap w:val="0"/>
            <w:vAlign w:val="center"/>
          </w:tcPr>
          <w:p>
            <w:pPr>
              <w:pStyle w:val="17"/>
              <w:bidi w:val="0"/>
              <w:rPr>
                <w:rFonts w:hint="default"/>
              </w:rPr>
            </w:pPr>
            <w:r>
              <w:rPr>
                <w:rFonts w:hint="default"/>
              </w:rPr>
              <w:t>注：</w:t>
            </w:r>
            <w:r>
              <w:rPr>
                <w:rFonts w:hint="eastAsia"/>
                <w:lang w:eastAsia="zh-CN"/>
              </w:rPr>
              <w:t>“</w:t>
            </w:r>
            <w:r>
              <w:rPr>
                <w:rFonts w:hint="default"/>
              </w:rPr>
              <w:sym w:font="Wingdings" w:char="00A8"/>
            </w:r>
            <w:r>
              <w:rPr>
                <w:rFonts w:hint="eastAsia"/>
                <w:lang w:eastAsia="zh-CN"/>
              </w:rPr>
              <w:t>”</w:t>
            </w:r>
            <w:r>
              <w:rPr>
                <w:rFonts w:hint="default"/>
              </w:rPr>
              <w:t>为勾选项，</w:t>
            </w:r>
            <w:r>
              <w:rPr>
                <w:rFonts w:hint="eastAsia"/>
                <w:lang w:eastAsia="zh-CN"/>
              </w:rPr>
              <w:t>“</w:t>
            </w:r>
            <w:r>
              <w:rPr>
                <w:rFonts w:hint="default"/>
              </w:rPr>
              <w:t xml:space="preserve">   </w:t>
            </w:r>
            <w:r>
              <w:rPr>
                <w:rFonts w:hint="eastAsia"/>
                <w:lang w:eastAsia="zh-CN"/>
              </w:rPr>
              <w:t>”</w:t>
            </w:r>
            <w:r>
              <w:rPr>
                <w:rFonts w:hint="default"/>
              </w:rPr>
              <w:t>为填写项</w:t>
            </w:r>
          </w:p>
        </w:tc>
      </w:tr>
    </w:tbl>
    <w:p>
      <w:pPr>
        <w:rPr>
          <w:rFonts w:hint="default"/>
          <w:lang w:val="en-US" w:eastAsia="zh-CN"/>
        </w:rPr>
      </w:pPr>
      <w:r>
        <w:rPr>
          <w:rFonts w:hint="default"/>
          <w:lang w:val="en-US" w:eastAsia="zh-CN"/>
        </w:rPr>
        <w:br w:type="page"/>
      </w:r>
    </w:p>
    <w:p>
      <w:pPr>
        <w:pStyle w:val="3"/>
        <w:bidi w:val="0"/>
        <w:rPr>
          <w:rFonts w:hint="default"/>
        </w:rPr>
      </w:pPr>
      <w:bookmarkStart w:id="293" w:name="_Toc9550"/>
      <w:r>
        <w:rPr>
          <w:rFonts w:hint="default"/>
        </w:rPr>
        <w:t>7环保措施可行性</w:t>
      </w:r>
      <w:bookmarkEnd w:id="283"/>
      <w:r>
        <w:rPr>
          <w:rFonts w:hint="default"/>
        </w:rPr>
        <w:t>论证</w:t>
      </w:r>
      <w:bookmarkEnd w:id="293"/>
    </w:p>
    <w:p>
      <w:pPr>
        <w:pStyle w:val="4"/>
        <w:bidi w:val="0"/>
        <w:rPr>
          <w:rFonts w:hint="default"/>
        </w:rPr>
      </w:pPr>
      <w:bookmarkStart w:id="294" w:name="_Toc3881"/>
      <w:bookmarkStart w:id="295" w:name="_Toc19716"/>
      <w:bookmarkStart w:id="296" w:name="_Toc18075"/>
      <w:bookmarkStart w:id="297" w:name="_Toc507233630"/>
      <w:r>
        <w:rPr>
          <w:rFonts w:hint="default"/>
        </w:rPr>
        <w:t>7.1</w:t>
      </w:r>
      <w:r>
        <w:rPr>
          <w:rFonts w:hint="eastAsia"/>
          <w:lang w:eastAsia="zh-CN"/>
        </w:rPr>
        <w:t>、</w:t>
      </w:r>
      <w:r>
        <w:rPr>
          <w:rFonts w:hint="default"/>
        </w:rPr>
        <w:t>施工期污染防治措施</w:t>
      </w:r>
      <w:bookmarkEnd w:id="294"/>
      <w:bookmarkEnd w:id="295"/>
      <w:bookmarkEnd w:id="296"/>
      <w:bookmarkEnd w:id="297"/>
    </w:p>
    <w:p>
      <w:pPr>
        <w:pStyle w:val="5"/>
        <w:bidi w:val="0"/>
        <w:rPr>
          <w:rFonts w:hint="default"/>
        </w:rPr>
      </w:pPr>
      <w:r>
        <w:rPr>
          <w:rFonts w:hint="default"/>
        </w:rPr>
        <w:t>7.1.1</w:t>
      </w:r>
      <w:r>
        <w:rPr>
          <w:rFonts w:hint="eastAsia"/>
          <w:lang w:eastAsia="zh-CN"/>
        </w:rPr>
        <w:t>、</w:t>
      </w:r>
      <w:r>
        <w:rPr>
          <w:rFonts w:hint="default"/>
        </w:rPr>
        <w:t>施工期大气污染防治措施</w:t>
      </w:r>
    </w:p>
    <w:p>
      <w:pPr>
        <w:bidi w:val="0"/>
        <w:rPr>
          <w:rFonts w:hint="default"/>
        </w:rPr>
      </w:pPr>
      <w:r>
        <w:rPr>
          <w:rFonts w:hint="default"/>
        </w:rPr>
        <w:t>本项目施工期大气环保对策措施依据《建筑施工现场环境与卫生标准》（JGJ146-2004）和《防治城市扬尘污染技术规范》（HJ/T393-2007）中相关规定，对本项目施工期扬尘防治提出以下要求：</w:t>
      </w:r>
    </w:p>
    <w:p>
      <w:pPr>
        <w:bidi w:val="0"/>
        <w:rPr>
          <w:rFonts w:hint="default"/>
        </w:rPr>
      </w:pPr>
      <w:r>
        <w:rPr>
          <w:rFonts w:hint="default"/>
        </w:rPr>
        <w:t>（1） 建设单位应指定专人负责施工现场扬尘污染措施的实施和监督。施工工地出入口须设立环境保护监督牌，注明项目名称、建设单位、施工单位、防治扬尘污染现场监督员姓名和联系电话、项目工期、环保措施、举报电话等内容；</w:t>
      </w:r>
    </w:p>
    <w:p>
      <w:pPr>
        <w:bidi w:val="0"/>
        <w:rPr>
          <w:rFonts w:hint="default"/>
        </w:rPr>
      </w:pPr>
      <w:r>
        <w:rPr>
          <w:rFonts w:hint="default"/>
        </w:rPr>
        <w:t>（2） 施工工地周边围挡。施工工地周边须设置不低于2m的硬质围墙或围挡，严禁敞开式作业；</w:t>
      </w:r>
    </w:p>
    <w:p>
      <w:pPr>
        <w:bidi w:val="0"/>
        <w:rPr>
          <w:rFonts w:hint="default"/>
        </w:rPr>
      </w:pPr>
      <w:r>
        <w:rPr>
          <w:rFonts w:hint="default"/>
        </w:rPr>
        <w:t>（3）物料堆放百分百覆盖。施工工地内堆放易产生扬尘污染物料的，必须密闭存放或覆盖。工程主体施工阶段必须使用密目式安全网进行封闭；</w:t>
      </w:r>
    </w:p>
    <w:p>
      <w:pPr>
        <w:bidi w:val="0"/>
        <w:rPr>
          <w:rFonts w:hint="default"/>
        </w:rPr>
      </w:pPr>
      <w:r>
        <w:rPr>
          <w:rFonts w:hint="default"/>
        </w:rPr>
        <w:t>（4）出入车辆百分之百冲洗。施工工地现场出入口应设置车辆冲洗台以及配套的排水、泥浆沉淀设施，冲洗设施到位，车辆在驶出工地前，应将车轮、车身冲洗干净，不得带泥上路；</w:t>
      </w:r>
    </w:p>
    <w:p>
      <w:pPr>
        <w:bidi w:val="0"/>
        <w:rPr>
          <w:rFonts w:hint="default"/>
        </w:rPr>
      </w:pPr>
      <w:r>
        <w:rPr>
          <w:rFonts w:hint="default"/>
        </w:rPr>
        <w:t>（5） 施工现场地面百分之百硬化。施工现场的主要道路应铺设混凝土或沥青路面，场地内的其它地面应进行绿化或硬化处理。土方开挖阶段，应对施工现场的车行道路进行简易硬化，并辅以洒水等降尘措施；</w:t>
      </w:r>
    </w:p>
    <w:p>
      <w:pPr>
        <w:bidi w:val="0"/>
        <w:rPr>
          <w:rFonts w:hint="default"/>
        </w:rPr>
      </w:pPr>
      <w:r>
        <w:rPr>
          <w:rFonts w:hint="default"/>
        </w:rPr>
        <w:t>（6） 施工期间，工地内从建筑上层将具有粉尘逸散性的物料、渣土或废弃物输送至地面时，应采取密闭方式输送，不得凌空抛撒，尽量设计运输路线以避开居民点；</w:t>
      </w:r>
    </w:p>
    <w:p>
      <w:pPr>
        <w:bidi w:val="0"/>
        <w:rPr>
          <w:rFonts w:hint="default"/>
        </w:rPr>
      </w:pPr>
      <w:r>
        <w:rPr>
          <w:rFonts w:hint="default"/>
        </w:rPr>
        <w:t>（7） 出现五级以上大风天气时，禁止进行土方等易产生扬尘污染的施工作业；</w:t>
      </w:r>
    </w:p>
    <w:p>
      <w:pPr>
        <w:bidi w:val="0"/>
        <w:rPr>
          <w:rFonts w:hint="default"/>
        </w:rPr>
      </w:pPr>
      <w:r>
        <w:rPr>
          <w:rFonts w:hint="default"/>
        </w:rPr>
        <w:t>（8）施工场地应保持整洁，应采用吸尘或水冲洗的方法清洁施工工地道路积尘，不得在未实施洒水等抑尘措施情况下进行直接清扫；</w:t>
      </w:r>
    </w:p>
    <w:p>
      <w:pPr>
        <w:bidi w:val="0"/>
        <w:rPr>
          <w:rFonts w:hint="default"/>
        </w:rPr>
      </w:pPr>
      <w:r>
        <w:rPr>
          <w:rFonts w:hint="default"/>
        </w:rPr>
        <w:t>（9） 建筑垃圾运输车辆必须严密覆盖，严禁撒漏，同时应限制车辆行驶速度；</w:t>
      </w:r>
    </w:p>
    <w:p>
      <w:pPr>
        <w:bidi w:val="0"/>
        <w:rPr>
          <w:rFonts w:hint="default"/>
        </w:rPr>
      </w:pPr>
      <w:r>
        <w:rPr>
          <w:rFonts w:hint="default"/>
        </w:rPr>
        <w:t>（10）工程竣工后30日内，施工单位必须平整施工工地，并清除积土、堆物；</w:t>
      </w:r>
    </w:p>
    <w:p>
      <w:pPr>
        <w:bidi w:val="0"/>
        <w:rPr>
          <w:rFonts w:hint="default"/>
        </w:rPr>
      </w:pPr>
      <w:r>
        <w:rPr>
          <w:rFonts w:hint="default"/>
        </w:rPr>
        <w:t>（11）施工结束后及时进行绿化。</w:t>
      </w:r>
    </w:p>
    <w:p>
      <w:pPr>
        <w:pStyle w:val="5"/>
        <w:bidi w:val="0"/>
        <w:rPr>
          <w:rFonts w:hint="default"/>
        </w:rPr>
      </w:pPr>
      <w:bookmarkStart w:id="298" w:name="_Toc410121377"/>
      <w:r>
        <w:rPr>
          <w:rFonts w:hint="default"/>
        </w:rPr>
        <w:t>7.1.2</w:t>
      </w:r>
      <w:r>
        <w:rPr>
          <w:rFonts w:hint="eastAsia"/>
          <w:lang w:eastAsia="zh-CN"/>
        </w:rPr>
        <w:t>、</w:t>
      </w:r>
      <w:r>
        <w:rPr>
          <w:rFonts w:hint="default"/>
        </w:rPr>
        <w:t>施工废水防治措施</w:t>
      </w:r>
      <w:bookmarkEnd w:id="298"/>
    </w:p>
    <w:p>
      <w:pPr>
        <w:bidi w:val="0"/>
        <w:rPr>
          <w:rFonts w:hint="default"/>
        </w:rPr>
      </w:pPr>
      <w:r>
        <w:rPr>
          <w:rFonts w:hint="default"/>
        </w:rPr>
        <w:t>本项目施工期产生的废水包括施工废水和生活污水。施工废水中的污染物以SS为主，机械和设备清洗废水中还含有少量油污，经隔油、沉淀处理后用作施工现场降尘用水，不外排；生活污水</w:t>
      </w:r>
      <w:r>
        <w:rPr>
          <w:rFonts w:hint="eastAsia"/>
          <w:lang w:val="en-US" w:eastAsia="zh-CN"/>
        </w:rPr>
        <w:t>抽运至吉木萨尔县二工镇污水处理厂</w:t>
      </w:r>
      <w:r>
        <w:rPr>
          <w:rFonts w:hint="default"/>
        </w:rPr>
        <w:t>。为了防止建筑施工对周围地下水体产生污染，建设单位应与施工单位密切配合，采取以下措施：</w:t>
      </w:r>
    </w:p>
    <w:p>
      <w:pPr>
        <w:bidi w:val="0"/>
        <w:rPr>
          <w:rFonts w:hint="default"/>
        </w:rPr>
      </w:pPr>
      <w:r>
        <w:rPr>
          <w:rFonts w:hint="default"/>
        </w:rPr>
        <w:t>（1）定期清洁建筑施工机械表面不必要的润滑油及其它油废，对废油应妥善处置；</w:t>
      </w:r>
    </w:p>
    <w:p>
      <w:pPr>
        <w:bidi w:val="0"/>
        <w:rPr>
          <w:rFonts w:hint="default"/>
        </w:rPr>
      </w:pPr>
      <w:r>
        <w:rPr>
          <w:rFonts w:hint="default"/>
        </w:rPr>
        <w:t>（2）加强施工机械设备的维修保养，避免施工过程中燃料油出现跑、冒、滴、漏；</w:t>
      </w:r>
    </w:p>
    <w:p>
      <w:pPr>
        <w:bidi w:val="0"/>
        <w:rPr>
          <w:rFonts w:hint="default"/>
        </w:rPr>
      </w:pPr>
      <w:r>
        <w:rPr>
          <w:rFonts w:hint="default"/>
        </w:rPr>
        <w:t>（3）不得随意在施工区域内冲洗汽车，对施工机械进行检修和清洗时必须定点，清洗废水经隔油、沉淀处理后用作施工现场降尘用水，不外排，检修和清洗场地必须经水泥硬化；</w:t>
      </w:r>
    </w:p>
    <w:p>
      <w:pPr>
        <w:bidi w:val="0"/>
        <w:rPr>
          <w:rFonts w:hint="default"/>
        </w:rPr>
      </w:pPr>
      <w:r>
        <w:rPr>
          <w:rFonts w:hint="default"/>
        </w:rPr>
        <w:t>（4）施工场地产生的生活污水经收集排放到县排水管网，不得乱排乱洒。</w:t>
      </w:r>
    </w:p>
    <w:p>
      <w:pPr>
        <w:pStyle w:val="5"/>
        <w:bidi w:val="0"/>
        <w:rPr>
          <w:rFonts w:hint="default"/>
        </w:rPr>
      </w:pPr>
      <w:bookmarkStart w:id="299" w:name="_Toc410121381"/>
      <w:r>
        <w:rPr>
          <w:rFonts w:hint="default"/>
        </w:rPr>
        <w:t>7.1.3</w:t>
      </w:r>
      <w:r>
        <w:rPr>
          <w:rFonts w:hint="eastAsia"/>
          <w:lang w:eastAsia="zh-CN"/>
        </w:rPr>
        <w:t>、</w:t>
      </w:r>
      <w:r>
        <w:rPr>
          <w:rFonts w:hint="default"/>
        </w:rPr>
        <w:t>施工噪声防治措施</w:t>
      </w:r>
      <w:bookmarkEnd w:id="299"/>
    </w:p>
    <w:p>
      <w:pPr>
        <w:bidi w:val="0"/>
        <w:rPr>
          <w:rFonts w:hint="default"/>
        </w:rPr>
      </w:pPr>
      <w:r>
        <w:rPr>
          <w:rFonts w:hint="default"/>
        </w:rPr>
        <w:t>为了减轻施工噪声对周边环境的影响，施工期应采取以下噪声防治措施：</w:t>
      </w:r>
    </w:p>
    <w:p>
      <w:pPr>
        <w:bidi w:val="0"/>
        <w:rPr>
          <w:rFonts w:hint="default"/>
        </w:rPr>
      </w:pPr>
      <w:r>
        <w:rPr>
          <w:rFonts w:hint="default"/>
        </w:rPr>
        <w:t>（1）制订施工计划时应避免同时使用大量高噪声设备施工，除此之外，高噪声机械施工时间要安排在日间，减少夜间施工量。</w:t>
      </w:r>
    </w:p>
    <w:p>
      <w:pPr>
        <w:bidi w:val="0"/>
        <w:rPr>
          <w:rFonts w:hint="default"/>
        </w:rPr>
      </w:pPr>
      <w:r>
        <w:rPr>
          <w:rFonts w:hint="default"/>
        </w:rPr>
        <w:t>（2）合理布局施工现场，避免在同一地点安排大量动力机械设备，以防止局部声级过高。对一些施工位置相对固定的高噪施工设备，可在室内操作的尽量进入操作间。</w:t>
      </w:r>
    </w:p>
    <w:p>
      <w:pPr>
        <w:bidi w:val="0"/>
        <w:rPr>
          <w:rFonts w:hint="default"/>
        </w:rPr>
      </w:pPr>
      <w:r>
        <w:rPr>
          <w:rFonts w:hint="default"/>
        </w:rPr>
        <w:t>（3）设备选型上应采用低噪声设备，如液压机械代替燃油机械等。固定机械设备与挖土、运土机械（如挖土机、推土机等）可通过排气管消声器和隔离发动机振动部件的方法降低噪声；设备常因松动部件的振动或消声器的损坏而增加其工作时的噪声级。对动力机械设备进行定期的维修、养护。运输车辆进入现场应减速，并减少鸣笛。</w:t>
      </w:r>
    </w:p>
    <w:p>
      <w:pPr>
        <w:bidi w:val="0"/>
        <w:rPr>
          <w:rFonts w:hint="default"/>
        </w:rPr>
      </w:pPr>
      <w:r>
        <w:rPr>
          <w:rFonts w:hint="default"/>
        </w:rPr>
        <w:t>（4）施工现场不进行混凝土搅拌作业。加强施工设备的维护保养，发生故障应及时维修，保持润滑、紧固各部件，减少运行振动噪声；施工机械设备应安放稳固，并与地面保持良好接触，有条件的应使用减振机座。加强施工管理、文明施工，杜绝施工机械在运行过程中因维护不当而产生的其他噪声。</w:t>
      </w:r>
    </w:p>
    <w:p>
      <w:pPr>
        <w:bidi w:val="0"/>
        <w:rPr>
          <w:rFonts w:hint="default"/>
        </w:rPr>
      </w:pPr>
      <w:r>
        <w:rPr>
          <w:rFonts w:hint="default"/>
        </w:rPr>
        <w:t>（5）建设单位应责成施工单位在施工现场标明施工通告和投诉电话，建设单位在接到投诉后，应及时与当地环保部门取得联系，以便能及时处理各种环境纠纷。</w:t>
      </w:r>
    </w:p>
    <w:p>
      <w:pPr>
        <w:pStyle w:val="5"/>
        <w:bidi w:val="0"/>
        <w:rPr>
          <w:rFonts w:hint="default"/>
        </w:rPr>
      </w:pPr>
      <w:bookmarkStart w:id="300" w:name="_Toc410121385"/>
      <w:r>
        <w:rPr>
          <w:rFonts w:hint="default"/>
        </w:rPr>
        <w:t>7.1.4</w:t>
      </w:r>
      <w:r>
        <w:rPr>
          <w:rFonts w:hint="eastAsia"/>
          <w:lang w:eastAsia="zh-CN"/>
        </w:rPr>
        <w:t>、</w:t>
      </w:r>
      <w:r>
        <w:rPr>
          <w:rFonts w:hint="default"/>
        </w:rPr>
        <w:t>施工固体废物防治措施</w:t>
      </w:r>
      <w:bookmarkEnd w:id="300"/>
    </w:p>
    <w:p>
      <w:pPr>
        <w:bidi w:val="0"/>
        <w:rPr>
          <w:rFonts w:hint="default"/>
        </w:rPr>
      </w:pPr>
      <w:r>
        <w:rPr>
          <w:rFonts w:hint="default"/>
        </w:rPr>
        <w:t>（1）施工生产废料处理</w:t>
      </w:r>
    </w:p>
    <w:p>
      <w:pPr>
        <w:bidi w:val="0"/>
        <w:rPr>
          <w:rFonts w:hint="default"/>
        </w:rPr>
      </w:pPr>
      <w:r>
        <w:rPr>
          <w:rFonts w:hint="default"/>
        </w:rPr>
        <w:t>首先应考虑废料的回收利用，对钢筋、钢板、木材等下角料可分类回收，交当地废物收购站处理；对建筑垃圾，如混凝土废料、废砖、含砖、石、砂的杂土应集中堆放，定时清运。</w:t>
      </w:r>
    </w:p>
    <w:p>
      <w:pPr>
        <w:bidi w:val="0"/>
        <w:rPr>
          <w:rFonts w:hint="default"/>
        </w:rPr>
      </w:pPr>
      <w:r>
        <w:rPr>
          <w:rFonts w:hint="default"/>
        </w:rPr>
        <w:t>（2）施工生活垃圾处置</w:t>
      </w:r>
    </w:p>
    <w:p>
      <w:pPr>
        <w:bidi w:val="0"/>
        <w:rPr>
          <w:rFonts w:hint="default"/>
        </w:rPr>
      </w:pPr>
      <w:r>
        <w:rPr>
          <w:rFonts w:hint="default"/>
        </w:rPr>
        <w:t>设置生活垃圾箱（桶），固定地点堆放，施工人员产生的生活垃圾要统一收集，定期运往当地环卫部门指定的垃圾堆放点。</w:t>
      </w:r>
    </w:p>
    <w:p>
      <w:pPr>
        <w:bidi w:val="0"/>
        <w:rPr>
          <w:rFonts w:hint="default"/>
        </w:rPr>
      </w:pPr>
      <w:r>
        <w:rPr>
          <w:rFonts w:hint="default"/>
        </w:rPr>
        <w:t>（3）完工清场的固体废物处理处置</w:t>
      </w:r>
    </w:p>
    <w:p>
      <w:pPr>
        <w:bidi w:val="0"/>
        <w:rPr>
          <w:rFonts w:hint="default"/>
        </w:rPr>
      </w:pPr>
      <w:r>
        <w:rPr>
          <w:rFonts w:hint="default"/>
        </w:rPr>
        <w:t>工程完工后临时设施拆除时应防止扬尘、噪声及废弃物污染。储桨池等施工生产用地，应撤离所有设施和部件，四周溢流砂桨的泥土全部挖除。</w:t>
      </w:r>
    </w:p>
    <w:p>
      <w:pPr>
        <w:bidi w:val="0"/>
        <w:rPr>
          <w:rFonts w:hint="default"/>
        </w:rPr>
      </w:pPr>
      <w:r>
        <w:rPr>
          <w:rFonts w:hint="default"/>
        </w:rPr>
        <w:t>（4）厂内实现土方的挖填平衡，禁止土方乱堆乱放，合理利用表土进行绿化工作。</w:t>
      </w:r>
    </w:p>
    <w:p>
      <w:pPr>
        <w:pStyle w:val="5"/>
        <w:bidi w:val="0"/>
        <w:rPr>
          <w:rFonts w:hint="default"/>
        </w:rPr>
      </w:pPr>
      <w:r>
        <w:rPr>
          <w:rFonts w:hint="default"/>
        </w:rPr>
        <w:t>7.1.5</w:t>
      </w:r>
      <w:r>
        <w:rPr>
          <w:rFonts w:hint="eastAsia"/>
          <w:lang w:eastAsia="zh-CN"/>
        </w:rPr>
        <w:t>、</w:t>
      </w:r>
      <w:r>
        <w:rPr>
          <w:rFonts w:hint="default"/>
        </w:rPr>
        <w:t>施工生态减缓措施</w:t>
      </w:r>
    </w:p>
    <w:p>
      <w:pPr>
        <w:bidi w:val="0"/>
        <w:rPr>
          <w:rFonts w:hint="default"/>
        </w:rPr>
      </w:pPr>
      <w:r>
        <w:rPr>
          <w:rFonts w:hint="default"/>
        </w:rPr>
        <w:t>本项目建设地位于规划的规划</w:t>
      </w:r>
      <w:r>
        <w:rPr>
          <w:rFonts w:hint="eastAsia"/>
          <w:lang w:val="en-US" w:eastAsia="zh-CN"/>
        </w:rPr>
        <w:t>建设用地</w:t>
      </w:r>
      <w:r>
        <w:rPr>
          <w:rFonts w:hint="default"/>
        </w:rPr>
        <w:t>，地表为戈壁裸地，几乎没有植被。其生态减缓措施主要包括施工结束后要尽快进行土地平整，地面及时硬化，尽可能保持地表原有的稳定状态，以减少水土流失。</w:t>
      </w:r>
    </w:p>
    <w:p>
      <w:pPr>
        <w:pStyle w:val="4"/>
        <w:bidi w:val="0"/>
        <w:rPr>
          <w:rFonts w:hint="default"/>
        </w:rPr>
      </w:pPr>
      <w:bookmarkStart w:id="301" w:name="_Toc15887"/>
      <w:bookmarkStart w:id="302" w:name="_Toc5632"/>
      <w:bookmarkStart w:id="303" w:name="_Toc23921"/>
      <w:r>
        <w:rPr>
          <w:rFonts w:hint="default"/>
        </w:rPr>
        <w:t>7.2</w:t>
      </w:r>
      <w:r>
        <w:rPr>
          <w:rFonts w:hint="eastAsia"/>
          <w:lang w:eastAsia="zh-CN"/>
        </w:rPr>
        <w:t>、</w:t>
      </w:r>
      <w:r>
        <w:rPr>
          <w:rFonts w:hint="default"/>
        </w:rPr>
        <w:t>运营期污染防治措施</w:t>
      </w:r>
      <w:bookmarkEnd w:id="301"/>
    </w:p>
    <w:p>
      <w:pPr>
        <w:pStyle w:val="5"/>
        <w:bidi w:val="0"/>
        <w:rPr>
          <w:rFonts w:hint="default"/>
        </w:rPr>
      </w:pPr>
      <w:r>
        <w:rPr>
          <w:rFonts w:hint="default"/>
        </w:rPr>
        <w:t>7.2.1</w:t>
      </w:r>
      <w:r>
        <w:rPr>
          <w:rFonts w:hint="eastAsia"/>
          <w:lang w:eastAsia="zh-CN"/>
        </w:rPr>
        <w:t>、</w:t>
      </w:r>
      <w:r>
        <w:rPr>
          <w:rFonts w:hint="default"/>
        </w:rPr>
        <w:t>运营期废气防治措施</w:t>
      </w:r>
      <w:bookmarkEnd w:id="302"/>
      <w:bookmarkEnd w:id="303"/>
    </w:p>
    <w:p>
      <w:pPr>
        <w:pStyle w:val="6"/>
        <w:bidi w:val="0"/>
        <w:rPr>
          <w:rFonts w:hint="default"/>
        </w:rPr>
      </w:pPr>
      <w:r>
        <w:rPr>
          <w:rFonts w:hint="default"/>
        </w:rPr>
        <w:t>7.2.1.1</w:t>
      </w:r>
      <w:r>
        <w:rPr>
          <w:rFonts w:hint="eastAsia"/>
          <w:lang w:eastAsia="zh-CN"/>
        </w:rPr>
        <w:t>、</w:t>
      </w:r>
      <w:r>
        <w:rPr>
          <w:rFonts w:hint="default"/>
        </w:rPr>
        <w:t>有机废气污染防治措施</w:t>
      </w:r>
    </w:p>
    <w:p>
      <w:pPr>
        <w:bidi w:val="0"/>
        <w:rPr>
          <w:rFonts w:hint="default"/>
          <w:color w:val="0000FF"/>
        </w:rPr>
      </w:pPr>
      <w:r>
        <w:rPr>
          <w:rFonts w:hint="default"/>
          <w:color w:val="0000FF"/>
        </w:rPr>
        <w:t>本项目采用电加热方式对料筒进行加热，热熔挤出工序不添加任何阻燃剂、增塑剂等添加剂，采用直接再生方式，挤出造粒、成型过程为单纯物理熔融变化过程，聚乙烯加热温度控制在180-210℃左右，聚乙烯裂解温度为≥380℃，因加热温度控制在不发生裂解的温度条件下，故无裂解废气产生，但在实际操作过程中，因料筒局部过热等其它原因，会有少量单体产生，主要为乙烯单体。因此热熔挤出过程中会产生一定量的废气，主要为有机废气VOCs。</w:t>
      </w:r>
    </w:p>
    <w:p>
      <w:pPr>
        <w:bidi w:val="0"/>
        <w:rPr>
          <w:rFonts w:hint="default"/>
        </w:rPr>
      </w:pPr>
      <w:r>
        <w:rPr>
          <w:rFonts w:hint="default"/>
        </w:rPr>
        <w:t>工艺流程说明：共设计</w:t>
      </w:r>
      <w:r>
        <w:rPr>
          <w:rFonts w:hint="eastAsia"/>
          <w:lang w:val="en-US" w:eastAsia="zh-CN"/>
        </w:rPr>
        <w:t>2</w:t>
      </w:r>
      <w:r>
        <w:rPr>
          <w:rFonts w:hint="default"/>
        </w:rPr>
        <w:t>套废气处理装置，分别安装于</w:t>
      </w:r>
      <w:r>
        <w:rPr>
          <w:rFonts w:hint="eastAsia"/>
          <w:lang w:val="en-US" w:eastAsia="zh-CN"/>
        </w:rPr>
        <w:t>造粒车间和生产车间</w:t>
      </w:r>
      <w:r>
        <w:rPr>
          <w:rFonts w:hint="default"/>
        </w:rPr>
        <w:t>，具体如下：</w:t>
      </w:r>
    </w:p>
    <w:p>
      <w:pPr>
        <w:bidi w:val="0"/>
        <w:rPr>
          <w:rFonts w:hint="default"/>
        </w:rPr>
      </w:pPr>
      <w:r>
        <w:rPr>
          <w:rFonts w:hint="default"/>
        </w:rPr>
        <w:t>造粒工段和滴灌带、</w:t>
      </w:r>
      <w:r>
        <w:rPr>
          <w:rFonts w:hint="default"/>
          <w:lang w:eastAsia="zh-CN"/>
        </w:rPr>
        <w:t>PE管材</w:t>
      </w:r>
      <w:r>
        <w:rPr>
          <w:rFonts w:hint="default"/>
        </w:rPr>
        <w:t>和地膜热熔工段产生的废气经集气罩收集后由等离子光氧</w:t>
      </w:r>
      <w:r>
        <w:rPr>
          <w:rFonts w:hint="default"/>
          <w:lang w:val="en-US" w:eastAsia="zh-CN"/>
        </w:rPr>
        <w:t>一体机</w:t>
      </w:r>
      <w:r>
        <w:rPr>
          <w:rFonts w:hint="eastAsia"/>
          <w:lang w:val="en-US" w:eastAsia="zh-CN"/>
        </w:rPr>
        <w:t>+活性炭吸附装置</w:t>
      </w:r>
      <w:r>
        <w:rPr>
          <w:rFonts w:hint="default"/>
        </w:rPr>
        <w:t>装置处理后，通过15m高排气筒达标排放。</w:t>
      </w:r>
    </w:p>
    <w:p>
      <w:pPr>
        <w:bidi w:val="0"/>
        <w:rPr>
          <w:rFonts w:hint="default"/>
        </w:rPr>
      </w:pPr>
      <w:r>
        <w:rPr>
          <w:rFonts w:hint="default"/>
        </w:rPr>
        <w:t>（1）等离子光氧一体机运行原理：</w:t>
      </w:r>
    </w:p>
    <w:p>
      <w:pPr>
        <w:bidi w:val="0"/>
        <w:rPr>
          <w:rFonts w:hint="default"/>
        </w:rPr>
      </w:pPr>
      <w:r>
        <w:rPr>
          <w:rFonts w:hint="default"/>
        </w:rPr>
        <w:t>等离子光氧一体机主要分为两部分，分别是等离子废气净化器和光氧催化废气净化设备，利用等离子分解技术和UV光氧催化技术相结合，对产生的废气进行高效协同净化处理。</w:t>
      </w:r>
    </w:p>
    <w:p>
      <w:pPr>
        <w:bidi w:val="0"/>
        <w:rPr>
          <w:rFonts w:hint="default"/>
        </w:rPr>
      </w:pPr>
      <w:r>
        <w:rPr>
          <w:rFonts w:hint="default"/>
        </w:rPr>
        <w:fldChar w:fldCharType="begin"/>
      </w:r>
      <w:r>
        <w:rPr>
          <w:rFonts w:hint="default"/>
        </w:rPr>
        <w:instrText xml:space="preserve"> = 1 \* alphabetic </w:instrText>
      </w:r>
      <w:r>
        <w:rPr>
          <w:rFonts w:hint="default"/>
        </w:rPr>
        <w:fldChar w:fldCharType="separate"/>
      </w:r>
      <w:r>
        <w:rPr>
          <w:rFonts w:hint="default"/>
        </w:rPr>
        <w:t>a</w:t>
      </w:r>
      <w:r>
        <w:rPr>
          <w:rFonts w:hint="default"/>
        </w:rPr>
        <w:fldChar w:fldCharType="end"/>
      </w:r>
      <w:r>
        <w:rPr>
          <w:rFonts w:hint="eastAsia"/>
          <w:lang w:val="en-US" w:eastAsia="zh-CN"/>
        </w:rPr>
        <w:t xml:space="preserve"> </w:t>
      </w:r>
      <w:r>
        <w:rPr>
          <w:rFonts w:hint="default"/>
        </w:rPr>
        <w:t>等离子区工作原理</w:t>
      </w:r>
    </w:p>
    <w:p>
      <w:pPr>
        <w:bidi w:val="0"/>
        <w:rPr>
          <w:rFonts w:hint="default"/>
        </w:rPr>
      </w:pPr>
      <w:r>
        <w:rPr>
          <w:rFonts w:hint="default"/>
        </w:rPr>
        <w:t>当废气进入等离子光解一体机净化设备内时，先经过等离子体化学反应过程，即电子首先从电场获得能量，通过激发或电离将能量转移到分子或原子中去，获得能量的分子或原子被激发，同时有部分分子被电离，从而成为活性基团；之后这些活性基团与分子或原子、活性基团与活性基团之间相互碰撞后生成稳定产物和热。（在外加电场的作用下，介质放电产生的大量携能电子轰击污染物分子，使其电离、解离和激发，然后便引发了一系列复杂的物理、化学反应，使复杂大分子污染物转变为简单小分子安全物质，或使有毒有害物质转变成无毒无害或低毒低害的物质，从而使污染物得以降解去除。）</w:t>
      </w:r>
    </w:p>
    <w:p>
      <w:pPr>
        <w:bidi w:val="0"/>
        <w:rPr>
          <w:rFonts w:hint="default"/>
        </w:rPr>
      </w:pPr>
      <w:r>
        <w:rPr>
          <w:rFonts w:hint="default"/>
        </w:rPr>
        <w:fldChar w:fldCharType="begin"/>
      </w:r>
      <w:r>
        <w:rPr>
          <w:rFonts w:hint="default"/>
        </w:rPr>
        <w:instrText xml:space="preserve"> = 2 \* alphabetic </w:instrText>
      </w:r>
      <w:r>
        <w:rPr>
          <w:rFonts w:hint="default"/>
        </w:rPr>
        <w:fldChar w:fldCharType="separate"/>
      </w:r>
      <w:r>
        <w:rPr>
          <w:rFonts w:hint="default"/>
        </w:rPr>
        <w:t>b</w:t>
      </w:r>
      <w:r>
        <w:rPr>
          <w:rFonts w:hint="default"/>
        </w:rPr>
        <w:fldChar w:fldCharType="end"/>
      </w:r>
      <w:r>
        <w:rPr>
          <w:rFonts w:hint="default"/>
        </w:rPr>
        <w:t xml:space="preserve"> 光氧催化区工作原理</w:t>
      </w:r>
    </w:p>
    <w:p>
      <w:pPr>
        <w:bidi w:val="0"/>
        <w:rPr>
          <w:rFonts w:hint="default"/>
        </w:rPr>
      </w:pPr>
      <w:r>
        <w:rPr>
          <w:rFonts w:hint="default"/>
        </w:rPr>
        <w:t>通过破坏、分解、催化氧化把污染气体分解为无毒无害无味气体。采用高能C波段光线强裂污染气体分子链，改变物质分子结构，将高分子污染物质裂解、氧化成为低分子无害物质，如水和二氧化碳等。O</w:t>
      </w:r>
      <w:r>
        <w:rPr>
          <w:rFonts w:hint="default"/>
          <w:vertAlign w:val="subscript"/>
        </w:rPr>
        <w:t>3</w:t>
      </w:r>
      <w:r>
        <w:rPr>
          <w:rFonts w:hint="default"/>
        </w:rPr>
        <w:t>强催化氧化剂进行废气催化氧化，可有效地杀灭细菌，将有毒有害物质破坏且改变成为低分子无害物质。在C波段激光刺激催化剂涂层产生活性，强化催化氧化作用。在分解过程中产生高能高臭氧UV紫外线光束分解空气中的氧分子产生游离氧，即活性氧，因游离氧所携正负电子不平衡所以需与氧分子结合，进而产生臭氧。UV+O</w:t>
      </w:r>
      <w:r>
        <w:rPr>
          <w:rFonts w:hint="default"/>
          <w:vertAlign w:val="subscript"/>
        </w:rPr>
        <w:t>2</w:t>
      </w:r>
      <w:r>
        <w:rPr>
          <w:rFonts w:hint="default"/>
        </w:rPr>
        <w:t>→O-+O*(活性氧)O+O</w:t>
      </w:r>
      <w:r>
        <w:rPr>
          <w:rFonts w:hint="default"/>
          <w:vertAlign w:val="subscript"/>
        </w:rPr>
        <w:t>2</w:t>
      </w:r>
      <w:r>
        <w:rPr>
          <w:rFonts w:hint="default"/>
        </w:rPr>
        <w:t>→O</w:t>
      </w:r>
      <w:r>
        <w:rPr>
          <w:rFonts w:hint="default"/>
          <w:vertAlign w:val="subscript"/>
        </w:rPr>
        <w:t>3</w:t>
      </w:r>
      <w:r>
        <w:rPr>
          <w:rFonts w:hint="default"/>
        </w:rPr>
        <w:t>(臭氧)，众所周知臭氧对有机物具有极强的氧化作用，对恶臭气体及其它刺激性异味有极强的清除效果。O</w:t>
      </w:r>
      <w:r>
        <w:rPr>
          <w:rFonts w:hint="default"/>
          <w:vertAlign w:val="subscript"/>
        </w:rPr>
        <w:t>3</w:t>
      </w:r>
      <w:r>
        <w:rPr>
          <w:rFonts w:hint="default"/>
        </w:rPr>
        <w:t>也为强催化氧化剂进行废气催化氧化，裂解恶臭气体中细菌的分子键，破坏细菌的核酸（DNA），再通过臭氧进行氧化反应，彻底达到脱臭及杀灭菌的目的。等离子光氧一体机设备见图7.2-1，设备处理流程见图7.2-1。</w:t>
      </w:r>
    </w:p>
    <w:p>
      <w:pPr>
        <w:bidi w:val="0"/>
        <w:ind w:left="0" w:leftChars="0" w:firstLine="0" w:firstLineChars="0"/>
        <w:rPr>
          <w:rFonts w:hint="default"/>
        </w:rPr>
      </w:pPr>
      <w:r>
        <w:rPr>
          <w:rFonts w:hint="default"/>
        </w:rPr>
        <w:drawing>
          <wp:inline distT="0" distB="0" distL="114300" distR="114300">
            <wp:extent cx="5172075" cy="3343275"/>
            <wp:effectExtent l="0" t="0" r="9525" b="9525"/>
            <wp:docPr id="15" name="图片 16" descr="C:\Users\Administrator\Desktop\光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C:\Users\Administrator\Desktop\光氧.jpg"/>
                    <pic:cNvPicPr>
                      <a:picLocks noChangeAspect="1"/>
                    </pic:cNvPicPr>
                  </pic:nvPicPr>
                  <pic:blipFill>
                    <a:blip r:embed="rId54" cstate="print"/>
                    <a:srcRect l="1624" t="33386" r="1830" b="3271"/>
                    <a:stretch>
                      <a:fillRect/>
                    </a:stretch>
                  </pic:blipFill>
                  <pic:spPr>
                    <a:xfrm>
                      <a:off x="0" y="0"/>
                      <a:ext cx="5172075" cy="3343275"/>
                    </a:xfrm>
                    <a:prstGeom prst="rect">
                      <a:avLst/>
                    </a:prstGeom>
                    <a:noFill/>
                    <a:ln>
                      <a:noFill/>
                    </a:ln>
                  </pic:spPr>
                </pic:pic>
              </a:graphicData>
            </a:graphic>
          </wp:inline>
        </w:drawing>
      </w:r>
    </w:p>
    <w:p>
      <w:pPr>
        <w:bidi w:val="0"/>
        <w:jc w:val="center"/>
        <w:rPr>
          <w:rFonts w:hint="default"/>
          <w:b/>
          <w:bCs/>
        </w:rPr>
      </w:pPr>
      <w:r>
        <w:rPr>
          <w:rFonts w:hint="default"/>
          <w:b/>
          <w:bCs/>
        </w:rPr>
        <w:t xml:space="preserve">图7.2-1  </w:t>
      </w:r>
      <w:r>
        <w:rPr>
          <w:rFonts w:hint="eastAsia"/>
          <w:b/>
          <w:bCs/>
          <w:lang w:val="en-US" w:eastAsia="zh-CN"/>
        </w:rPr>
        <w:t xml:space="preserve"> </w:t>
      </w:r>
      <w:r>
        <w:rPr>
          <w:rFonts w:hint="default"/>
          <w:b/>
          <w:bCs/>
        </w:rPr>
        <w:t>等离子光氧一体机设备</w:t>
      </w:r>
    </w:p>
    <w:p>
      <w:pPr>
        <w:bidi w:val="0"/>
        <w:ind w:left="0" w:leftChars="0" w:firstLine="0" w:firstLineChars="0"/>
        <w:rPr>
          <w:rFonts w:hint="default"/>
        </w:rPr>
      </w:pPr>
      <w:r>
        <w:rPr>
          <w:rFonts w:hint="default"/>
        </w:rPr>
        <w:drawing>
          <wp:inline distT="0" distB="0" distL="114300" distR="114300">
            <wp:extent cx="5114925" cy="1823720"/>
            <wp:effectExtent l="9525" t="9525" r="19050" b="14605"/>
            <wp:docPr id="6" name="图片 17" descr="C:\DOCUME~1\ADMINI~1\LOCALS~1\Temp\15148906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C:\DOCUME~1\ADMINI~1\LOCALS~1\Temp\1514890639(1).png"/>
                    <pic:cNvPicPr>
                      <a:picLocks noChangeAspect="1"/>
                    </pic:cNvPicPr>
                  </pic:nvPicPr>
                  <pic:blipFill>
                    <a:blip r:embed="rId55" cstate="print"/>
                    <a:stretch>
                      <a:fillRect/>
                    </a:stretch>
                  </pic:blipFill>
                  <pic:spPr>
                    <a:xfrm>
                      <a:off x="0" y="0"/>
                      <a:ext cx="5114925" cy="1823720"/>
                    </a:xfrm>
                    <a:prstGeom prst="rect">
                      <a:avLst/>
                    </a:prstGeom>
                    <a:noFill/>
                    <a:ln w="9525" cap="flat" cmpd="sng">
                      <a:solidFill>
                        <a:srgbClr val="000000"/>
                      </a:solidFill>
                      <a:prstDash val="solid"/>
                      <a:miter/>
                      <a:headEnd type="none" w="med" len="med"/>
                      <a:tailEnd type="none" w="med" len="med"/>
                    </a:ln>
                  </pic:spPr>
                </pic:pic>
              </a:graphicData>
            </a:graphic>
          </wp:inline>
        </w:drawing>
      </w:r>
    </w:p>
    <w:p>
      <w:pPr>
        <w:bidi w:val="0"/>
        <w:jc w:val="center"/>
        <w:rPr>
          <w:rFonts w:hint="default"/>
          <w:b/>
          <w:bCs/>
        </w:rPr>
      </w:pPr>
      <w:r>
        <w:rPr>
          <w:rFonts w:hint="default"/>
          <w:b/>
          <w:bCs/>
        </w:rPr>
        <w:t xml:space="preserve">图7.2-2  </w:t>
      </w:r>
      <w:r>
        <w:rPr>
          <w:rFonts w:hint="eastAsia"/>
          <w:b/>
          <w:bCs/>
          <w:lang w:val="en-US" w:eastAsia="zh-CN"/>
        </w:rPr>
        <w:t xml:space="preserve"> </w:t>
      </w:r>
      <w:r>
        <w:rPr>
          <w:rFonts w:hint="default"/>
          <w:b/>
          <w:bCs/>
        </w:rPr>
        <w:t>等离子光氧一体机设备流程图</w:t>
      </w:r>
    </w:p>
    <w:p>
      <w:pPr>
        <w:bidi w:val="0"/>
        <w:rPr>
          <w:rFonts w:hint="default"/>
        </w:rPr>
      </w:pPr>
      <w:r>
        <w:rPr>
          <w:rFonts w:hint="default"/>
        </w:rPr>
        <w:t>等离子光氧一体机设备性能特点：高效去除率</w:t>
      </w:r>
      <w:r>
        <w:rPr>
          <w:rFonts w:hint="default"/>
          <w:lang w:eastAsia="zh-CN"/>
        </w:rPr>
        <w:t>，</w:t>
      </w:r>
      <w:r>
        <w:rPr>
          <w:rFonts w:hint="default"/>
        </w:rPr>
        <w:t>能高效去除挥发性有机物（VOC）、无机物、硫化氢、氨气、硫醇类等主要污染物，以及各种恶臭味，脱臭效率可达99.9%以上，脱臭效果大大超过国家1993年颁布的《恶臭污染物排放标准》（GB14554-93）。无需添加任何物质</w:t>
      </w:r>
      <w:r>
        <w:rPr>
          <w:rFonts w:hint="default"/>
          <w:lang w:eastAsia="zh-CN"/>
        </w:rPr>
        <w:t>，</w:t>
      </w:r>
      <w:r>
        <w:rPr>
          <w:rFonts w:hint="default"/>
        </w:rPr>
        <w:t>只需要设置相应的排风管道和排风动力，使有机废气通本设备进行分解净化，无需添加任何物质参与化学反应。</w:t>
      </w:r>
    </w:p>
    <w:p>
      <w:pPr>
        <w:bidi w:val="0"/>
        <w:rPr>
          <w:rFonts w:hint="default"/>
        </w:rPr>
      </w:pPr>
      <w:r>
        <w:rPr>
          <w:rFonts w:hint="default"/>
        </w:rPr>
        <w:t>综上所述，本项目采用等离子光氧</w:t>
      </w:r>
      <w:r>
        <w:rPr>
          <w:rFonts w:hint="default"/>
          <w:lang w:val="en-US" w:eastAsia="zh-CN"/>
        </w:rPr>
        <w:t>一体机</w:t>
      </w:r>
      <w:r>
        <w:rPr>
          <w:rFonts w:hint="eastAsia"/>
          <w:lang w:val="en-US" w:eastAsia="zh-CN"/>
        </w:rPr>
        <w:t>+活性炭吸附装置</w:t>
      </w:r>
      <w:r>
        <w:rPr>
          <w:rFonts w:hint="default"/>
        </w:rPr>
        <w:t>装置处理有机废气，工艺技术较为成熟，运行维护较为简单，净化效果较为稳定可靠，能够确保尾气达标排放，所采取的措施是可行的。</w:t>
      </w:r>
    </w:p>
    <w:p>
      <w:pPr>
        <w:bidi w:val="0"/>
        <w:rPr>
          <w:rFonts w:hint="default"/>
        </w:rPr>
      </w:pPr>
      <w:r>
        <w:rPr>
          <w:rFonts w:hint="default"/>
        </w:rPr>
        <w:t>生产车间安装光氧催化</w:t>
      </w:r>
      <w:r>
        <w:rPr>
          <w:rFonts w:hint="eastAsia"/>
          <w:lang w:val="en-US" w:eastAsia="zh-CN"/>
        </w:rPr>
        <w:t>+活性炭吸附</w:t>
      </w:r>
      <w:r>
        <w:rPr>
          <w:rFonts w:hint="default"/>
        </w:rPr>
        <w:t>装置，造粒工序产生乙烯单体（表现为非甲烷总烃），该工序安装有等离子光氧</w:t>
      </w:r>
      <w:r>
        <w:rPr>
          <w:rFonts w:hint="default"/>
          <w:lang w:val="en-US" w:eastAsia="zh-CN"/>
        </w:rPr>
        <w:t>一体机</w:t>
      </w:r>
      <w:r>
        <w:rPr>
          <w:rFonts w:hint="eastAsia"/>
          <w:lang w:val="en-US" w:eastAsia="zh-CN"/>
        </w:rPr>
        <w:t>+活性炭吸附装置</w:t>
      </w:r>
      <w:r>
        <w:rPr>
          <w:rFonts w:hint="default"/>
        </w:rPr>
        <w:t>装置，生产车间风机风量为</w:t>
      </w:r>
      <w:r>
        <w:rPr>
          <w:rFonts w:hint="eastAsia"/>
          <w:lang w:val="en-US" w:eastAsia="zh-CN"/>
        </w:rPr>
        <w:t>20</w:t>
      </w:r>
      <w:r>
        <w:rPr>
          <w:rFonts w:hint="default"/>
        </w:rPr>
        <w:t>000</w:t>
      </w:r>
      <w:r>
        <w:rPr>
          <w:rFonts w:hint="eastAsia"/>
          <w:lang w:eastAsia="zh-CN"/>
        </w:rPr>
        <w:t>m³</w:t>
      </w:r>
      <w:r>
        <w:rPr>
          <w:rFonts w:hint="default"/>
        </w:rPr>
        <w:t>/h，集气罩收集效率按 90%计算，则仍有10%的废气以无组织形式排放，</w:t>
      </w:r>
      <w:r>
        <w:rPr>
          <w:rFonts w:hint="eastAsia"/>
          <w:lang w:val="en-US" w:eastAsia="zh-CN"/>
        </w:rPr>
        <w:t>等离子光氧一体机对</w:t>
      </w:r>
      <w:r>
        <w:rPr>
          <w:rFonts w:hint="default"/>
        </w:rPr>
        <w:t xml:space="preserve">VOCs去除效率分别为 </w:t>
      </w:r>
      <w:r>
        <w:rPr>
          <w:rFonts w:hint="eastAsia"/>
          <w:lang w:val="en-US" w:eastAsia="zh-CN"/>
        </w:rPr>
        <w:t>65</w:t>
      </w:r>
      <w:r>
        <w:rPr>
          <w:rFonts w:hint="default"/>
        </w:rPr>
        <w:t>%，</w:t>
      </w:r>
      <w:r>
        <w:rPr>
          <w:rFonts w:hint="eastAsia"/>
          <w:lang w:val="en-US" w:eastAsia="zh-CN"/>
        </w:rPr>
        <w:t>活性炭吸附装置对VOCs的净化效率为75%，经过二级</w:t>
      </w:r>
      <w:r>
        <w:rPr>
          <w:rFonts w:hint="default"/>
        </w:rPr>
        <w:t>处理后均经15m高排气筒排放，非甲烷总烃排放能满足经处理装置处置后符合《合成树脂工业污染物排放标准》（GB-31572-2015）</w:t>
      </w:r>
      <w:r>
        <w:rPr>
          <w:rFonts w:hint="eastAsia"/>
          <w:lang w:val="en-US" w:eastAsia="zh-CN"/>
        </w:rPr>
        <w:t>表5中的特别排放</w:t>
      </w:r>
      <w:r>
        <w:rPr>
          <w:rFonts w:hint="default"/>
        </w:rPr>
        <w:t>限值要求，故达标排放是可行的。</w:t>
      </w:r>
    </w:p>
    <w:p>
      <w:pPr>
        <w:bidi w:val="0"/>
        <w:rPr>
          <w:rFonts w:hint="default"/>
        </w:rPr>
      </w:pPr>
      <w:r>
        <w:rPr>
          <w:rFonts w:hint="default"/>
        </w:rPr>
        <w:t>另外本项目无组织排放废气主要未能捕集的废气，加强对无组织排放废气的控制监管，尽量减少无组织废气的排放，具体应做到以下几个方面：</w:t>
      </w:r>
    </w:p>
    <w:p>
      <w:pPr>
        <w:bidi w:val="0"/>
        <w:rPr>
          <w:rFonts w:hint="default"/>
        </w:rPr>
      </w:pPr>
      <w:r>
        <w:rPr>
          <w:rFonts w:hint="default"/>
        </w:rPr>
        <w:t>①生产开线先启动环保措施设施再开启加工机组，停线先停止生产机组再关闭环保设施设备；</w:t>
      </w:r>
    </w:p>
    <w:p>
      <w:pPr>
        <w:bidi w:val="0"/>
        <w:rPr>
          <w:rFonts w:hint="default"/>
        </w:rPr>
      </w:pPr>
      <w:r>
        <w:rPr>
          <w:rFonts w:hint="default"/>
        </w:rPr>
        <w:t>②经常检查设备工况，保证设备的完好率，防止泄露；</w:t>
      </w:r>
    </w:p>
    <w:p>
      <w:pPr>
        <w:bidi w:val="0"/>
        <w:rPr>
          <w:rFonts w:hint="default"/>
        </w:rPr>
      </w:pPr>
      <w:r>
        <w:rPr>
          <w:rFonts w:hint="default"/>
        </w:rPr>
        <w:t>③在生产过程中加强对废气收集装置的维护，保证有组织废气捕集效率，以尽量将无组织排放的废气量减小到最低限度；</w:t>
      </w:r>
    </w:p>
    <w:p>
      <w:pPr>
        <w:bidi w:val="0"/>
        <w:rPr>
          <w:rFonts w:hint="default"/>
        </w:rPr>
      </w:pPr>
      <w:r>
        <w:rPr>
          <w:rFonts w:hint="default"/>
        </w:rPr>
        <w:t>④加强车间通排风，通过加强车间气流通畅，为员工配备必要的防护用品。</w:t>
      </w:r>
    </w:p>
    <w:p>
      <w:pPr>
        <w:pStyle w:val="6"/>
        <w:bidi w:val="0"/>
        <w:rPr>
          <w:rFonts w:hint="default"/>
        </w:rPr>
      </w:pPr>
      <w:r>
        <w:rPr>
          <w:rFonts w:hint="default"/>
        </w:rPr>
        <w:t>7.2.1.2</w:t>
      </w:r>
      <w:r>
        <w:rPr>
          <w:rFonts w:hint="eastAsia"/>
          <w:lang w:eastAsia="zh-CN"/>
        </w:rPr>
        <w:t>、</w:t>
      </w:r>
      <w:r>
        <w:rPr>
          <w:rFonts w:hint="default"/>
        </w:rPr>
        <w:t>粉尘</w:t>
      </w:r>
    </w:p>
    <w:p>
      <w:pPr>
        <w:bidi w:val="0"/>
        <w:rPr>
          <w:rFonts w:hint="default"/>
        </w:rPr>
      </w:pPr>
      <w:r>
        <w:rPr>
          <w:rFonts w:hint="default"/>
        </w:rPr>
        <w:t>粉尘主要产生于废塑料破碎过程。本项目破碎机顶部设置雾化喷嘴，破碎的同时进行喷淋降尘，可有效减少破碎粉尘的产生。根据预测结果，无组织排放的粉尘能够满足《合成树脂工业污染物排放标准》（GB31572-2015）表9中企业边界颗粒物浓度限值（1.0mg/</w:t>
      </w:r>
      <w:r>
        <w:rPr>
          <w:rFonts w:hint="eastAsia"/>
          <w:lang w:eastAsia="zh-CN"/>
        </w:rPr>
        <w:t>m³</w:t>
      </w:r>
      <w:r>
        <w:rPr>
          <w:rFonts w:hint="default"/>
        </w:rPr>
        <w:t>）要求。</w:t>
      </w:r>
    </w:p>
    <w:p>
      <w:pPr>
        <w:pStyle w:val="6"/>
        <w:bidi w:val="0"/>
        <w:rPr>
          <w:rFonts w:hint="default"/>
        </w:rPr>
      </w:pPr>
      <w:r>
        <w:rPr>
          <w:rFonts w:hint="default"/>
        </w:rPr>
        <w:t>7.2.1.3</w:t>
      </w:r>
      <w:r>
        <w:rPr>
          <w:rFonts w:hint="eastAsia"/>
          <w:lang w:eastAsia="zh-CN"/>
        </w:rPr>
        <w:t>、</w:t>
      </w:r>
      <w:r>
        <w:rPr>
          <w:rFonts w:hint="default"/>
        </w:rPr>
        <w:t>油烟废气</w:t>
      </w:r>
    </w:p>
    <w:p>
      <w:pPr>
        <w:bidi w:val="0"/>
        <w:rPr>
          <w:rFonts w:hint="default"/>
        </w:rPr>
      </w:pPr>
      <w:r>
        <w:rPr>
          <w:rFonts w:hint="default"/>
        </w:rPr>
        <w:t>本项目食堂采用小型普通吸排油烟机，风机量为1600</w:t>
      </w:r>
      <w:r>
        <w:rPr>
          <w:rFonts w:hint="eastAsia"/>
          <w:lang w:eastAsia="zh-CN"/>
        </w:rPr>
        <w:t>m³</w:t>
      </w:r>
      <w:r>
        <w:rPr>
          <w:rFonts w:hint="default"/>
        </w:rPr>
        <w:t>/h，去除油烟率为60%，则油烟排放量3.24kg/a（0.0018kg/h），排放浓度为1.1 mg/</w:t>
      </w:r>
      <w:r>
        <w:rPr>
          <w:rFonts w:hint="eastAsia"/>
          <w:lang w:eastAsia="zh-CN"/>
        </w:rPr>
        <w:t>m³</w:t>
      </w:r>
      <w:r>
        <w:rPr>
          <w:rFonts w:hint="default"/>
        </w:rPr>
        <w:t>，油烟能够满足《饮食业油烟排放标准（试行）》（GB18483-2001）中油烟最高允许排放浓度限值要求，环境影响可接受。</w:t>
      </w:r>
    </w:p>
    <w:p>
      <w:pPr>
        <w:pStyle w:val="6"/>
        <w:bidi w:val="0"/>
        <w:rPr>
          <w:rFonts w:hint="default"/>
        </w:rPr>
      </w:pPr>
      <w:r>
        <w:rPr>
          <w:rFonts w:hint="default"/>
        </w:rPr>
        <w:t>7.2.1.4</w:t>
      </w:r>
      <w:bookmarkStart w:id="304" w:name="_Toc367_WPSOffice_Level3"/>
      <w:bookmarkStart w:id="305" w:name="_Toc15030"/>
      <w:r>
        <w:rPr>
          <w:rFonts w:hint="eastAsia"/>
          <w:lang w:eastAsia="zh-CN"/>
        </w:rPr>
        <w:t>、</w:t>
      </w:r>
      <w:r>
        <w:rPr>
          <w:rFonts w:hint="default"/>
        </w:rPr>
        <w:t>小结</w:t>
      </w:r>
    </w:p>
    <w:p>
      <w:pPr>
        <w:bidi w:val="0"/>
        <w:rPr>
          <w:rFonts w:hint="default"/>
        </w:rPr>
      </w:pPr>
      <w:r>
        <w:rPr>
          <w:rFonts w:hint="default"/>
        </w:rPr>
        <w:t>项目在生产过程使用电加热设备，从源头上消减污染物的排放量，废气经废气处理系统后达标排放。同时对装置区生产设备密闭、车间通风、</w:t>
      </w:r>
      <w:r>
        <w:rPr>
          <w:rFonts w:hint="default"/>
          <w:lang w:val="en-US" w:eastAsia="zh-CN"/>
        </w:rPr>
        <w:t>厂</w:t>
      </w:r>
      <w:r>
        <w:rPr>
          <w:rFonts w:hint="default"/>
        </w:rPr>
        <w:t>区四周加强绿化、合理布局，以尽量减少无组织废气的排放。经过以上措施治理后，项目产生的废气可以实现达标排放，废气治理措施可行。项目产生的废气污染物对大气环境的影响较小。</w:t>
      </w:r>
    </w:p>
    <w:p>
      <w:pPr>
        <w:pStyle w:val="5"/>
        <w:bidi w:val="0"/>
        <w:rPr>
          <w:rFonts w:hint="default"/>
        </w:rPr>
      </w:pPr>
      <w:r>
        <w:rPr>
          <w:rFonts w:hint="default"/>
        </w:rPr>
        <w:t>7.2.2</w:t>
      </w:r>
      <w:r>
        <w:rPr>
          <w:rFonts w:hint="eastAsia"/>
          <w:lang w:eastAsia="zh-CN"/>
        </w:rPr>
        <w:t>、</w:t>
      </w:r>
      <w:r>
        <w:rPr>
          <w:rFonts w:hint="default"/>
        </w:rPr>
        <w:t>运营期水污染防治措施</w:t>
      </w:r>
      <w:bookmarkEnd w:id="304"/>
      <w:bookmarkEnd w:id="305"/>
    </w:p>
    <w:p>
      <w:pPr>
        <w:bidi w:val="0"/>
        <w:rPr>
          <w:rFonts w:hint="default"/>
          <w:lang w:val="zh-CN"/>
        </w:rPr>
      </w:pPr>
      <w:r>
        <w:rPr>
          <w:rFonts w:hint="default"/>
          <w:lang w:val="zh-CN"/>
        </w:rPr>
        <w:t>本项目运营期产生的废水包括</w:t>
      </w:r>
      <w:r>
        <w:rPr>
          <w:rFonts w:hint="default"/>
        </w:rPr>
        <w:t>生产</w:t>
      </w:r>
      <w:r>
        <w:rPr>
          <w:rFonts w:hint="default"/>
          <w:lang w:val="zh-CN"/>
        </w:rPr>
        <w:t>废水和生活污水。</w:t>
      </w:r>
      <w:r>
        <w:rPr>
          <w:rFonts w:hint="default"/>
        </w:rPr>
        <w:t>生产过程中</w:t>
      </w:r>
      <w:r>
        <w:rPr>
          <w:rFonts w:hint="default"/>
          <w:lang w:val="zh-CN"/>
        </w:rPr>
        <w:t>冷却水循环使用，</w:t>
      </w:r>
      <w:r>
        <w:rPr>
          <w:rFonts w:hint="default"/>
        </w:rPr>
        <w:t>生产废水</w:t>
      </w:r>
      <w:r>
        <w:rPr>
          <w:rFonts w:hint="default"/>
          <w:lang w:val="zh-CN"/>
        </w:rPr>
        <w:t>主要为车间地面冲洗废水</w:t>
      </w:r>
      <w:r>
        <w:rPr>
          <w:rFonts w:hint="default"/>
        </w:rPr>
        <w:t>和</w:t>
      </w:r>
      <w:r>
        <w:rPr>
          <w:rFonts w:hint="default"/>
          <w:lang w:val="zh-CN"/>
        </w:rPr>
        <w:t>螺旋挤压脱水机脱下的水。原料清洗废水</w:t>
      </w:r>
      <w:r>
        <w:rPr>
          <w:rFonts w:hint="default"/>
        </w:rPr>
        <w:t>和</w:t>
      </w:r>
      <w:r>
        <w:rPr>
          <w:rFonts w:hint="default"/>
          <w:lang w:val="zh-CN"/>
        </w:rPr>
        <w:t>螺旋挤压脱水机脱下的水均排入沉淀池，沉淀</w:t>
      </w:r>
      <w:r>
        <w:rPr>
          <w:rFonts w:hint="default"/>
          <w:lang w:val="en-US" w:eastAsia="zh-CN"/>
        </w:rPr>
        <w:t>过滤</w:t>
      </w:r>
      <w:r>
        <w:rPr>
          <w:rFonts w:hint="default"/>
        </w:rPr>
        <w:t>处理</w:t>
      </w:r>
      <w:r>
        <w:rPr>
          <w:rFonts w:hint="default"/>
          <w:lang w:val="zh-CN"/>
        </w:rPr>
        <w:t>后全部回用于清洗工序和喷淋工序，不外排。生活污水中不含有毒有害物质，主要污染物为COD</w:t>
      </w:r>
      <w:r>
        <w:rPr>
          <w:rFonts w:hint="default"/>
          <w:vertAlign w:val="subscript"/>
          <w:lang w:val="zh-CN"/>
        </w:rPr>
        <w:t>Cr</w:t>
      </w:r>
      <w:r>
        <w:rPr>
          <w:rFonts w:hint="default"/>
          <w:lang w:val="zh-CN"/>
        </w:rPr>
        <w:t>、BOD</w:t>
      </w:r>
      <w:r>
        <w:rPr>
          <w:rFonts w:hint="default"/>
          <w:vertAlign w:val="subscript"/>
          <w:lang w:val="zh-CN"/>
        </w:rPr>
        <w:t>5</w:t>
      </w:r>
      <w:r>
        <w:rPr>
          <w:rFonts w:hint="default"/>
          <w:lang w:val="zh-CN"/>
        </w:rPr>
        <w:t>、SS、NH</w:t>
      </w:r>
      <w:r>
        <w:rPr>
          <w:rFonts w:hint="default"/>
          <w:vertAlign w:val="subscript"/>
          <w:lang w:val="zh-CN"/>
        </w:rPr>
        <w:t>3</w:t>
      </w:r>
      <w:r>
        <w:rPr>
          <w:rFonts w:hint="default"/>
          <w:lang w:val="zh-CN"/>
        </w:rPr>
        <w:t>-N等，其中厨房废水经隔油池处理，再同其他生活废水经</w:t>
      </w:r>
      <w:r>
        <w:rPr>
          <w:rFonts w:hint="eastAsia"/>
          <w:lang w:val="en-US" w:eastAsia="zh-CN"/>
        </w:rPr>
        <w:t>化粪池预处理后通过污水</w:t>
      </w:r>
      <w:r>
        <w:rPr>
          <w:rFonts w:hint="default"/>
          <w:lang w:val="zh-CN"/>
        </w:rPr>
        <w:t>管网排至</w:t>
      </w:r>
      <w:r>
        <w:rPr>
          <w:rFonts w:hint="eastAsia"/>
          <w:lang w:val="zh-CN"/>
        </w:rPr>
        <w:t>吉木萨尔县污水处理厂</w:t>
      </w:r>
      <w:r>
        <w:rPr>
          <w:rFonts w:hint="default"/>
          <w:lang w:val="zh-CN"/>
        </w:rPr>
        <w:t>进行处理。故主要对</w:t>
      </w:r>
      <w:r>
        <w:rPr>
          <w:rFonts w:hint="default"/>
        </w:rPr>
        <w:t>生产废水沉淀</w:t>
      </w:r>
      <w:r>
        <w:rPr>
          <w:rFonts w:hint="default"/>
          <w:lang w:val="en-US" w:eastAsia="zh-CN"/>
        </w:rPr>
        <w:t>过滤</w:t>
      </w:r>
      <w:r>
        <w:rPr>
          <w:rFonts w:hint="default"/>
          <w:lang w:val="zh-CN"/>
        </w:rPr>
        <w:t>处理</w:t>
      </w:r>
      <w:r>
        <w:rPr>
          <w:rFonts w:hint="default"/>
        </w:rPr>
        <w:t>的</w:t>
      </w:r>
      <w:r>
        <w:rPr>
          <w:rFonts w:hint="default"/>
          <w:lang w:val="zh-CN"/>
        </w:rPr>
        <w:t>可行性</w:t>
      </w:r>
      <w:r>
        <w:rPr>
          <w:rFonts w:hint="default"/>
        </w:rPr>
        <w:t>进行</w:t>
      </w:r>
      <w:r>
        <w:rPr>
          <w:rFonts w:hint="default"/>
          <w:lang w:val="zh-CN"/>
        </w:rPr>
        <w:t>分析。</w:t>
      </w:r>
    </w:p>
    <w:p>
      <w:pPr>
        <w:pStyle w:val="6"/>
        <w:bidi w:val="0"/>
        <w:rPr>
          <w:rFonts w:hint="default"/>
        </w:rPr>
      </w:pPr>
      <w:r>
        <w:rPr>
          <w:rFonts w:hint="default"/>
        </w:rPr>
        <w:t>7.2.2.1</w:t>
      </w:r>
      <w:r>
        <w:rPr>
          <w:rFonts w:hint="eastAsia"/>
          <w:lang w:eastAsia="zh-CN"/>
        </w:rPr>
        <w:t>、</w:t>
      </w:r>
      <w:r>
        <w:rPr>
          <w:rFonts w:hint="default"/>
        </w:rPr>
        <w:t>生产废水防治措施可行性</w:t>
      </w:r>
    </w:p>
    <w:p>
      <w:pPr>
        <w:bidi w:val="0"/>
        <w:rPr>
          <w:rFonts w:hint="default"/>
        </w:rPr>
      </w:pPr>
      <w:r>
        <w:rPr>
          <w:rFonts w:hint="default"/>
        </w:rPr>
        <w:t>（1）从水质回用角度分析</w:t>
      </w:r>
    </w:p>
    <w:p>
      <w:pPr>
        <w:bidi w:val="0"/>
        <w:rPr>
          <w:rFonts w:hint="default"/>
          <w:lang w:val="zh-CN"/>
        </w:rPr>
      </w:pPr>
      <w:r>
        <w:rPr>
          <w:rFonts w:hint="default"/>
        </w:rPr>
        <w:t>本项目利用废塑料作为原料，生产废水主要成分为原料带入的细沙、泥土等无机物，有机物含量较少，</w:t>
      </w:r>
      <w:r>
        <w:rPr>
          <w:rFonts w:hint="default"/>
          <w:lang w:val="zh-CN"/>
        </w:rPr>
        <w:t>污染物浓度：COD：</w:t>
      </w:r>
      <w:r>
        <w:rPr>
          <w:rFonts w:hint="eastAsia"/>
          <w:lang w:val="en-US" w:eastAsia="zh-CN"/>
        </w:rPr>
        <w:t>350</w:t>
      </w:r>
      <w:r>
        <w:rPr>
          <w:rFonts w:hint="default"/>
          <w:lang w:val="zh-CN"/>
        </w:rPr>
        <w:t>mg/L，BOD</w:t>
      </w:r>
      <w:r>
        <w:rPr>
          <w:rFonts w:hint="default"/>
          <w:vertAlign w:val="subscript"/>
          <w:lang w:val="zh-CN"/>
        </w:rPr>
        <w:t>5</w:t>
      </w:r>
      <w:r>
        <w:rPr>
          <w:rFonts w:hint="default"/>
          <w:lang w:val="zh-CN"/>
        </w:rPr>
        <w:t>：</w:t>
      </w:r>
      <w:r>
        <w:rPr>
          <w:rFonts w:hint="eastAsia"/>
          <w:lang w:val="en-US" w:eastAsia="zh-CN"/>
        </w:rPr>
        <w:t>300</w:t>
      </w:r>
      <w:r>
        <w:rPr>
          <w:rFonts w:hint="default"/>
          <w:lang w:val="zh-CN"/>
        </w:rPr>
        <w:t>mg/L，SS：300mg/L，氨氮：</w:t>
      </w:r>
      <w:r>
        <w:rPr>
          <w:rFonts w:hint="eastAsia"/>
          <w:lang w:val="en-US" w:eastAsia="zh-CN"/>
        </w:rPr>
        <w:t>30</w:t>
      </w:r>
      <w:r>
        <w:rPr>
          <w:rFonts w:hint="default"/>
          <w:lang w:val="zh-CN"/>
        </w:rPr>
        <w:t>mg/L，采用</w:t>
      </w:r>
      <w:r>
        <w:rPr>
          <w:rFonts w:hint="default"/>
          <w:lang w:val="en-US" w:eastAsia="zh-CN"/>
        </w:rPr>
        <w:t>沉淀过滤</w:t>
      </w:r>
      <w:r>
        <w:rPr>
          <w:rFonts w:hint="eastAsia"/>
          <w:lang w:val="en-US" w:eastAsia="zh-CN"/>
        </w:rPr>
        <w:t>+地埋式污水处理设施</w:t>
      </w:r>
      <w:r>
        <w:rPr>
          <w:rFonts w:hint="default"/>
          <w:lang w:val="zh-CN"/>
        </w:rPr>
        <w:t>对废水进行处理，</w:t>
      </w:r>
      <w:r>
        <w:rPr>
          <w:rFonts w:hint="eastAsia"/>
          <w:lang w:val="en-US" w:eastAsia="zh-CN"/>
        </w:rPr>
        <w:t>净化</w:t>
      </w:r>
      <w:r>
        <w:rPr>
          <w:rFonts w:hint="default"/>
          <w:lang w:val="zh-CN"/>
        </w:rPr>
        <w:t>效率见表</w:t>
      </w:r>
      <w:r>
        <w:rPr>
          <w:rFonts w:hint="default"/>
        </w:rPr>
        <w:t>7.</w:t>
      </w:r>
      <w:r>
        <w:rPr>
          <w:rFonts w:hint="default"/>
          <w:lang w:val="en-US" w:eastAsia="zh-CN"/>
        </w:rPr>
        <w:t>2</w:t>
      </w:r>
      <w:r>
        <w:rPr>
          <w:rFonts w:hint="default"/>
        </w:rPr>
        <w:t>-1</w:t>
      </w:r>
      <w:r>
        <w:rPr>
          <w:rFonts w:hint="default"/>
          <w:lang w:val="zh-CN"/>
        </w:rPr>
        <w:t>。</w:t>
      </w:r>
    </w:p>
    <w:p>
      <w:pPr>
        <w:bidi w:val="0"/>
        <w:rPr>
          <w:rFonts w:hint="default"/>
          <w:lang w:val="en-US" w:eastAsia="zh-CN"/>
        </w:rPr>
      </w:pPr>
      <w:r>
        <w:rPr>
          <w:rFonts w:hint="default"/>
        </w:rPr>
        <w:t>本项目利用废塑料作为原料，生产废水主要成分为细沙、泥土，回用水水质要求不高。</w:t>
      </w:r>
      <w:r>
        <w:rPr>
          <w:rFonts w:hint="default"/>
          <w:lang w:val="en-US" w:eastAsia="zh-CN"/>
        </w:rPr>
        <w:t>沉淀过滤</w:t>
      </w:r>
      <w:r>
        <w:rPr>
          <w:rFonts w:hint="eastAsia"/>
          <w:lang w:val="en-US" w:eastAsia="zh-CN"/>
        </w:rPr>
        <w:t>+地埋式污水处理</w:t>
      </w:r>
      <w:r>
        <w:rPr>
          <w:rFonts w:hint="default"/>
          <w:lang w:val="zh-CN"/>
        </w:rPr>
        <w:t>用于处理悬浮物</w:t>
      </w:r>
      <w:r>
        <w:rPr>
          <w:rFonts w:hint="default"/>
          <w:lang w:val="en-US" w:eastAsia="zh-CN"/>
        </w:rPr>
        <w:t>较</w:t>
      </w:r>
      <w:r>
        <w:rPr>
          <w:rFonts w:hint="default"/>
        </w:rPr>
        <w:t>高</w:t>
      </w:r>
      <w:r>
        <w:rPr>
          <w:rFonts w:hint="default"/>
          <w:lang w:val="zh-CN"/>
        </w:rPr>
        <w:t>废水，</w:t>
      </w:r>
      <w:r>
        <w:rPr>
          <w:rFonts w:hint="default"/>
          <w:lang w:val="en-US" w:eastAsia="zh-CN"/>
        </w:rPr>
        <w:t>处理后水质能够满足回用水质要求。</w:t>
      </w:r>
    </w:p>
    <w:p>
      <w:pPr>
        <w:pStyle w:val="17"/>
        <w:bidi w:val="0"/>
        <w:rPr>
          <w:rFonts w:hint="default"/>
          <w:b/>
          <w:bCs/>
          <w:lang w:val="zh-CN"/>
        </w:rPr>
      </w:pPr>
      <w:r>
        <w:rPr>
          <w:rFonts w:hint="default"/>
          <w:b/>
          <w:bCs/>
        </w:rPr>
        <w:t>表7.2-1</w:t>
      </w:r>
      <w:r>
        <w:rPr>
          <w:rFonts w:hint="eastAsia"/>
          <w:b/>
          <w:bCs/>
          <w:lang w:val="en-US" w:eastAsia="zh-CN"/>
        </w:rPr>
        <w:t xml:space="preserve">   </w:t>
      </w:r>
      <w:r>
        <w:rPr>
          <w:rFonts w:hint="default"/>
          <w:b/>
          <w:bCs/>
        </w:rPr>
        <w:t>清洗水处理效果一览表</w:t>
      </w:r>
    </w:p>
    <w:tbl>
      <w:tblPr>
        <w:tblStyle w:val="13"/>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95"/>
        <w:gridCol w:w="1776"/>
        <w:gridCol w:w="1712"/>
        <w:gridCol w:w="1728"/>
        <w:gridCol w:w="15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295" w:type="dxa"/>
            <w:tcBorders>
              <w:tl2br w:val="nil"/>
              <w:tr2bl w:val="nil"/>
            </w:tcBorders>
            <w:vAlign w:val="center"/>
          </w:tcPr>
          <w:p>
            <w:pPr>
              <w:pStyle w:val="17"/>
              <w:bidi w:val="0"/>
              <w:rPr>
                <w:rFonts w:hint="default"/>
                <w:b/>
                <w:bCs/>
                <w:lang w:val="zh-CN"/>
              </w:rPr>
            </w:pPr>
          </w:p>
        </w:tc>
        <w:tc>
          <w:tcPr>
            <w:tcW w:w="1776" w:type="dxa"/>
            <w:tcBorders>
              <w:tl2br w:val="nil"/>
              <w:tr2bl w:val="nil"/>
            </w:tcBorders>
            <w:vAlign w:val="center"/>
          </w:tcPr>
          <w:p>
            <w:pPr>
              <w:pStyle w:val="17"/>
              <w:bidi w:val="0"/>
              <w:rPr>
                <w:rFonts w:hint="default"/>
                <w:b/>
                <w:bCs/>
              </w:rPr>
            </w:pPr>
            <w:r>
              <w:rPr>
                <w:rFonts w:hint="default"/>
                <w:b/>
                <w:bCs/>
              </w:rPr>
              <w:t>COD</w:t>
            </w:r>
          </w:p>
        </w:tc>
        <w:tc>
          <w:tcPr>
            <w:tcW w:w="1712" w:type="dxa"/>
            <w:tcBorders>
              <w:tl2br w:val="nil"/>
              <w:tr2bl w:val="nil"/>
            </w:tcBorders>
            <w:vAlign w:val="center"/>
          </w:tcPr>
          <w:p>
            <w:pPr>
              <w:pStyle w:val="17"/>
              <w:bidi w:val="0"/>
              <w:rPr>
                <w:rFonts w:hint="default"/>
                <w:b/>
                <w:bCs/>
                <w:lang w:val="zh-CN"/>
              </w:rPr>
            </w:pPr>
            <w:r>
              <w:rPr>
                <w:rFonts w:hint="default"/>
                <w:b/>
                <w:bCs/>
              </w:rPr>
              <w:t>BOD</w:t>
            </w:r>
            <w:r>
              <w:rPr>
                <w:rFonts w:hint="default"/>
                <w:b/>
                <w:bCs/>
                <w:vertAlign w:val="subscript"/>
              </w:rPr>
              <w:t>5</w:t>
            </w:r>
          </w:p>
        </w:tc>
        <w:tc>
          <w:tcPr>
            <w:tcW w:w="1728" w:type="dxa"/>
            <w:tcBorders>
              <w:tl2br w:val="nil"/>
              <w:tr2bl w:val="nil"/>
            </w:tcBorders>
            <w:vAlign w:val="center"/>
          </w:tcPr>
          <w:p>
            <w:pPr>
              <w:pStyle w:val="17"/>
              <w:bidi w:val="0"/>
              <w:rPr>
                <w:rFonts w:hint="default"/>
                <w:b/>
                <w:bCs/>
                <w:lang w:val="zh-CN"/>
              </w:rPr>
            </w:pPr>
            <w:r>
              <w:rPr>
                <w:rFonts w:hint="default"/>
                <w:b/>
                <w:bCs/>
              </w:rPr>
              <w:t>SS</w:t>
            </w:r>
          </w:p>
        </w:tc>
        <w:tc>
          <w:tcPr>
            <w:tcW w:w="1560" w:type="dxa"/>
            <w:tcBorders>
              <w:tl2br w:val="nil"/>
              <w:tr2bl w:val="nil"/>
            </w:tcBorders>
            <w:vAlign w:val="center"/>
          </w:tcPr>
          <w:p>
            <w:pPr>
              <w:pStyle w:val="17"/>
              <w:bidi w:val="0"/>
              <w:rPr>
                <w:rFonts w:hint="default"/>
                <w:b/>
                <w:bCs/>
                <w:lang w:val="zh-CN"/>
              </w:rPr>
            </w:pPr>
            <w:r>
              <w:rPr>
                <w:rFonts w:hint="default"/>
                <w:b/>
                <w:bCs/>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2295" w:type="dxa"/>
            <w:tcBorders>
              <w:tl2br w:val="nil"/>
              <w:tr2bl w:val="nil"/>
            </w:tcBorders>
            <w:vAlign w:val="center"/>
          </w:tcPr>
          <w:p>
            <w:pPr>
              <w:pStyle w:val="17"/>
              <w:bidi w:val="0"/>
              <w:rPr>
                <w:rFonts w:hint="default"/>
                <w:lang w:val="zh-CN"/>
              </w:rPr>
            </w:pPr>
            <w:r>
              <w:rPr>
                <w:rFonts w:hint="default"/>
              </w:rPr>
              <w:t>进水浓度（mg/L）</w:t>
            </w:r>
          </w:p>
        </w:tc>
        <w:tc>
          <w:tcPr>
            <w:tcW w:w="1776" w:type="dxa"/>
            <w:tcBorders>
              <w:tl2br w:val="nil"/>
              <w:tr2bl w:val="nil"/>
            </w:tcBorders>
            <w:vAlign w:val="center"/>
          </w:tcPr>
          <w:p>
            <w:pPr>
              <w:pStyle w:val="17"/>
              <w:bidi w:val="0"/>
              <w:rPr>
                <w:rFonts w:hint="default"/>
                <w:lang w:val="zh-CN"/>
              </w:rPr>
            </w:pPr>
            <w:r>
              <w:rPr>
                <w:rFonts w:hint="default"/>
              </w:rPr>
              <w:t>350</w:t>
            </w:r>
          </w:p>
        </w:tc>
        <w:tc>
          <w:tcPr>
            <w:tcW w:w="1712" w:type="dxa"/>
            <w:tcBorders>
              <w:tl2br w:val="nil"/>
              <w:tr2bl w:val="nil"/>
            </w:tcBorders>
            <w:vAlign w:val="center"/>
          </w:tcPr>
          <w:p>
            <w:pPr>
              <w:pStyle w:val="17"/>
              <w:bidi w:val="0"/>
              <w:rPr>
                <w:rFonts w:hint="default"/>
                <w:lang w:val="zh-CN"/>
              </w:rPr>
            </w:pPr>
            <w:r>
              <w:rPr>
                <w:rFonts w:hint="default"/>
              </w:rPr>
              <w:t>300</w:t>
            </w:r>
          </w:p>
        </w:tc>
        <w:tc>
          <w:tcPr>
            <w:tcW w:w="1728" w:type="dxa"/>
            <w:tcBorders>
              <w:tl2br w:val="nil"/>
              <w:tr2bl w:val="nil"/>
            </w:tcBorders>
            <w:vAlign w:val="center"/>
          </w:tcPr>
          <w:p>
            <w:pPr>
              <w:pStyle w:val="17"/>
              <w:bidi w:val="0"/>
              <w:rPr>
                <w:rFonts w:hint="default"/>
                <w:lang w:val="zh-CN"/>
              </w:rPr>
            </w:pPr>
            <w:r>
              <w:rPr>
                <w:rFonts w:hint="eastAsia"/>
                <w:lang w:val="en-US" w:eastAsia="zh-CN"/>
              </w:rPr>
              <w:t>3</w:t>
            </w:r>
            <w:r>
              <w:rPr>
                <w:rFonts w:hint="default"/>
              </w:rPr>
              <w:t>00</w:t>
            </w:r>
          </w:p>
        </w:tc>
        <w:tc>
          <w:tcPr>
            <w:tcW w:w="1560" w:type="dxa"/>
            <w:tcBorders>
              <w:tl2br w:val="nil"/>
              <w:tr2bl w:val="nil"/>
            </w:tcBorders>
            <w:vAlign w:val="center"/>
          </w:tcPr>
          <w:p>
            <w:pPr>
              <w:pStyle w:val="17"/>
              <w:bidi w:val="0"/>
              <w:rPr>
                <w:rFonts w:hint="default"/>
                <w:lang w:val="zh-CN"/>
              </w:rPr>
            </w:pPr>
            <w:r>
              <w:rPr>
                <w:rFonts w:hint="default"/>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295" w:type="dxa"/>
            <w:tcBorders>
              <w:tl2br w:val="nil"/>
              <w:tr2bl w:val="nil"/>
            </w:tcBorders>
            <w:vAlign w:val="center"/>
          </w:tcPr>
          <w:p>
            <w:pPr>
              <w:pStyle w:val="17"/>
              <w:bidi w:val="0"/>
              <w:rPr>
                <w:rFonts w:hint="default"/>
                <w:lang w:val="zh-CN"/>
              </w:rPr>
            </w:pPr>
            <w:r>
              <w:rPr>
                <w:rFonts w:hint="default"/>
              </w:rPr>
              <w:t>去除效率（%）</w:t>
            </w:r>
          </w:p>
        </w:tc>
        <w:tc>
          <w:tcPr>
            <w:tcW w:w="1776" w:type="dxa"/>
            <w:tcBorders>
              <w:tl2br w:val="nil"/>
              <w:tr2bl w:val="nil"/>
            </w:tcBorders>
            <w:vAlign w:val="center"/>
          </w:tcPr>
          <w:p>
            <w:pPr>
              <w:pStyle w:val="17"/>
              <w:bidi w:val="0"/>
              <w:rPr>
                <w:rFonts w:hint="default"/>
                <w:lang w:val="en-US" w:eastAsia="zh-CN"/>
              </w:rPr>
            </w:pPr>
            <w:r>
              <w:rPr>
                <w:rFonts w:hint="default"/>
                <w:lang w:val="en-US" w:eastAsia="zh-CN"/>
              </w:rPr>
              <w:t>75</w:t>
            </w:r>
          </w:p>
        </w:tc>
        <w:tc>
          <w:tcPr>
            <w:tcW w:w="1712" w:type="dxa"/>
            <w:tcBorders>
              <w:tl2br w:val="nil"/>
              <w:tr2bl w:val="nil"/>
            </w:tcBorders>
            <w:vAlign w:val="center"/>
          </w:tcPr>
          <w:p>
            <w:pPr>
              <w:pStyle w:val="17"/>
              <w:bidi w:val="0"/>
              <w:rPr>
                <w:rFonts w:hint="default"/>
                <w:lang w:val="en-US" w:eastAsia="zh-CN"/>
              </w:rPr>
            </w:pPr>
            <w:r>
              <w:rPr>
                <w:rFonts w:hint="default"/>
                <w:lang w:val="en-US" w:eastAsia="zh-CN"/>
              </w:rPr>
              <w:t>75</w:t>
            </w:r>
          </w:p>
        </w:tc>
        <w:tc>
          <w:tcPr>
            <w:tcW w:w="1728" w:type="dxa"/>
            <w:tcBorders>
              <w:tl2br w:val="nil"/>
              <w:tr2bl w:val="nil"/>
            </w:tcBorders>
            <w:vAlign w:val="center"/>
          </w:tcPr>
          <w:p>
            <w:pPr>
              <w:pStyle w:val="17"/>
              <w:bidi w:val="0"/>
              <w:rPr>
                <w:rFonts w:hint="default"/>
                <w:lang w:val="en-US" w:eastAsia="zh-CN"/>
              </w:rPr>
            </w:pPr>
            <w:r>
              <w:rPr>
                <w:rFonts w:hint="eastAsia"/>
                <w:lang w:val="en-US" w:eastAsia="zh-CN"/>
              </w:rPr>
              <w:t>86.67</w:t>
            </w:r>
          </w:p>
        </w:tc>
        <w:tc>
          <w:tcPr>
            <w:tcW w:w="1560" w:type="dxa"/>
            <w:tcBorders>
              <w:tl2br w:val="nil"/>
              <w:tr2bl w:val="nil"/>
            </w:tcBorders>
            <w:vAlign w:val="center"/>
          </w:tcPr>
          <w:p>
            <w:pPr>
              <w:pStyle w:val="17"/>
              <w:bidi w:val="0"/>
              <w:rPr>
                <w:rFonts w:hint="default"/>
                <w:lang w:val="en-US" w:eastAsia="zh-CN"/>
              </w:rPr>
            </w:pPr>
            <w:r>
              <w:rPr>
                <w:rFonts w:hint="eastAsia"/>
                <w:lang w:val="en-US" w:eastAsia="zh-CN"/>
              </w:rPr>
              <w:t>16.67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295" w:type="dxa"/>
            <w:tcBorders>
              <w:tl2br w:val="nil"/>
              <w:tr2bl w:val="nil"/>
            </w:tcBorders>
            <w:vAlign w:val="center"/>
          </w:tcPr>
          <w:p>
            <w:pPr>
              <w:pStyle w:val="17"/>
              <w:bidi w:val="0"/>
              <w:rPr>
                <w:rFonts w:hint="default"/>
                <w:lang w:val="zh-CN"/>
              </w:rPr>
            </w:pPr>
            <w:r>
              <w:rPr>
                <w:rFonts w:hint="default"/>
              </w:rPr>
              <w:t>出水浓度（mg/L）</w:t>
            </w:r>
          </w:p>
        </w:tc>
        <w:tc>
          <w:tcPr>
            <w:tcW w:w="1776" w:type="dxa"/>
            <w:tcBorders>
              <w:tl2br w:val="nil"/>
              <w:tr2bl w:val="nil"/>
            </w:tcBorders>
            <w:vAlign w:val="center"/>
          </w:tcPr>
          <w:p>
            <w:pPr>
              <w:pStyle w:val="17"/>
              <w:bidi w:val="0"/>
              <w:rPr>
                <w:rFonts w:hint="default"/>
                <w:lang w:val="en-US" w:eastAsia="zh-CN"/>
              </w:rPr>
            </w:pPr>
            <w:r>
              <w:rPr>
                <w:rFonts w:hint="default"/>
                <w:lang w:val="en-US" w:eastAsia="zh-CN"/>
              </w:rPr>
              <w:t>87.5</w:t>
            </w:r>
          </w:p>
        </w:tc>
        <w:tc>
          <w:tcPr>
            <w:tcW w:w="1712" w:type="dxa"/>
            <w:tcBorders>
              <w:tl2br w:val="nil"/>
              <w:tr2bl w:val="nil"/>
            </w:tcBorders>
            <w:vAlign w:val="center"/>
          </w:tcPr>
          <w:p>
            <w:pPr>
              <w:pStyle w:val="17"/>
              <w:bidi w:val="0"/>
              <w:rPr>
                <w:rFonts w:hint="default"/>
                <w:lang w:val="en-US" w:eastAsia="zh-CN"/>
              </w:rPr>
            </w:pPr>
            <w:r>
              <w:rPr>
                <w:rFonts w:hint="default"/>
                <w:lang w:val="en-US" w:eastAsia="zh-CN"/>
              </w:rPr>
              <w:t>75</w:t>
            </w:r>
          </w:p>
        </w:tc>
        <w:tc>
          <w:tcPr>
            <w:tcW w:w="1728" w:type="dxa"/>
            <w:tcBorders>
              <w:tl2br w:val="nil"/>
              <w:tr2bl w:val="nil"/>
            </w:tcBorders>
            <w:vAlign w:val="center"/>
          </w:tcPr>
          <w:p>
            <w:pPr>
              <w:pStyle w:val="17"/>
              <w:bidi w:val="0"/>
              <w:rPr>
                <w:rFonts w:hint="default"/>
                <w:lang w:val="en-US" w:eastAsia="zh-CN"/>
              </w:rPr>
            </w:pPr>
            <w:r>
              <w:rPr>
                <w:rFonts w:hint="default"/>
                <w:lang w:val="en-US" w:eastAsia="zh-CN"/>
              </w:rPr>
              <w:t>40</w:t>
            </w:r>
          </w:p>
        </w:tc>
        <w:tc>
          <w:tcPr>
            <w:tcW w:w="1560" w:type="dxa"/>
            <w:tcBorders>
              <w:tl2br w:val="nil"/>
              <w:tr2bl w:val="nil"/>
            </w:tcBorders>
            <w:vAlign w:val="center"/>
          </w:tcPr>
          <w:p>
            <w:pPr>
              <w:pStyle w:val="17"/>
              <w:bidi w:val="0"/>
              <w:rPr>
                <w:rFonts w:hint="default"/>
                <w:lang w:val="en-US" w:eastAsia="zh-CN"/>
              </w:rPr>
            </w:pPr>
            <w:r>
              <w:rPr>
                <w:rFonts w:hint="eastAsia"/>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295" w:type="dxa"/>
            <w:tcBorders>
              <w:tl2br w:val="nil"/>
              <w:tr2bl w:val="nil"/>
            </w:tcBorders>
            <w:vAlign w:val="center"/>
          </w:tcPr>
          <w:p>
            <w:pPr>
              <w:pStyle w:val="17"/>
              <w:bidi w:val="0"/>
              <w:rPr>
                <w:rFonts w:hint="default"/>
                <w:lang w:val="zh-CN"/>
              </w:rPr>
            </w:pPr>
            <w:r>
              <w:rPr>
                <w:rFonts w:hint="default"/>
              </w:rPr>
              <w:t>回用水质要求（mg/L）</w:t>
            </w:r>
          </w:p>
        </w:tc>
        <w:tc>
          <w:tcPr>
            <w:tcW w:w="1776" w:type="dxa"/>
            <w:tcBorders>
              <w:tl2br w:val="nil"/>
              <w:tr2bl w:val="nil"/>
            </w:tcBorders>
            <w:vAlign w:val="center"/>
          </w:tcPr>
          <w:p>
            <w:pPr>
              <w:pStyle w:val="17"/>
              <w:bidi w:val="0"/>
              <w:rPr>
                <w:rFonts w:hint="default"/>
                <w:lang w:val="zh-CN"/>
              </w:rPr>
            </w:pPr>
            <w:r>
              <w:rPr>
                <w:rFonts w:hint="default"/>
              </w:rPr>
              <w:t>150</w:t>
            </w:r>
          </w:p>
        </w:tc>
        <w:tc>
          <w:tcPr>
            <w:tcW w:w="1712" w:type="dxa"/>
            <w:tcBorders>
              <w:tl2br w:val="nil"/>
              <w:tr2bl w:val="nil"/>
            </w:tcBorders>
            <w:vAlign w:val="center"/>
          </w:tcPr>
          <w:p>
            <w:pPr>
              <w:pStyle w:val="17"/>
              <w:bidi w:val="0"/>
              <w:rPr>
                <w:rFonts w:hint="default"/>
                <w:lang w:val="zh-CN"/>
              </w:rPr>
            </w:pPr>
            <w:r>
              <w:rPr>
                <w:rFonts w:hint="default"/>
              </w:rPr>
              <w:t>100</w:t>
            </w:r>
          </w:p>
        </w:tc>
        <w:tc>
          <w:tcPr>
            <w:tcW w:w="1728" w:type="dxa"/>
            <w:tcBorders>
              <w:tl2br w:val="nil"/>
              <w:tr2bl w:val="nil"/>
            </w:tcBorders>
            <w:vAlign w:val="center"/>
          </w:tcPr>
          <w:p>
            <w:pPr>
              <w:pStyle w:val="17"/>
              <w:bidi w:val="0"/>
              <w:rPr>
                <w:rFonts w:hint="default"/>
                <w:lang w:val="zh-CN"/>
              </w:rPr>
            </w:pPr>
            <w:r>
              <w:rPr>
                <w:rFonts w:hint="default"/>
              </w:rPr>
              <w:t>50</w:t>
            </w:r>
          </w:p>
        </w:tc>
        <w:tc>
          <w:tcPr>
            <w:tcW w:w="1560" w:type="dxa"/>
            <w:tcBorders>
              <w:tl2br w:val="nil"/>
              <w:tr2bl w:val="nil"/>
            </w:tcBorders>
            <w:vAlign w:val="center"/>
          </w:tcPr>
          <w:p>
            <w:pPr>
              <w:pStyle w:val="17"/>
              <w:bidi w:val="0"/>
              <w:rPr>
                <w:rFonts w:hint="default"/>
                <w:lang w:val="zh-CN"/>
              </w:rPr>
            </w:pPr>
            <w:r>
              <w:rPr>
                <w:rFonts w:hint="default"/>
              </w:rPr>
              <w:t>40</w:t>
            </w:r>
          </w:p>
        </w:tc>
      </w:tr>
    </w:tbl>
    <w:p>
      <w:pPr>
        <w:bidi w:val="0"/>
        <w:rPr>
          <w:rFonts w:hint="default"/>
        </w:rPr>
      </w:pPr>
      <w:r>
        <w:rPr>
          <w:rFonts w:hint="default"/>
          <w:lang w:val="en-US" w:eastAsia="zh-CN"/>
        </w:rPr>
        <w:t>由表可知，</w:t>
      </w:r>
      <w:r>
        <w:rPr>
          <w:rFonts w:hint="default"/>
        </w:rPr>
        <w:t>本项目废水经过</w:t>
      </w:r>
      <w:r>
        <w:rPr>
          <w:rFonts w:hint="default"/>
          <w:lang w:val="en-US" w:eastAsia="zh-CN"/>
        </w:rPr>
        <w:t>沉淀过滤</w:t>
      </w:r>
      <w:r>
        <w:rPr>
          <w:rFonts w:hint="eastAsia"/>
          <w:lang w:val="en-US" w:eastAsia="zh-CN"/>
        </w:rPr>
        <w:t>+地埋式污水设施</w:t>
      </w:r>
      <w:r>
        <w:rPr>
          <w:rFonts w:hint="default"/>
        </w:rPr>
        <w:t>处理后完全可以满足生产用水水质要求，出水稳定，从水质角度分析，生产过程中原料清洗废水和螺旋挤压脱水机脱下的水均排入</w:t>
      </w:r>
      <w:r>
        <w:rPr>
          <w:rFonts w:hint="default"/>
          <w:lang w:val="en-US" w:eastAsia="zh-CN"/>
        </w:rPr>
        <w:t>沉淀过滤</w:t>
      </w:r>
      <w:r>
        <w:rPr>
          <w:rFonts w:hint="eastAsia"/>
          <w:lang w:val="en-US" w:eastAsia="zh-CN"/>
        </w:rPr>
        <w:t>+地埋式污水设施处理</w:t>
      </w:r>
      <w:r>
        <w:rPr>
          <w:rFonts w:hint="default"/>
        </w:rPr>
        <w:t>后循环使用是可行的。</w:t>
      </w:r>
    </w:p>
    <w:p>
      <w:pPr>
        <w:bidi w:val="0"/>
        <w:rPr>
          <w:rFonts w:hint="default"/>
        </w:rPr>
      </w:pPr>
      <w:r>
        <w:rPr>
          <w:rFonts w:hint="default"/>
        </w:rPr>
        <w:t>（2）从水量角度分析</w:t>
      </w:r>
    </w:p>
    <w:p>
      <w:pPr>
        <w:bidi w:val="0"/>
        <w:rPr>
          <w:rFonts w:hint="default"/>
        </w:rPr>
      </w:pPr>
      <w:r>
        <w:rPr>
          <w:rFonts w:hint="default"/>
        </w:rPr>
        <w:t>本项目废水流量</w:t>
      </w:r>
      <w:r>
        <w:rPr>
          <w:rFonts w:hint="eastAsia"/>
          <w:lang w:val="en-US" w:eastAsia="zh-CN"/>
        </w:rPr>
        <w:t>50.1</w:t>
      </w:r>
      <w:r>
        <w:rPr>
          <w:rFonts w:hint="eastAsia"/>
          <w:lang w:eastAsia="zh-CN"/>
        </w:rPr>
        <w:t>m³</w:t>
      </w:r>
      <w:r>
        <w:rPr>
          <w:rFonts w:hint="default"/>
        </w:rPr>
        <w:t>/d，</w:t>
      </w:r>
      <w:r>
        <w:rPr>
          <w:rFonts w:hint="eastAsia"/>
          <w:lang w:val="en-US" w:eastAsia="zh-CN"/>
        </w:rPr>
        <w:t>2.1</w:t>
      </w:r>
      <w:r>
        <w:rPr>
          <w:rFonts w:hint="eastAsia"/>
          <w:lang w:eastAsia="zh-CN"/>
        </w:rPr>
        <w:t>m³</w:t>
      </w:r>
      <w:r>
        <w:rPr>
          <w:rFonts w:hint="default"/>
        </w:rPr>
        <w:t>/h，废水先排入排入沉淀池，经过</w:t>
      </w:r>
      <w:r>
        <w:rPr>
          <w:rFonts w:hint="default"/>
          <w:lang w:val="en-US" w:eastAsia="zh-CN"/>
        </w:rPr>
        <w:t>沉淀过滤</w:t>
      </w:r>
      <w:r>
        <w:rPr>
          <w:rFonts w:hint="default"/>
        </w:rPr>
        <w:t>后</w:t>
      </w:r>
      <w:r>
        <w:rPr>
          <w:rFonts w:hint="eastAsia"/>
          <w:lang w:val="en-US" w:eastAsia="zh-CN"/>
        </w:rPr>
        <w:t>进入地埋式污水处理设施</w:t>
      </w:r>
      <w:r>
        <w:rPr>
          <w:rFonts w:hint="default"/>
        </w:rPr>
        <w:t>，</w:t>
      </w:r>
      <w:r>
        <w:rPr>
          <w:rFonts w:hint="default"/>
          <w:lang w:val="en-US" w:eastAsia="zh-CN"/>
        </w:rPr>
        <w:t>沉淀过滤</w:t>
      </w:r>
      <w:r>
        <w:rPr>
          <w:rFonts w:hint="default"/>
        </w:rPr>
        <w:t>时间为</w:t>
      </w:r>
      <w:r>
        <w:rPr>
          <w:rFonts w:hint="default"/>
          <w:lang w:val="en-US" w:eastAsia="zh-CN"/>
        </w:rPr>
        <w:t>8-10</w:t>
      </w:r>
      <w:r>
        <w:rPr>
          <w:rFonts w:hint="default"/>
        </w:rPr>
        <w:t>h，停留时间内最大水量为</w:t>
      </w:r>
      <w:r>
        <w:rPr>
          <w:rFonts w:hint="eastAsia"/>
          <w:lang w:val="en-US" w:eastAsia="zh-CN"/>
        </w:rPr>
        <w:t>22</w:t>
      </w:r>
      <w:r>
        <w:rPr>
          <w:rFonts w:hint="eastAsia"/>
          <w:lang w:eastAsia="zh-CN"/>
        </w:rPr>
        <w:t>m³</w:t>
      </w:r>
      <w:r>
        <w:rPr>
          <w:rFonts w:hint="default"/>
        </w:rPr>
        <w:t>，为保证处理效率，故池体容积至少应满足存储</w:t>
      </w:r>
      <w:r>
        <w:rPr>
          <w:rFonts w:hint="eastAsia"/>
          <w:lang w:val="en-US" w:eastAsia="zh-CN"/>
        </w:rPr>
        <w:t>24</w:t>
      </w:r>
      <w:r>
        <w:rPr>
          <w:rFonts w:hint="default"/>
        </w:rPr>
        <w:t>h水量需求，本项目沉淀池、</w:t>
      </w:r>
      <w:r>
        <w:rPr>
          <w:rFonts w:hint="default"/>
          <w:lang w:val="en-US" w:eastAsia="zh-CN"/>
        </w:rPr>
        <w:t>过滤</w:t>
      </w:r>
      <w:r>
        <w:rPr>
          <w:rFonts w:hint="default"/>
        </w:rPr>
        <w:t>池及清水池容积均须大于</w:t>
      </w:r>
      <w:r>
        <w:rPr>
          <w:rFonts w:hint="eastAsia"/>
          <w:lang w:val="en-US" w:eastAsia="zh-CN"/>
        </w:rPr>
        <w:t>110</w:t>
      </w:r>
      <w:r>
        <w:rPr>
          <w:rFonts w:hint="eastAsia"/>
          <w:lang w:eastAsia="zh-CN"/>
        </w:rPr>
        <w:t>m³</w:t>
      </w:r>
      <w:r>
        <w:rPr>
          <w:rFonts w:hint="default"/>
        </w:rPr>
        <w:t>，方可满足沉淀需求。本项目</w:t>
      </w:r>
      <w:r>
        <w:rPr>
          <w:rFonts w:hint="default"/>
          <w:lang w:val="en-US" w:eastAsia="zh-CN"/>
        </w:rPr>
        <w:t>沉淀过滤</w:t>
      </w:r>
      <w:r>
        <w:rPr>
          <w:rFonts w:hint="eastAsia"/>
          <w:lang w:val="en-US" w:eastAsia="zh-CN"/>
        </w:rPr>
        <w:t>+地埋式污水设施</w:t>
      </w:r>
      <w:r>
        <w:rPr>
          <w:rFonts w:hint="default"/>
        </w:rPr>
        <w:t>处理设计处理规模为</w:t>
      </w:r>
      <w:r>
        <w:rPr>
          <w:rFonts w:hint="eastAsia"/>
          <w:lang w:val="en-US" w:eastAsia="zh-CN"/>
        </w:rPr>
        <w:t>50</w:t>
      </w:r>
      <w:r>
        <w:rPr>
          <w:rFonts w:hint="eastAsia"/>
          <w:lang w:eastAsia="zh-CN"/>
        </w:rPr>
        <w:t>m³</w:t>
      </w:r>
      <w:r>
        <w:rPr>
          <w:rFonts w:hint="default"/>
        </w:rPr>
        <w:t>/h，总容积为</w:t>
      </w:r>
      <w:r>
        <w:rPr>
          <w:rFonts w:hint="eastAsia"/>
          <w:lang w:val="en-US" w:eastAsia="zh-CN"/>
        </w:rPr>
        <w:t>200</w:t>
      </w:r>
      <w:r>
        <w:rPr>
          <w:rFonts w:hint="eastAsia"/>
          <w:lang w:eastAsia="zh-CN"/>
        </w:rPr>
        <w:t>m³</w:t>
      </w:r>
      <w:r>
        <w:rPr>
          <w:rFonts w:hint="default"/>
        </w:rPr>
        <w:t>，故在水量角度分析本项目生产废水防治措施合理可行。</w:t>
      </w:r>
    </w:p>
    <w:p>
      <w:pPr>
        <w:pStyle w:val="6"/>
        <w:bidi w:val="0"/>
        <w:rPr>
          <w:rFonts w:hint="default"/>
        </w:rPr>
      </w:pPr>
      <w:r>
        <w:rPr>
          <w:rFonts w:hint="default"/>
        </w:rPr>
        <w:t>7.2.2.2</w:t>
      </w:r>
      <w:r>
        <w:rPr>
          <w:rFonts w:hint="eastAsia"/>
          <w:lang w:eastAsia="zh-CN"/>
        </w:rPr>
        <w:t>、</w:t>
      </w:r>
      <w:r>
        <w:rPr>
          <w:rFonts w:hint="default"/>
        </w:rPr>
        <w:t>生活污水防治措施可行性</w:t>
      </w:r>
    </w:p>
    <w:p>
      <w:pPr>
        <w:bidi w:val="0"/>
        <w:rPr>
          <w:rFonts w:hint="default"/>
          <w:lang w:val="en-US"/>
        </w:rPr>
      </w:pPr>
      <w:r>
        <w:rPr>
          <w:rFonts w:hint="default"/>
          <w:lang w:val="en-US"/>
        </w:rPr>
        <w:t>生活污水中不含有毒有害物质，主要污染物为COD</w:t>
      </w:r>
      <w:r>
        <w:rPr>
          <w:rFonts w:hint="default"/>
          <w:vertAlign w:val="subscript"/>
          <w:lang w:val="en-US"/>
        </w:rPr>
        <w:t>Cr</w:t>
      </w:r>
      <w:r>
        <w:rPr>
          <w:rFonts w:hint="default"/>
          <w:lang w:val="en-US"/>
        </w:rPr>
        <w:t>、BOD</w:t>
      </w:r>
      <w:r>
        <w:rPr>
          <w:rFonts w:hint="default"/>
          <w:vertAlign w:val="subscript"/>
          <w:lang w:val="en-US"/>
        </w:rPr>
        <w:t>5</w:t>
      </w:r>
      <w:r>
        <w:rPr>
          <w:rFonts w:hint="default"/>
          <w:lang w:val="en-US"/>
        </w:rPr>
        <w:t>、SS、NH</w:t>
      </w:r>
      <w:r>
        <w:rPr>
          <w:rFonts w:hint="default"/>
          <w:vertAlign w:val="subscript"/>
          <w:lang w:val="en-US"/>
        </w:rPr>
        <w:t>3</w:t>
      </w:r>
      <w:r>
        <w:rPr>
          <w:rFonts w:hint="default"/>
          <w:lang w:val="en-US"/>
        </w:rPr>
        <w:t>-N等，其中厨房废水经隔油池处理，再同其他生活废水</w:t>
      </w:r>
      <w:r>
        <w:rPr>
          <w:rFonts w:hint="eastAsia"/>
          <w:lang w:val="en-US" w:eastAsia="zh-CN"/>
        </w:rPr>
        <w:t>抽运至吉木萨尔二工镇污水处理厂进行后续处理</w:t>
      </w:r>
      <w:r>
        <w:rPr>
          <w:rFonts w:hint="default"/>
          <w:lang w:val="en-US"/>
        </w:rPr>
        <w:t>。</w:t>
      </w:r>
    </w:p>
    <w:p>
      <w:pPr>
        <w:pStyle w:val="6"/>
        <w:bidi w:val="0"/>
        <w:rPr>
          <w:rFonts w:hint="default"/>
        </w:rPr>
      </w:pPr>
      <w:r>
        <w:rPr>
          <w:rFonts w:hint="default"/>
        </w:rPr>
        <w:t>7.2.2.3</w:t>
      </w:r>
      <w:r>
        <w:rPr>
          <w:rFonts w:hint="eastAsia"/>
          <w:lang w:eastAsia="zh-CN"/>
        </w:rPr>
        <w:t>、</w:t>
      </w:r>
      <w:r>
        <w:rPr>
          <w:rFonts w:hint="default"/>
        </w:rPr>
        <w:t>小结</w:t>
      </w:r>
    </w:p>
    <w:p>
      <w:pPr>
        <w:bidi w:val="0"/>
        <w:rPr>
          <w:rFonts w:hint="default"/>
          <w:lang w:val="en-US"/>
        </w:rPr>
      </w:pPr>
      <w:r>
        <w:rPr>
          <w:rFonts w:hint="default"/>
          <w:lang w:val="en-US"/>
        </w:rPr>
        <w:t>本项目生产废水和生活污水的处理符合《废塑料回收与再生利用污染控制技术规范（试行）》（HJ/T364-2007）中的相关要求。本项目废水的治理措施成熟、可靠，简单、有效，从技术上来讲是可行的。</w:t>
      </w:r>
    </w:p>
    <w:p>
      <w:pPr>
        <w:pStyle w:val="5"/>
        <w:bidi w:val="0"/>
        <w:rPr>
          <w:rFonts w:hint="default"/>
        </w:rPr>
      </w:pPr>
      <w:bookmarkStart w:id="306" w:name="_Toc471765713"/>
      <w:bookmarkStart w:id="307" w:name="_Toc6755_WPSOffice_Level3"/>
      <w:bookmarkStart w:id="308" w:name="_Toc3929"/>
      <w:r>
        <w:rPr>
          <w:rFonts w:hint="default"/>
        </w:rPr>
        <w:t>7.2.3</w:t>
      </w:r>
      <w:r>
        <w:rPr>
          <w:rFonts w:hint="eastAsia"/>
          <w:lang w:eastAsia="zh-CN"/>
        </w:rPr>
        <w:t>、</w:t>
      </w:r>
      <w:r>
        <w:rPr>
          <w:rFonts w:hint="default"/>
        </w:rPr>
        <w:t>运营期噪声防治措施</w:t>
      </w:r>
      <w:bookmarkEnd w:id="306"/>
      <w:bookmarkEnd w:id="307"/>
      <w:bookmarkEnd w:id="308"/>
    </w:p>
    <w:p>
      <w:pPr>
        <w:bidi w:val="0"/>
        <w:rPr>
          <w:rFonts w:hint="default"/>
        </w:rPr>
      </w:pPr>
      <w:r>
        <w:rPr>
          <w:rFonts w:hint="default"/>
        </w:rPr>
        <w:t>本项目拟采取的噪声治理措施包括：</w:t>
      </w:r>
    </w:p>
    <w:p>
      <w:pPr>
        <w:bidi w:val="0"/>
        <w:rPr>
          <w:rFonts w:hint="default"/>
        </w:rPr>
      </w:pPr>
      <w:r>
        <w:rPr>
          <w:rFonts w:hint="default"/>
        </w:rPr>
        <w:t>（1）从噪声源入手，在采购设备时选择低噪声、低振动的设备；</w:t>
      </w:r>
    </w:p>
    <w:p>
      <w:pPr>
        <w:bidi w:val="0"/>
        <w:rPr>
          <w:rFonts w:hint="default"/>
        </w:rPr>
      </w:pPr>
      <w:r>
        <w:rPr>
          <w:rFonts w:hint="default"/>
        </w:rPr>
        <w:t>（2）减振法：安装减振基础、减振垫以降低设备振动噪声；</w:t>
      </w:r>
    </w:p>
    <w:p>
      <w:pPr>
        <w:bidi w:val="0"/>
        <w:rPr>
          <w:rFonts w:hint="default"/>
        </w:rPr>
      </w:pPr>
      <w:r>
        <w:rPr>
          <w:rFonts w:hint="default"/>
        </w:rPr>
        <w:t>（3）消声法：安装消声器以降低气流噪声等；</w:t>
      </w:r>
    </w:p>
    <w:p>
      <w:pPr>
        <w:bidi w:val="0"/>
        <w:rPr>
          <w:rFonts w:hint="default"/>
        </w:rPr>
      </w:pPr>
      <w:r>
        <w:rPr>
          <w:rFonts w:hint="default"/>
        </w:rPr>
        <w:t>（4）隔声法：将设备安装于车间内，利用墙壁的隔声作用降低噪声值；</w:t>
      </w:r>
    </w:p>
    <w:p>
      <w:pPr>
        <w:bidi w:val="0"/>
        <w:rPr>
          <w:rFonts w:hint="default"/>
        </w:rPr>
      </w:pPr>
      <w:r>
        <w:rPr>
          <w:rFonts w:hint="default"/>
        </w:rPr>
        <w:t>（5）加强产噪设备的维护管理，避免因不正常运行所导致的噪声增大。</w:t>
      </w:r>
    </w:p>
    <w:p>
      <w:pPr>
        <w:bidi w:val="0"/>
        <w:rPr>
          <w:rFonts w:hint="default"/>
        </w:rPr>
      </w:pPr>
      <w:r>
        <w:rPr>
          <w:rFonts w:hint="default"/>
        </w:rPr>
        <w:t>（6）绿化具有较好的调温、调湿、吸灰、吸尘、净化空气、吸减噪音的功能，因此大力进行绿化造林，对环境保护、改善工作条件都有积极的意义。在厂区道路两旁及建筑物周围进行绿化。厂区内所有产生高强噪声的厂房车间周围、场区均作为绿化重点（尤其是厂房</w:t>
      </w:r>
      <w:r>
        <w:rPr>
          <w:rFonts w:hint="eastAsia"/>
          <w:lang w:val="en-US" w:eastAsia="zh-CN"/>
        </w:rPr>
        <w:t>南侧和东侧</w:t>
      </w:r>
      <w:r>
        <w:rPr>
          <w:rFonts w:hint="default"/>
        </w:rPr>
        <w:t>）。选择的树种应适应当地自然条件，一般选用较矮的常绿灌木与乔木相结合，以常绿乔木为主的配植方式。叶面粗糙、大而宽厚、带有绒毛，树冠浓密的树木吸声性能显著，尤其对高频噪声的吸收更是如此。</w:t>
      </w:r>
    </w:p>
    <w:p>
      <w:pPr>
        <w:bidi w:val="0"/>
        <w:rPr>
          <w:rFonts w:hint="default"/>
        </w:rPr>
      </w:pPr>
      <w:r>
        <w:rPr>
          <w:rFonts w:hint="default"/>
        </w:rPr>
        <w:t>上述噪声控制技术都已经较为成熟，本项目噪声治理措施约投资</w:t>
      </w:r>
      <w:r>
        <w:rPr>
          <w:rFonts w:hint="default"/>
          <w:lang w:val="en-US" w:eastAsia="zh-CN"/>
        </w:rPr>
        <w:t>6</w:t>
      </w:r>
      <w:r>
        <w:rPr>
          <w:rFonts w:hint="default"/>
        </w:rPr>
        <w:t>万元。通过采取各项减振、隔声、消声、绿化等综合治理措施，从技术角度上讲，完全可以满足噪声防治的需要，使厂界噪声满足《工业企业厂界环境噪声排放标准》（GB12348-2008）中的</w:t>
      </w:r>
      <w:r>
        <w:rPr>
          <w:rFonts w:hint="eastAsia"/>
          <w:lang w:val="en-US" w:eastAsia="zh-CN"/>
        </w:rPr>
        <w:t>2</w:t>
      </w:r>
      <w:r>
        <w:rPr>
          <w:rFonts w:hint="default"/>
        </w:rPr>
        <w:t>类区标准；从经济角度而言，其投资也较少，在可承受范围内。因此，本项目拟采取的噪声防治措施可行。</w:t>
      </w:r>
    </w:p>
    <w:p>
      <w:pPr>
        <w:pStyle w:val="5"/>
        <w:bidi w:val="0"/>
        <w:rPr>
          <w:rFonts w:hint="default"/>
        </w:rPr>
      </w:pPr>
      <w:bookmarkStart w:id="309" w:name="_Toc1384"/>
      <w:bookmarkStart w:id="310" w:name="_Toc11166_WPSOffice_Level3"/>
      <w:bookmarkStart w:id="311" w:name="_Toc471765714"/>
      <w:r>
        <w:rPr>
          <w:rFonts w:hint="default"/>
        </w:rPr>
        <w:t>7.2.4</w:t>
      </w:r>
      <w:r>
        <w:rPr>
          <w:rFonts w:hint="eastAsia"/>
          <w:lang w:eastAsia="zh-CN"/>
        </w:rPr>
        <w:t>、</w:t>
      </w:r>
      <w:r>
        <w:rPr>
          <w:rFonts w:hint="default"/>
        </w:rPr>
        <w:t>运营期固废防治措施</w:t>
      </w:r>
      <w:bookmarkEnd w:id="309"/>
      <w:bookmarkEnd w:id="310"/>
      <w:bookmarkEnd w:id="311"/>
    </w:p>
    <w:p>
      <w:pPr>
        <w:bidi w:val="0"/>
        <w:rPr>
          <w:rFonts w:hint="default"/>
        </w:rPr>
      </w:pPr>
      <w:r>
        <w:rPr>
          <w:rFonts w:hint="default"/>
        </w:rPr>
        <w:t>本项目运营期产生的固体废物包括废塑料分拣工序产生的分拣废物，产生的不合格产品，沉降池污泥，熔融挤出工序产生的废过滤网以及工作人员产生的生活垃圾等。</w:t>
      </w:r>
    </w:p>
    <w:p>
      <w:pPr>
        <w:bidi w:val="0"/>
        <w:rPr>
          <w:rFonts w:hint="default"/>
        </w:rPr>
      </w:pPr>
      <w:r>
        <w:rPr>
          <w:rFonts w:hint="default"/>
        </w:rPr>
        <w:t>生产固废中的分拣废物、不合格产品、沉降池污泥均不属于危险废物。本项目拟在库房内设固废暂存区，分拣废物可暂存于该区域，定期委托环卫部门清运至</w:t>
      </w:r>
      <w:r>
        <w:rPr>
          <w:rFonts w:hint="eastAsia"/>
          <w:lang w:eastAsia="zh-CN"/>
        </w:rPr>
        <w:t>吉木萨尔县</w:t>
      </w:r>
      <w:r>
        <w:rPr>
          <w:rFonts w:hint="default"/>
          <w:lang w:eastAsia="zh-CN"/>
        </w:rPr>
        <w:t>垃圾填埋场</w:t>
      </w:r>
      <w:r>
        <w:rPr>
          <w:rFonts w:hint="default"/>
          <w:lang w:val="en-US" w:eastAsia="zh-CN"/>
        </w:rPr>
        <w:t>垃圾填埋场</w:t>
      </w:r>
      <w:r>
        <w:rPr>
          <w:rFonts w:hint="default"/>
        </w:rPr>
        <w:t>填埋处置；沉降池污泥干化填埋，</w:t>
      </w:r>
      <w:r>
        <w:rPr>
          <w:rFonts w:hint="default"/>
          <w:lang w:val="en-US" w:eastAsia="zh-CN"/>
        </w:rPr>
        <w:t>亦送至</w:t>
      </w:r>
      <w:r>
        <w:rPr>
          <w:rFonts w:hint="eastAsia"/>
          <w:lang w:eastAsia="zh-CN"/>
        </w:rPr>
        <w:t>吉木萨尔县</w:t>
      </w:r>
      <w:r>
        <w:rPr>
          <w:rFonts w:hint="default"/>
          <w:lang w:eastAsia="zh-CN"/>
        </w:rPr>
        <w:t>垃圾填埋场</w:t>
      </w:r>
      <w:r>
        <w:rPr>
          <w:rFonts w:hint="default"/>
          <w:lang w:val="en-US" w:eastAsia="zh-CN"/>
        </w:rPr>
        <w:t>垃圾填埋场</w:t>
      </w:r>
      <w:r>
        <w:rPr>
          <w:rFonts w:hint="default"/>
        </w:rPr>
        <w:t>填埋处置；不合格产品一经产生即运至造粒车间重新造粒。</w:t>
      </w:r>
    </w:p>
    <w:p>
      <w:pPr>
        <w:bidi w:val="0"/>
        <w:rPr>
          <w:rFonts w:hint="default" w:eastAsia="宋体"/>
          <w:lang w:val="en-US" w:eastAsia="zh-CN"/>
        </w:rPr>
      </w:pPr>
      <w:r>
        <w:rPr>
          <w:rFonts w:hint="eastAsia"/>
          <w:lang w:val="en-US" w:eastAsia="zh-CN"/>
        </w:rPr>
        <w:t>本项目污水处理厂污泥有压滤机压滤脱水干化后卫生填埋。</w:t>
      </w:r>
    </w:p>
    <w:p>
      <w:pPr>
        <w:bidi w:val="0"/>
        <w:rPr>
          <w:rFonts w:hint="default"/>
        </w:rPr>
      </w:pPr>
      <w:r>
        <w:rPr>
          <w:rFonts w:hint="default"/>
        </w:rPr>
        <w:t>分拣废物外运填埋处理</w:t>
      </w:r>
      <w:r>
        <w:rPr>
          <w:rFonts w:hint="default"/>
          <w:lang w:eastAsia="zh-CN"/>
        </w:rPr>
        <w:t>，</w:t>
      </w:r>
      <w:r>
        <w:rPr>
          <w:rFonts w:hint="default"/>
        </w:rPr>
        <w:t>沉降池污泥</w:t>
      </w:r>
      <w:r>
        <w:rPr>
          <w:rFonts w:hint="default"/>
          <w:lang w:val="en-US" w:eastAsia="zh-CN"/>
        </w:rPr>
        <w:t>和生活垃圾</w:t>
      </w:r>
      <w:r>
        <w:rPr>
          <w:rFonts w:hint="default"/>
        </w:rPr>
        <w:t>统一收集后，由环卫部门转运至</w:t>
      </w:r>
      <w:r>
        <w:rPr>
          <w:rFonts w:hint="eastAsia"/>
          <w:lang w:eastAsia="zh-CN"/>
        </w:rPr>
        <w:t>吉木萨尔县</w:t>
      </w:r>
      <w:r>
        <w:rPr>
          <w:rFonts w:hint="default"/>
          <w:lang w:eastAsia="zh-CN"/>
        </w:rPr>
        <w:t>垃圾填埋场</w:t>
      </w:r>
      <w:r>
        <w:rPr>
          <w:rFonts w:hint="default"/>
        </w:rPr>
        <w:t>进行干化填埋处理</w:t>
      </w:r>
      <w:r>
        <w:rPr>
          <w:rFonts w:hint="default"/>
          <w:lang w:eastAsia="zh-CN"/>
        </w:rPr>
        <w:t>，</w:t>
      </w:r>
    </w:p>
    <w:p>
      <w:pPr>
        <w:bidi w:val="0"/>
        <w:rPr>
          <w:rFonts w:hint="default"/>
        </w:rPr>
      </w:pPr>
      <w:r>
        <w:rPr>
          <w:rFonts w:hint="default"/>
        </w:rPr>
        <w:t>本项目塑料造粒生产线在熔融挤出工序中采用 60目不锈钢过滤网对熔融状态的塑料进行过滤，使用一段时间后，过滤网将被塑料中的杂质堵塞，需定期更换过滤网，从而产生一定的废过滤网。本项目过滤网每季度更换一次，每次更换量约为30kg，则本项目塑料造粒废过滤网产生量约为0.1</w:t>
      </w:r>
      <w:r>
        <w:rPr>
          <w:rFonts w:hint="eastAsia"/>
          <w:lang w:val="en-US" w:eastAsia="zh-CN"/>
        </w:rPr>
        <w:t>8</w:t>
      </w:r>
      <w:r>
        <w:rPr>
          <w:rFonts w:hint="default"/>
        </w:rPr>
        <w:t>t/a。废过滤网为不锈钢材质，杂质主要为沙粒、木屑等，属于I类一般工业固体废物，采用专用容器妥善贮存，由厂家回收。</w:t>
      </w:r>
    </w:p>
    <w:p>
      <w:pPr>
        <w:bidi w:val="0"/>
        <w:rPr>
          <w:rFonts w:hint="default"/>
        </w:rPr>
      </w:pPr>
      <w:r>
        <w:rPr>
          <w:rFonts w:hint="default"/>
        </w:rPr>
        <w:t>生活垃圾经垃圾箱收集后由环卫部门统一清运至垃圾填埋场填埋处置。</w:t>
      </w:r>
    </w:p>
    <w:p>
      <w:pPr>
        <w:bidi w:val="0"/>
        <w:rPr>
          <w:rFonts w:hint="default" w:eastAsia="宋体"/>
          <w:lang w:val="en-US" w:eastAsia="zh-CN"/>
        </w:rPr>
      </w:pPr>
      <w:r>
        <w:rPr>
          <w:rFonts w:hint="eastAsia"/>
          <w:lang w:val="en-US" w:eastAsia="zh-CN"/>
        </w:rPr>
        <w:t>本项目产生的危险废物有三种，分别是等离子光氧一体机产生的废灯管，活性炭吸附装置产生的废活性炭，设备维养护产生的废机油，废灯管、废活性炭、废机油均储存在按相关规范设置的危险废物暂存间暂存，定期交由具有相应处理资质的单位进行后续处置。</w:t>
      </w:r>
    </w:p>
    <w:p>
      <w:pPr>
        <w:bidi w:val="0"/>
        <w:rPr>
          <w:rFonts w:hint="default"/>
        </w:rPr>
      </w:pPr>
      <w:r>
        <w:rPr>
          <w:rFonts w:hint="default"/>
        </w:rPr>
        <w:t>本项目运营期拟采取的固体废物处置措施合理可行，</w:t>
      </w:r>
      <w:r>
        <w:rPr>
          <w:rFonts w:hint="eastAsia"/>
          <w:lang w:val="en-US" w:eastAsia="zh-CN"/>
        </w:rPr>
        <w:t>危险废物</w:t>
      </w:r>
      <w:r>
        <w:rPr>
          <w:rFonts w:hint="eastAsia"/>
          <w:lang w:eastAsia="zh-CN"/>
        </w:rPr>
        <w:t>、</w:t>
      </w:r>
      <w:r>
        <w:rPr>
          <w:rFonts w:hint="default"/>
        </w:rPr>
        <w:t>生产固废和生活垃圾处置率可达100%，因此本项目固废处置措施是可行的。</w:t>
      </w:r>
    </w:p>
    <w:p>
      <w:pPr>
        <w:pStyle w:val="5"/>
        <w:bidi w:val="0"/>
        <w:rPr>
          <w:rFonts w:hint="default"/>
        </w:rPr>
      </w:pPr>
      <w:bookmarkStart w:id="312" w:name="_Toc11931_WPSOffice_Level3"/>
      <w:bookmarkStart w:id="313" w:name="_Toc26115"/>
      <w:bookmarkStart w:id="314" w:name="_Toc456651276"/>
      <w:bookmarkStart w:id="315" w:name="_Toc388801805"/>
      <w:bookmarkStart w:id="316" w:name="_Toc471765715"/>
      <w:r>
        <w:rPr>
          <w:rFonts w:hint="default"/>
        </w:rPr>
        <w:t>7.2.5</w:t>
      </w:r>
      <w:r>
        <w:rPr>
          <w:rFonts w:hint="eastAsia"/>
          <w:lang w:eastAsia="zh-CN"/>
        </w:rPr>
        <w:t>、</w:t>
      </w:r>
      <w:r>
        <w:rPr>
          <w:rFonts w:hint="default"/>
        </w:rPr>
        <w:t>地下水环境保护措施</w:t>
      </w:r>
      <w:bookmarkEnd w:id="312"/>
      <w:bookmarkEnd w:id="313"/>
      <w:bookmarkEnd w:id="314"/>
      <w:bookmarkEnd w:id="315"/>
      <w:bookmarkEnd w:id="316"/>
    </w:p>
    <w:p>
      <w:pPr>
        <w:pStyle w:val="6"/>
        <w:bidi w:val="0"/>
        <w:rPr>
          <w:rFonts w:hint="default"/>
          <w:color w:val="0000FF"/>
        </w:rPr>
      </w:pPr>
      <w:r>
        <w:rPr>
          <w:rFonts w:hint="default"/>
          <w:color w:val="0000FF"/>
        </w:rPr>
        <w:t>7.2.5.1</w:t>
      </w:r>
      <w:r>
        <w:rPr>
          <w:rFonts w:hint="eastAsia"/>
          <w:color w:val="0000FF"/>
          <w:lang w:eastAsia="zh-CN"/>
        </w:rPr>
        <w:t>、</w:t>
      </w:r>
      <w:r>
        <w:rPr>
          <w:rFonts w:hint="default"/>
          <w:color w:val="0000FF"/>
        </w:rPr>
        <w:t>源头控制措施</w:t>
      </w:r>
    </w:p>
    <w:p>
      <w:pPr>
        <w:bidi w:val="0"/>
        <w:rPr>
          <w:rFonts w:hint="default"/>
          <w:color w:val="0000FF"/>
        </w:rPr>
      </w:pPr>
      <w:r>
        <w:rPr>
          <w:rFonts w:hint="default"/>
          <w:color w:val="0000FF"/>
        </w:rPr>
        <w:t>确保清洗废水全部收集沉淀后回用，不外排；</w:t>
      </w:r>
    </w:p>
    <w:p>
      <w:pPr>
        <w:bidi w:val="0"/>
        <w:rPr>
          <w:rFonts w:hint="default"/>
          <w:color w:val="0000FF"/>
        </w:rPr>
      </w:pPr>
      <w:r>
        <w:rPr>
          <w:rFonts w:hint="default"/>
          <w:color w:val="0000FF"/>
        </w:rPr>
        <w:t>确保餐饮废水经隔油池处理后与生活污水一同</w:t>
      </w:r>
      <w:r>
        <w:rPr>
          <w:rFonts w:hint="eastAsia"/>
          <w:color w:val="0000FF"/>
          <w:lang w:val="en-US" w:eastAsia="zh-CN"/>
        </w:rPr>
        <w:t>经化粪池预处理后抽运至吉木萨尔县二工镇污水处理厂进行后续处理</w:t>
      </w:r>
      <w:r>
        <w:rPr>
          <w:rFonts w:hint="default"/>
          <w:color w:val="0000FF"/>
        </w:rPr>
        <w:t>；</w:t>
      </w:r>
    </w:p>
    <w:p>
      <w:pPr>
        <w:bidi w:val="0"/>
        <w:rPr>
          <w:rFonts w:hint="default"/>
          <w:color w:val="0000FF"/>
        </w:rPr>
      </w:pPr>
      <w:r>
        <w:rPr>
          <w:rFonts w:hint="default"/>
          <w:color w:val="0000FF"/>
        </w:rPr>
        <w:t>确保固废暂存区防风、防雨，减少固废暂存量，缩短暂存时间；</w:t>
      </w:r>
    </w:p>
    <w:p>
      <w:pPr>
        <w:bidi w:val="0"/>
        <w:rPr>
          <w:rFonts w:hint="default"/>
          <w:color w:val="0000FF"/>
        </w:rPr>
      </w:pPr>
      <w:r>
        <w:rPr>
          <w:rFonts w:hint="default"/>
          <w:color w:val="0000FF"/>
        </w:rPr>
        <w:t>加强管理，杜绝废水乱排、固废随意丢弃的现象，加强设备设施维护，避免跑、冒、滴、漏。</w:t>
      </w:r>
    </w:p>
    <w:p>
      <w:pPr>
        <w:pStyle w:val="6"/>
        <w:bidi w:val="0"/>
        <w:rPr>
          <w:rFonts w:hint="default"/>
          <w:color w:val="0000FF"/>
        </w:rPr>
      </w:pPr>
      <w:r>
        <w:rPr>
          <w:rFonts w:hint="default"/>
          <w:color w:val="0000FF"/>
        </w:rPr>
        <w:t>7.2.5.2</w:t>
      </w:r>
      <w:r>
        <w:rPr>
          <w:rFonts w:hint="eastAsia"/>
          <w:color w:val="0000FF"/>
          <w:lang w:eastAsia="zh-CN"/>
        </w:rPr>
        <w:t>、</w:t>
      </w:r>
      <w:r>
        <w:rPr>
          <w:rFonts w:hint="default"/>
          <w:color w:val="0000FF"/>
        </w:rPr>
        <w:t>分区防渗措施</w:t>
      </w:r>
    </w:p>
    <w:p>
      <w:pPr>
        <w:bidi w:val="0"/>
        <w:rPr>
          <w:rFonts w:hint="default"/>
          <w:color w:val="0000FF"/>
        </w:rPr>
      </w:pPr>
      <w:r>
        <w:rPr>
          <w:rFonts w:hint="default"/>
          <w:color w:val="0000FF"/>
        </w:rPr>
        <w:t>地面防渗措施，即末端控制措施，主要包括厂内污水管网处及污染区地面的防渗措施和泄漏、渗漏污染物收集措施。通过在污染区地面进行防渗处理，防止洒落地面的污染物渗入地下，并把滞留在地面的污染物收集起来，集中送至厂区内的备料池。</w:t>
      </w:r>
    </w:p>
    <w:p>
      <w:pPr>
        <w:bidi w:val="0"/>
        <w:rPr>
          <w:rFonts w:hint="default"/>
          <w:color w:val="0000FF"/>
        </w:rPr>
      </w:pPr>
      <w:bookmarkStart w:id="317" w:name="_Toc260953225"/>
      <w:r>
        <w:rPr>
          <w:rFonts w:hint="default"/>
          <w:color w:val="0000FF"/>
          <w:lang w:eastAsia="zh-CN"/>
        </w:rPr>
        <w:t>（</w:t>
      </w:r>
      <w:r>
        <w:rPr>
          <w:rFonts w:hint="default"/>
          <w:color w:val="0000FF"/>
          <w:lang w:val="en-US" w:eastAsia="zh-CN"/>
        </w:rPr>
        <w:t>1</w:t>
      </w:r>
      <w:r>
        <w:rPr>
          <w:rFonts w:hint="default"/>
          <w:color w:val="0000FF"/>
          <w:lang w:eastAsia="zh-CN"/>
        </w:rPr>
        <w:t>）</w:t>
      </w:r>
      <w:r>
        <w:rPr>
          <w:rFonts w:hint="default"/>
          <w:color w:val="0000FF"/>
        </w:rPr>
        <w:t>地面防渗工程设计原则</w:t>
      </w:r>
      <w:bookmarkEnd w:id="317"/>
      <w:r>
        <w:rPr>
          <w:rFonts w:hint="default"/>
          <w:color w:val="0000FF"/>
        </w:rPr>
        <w:t>：</w:t>
      </w:r>
    </w:p>
    <w:p>
      <w:pPr>
        <w:bidi w:val="0"/>
        <w:rPr>
          <w:rFonts w:hint="default"/>
          <w:color w:val="0000FF"/>
        </w:rPr>
      </w:pPr>
      <w:r>
        <w:rPr>
          <w:rFonts w:hint="default"/>
          <w:color w:val="0000FF"/>
        </w:rPr>
        <w:t>①采用国际国内先进的防渗材料、技术和实施手段，确保工程建设对区域内地下水影响较小，地下水现有水体功能不发生明显改变。</w:t>
      </w:r>
    </w:p>
    <w:p>
      <w:pPr>
        <w:bidi w:val="0"/>
        <w:rPr>
          <w:rFonts w:hint="default"/>
          <w:color w:val="0000FF"/>
        </w:rPr>
      </w:pPr>
      <w:r>
        <w:rPr>
          <w:rFonts w:hint="default"/>
          <w:color w:val="0000FF"/>
        </w:rPr>
        <w:t>②坚持分区管理和控制原则，根据场址所在地的工程地质、水文地质条件和全厂可能发生泄漏的物料性质、排放量，参照相应标准要求有针对性的分区，并分别设计地面防渗层结构。</w:t>
      </w:r>
    </w:p>
    <w:p>
      <w:pPr>
        <w:bidi w:val="0"/>
        <w:rPr>
          <w:rFonts w:hint="default"/>
          <w:color w:val="0000FF"/>
        </w:rPr>
      </w:pPr>
      <w:r>
        <w:rPr>
          <w:rFonts w:hint="default"/>
          <w:color w:val="0000FF"/>
        </w:rPr>
        <w:t>③坚持</w:t>
      </w:r>
      <w:r>
        <w:rPr>
          <w:rFonts w:hint="eastAsia"/>
          <w:color w:val="0000FF"/>
          <w:lang w:eastAsia="zh-CN"/>
        </w:rPr>
        <w:t>“</w:t>
      </w:r>
      <w:r>
        <w:rPr>
          <w:rFonts w:hint="default"/>
          <w:color w:val="0000FF"/>
        </w:rPr>
        <w:t>可视化</w:t>
      </w:r>
      <w:r>
        <w:rPr>
          <w:rFonts w:hint="eastAsia"/>
          <w:color w:val="0000FF"/>
          <w:lang w:eastAsia="zh-CN"/>
        </w:rPr>
        <w:t>”</w:t>
      </w:r>
      <w:r>
        <w:rPr>
          <w:rFonts w:hint="default"/>
          <w:color w:val="0000FF"/>
        </w:rPr>
        <w:t>原则，在满足工程和防渗层结构标准要求的前提下，尽量在地表面实施防渗措施，便于泄漏物质的收集和及时发现破损的防渗层。</w:t>
      </w:r>
    </w:p>
    <w:p>
      <w:pPr>
        <w:bidi w:val="0"/>
        <w:rPr>
          <w:rFonts w:hint="default"/>
          <w:color w:val="0000FF"/>
        </w:rPr>
      </w:pPr>
      <w:r>
        <w:rPr>
          <w:rFonts w:hint="default"/>
          <w:color w:val="0000FF"/>
        </w:rPr>
        <w:t>④实施防渗的区域均设置检漏装置，其中可能泄漏危险废物的重点污染防治区防渗设置自动检漏装置。</w:t>
      </w:r>
    </w:p>
    <w:p>
      <w:pPr>
        <w:bidi w:val="0"/>
        <w:rPr>
          <w:rFonts w:hint="default"/>
          <w:color w:val="0000FF"/>
        </w:rPr>
      </w:pPr>
      <w:r>
        <w:rPr>
          <w:rFonts w:hint="default"/>
          <w:color w:val="0000FF"/>
        </w:rPr>
        <w:t>⑤防渗层上渗漏污染物和防渗层内渗漏污染物收集系统与全厂</w:t>
      </w:r>
      <w:r>
        <w:rPr>
          <w:rFonts w:hint="eastAsia"/>
          <w:color w:val="0000FF"/>
          <w:lang w:eastAsia="zh-CN"/>
        </w:rPr>
        <w:t>“</w:t>
      </w:r>
      <w:r>
        <w:rPr>
          <w:rFonts w:hint="default"/>
          <w:color w:val="0000FF"/>
        </w:rPr>
        <w:t>三废</w:t>
      </w:r>
      <w:r>
        <w:rPr>
          <w:rFonts w:hint="eastAsia"/>
          <w:color w:val="0000FF"/>
          <w:lang w:eastAsia="zh-CN"/>
        </w:rPr>
        <w:t>”</w:t>
      </w:r>
      <w:r>
        <w:rPr>
          <w:rFonts w:hint="default"/>
          <w:color w:val="0000FF"/>
        </w:rPr>
        <w:t>处理措施统筹考虑，统一处理。</w:t>
      </w:r>
    </w:p>
    <w:p>
      <w:pPr>
        <w:bidi w:val="0"/>
        <w:rPr>
          <w:rFonts w:hint="default"/>
          <w:color w:val="0000FF"/>
        </w:rPr>
      </w:pPr>
      <w:r>
        <w:rPr>
          <w:rFonts w:hint="default"/>
          <w:color w:val="0000FF"/>
          <w:lang w:eastAsia="zh-CN"/>
        </w:rPr>
        <w:t>（</w:t>
      </w:r>
      <w:r>
        <w:rPr>
          <w:rFonts w:hint="default"/>
          <w:color w:val="0000FF"/>
          <w:lang w:val="en-US" w:eastAsia="zh-CN"/>
        </w:rPr>
        <w:t>2</w:t>
      </w:r>
      <w:r>
        <w:rPr>
          <w:rFonts w:hint="default"/>
          <w:color w:val="0000FF"/>
          <w:lang w:eastAsia="zh-CN"/>
        </w:rPr>
        <w:t>）</w:t>
      </w:r>
      <w:r>
        <w:rPr>
          <w:rFonts w:hint="default"/>
          <w:color w:val="0000FF"/>
        </w:rPr>
        <w:t>分区防治措施：</w:t>
      </w:r>
    </w:p>
    <w:p>
      <w:pPr>
        <w:bidi w:val="0"/>
        <w:rPr>
          <w:rFonts w:hint="default" w:eastAsia="宋体"/>
          <w:color w:val="0000FF"/>
          <w:lang w:val="en-US" w:eastAsia="zh-CN"/>
        </w:rPr>
      </w:pPr>
      <w:r>
        <w:rPr>
          <w:rFonts w:hint="default"/>
          <w:color w:val="0000FF"/>
        </w:rPr>
        <w:t>根据生产装置的性质和防渗要求，以及拟采取的防渗处理方案，将厂区防渗措施分为</w:t>
      </w:r>
      <w:r>
        <w:rPr>
          <w:rFonts w:hint="default"/>
          <w:color w:val="0000FF"/>
          <w:lang w:val="en-US" w:eastAsia="zh-CN"/>
        </w:rPr>
        <w:t>两个</w:t>
      </w:r>
      <w:r>
        <w:rPr>
          <w:rFonts w:hint="default"/>
          <w:color w:val="0000FF"/>
        </w:rPr>
        <w:t>级别，并对应</w:t>
      </w:r>
      <w:r>
        <w:rPr>
          <w:rFonts w:hint="default"/>
          <w:color w:val="0000FF"/>
          <w:lang w:val="en-US" w:eastAsia="zh-CN"/>
        </w:rPr>
        <w:t>两个</w:t>
      </w:r>
      <w:r>
        <w:rPr>
          <w:rFonts w:hint="default"/>
          <w:color w:val="0000FF"/>
        </w:rPr>
        <w:t>防治区，即一般污染防治区和重点污染防治区。</w:t>
      </w:r>
      <w:r>
        <w:rPr>
          <w:rFonts w:hint="eastAsia"/>
          <w:color w:val="0000FF"/>
          <w:lang w:val="en-US" w:eastAsia="zh-CN"/>
        </w:rPr>
        <w:t>分区防渗图详见图7.2-1。</w:t>
      </w:r>
    </w:p>
    <w:p>
      <w:pPr>
        <w:bidi w:val="0"/>
        <w:rPr>
          <w:rFonts w:hint="default"/>
          <w:color w:val="0000FF"/>
        </w:rPr>
      </w:pPr>
      <w:r>
        <w:rPr>
          <w:rFonts w:hint="default"/>
          <w:color w:val="0000FF"/>
        </w:rPr>
        <w:t>①一般污染防治区</w:t>
      </w:r>
    </w:p>
    <w:p>
      <w:pPr>
        <w:bidi w:val="0"/>
        <w:rPr>
          <w:rFonts w:hint="default"/>
          <w:color w:val="0000FF"/>
        </w:rPr>
      </w:pPr>
      <w:r>
        <w:rPr>
          <w:rFonts w:hint="default"/>
          <w:color w:val="0000FF"/>
        </w:rPr>
        <w:t>一般污染防治区主要是指位于地面以上的生产功能单元，污染地下水环境的物料或污染物泄漏后，可及时发现和处理的区域或部位。该区要求采用防渗的混凝土铺砌，室外部分设立围堰。铺砌区与排水沟、区内收集池和全厂污水收集池相连。铺砌区和围堰内泄漏的污染物和初期雨水被收集在区内收集池中。</w:t>
      </w:r>
    </w:p>
    <w:p>
      <w:pPr>
        <w:bidi w:val="0"/>
        <w:rPr>
          <w:rFonts w:hint="default"/>
          <w:color w:val="0000FF"/>
        </w:rPr>
      </w:pPr>
      <w:r>
        <w:rPr>
          <w:rFonts w:hint="default"/>
          <w:color w:val="0000FF"/>
        </w:rPr>
        <w:t>②重点污染防治区</w:t>
      </w:r>
    </w:p>
    <w:p>
      <w:pPr>
        <w:bidi w:val="0"/>
        <w:rPr>
          <w:rFonts w:hint="default"/>
          <w:color w:val="0000FF"/>
        </w:rPr>
      </w:pPr>
      <w:r>
        <w:rPr>
          <w:rFonts w:hint="default"/>
          <w:color w:val="0000FF"/>
        </w:rPr>
        <w:t>重点污染防治区主要是指位于地下或半地下的生产功能单元，污染地下水环境的物料或污染物泄漏后，不易及时发现和处理的区域或部位。主要包括采用污水处理设施的池底及池壁、事故池的池底及池壁、埋地污水管道的沟底及沟壁。另外还包括装置区内防渗区围堰边沟。</w:t>
      </w:r>
    </w:p>
    <w:p>
      <w:pPr>
        <w:bidi w:val="0"/>
        <w:rPr>
          <w:rFonts w:hint="default"/>
          <w:color w:val="0000FF"/>
        </w:rPr>
      </w:pPr>
      <w:r>
        <w:rPr>
          <w:rFonts w:hint="default"/>
          <w:color w:val="0000FF"/>
        </w:rPr>
        <w:t>本项目污染防治分区要求见</w:t>
      </w:r>
      <w:r>
        <w:rPr>
          <w:rFonts w:hint="default"/>
          <w:color w:val="0000FF"/>
          <w:lang w:val="en-US" w:eastAsia="zh-CN"/>
        </w:rPr>
        <w:t>表7.2-2</w:t>
      </w:r>
      <w:r>
        <w:rPr>
          <w:rFonts w:hint="default"/>
          <w:color w:val="0000FF"/>
        </w:rPr>
        <w:t>。</w:t>
      </w:r>
    </w:p>
    <w:p>
      <w:pPr>
        <w:pStyle w:val="17"/>
        <w:bidi w:val="0"/>
        <w:rPr>
          <w:rFonts w:hint="default"/>
          <w:b/>
          <w:bCs/>
          <w:color w:val="0000FF"/>
        </w:rPr>
      </w:pPr>
      <w:r>
        <w:rPr>
          <w:rFonts w:hint="default"/>
          <w:b/>
          <w:bCs/>
          <w:color w:val="0000FF"/>
        </w:rPr>
        <w:t>表7.</w:t>
      </w:r>
      <w:r>
        <w:rPr>
          <w:rFonts w:hint="default"/>
          <w:b/>
          <w:bCs/>
          <w:color w:val="0000FF"/>
          <w:lang w:val="en-US" w:eastAsia="zh-CN"/>
        </w:rPr>
        <w:t>2</w:t>
      </w:r>
      <w:r>
        <w:rPr>
          <w:rFonts w:hint="default"/>
          <w:b/>
          <w:bCs/>
          <w:color w:val="0000FF"/>
        </w:rPr>
        <w:t>-</w:t>
      </w:r>
      <w:r>
        <w:rPr>
          <w:rFonts w:hint="default"/>
          <w:b/>
          <w:bCs/>
          <w:color w:val="0000FF"/>
          <w:lang w:val="en-US" w:eastAsia="zh-CN"/>
        </w:rPr>
        <w:t xml:space="preserve">2   </w:t>
      </w:r>
      <w:r>
        <w:rPr>
          <w:rFonts w:hint="default"/>
          <w:b/>
          <w:bCs/>
          <w:color w:val="0000FF"/>
        </w:rPr>
        <w:t>污染防治分区要求</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3467"/>
        <w:gridCol w:w="3143"/>
        <w:gridCol w:w="17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43" w:type="dxa"/>
            <w:tcBorders>
              <w:tl2br w:val="nil"/>
              <w:tr2bl w:val="nil"/>
            </w:tcBorders>
            <w:noWrap w:val="0"/>
            <w:tcMar>
              <w:left w:w="28" w:type="dxa"/>
              <w:right w:w="28" w:type="dxa"/>
            </w:tcMar>
            <w:vAlign w:val="center"/>
          </w:tcPr>
          <w:p>
            <w:pPr>
              <w:pStyle w:val="17"/>
              <w:bidi w:val="0"/>
              <w:rPr>
                <w:rFonts w:hint="default"/>
                <w:b/>
                <w:bCs/>
                <w:color w:val="0000FF"/>
                <w:lang w:val="en-US" w:eastAsia="zh-CN"/>
              </w:rPr>
            </w:pPr>
            <w:r>
              <w:rPr>
                <w:rFonts w:hint="default"/>
                <w:b/>
                <w:bCs/>
                <w:color w:val="0000FF"/>
                <w:lang w:val="en-US" w:eastAsia="zh-CN"/>
              </w:rPr>
              <w:t>序号</w:t>
            </w:r>
          </w:p>
        </w:tc>
        <w:tc>
          <w:tcPr>
            <w:tcW w:w="3467" w:type="dxa"/>
            <w:tcBorders>
              <w:tl2br w:val="nil"/>
              <w:tr2bl w:val="nil"/>
            </w:tcBorders>
            <w:noWrap w:val="0"/>
            <w:tcMar>
              <w:left w:w="28" w:type="dxa"/>
              <w:right w:w="28" w:type="dxa"/>
            </w:tcMar>
            <w:vAlign w:val="center"/>
          </w:tcPr>
          <w:p>
            <w:pPr>
              <w:pStyle w:val="17"/>
              <w:bidi w:val="0"/>
              <w:rPr>
                <w:rFonts w:hint="default"/>
                <w:b/>
                <w:bCs/>
                <w:color w:val="0000FF"/>
                <w:lang w:val="en-US" w:eastAsia="zh-CN"/>
              </w:rPr>
            </w:pPr>
            <w:r>
              <w:rPr>
                <w:rFonts w:hint="default"/>
                <w:b/>
                <w:bCs/>
                <w:color w:val="0000FF"/>
                <w:lang w:val="en-US" w:eastAsia="zh-CN"/>
              </w:rPr>
              <w:t>名称</w:t>
            </w:r>
          </w:p>
        </w:tc>
        <w:tc>
          <w:tcPr>
            <w:tcW w:w="3143" w:type="dxa"/>
            <w:tcBorders>
              <w:tl2br w:val="nil"/>
              <w:tr2bl w:val="nil"/>
            </w:tcBorders>
            <w:noWrap w:val="0"/>
            <w:tcMar>
              <w:left w:w="28" w:type="dxa"/>
              <w:right w:w="28" w:type="dxa"/>
            </w:tcMar>
            <w:vAlign w:val="center"/>
          </w:tcPr>
          <w:p>
            <w:pPr>
              <w:pStyle w:val="17"/>
              <w:bidi w:val="0"/>
              <w:rPr>
                <w:rFonts w:hint="default"/>
                <w:b/>
                <w:bCs/>
                <w:color w:val="0000FF"/>
                <w:lang w:val="en-US" w:eastAsia="zh-CN"/>
              </w:rPr>
            </w:pPr>
            <w:r>
              <w:rPr>
                <w:rFonts w:hint="default"/>
                <w:b/>
                <w:bCs/>
                <w:color w:val="0000FF"/>
                <w:lang w:val="en-US" w:eastAsia="zh-CN"/>
              </w:rPr>
              <w:t>防渗区域及部位</w:t>
            </w:r>
          </w:p>
        </w:tc>
        <w:tc>
          <w:tcPr>
            <w:tcW w:w="1718" w:type="dxa"/>
            <w:tcBorders>
              <w:tl2br w:val="nil"/>
              <w:tr2bl w:val="nil"/>
            </w:tcBorders>
            <w:noWrap w:val="0"/>
            <w:tcMar>
              <w:left w:w="28" w:type="dxa"/>
              <w:right w:w="28" w:type="dxa"/>
            </w:tcMar>
            <w:vAlign w:val="center"/>
          </w:tcPr>
          <w:p>
            <w:pPr>
              <w:pStyle w:val="17"/>
              <w:bidi w:val="0"/>
              <w:rPr>
                <w:rFonts w:hint="default"/>
                <w:b/>
                <w:bCs/>
                <w:color w:val="0000FF"/>
                <w:lang w:val="en-US" w:eastAsia="zh-CN"/>
              </w:rPr>
            </w:pPr>
            <w:r>
              <w:rPr>
                <w:rFonts w:hint="default"/>
                <w:b/>
                <w:bCs/>
                <w:color w:val="0000FF"/>
                <w:lang w:val="en-US" w:eastAsia="zh-CN"/>
              </w:rPr>
              <w:t>防渗分区等级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1</w:t>
            </w:r>
          </w:p>
        </w:tc>
        <w:tc>
          <w:tcPr>
            <w:tcW w:w="3467"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工艺装置区</w:t>
            </w:r>
          </w:p>
        </w:tc>
        <w:tc>
          <w:tcPr>
            <w:tcW w:w="3143" w:type="dxa"/>
            <w:tcBorders>
              <w:tl2br w:val="nil"/>
              <w:tr2bl w:val="nil"/>
            </w:tcBorders>
            <w:noWrap w:val="0"/>
            <w:tcMar>
              <w:left w:w="28" w:type="dxa"/>
              <w:right w:w="28" w:type="dxa"/>
            </w:tcMar>
            <w:vAlign w:val="center"/>
          </w:tcPr>
          <w:p>
            <w:pPr>
              <w:pStyle w:val="17"/>
              <w:bidi w:val="0"/>
              <w:rPr>
                <w:rFonts w:hint="default"/>
                <w:color w:val="0000FF"/>
                <w:lang w:val="en-US" w:eastAsia="zh-CN"/>
              </w:rPr>
            </w:pPr>
          </w:p>
        </w:tc>
        <w:tc>
          <w:tcPr>
            <w:tcW w:w="1718" w:type="dxa"/>
            <w:tcBorders>
              <w:tl2br w:val="nil"/>
              <w:tr2bl w:val="nil"/>
            </w:tcBorders>
            <w:noWrap w:val="0"/>
            <w:tcMar>
              <w:left w:w="28" w:type="dxa"/>
              <w:right w:w="28" w:type="dxa"/>
            </w:tcMar>
            <w:vAlign w:val="center"/>
          </w:tcPr>
          <w:p>
            <w:pPr>
              <w:pStyle w:val="17"/>
              <w:bidi w:val="0"/>
              <w:rPr>
                <w:rFonts w:hint="default"/>
                <w:color w:val="0000FF"/>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1.1</w:t>
            </w:r>
          </w:p>
        </w:tc>
        <w:tc>
          <w:tcPr>
            <w:tcW w:w="3467"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生产装置</w:t>
            </w:r>
          </w:p>
        </w:tc>
        <w:tc>
          <w:tcPr>
            <w:tcW w:w="3143" w:type="dxa"/>
            <w:tcBorders>
              <w:tl2br w:val="nil"/>
              <w:tr2bl w:val="nil"/>
            </w:tcBorders>
            <w:noWrap w:val="0"/>
            <w:tcMar>
              <w:left w:w="28" w:type="dxa"/>
              <w:right w:w="28" w:type="dxa"/>
            </w:tcMar>
            <w:vAlign w:val="center"/>
          </w:tcPr>
          <w:p>
            <w:pPr>
              <w:pStyle w:val="17"/>
              <w:bidi w:val="0"/>
              <w:rPr>
                <w:rFonts w:hint="default"/>
                <w:color w:val="0000FF"/>
                <w:lang w:val="en-US" w:eastAsia="zh-CN"/>
              </w:rPr>
            </w:pPr>
          </w:p>
        </w:tc>
        <w:tc>
          <w:tcPr>
            <w:tcW w:w="1718" w:type="dxa"/>
            <w:tcBorders>
              <w:tl2br w:val="nil"/>
              <w:tr2bl w:val="nil"/>
            </w:tcBorders>
            <w:noWrap w:val="0"/>
            <w:tcMar>
              <w:left w:w="28" w:type="dxa"/>
              <w:right w:w="28" w:type="dxa"/>
            </w:tcMar>
            <w:vAlign w:val="center"/>
          </w:tcPr>
          <w:p>
            <w:pPr>
              <w:pStyle w:val="17"/>
              <w:bidi w:val="0"/>
              <w:rPr>
                <w:rFonts w:hint="default"/>
                <w:color w:val="0000FF"/>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1.1.</w:t>
            </w:r>
            <w:r>
              <w:rPr>
                <w:rFonts w:hint="eastAsia"/>
                <w:color w:val="0000FF"/>
                <w:lang w:val="en-US" w:eastAsia="zh-CN"/>
              </w:rPr>
              <w:t>1</w:t>
            </w:r>
          </w:p>
        </w:tc>
        <w:tc>
          <w:tcPr>
            <w:tcW w:w="3467"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生产设备区</w:t>
            </w:r>
            <w:r>
              <w:rPr>
                <w:rFonts w:hint="eastAsia"/>
                <w:color w:val="0000FF"/>
                <w:lang w:val="en-US" w:eastAsia="zh-CN"/>
              </w:rPr>
              <w:t>（1#、2#、3#生产车间）</w:t>
            </w:r>
          </w:p>
        </w:tc>
        <w:tc>
          <w:tcPr>
            <w:tcW w:w="31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地面</w:t>
            </w:r>
          </w:p>
        </w:tc>
        <w:tc>
          <w:tcPr>
            <w:tcW w:w="1718"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2</w:t>
            </w:r>
          </w:p>
        </w:tc>
        <w:tc>
          <w:tcPr>
            <w:tcW w:w="3467"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公用工程及辅助设施</w:t>
            </w:r>
          </w:p>
        </w:tc>
        <w:tc>
          <w:tcPr>
            <w:tcW w:w="3143" w:type="dxa"/>
            <w:tcBorders>
              <w:tl2br w:val="nil"/>
              <w:tr2bl w:val="nil"/>
            </w:tcBorders>
            <w:noWrap w:val="0"/>
            <w:tcMar>
              <w:left w:w="28" w:type="dxa"/>
              <w:right w:w="28" w:type="dxa"/>
            </w:tcMar>
            <w:vAlign w:val="center"/>
          </w:tcPr>
          <w:p>
            <w:pPr>
              <w:pStyle w:val="17"/>
              <w:bidi w:val="0"/>
              <w:rPr>
                <w:rFonts w:hint="default"/>
                <w:color w:val="0000FF"/>
                <w:lang w:val="en-US" w:eastAsia="zh-CN"/>
              </w:rPr>
            </w:pPr>
          </w:p>
        </w:tc>
        <w:tc>
          <w:tcPr>
            <w:tcW w:w="1718" w:type="dxa"/>
            <w:tcBorders>
              <w:tl2br w:val="nil"/>
              <w:tr2bl w:val="nil"/>
            </w:tcBorders>
            <w:noWrap w:val="0"/>
            <w:tcMar>
              <w:left w:w="28" w:type="dxa"/>
              <w:right w:w="28" w:type="dxa"/>
            </w:tcMar>
            <w:vAlign w:val="center"/>
          </w:tcPr>
          <w:p>
            <w:pPr>
              <w:pStyle w:val="17"/>
              <w:bidi w:val="0"/>
              <w:rPr>
                <w:rFonts w:hint="default"/>
                <w:color w:val="0000FF"/>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2.1</w:t>
            </w:r>
          </w:p>
        </w:tc>
        <w:tc>
          <w:tcPr>
            <w:tcW w:w="3467"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物料仓储区</w:t>
            </w:r>
          </w:p>
        </w:tc>
        <w:tc>
          <w:tcPr>
            <w:tcW w:w="3143" w:type="dxa"/>
            <w:tcBorders>
              <w:tl2br w:val="nil"/>
              <w:tr2bl w:val="nil"/>
            </w:tcBorders>
            <w:noWrap w:val="0"/>
            <w:tcMar>
              <w:left w:w="28" w:type="dxa"/>
              <w:right w:w="28" w:type="dxa"/>
            </w:tcMar>
            <w:vAlign w:val="center"/>
          </w:tcPr>
          <w:p>
            <w:pPr>
              <w:pStyle w:val="17"/>
              <w:bidi w:val="0"/>
              <w:rPr>
                <w:rFonts w:hint="default"/>
                <w:color w:val="0000FF"/>
                <w:lang w:val="en-US" w:eastAsia="zh-CN"/>
              </w:rPr>
            </w:pPr>
          </w:p>
        </w:tc>
        <w:tc>
          <w:tcPr>
            <w:tcW w:w="1718" w:type="dxa"/>
            <w:tcBorders>
              <w:tl2br w:val="nil"/>
              <w:tr2bl w:val="nil"/>
            </w:tcBorders>
            <w:noWrap w:val="0"/>
            <w:tcMar>
              <w:left w:w="28" w:type="dxa"/>
              <w:right w:w="28" w:type="dxa"/>
            </w:tcMar>
            <w:vAlign w:val="center"/>
          </w:tcPr>
          <w:p>
            <w:pPr>
              <w:pStyle w:val="17"/>
              <w:bidi w:val="0"/>
              <w:rPr>
                <w:rFonts w:hint="default"/>
                <w:color w:val="0000FF"/>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2.1.1</w:t>
            </w:r>
          </w:p>
        </w:tc>
        <w:tc>
          <w:tcPr>
            <w:tcW w:w="3467"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eastAsia"/>
                <w:color w:val="0000FF"/>
                <w:lang w:val="en-US" w:eastAsia="zh-CN"/>
              </w:rPr>
              <w:t>原料仓库</w:t>
            </w:r>
          </w:p>
        </w:tc>
        <w:tc>
          <w:tcPr>
            <w:tcW w:w="31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地面</w:t>
            </w:r>
          </w:p>
        </w:tc>
        <w:tc>
          <w:tcPr>
            <w:tcW w:w="1718"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2.2</w:t>
            </w:r>
          </w:p>
        </w:tc>
        <w:tc>
          <w:tcPr>
            <w:tcW w:w="3467"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排水系统</w:t>
            </w:r>
          </w:p>
        </w:tc>
        <w:tc>
          <w:tcPr>
            <w:tcW w:w="3143" w:type="dxa"/>
            <w:tcBorders>
              <w:tl2br w:val="nil"/>
              <w:tr2bl w:val="nil"/>
            </w:tcBorders>
            <w:noWrap w:val="0"/>
            <w:tcMar>
              <w:left w:w="28" w:type="dxa"/>
              <w:right w:w="28" w:type="dxa"/>
            </w:tcMar>
            <w:vAlign w:val="center"/>
          </w:tcPr>
          <w:p>
            <w:pPr>
              <w:pStyle w:val="17"/>
              <w:bidi w:val="0"/>
              <w:rPr>
                <w:rFonts w:hint="default"/>
                <w:color w:val="0000FF"/>
                <w:lang w:val="en-US" w:eastAsia="zh-CN"/>
              </w:rPr>
            </w:pPr>
          </w:p>
        </w:tc>
        <w:tc>
          <w:tcPr>
            <w:tcW w:w="1718" w:type="dxa"/>
            <w:tcBorders>
              <w:tl2br w:val="nil"/>
              <w:tr2bl w:val="nil"/>
            </w:tcBorders>
            <w:noWrap w:val="0"/>
            <w:tcMar>
              <w:left w:w="28" w:type="dxa"/>
              <w:right w:w="28" w:type="dxa"/>
            </w:tcMar>
            <w:vAlign w:val="center"/>
          </w:tcPr>
          <w:p>
            <w:pPr>
              <w:pStyle w:val="17"/>
              <w:bidi w:val="0"/>
              <w:rPr>
                <w:rFonts w:hint="default"/>
                <w:color w:val="0000FF"/>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2.2.1</w:t>
            </w:r>
          </w:p>
        </w:tc>
        <w:tc>
          <w:tcPr>
            <w:tcW w:w="3467"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污水管道</w:t>
            </w:r>
          </w:p>
        </w:tc>
        <w:tc>
          <w:tcPr>
            <w:tcW w:w="31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管道池壁及池底</w:t>
            </w:r>
          </w:p>
        </w:tc>
        <w:tc>
          <w:tcPr>
            <w:tcW w:w="1718"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2.2.2</w:t>
            </w:r>
          </w:p>
        </w:tc>
        <w:tc>
          <w:tcPr>
            <w:tcW w:w="3467"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循环沉淀池</w:t>
            </w:r>
            <w:r>
              <w:rPr>
                <w:rFonts w:hint="eastAsia"/>
                <w:color w:val="0000FF"/>
                <w:lang w:val="en-US" w:eastAsia="zh-CN"/>
              </w:rPr>
              <w:t>及地埋式污水处理设施</w:t>
            </w:r>
          </w:p>
        </w:tc>
        <w:tc>
          <w:tcPr>
            <w:tcW w:w="31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池壁及池底</w:t>
            </w:r>
          </w:p>
        </w:tc>
        <w:tc>
          <w:tcPr>
            <w:tcW w:w="1718"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2.2.3</w:t>
            </w:r>
          </w:p>
        </w:tc>
        <w:tc>
          <w:tcPr>
            <w:tcW w:w="3467"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eastAsia"/>
                <w:color w:val="0000FF"/>
                <w:lang w:val="en-US" w:eastAsia="zh-CN"/>
              </w:rPr>
              <w:t>食堂</w:t>
            </w:r>
            <w:r>
              <w:rPr>
                <w:rFonts w:hint="default"/>
                <w:color w:val="0000FF"/>
                <w:lang w:val="en-US" w:eastAsia="zh-CN"/>
              </w:rPr>
              <w:t>隔油池</w:t>
            </w:r>
          </w:p>
        </w:tc>
        <w:tc>
          <w:tcPr>
            <w:tcW w:w="31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池壁及池底</w:t>
            </w:r>
          </w:p>
        </w:tc>
        <w:tc>
          <w:tcPr>
            <w:tcW w:w="1718"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eastAsia"/>
                <w:color w:val="0000FF"/>
                <w:lang w:val="en-US" w:eastAsia="zh-CN"/>
              </w:rPr>
              <w:t>2.2.4</w:t>
            </w:r>
          </w:p>
        </w:tc>
        <w:tc>
          <w:tcPr>
            <w:tcW w:w="3467"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eastAsia"/>
                <w:color w:val="0000FF"/>
                <w:lang w:val="en-US" w:eastAsia="zh-CN"/>
              </w:rPr>
              <w:t>化粪池</w:t>
            </w:r>
          </w:p>
        </w:tc>
        <w:tc>
          <w:tcPr>
            <w:tcW w:w="31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池壁及池底</w:t>
            </w:r>
          </w:p>
        </w:tc>
        <w:tc>
          <w:tcPr>
            <w:tcW w:w="1718"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3</w:t>
            </w:r>
          </w:p>
        </w:tc>
        <w:tc>
          <w:tcPr>
            <w:tcW w:w="3467"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环保工程</w:t>
            </w:r>
          </w:p>
        </w:tc>
        <w:tc>
          <w:tcPr>
            <w:tcW w:w="3143" w:type="dxa"/>
            <w:tcBorders>
              <w:tl2br w:val="nil"/>
              <w:tr2bl w:val="nil"/>
            </w:tcBorders>
            <w:noWrap w:val="0"/>
            <w:tcMar>
              <w:left w:w="28" w:type="dxa"/>
              <w:right w:w="28" w:type="dxa"/>
            </w:tcMar>
            <w:vAlign w:val="center"/>
          </w:tcPr>
          <w:p>
            <w:pPr>
              <w:pStyle w:val="17"/>
              <w:bidi w:val="0"/>
              <w:rPr>
                <w:rFonts w:hint="default"/>
                <w:color w:val="0000FF"/>
                <w:lang w:val="en-US" w:eastAsia="zh-CN"/>
              </w:rPr>
            </w:pPr>
          </w:p>
        </w:tc>
        <w:tc>
          <w:tcPr>
            <w:tcW w:w="1718" w:type="dxa"/>
            <w:tcBorders>
              <w:tl2br w:val="nil"/>
              <w:tr2bl w:val="nil"/>
            </w:tcBorders>
            <w:noWrap w:val="0"/>
            <w:tcMar>
              <w:left w:w="28" w:type="dxa"/>
              <w:right w:w="28" w:type="dxa"/>
            </w:tcMar>
            <w:vAlign w:val="center"/>
          </w:tcPr>
          <w:p>
            <w:pPr>
              <w:pStyle w:val="17"/>
              <w:bidi w:val="0"/>
              <w:rPr>
                <w:rFonts w:hint="default"/>
                <w:color w:val="0000FF"/>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3.1</w:t>
            </w:r>
          </w:p>
        </w:tc>
        <w:tc>
          <w:tcPr>
            <w:tcW w:w="3467"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固废贮存</w:t>
            </w:r>
          </w:p>
        </w:tc>
        <w:tc>
          <w:tcPr>
            <w:tcW w:w="3143" w:type="dxa"/>
            <w:tcBorders>
              <w:tl2br w:val="nil"/>
              <w:tr2bl w:val="nil"/>
            </w:tcBorders>
            <w:noWrap w:val="0"/>
            <w:tcMar>
              <w:left w:w="28" w:type="dxa"/>
              <w:right w:w="28" w:type="dxa"/>
            </w:tcMar>
            <w:vAlign w:val="center"/>
          </w:tcPr>
          <w:p>
            <w:pPr>
              <w:pStyle w:val="17"/>
              <w:bidi w:val="0"/>
              <w:rPr>
                <w:rFonts w:hint="default"/>
                <w:color w:val="0000FF"/>
                <w:lang w:val="en-US" w:eastAsia="zh-CN"/>
              </w:rPr>
            </w:pPr>
          </w:p>
        </w:tc>
        <w:tc>
          <w:tcPr>
            <w:tcW w:w="1718" w:type="dxa"/>
            <w:tcBorders>
              <w:tl2br w:val="nil"/>
              <w:tr2bl w:val="nil"/>
            </w:tcBorders>
            <w:noWrap w:val="0"/>
            <w:tcMar>
              <w:left w:w="28" w:type="dxa"/>
              <w:right w:w="28" w:type="dxa"/>
            </w:tcMar>
            <w:vAlign w:val="center"/>
          </w:tcPr>
          <w:p>
            <w:pPr>
              <w:pStyle w:val="17"/>
              <w:bidi w:val="0"/>
              <w:rPr>
                <w:rFonts w:hint="default"/>
                <w:color w:val="0000FF"/>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3.1.1</w:t>
            </w:r>
          </w:p>
        </w:tc>
        <w:tc>
          <w:tcPr>
            <w:tcW w:w="3467"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一般固废堆存</w:t>
            </w:r>
          </w:p>
        </w:tc>
        <w:tc>
          <w:tcPr>
            <w:tcW w:w="3143"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地面</w:t>
            </w:r>
          </w:p>
        </w:tc>
        <w:tc>
          <w:tcPr>
            <w:tcW w:w="1718" w:type="dxa"/>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1" w:type="dxa"/>
            <w:gridSpan w:val="4"/>
            <w:tcBorders>
              <w:tl2br w:val="nil"/>
              <w:tr2bl w:val="nil"/>
            </w:tcBorders>
            <w:noWrap w:val="0"/>
            <w:tcMar>
              <w:left w:w="28" w:type="dxa"/>
              <w:right w:w="28" w:type="dxa"/>
            </w:tcMar>
            <w:vAlign w:val="center"/>
          </w:tcPr>
          <w:p>
            <w:pPr>
              <w:pStyle w:val="17"/>
              <w:bidi w:val="0"/>
              <w:rPr>
                <w:rFonts w:hint="default"/>
                <w:color w:val="0000FF"/>
                <w:lang w:val="en-US" w:eastAsia="zh-CN"/>
              </w:rPr>
            </w:pPr>
            <w:r>
              <w:rPr>
                <w:rFonts w:hint="default"/>
                <w:color w:val="0000FF"/>
              </w:rPr>
              <w:t>注：表中●为重点防渗区域，◎为一般防渗区域。</w:t>
            </w:r>
          </w:p>
        </w:tc>
      </w:tr>
    </w:tbl>
    <w:p>
      <w:pPr>
        <w:bidi w:val="0"/>
        <w:rPr>
          <w:rFonts w:hint="default"/>
          <w:color w:val="0000FF"/>
        </w:rPr>
      </w:pPr>
      <w:r>
        <w:rPr>
          <w:rFonts w:hint="default"/>
          <w:color w:val="0000FF"/>
          <w:lang w:eastAsia="zh-CN"/>
        </w:rPr>
        <w:t>（</w:t>
      </w:r>
      <w:r>
        <w:rPr>
          <w:rFonts w:hint="default"/>
          <w:color w:val="0000FF"/>
          <w:lang w:val="en-US" w:eastAsia="zh-CN"/>
        </w:rPr>
        <w:t>3</w:t>
      </w:r>
      <w:r>
        <w:rPr>
          <w:rFonts w:hint="default"/>
          <w:color w:val="0000FF"/>
          <w:lang w:eastAsia="zh-CN"/>
        </w:rPr>
        <w:t>）</w:t>
      </w:r>
      <w:r>
        <w:rPr>
          <w:rFonts w:hint="default"/>
          <w:color w:val="0000FF"/>
        </w:rPr>
        <w:t>防渗结构及效果：</w:t>
      </w:r>
    </w:p>
    <w:p>
      <w:pPr>
        <w:bidi w:val="0"/>
        <w:rPr>
          <w:rFonts w:hint="default"/>
          <w:color w:val="0000FF"/>
        </w:rPr>
      </w:pPr>
      <w:r>
        <w:rPr>
          <w:rFonts w:hint="default"/>
          <w:color w:val="0000FF"/>
        </w:rPr>
        <w:t>①一般防渗区域</w:t>
      </w:r>
    </w:p>
    <w:p>
      <w:pPr>
        <w:bidi w:val="0"/>
        <w:rPr>
          <w:rFonts w:hint="default"/>
          <w:color w:val="0000FF"/>
        </w:rPr>
      </w:pPr>
      <w:r>
        <w:rPr>
          <w:rFonts w:hint="default"/>
          <w:color w:val="0000FF"/>
        </w:rPr>
        <w:t>采用柔性防渗结构。防渗层为厚度≥1.5mm的土工膜，渗透系数≤10</w:t>
      </w:r>
      <w:r>
        <w:rPr>
          <w:rFonts w:hint="default"/>
          <w:color w:val="0000FF"/>
          <w:vertAlign w:val="superscript"/>
        </w:rPr>
        <w:t>-7</w:t>
      </w:r>
      <w:r>
        <w:rPr>
          <w:rFonts w:hint="default"/>
          <w:color w:val="0000FF"/>
        </w:rPr>
        <w:t>cm/s，防渗性能与1.5m厚粘土层等效。</w:t>
      </w:r>
    </w:p>
    <w:p>
      <w:pPr>
        <w:bidi w:val="0"/>
        <w:rPr>
          <w:rFonts w:hint="default"/>
          <w:color w:val="0000FF"/>
        </w:rPr>
      </w:pPr>
      <w:r>
        <w:rPr>
          <w:rFonts w:hint="default"/>
          <w:color w:val="0000FF"/>
        </w:rPr>
        <w:t>②重点防渗区域</w:t>
      </w:r>
    </w:p>
    <w:p>
      <w:pPr>
        <w:bidi w:val="0"/>
        <w:rPr>
          <w:rFonts w:hint="default"/>
          <w:color w:val="0000FF"/>
        </w:rPr>
      </w:pPr>
      <w:r>
        <w:rPr>
          <w:rFonts w:hint="default"/>
          <w:color w:val="0000FF"/>
        </w:rPr>
        <w:t>采用复合防渗结构。防渗层自上而下由土工膜、抗渗砼、抗渗添加剂、细石砼等组成，渗透系数≤10</w:t>
      </w:r>
      <w:r>
        <w:rPr>
          <w:rFonts w:hint="default"/>
          <w:color w:val="0000FF"/>
          <w:vertAlign w:val="superscript"/>
        </w:rPr>
        <w:t>-10</w:t>
      </w:r>
      <w:r>
        <w:rPr>
          <w:rFonts w:hint="default"/>
          <w:color w:val="0000FF"/>
        </w:rPr>
        <w:t>cm/s，防渗性能与6.0m厚粘土层等效。</w:t>
      </w:r>
    </w:p>
    <w:p>
      <w:pPr>
        <w:bidi w:val="0"/>
        <w:rPr>
          <w:rFonts w:hint="default"/>
          <w:color w:val="0000FF"/>
        </w:rPr>
      </w:pPr>
      <w:r>
        <w:rPr>
          <w:rFonts w:hint="default"/>
          <w:color w:val="0000FF"/>
        </w:rPr>
        <w:t>各建筑防渗方法和防渗材料选用要经过专业设计，并符合本次环评的分区类别，所有建筑物防渗的设计使用年限不低于其主体的设计使用年限。</w:t>
      </w:r>
    </w:p>
    <w:p>
      <w:pPr>
        <w:rPr>
          <w:rFonts w:hint="default"/>
          <w:color w:val="0000FF"/>
        </w:rPr>
      </w:pPr>
      <w:r>
        <w:rPr>
          <w:rFonts w:hint="default"/>
          <w:color w:val="0000FF"/>
        </w:rPr>
        <w:br w:type="page"/>
      </w:r>
    </w:p>
    <w:p>
      <w:pPr>
        <w:pStyle w:val="3"/>
        <w:bidi w:val="0"/>
        <w:rPr>
          <w:rFonts w:hint="default"/>
        </w:rPr>
      </w:pPr>
      <w:bookmarkStart w:id="318" w:name="_Toc10518"/>
      <w:bookmarkStart w:id="319" w:name="_Toc26032143"/>
      <w:bookmarkStart w:id="320" w:name="_Toc178398682"/>
      <w:bookmarkStart w:id="321" w:name="_Toc26086260"/>
      <w:bookmarkStart w:id="322" w:name="_Toc178334889"/>
      <w:bookmarkStart w:id="323" w:name="_Toc26032313"/>
      <w:bookmarkStart w:id="324" w:name="_Toc178507583"/>
      <w:bookmarkStart w:id="325" w:name="_Toc26031206"/>
      <w:bookmarkStart w:id="326" w:name="_Toc178509642"/>
      <w:bookmarkStart w:id="327" w:name="_Toc26031599"/>
      <w:bookmarkStart w:id="328" w:name="_Toc178400684"/>
      <w:bookmarkStart w:id="329" w:name="_Toc26099609"/>
      <w:bookmarkStart w:id="330" w:name="_Toc26068149"/>
      <w:bookmarkStart w:id="331" w:name="_Toc26438188"/>
      <w:r>
        <w:rPr>
          <w:rFonts w:hint="default"/>
        </w:rPr>
        <w:t>8环境影响经济损益分析</w:t>
      </w:r>
      <w:bookmarkEnd w:id="318"/>
    </w:p>
    <w:bookmarkEnd w:id="319"/>
    <w:bookmarkEnd w:id="320"/>
    <w:bookmarkEnd w:id="321"/>
    <w:bookmarkEnd w:id="322"/>
    <w:bookmarkEnd w:id="323"/>
    <w:bookmarkEnd w:id="324"/>
    <w:bookmarkEnd w:id="325"/>
    <w:bookmarkEnd w:id="326"/>
    <w:bookmarkEnd w:id="327"/>
    <w:bookmarkEnd w:id="328"/>
    <w:bookmarkEnd w:id="329"/>
    <w:bookmarkEnd w:id="330"/>
    <w:bookmarkEnd w:id="331"/>
    <w:p>
      <w:pPr>
        <w:pStyle w:val="4"/>
        <w:bidi w:val="0"/>
        <w:rPr>
          <w:rFonts w:hint="default"/>
        </w:rPr>
      </w:pPr>
      <w:bookmarkStart w:id="332" w:name="_Toc13278"/>
      <w:bookmarkStart w:id="333" w:name="_Toc524431474"/>
      <w:bookmarkStart w:id="334" w:name="_Toc22342_WPSOffice_Level2"/>
      <w:bookmarkStart w:id="335" w:name="_Toc24124"/>
      <w:bookmarkStart w:id="336" w:name="_Toc2431"/>
      <w:bookmarkStart w:id="337" w:name="_Toc172275811"/>
      <w:bookmarkStart w:id="338" w:name="_Toc178226551"/>
      <w:bookmarkStart w:id="339" w:name="_Toc172908621"/>
      <w:bookmarkStart w:id="340" w:name="_Toc178229828"/>
      <w:bookmarkStart w:id="341" w:name="_Toc171821955"/>
      <w:bookmarkStart w:id="342" w:name="_Toc178306369"/>
      <w:bookmarkStart w:id="343" w:name="_Toc178334895"/>
      <w:bookmarkStart w:id="344" w:name="_Toc171798954"/>
      <w:r>
        <w:rPr>
          <w:rFonts w:hint="default"/>
        </w:rPr>
        <w:t>8.1</w:t>
      </w:r>
      <w:r>
        <w:rPr>
          <w:rFonts w:hint="eastAsia"/>
          <w:lang w:eastAsia="zh-CN"/>
        </w:rPr>
        <w:t>、</w:t>
      </w:r>
      <w:r>
        <w:rPr>
          <w:rFonts w:hint="default"/>
        </w:rPr>
        <w:t>环境保护投资</w:t>
      </w:r>
      <w:bookmarkEnd w:id="332"/>
      <w:bookmarkEnd w:id="333"/>
      <w:bookmarkEnd w:id="334"/>
      <w:bookmarkEnd w:id="335"/>
      <w:bookmarkEnd w:id="336"/>
    </w:p>
    <w:p>
      <w:pPr>
        <w:bidi w:val="0"/>
        <w:rPr>
          <w:rFonts w:hint="default"/>
        </w:rPr>
      </w:pPr>
      <w:r>
        <w:rPr>
          <w:rFonts w:hint="default"/>
        </w:rPr>
        <w:t>本项目用于环境保护的投资约为</w:t>
      </w:r>
      <w:r>
        <w:rPr>
          <w:rFonts w:hint="eastAsia"/>
          <w:lang w:val="en-US" w:eastAsia="zh-CN"/>
        </w:rPr>
        <w:t>106</w:t>
      </w:r>
      <w:r>
        <w:rPr>
          <w:rFonts w:hint="default"/>
        </w:rPr>
        <w:t>万元，约占项目总投资的</w:t>
      </w:r>
      <w:r>
        <w:rPr>
          <w:rFonts w:hint="eastAsia"/>
          <w:lang w:val="en-US" w:eastAsia="zh-CN"/>
        </w:rPr>
        <w:t>13.25</w:t>
      </w:r>
      <w:r>
        <w:rPr>
          <w:rFonts w:hint="default"/>
        </w:rPr>
        <w:t>%，具体环保投资明细详见表8.1-1。</w:t>
      </w:r>
    </w:p>
    <w:p>
      <w:pPr>
        <w:pStyle w:val="17"/>
        <w:bidi w:val="0"/>
        <w:rPr>
          <w:rFonts w:hint="default"/>
          <w:b/>
          <w:bCs/>
        </w:rPr>
      </w:pPr>
      <w:r>
        <w:rPr>
          <w:rFonts w:hint="default"/>
          <w:b/>
          <w:bCs/>
        </w:rPr>
        <w:t xml:space="preserve">表8.1-1 </w:t>
      </w:r>
      <w:r>
        <w:rPr>
          <w:rFonts w:hint="eastAsia"/>
          <w:b/>
          <w:bCs/>
          <w:lang w:val="en-US" w:eastAsia="zh-CN"/>
        </w:rPr>
        <w:t xml:space="preserve"> </w:t>
      </w:r>
      <w:r>
        <w:rPr>
          <w:rFonts w:hint="default"/>
          <w:b/>
          <w:bCs/>
        </w:rPr>
        <w:t xml:space="preserve"> 环保投资一览表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3"/>
        <w:gridCol w:w="1793"/>
        <w:gridCol w:w="5415"/>
        <w:gridCol w:w="14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tcBorders>
              <w:tl2br w:val="nil"/>
              <w:tr2bl w:val="nil"/>
            </w:tcBorders>
            <w:vAlign w:val="center"/>
          </w:tcPr>
          <w:p>
            <w:pPr>
              <w:pStyle w:val="17"/>
              <w:bidi w:val="0"/>
              <w:rPr>
                <w:rFonts w:hint="default"/>
                <w:b/>
                <w:bCs/>
              </w:rPr>
            </w:pPr>
            <w:r>
              <w:rPr>
                <w:rFonts w:hint="default"/>
                <w:b/>
                <w:bCs/>
              </w:rPr>
              <w:t>时段</w:t>
            </w:r>
          </w:p>
        </w:tc>
        <w:tc>
          <w:tcPr>
            <w:tcW w:w="1793" w:type="dxa"/>
            <w:tcBorders>
              <w:tl2br w:val="nil"/>
              <w:tr2bl w:val="nil"/>
            </w:tcBorders>
            <w:vAlign w:val="center"/>
          </w:tcPr>
          <w:p>
            <w:pPr>
              <w:pStyle w:val="17"/>
              <w:bidi w:val="0"/>
              <w:rPr>
                <w:rFonts w:hint="default"/>
                <w:b/>
                <w:bCs/>
              </w:rPr>
            </w:pPr>
            <w:r>
              <w:rPr>
                <w:rFonts w:hint="default"/>
                <w:b/>
                <w:bCs/>
              </w:rPr>
              <w:t>项目</w:t>
            </w:r>
          </w:p>
        </w:tc>
        <w:tc>
          <w:tcPr>
            <w:tcW w:w="5415" w:type="dxa"/>
            <w:tcBorders>
              <w:tl2br w:val="nil"/>
              <w:tr2bl w:val="nil"/>
            </w:tcBorders>
            <w:vAlign w:val="center"/>
          </w:tcPr>
          <w:p>
            <w:pPr>
              <w:pStyle w:val="17"/>
              <w:bidi w:val="0"/>
              <w:rPr>
                <w:rFonts w:hint="default"/>
                <w:b/>
                <w:bCs/>
              </w:rPr>
            </w:pPr>
            <w:r>
              <w:rPr>
                <w:rFonts w:hint="default"/>
                <w:b/>
                <w:bCs/>
              </w:rPr>
              <w:t>主要环保措施</w:t>
            </w:r>
          </w:p>
        </w:tc>
        <w:tc>
          <w:tcPr>
            <w:tcW w:w="1410" w:type="dxa"/>
            <w:tcBorders>
              <w:tl2br w:val="nil"/>
              <w:tr2bl w:val="nil"/>
            </w:tcBorders>
            <w:vAlign w:val="center"/>
          </w:tcPr>
          <w:p>
            <w:pPr>
              <w:pStyle w:val="17"/>
              <w:bidi w:val="0"/>
              <w:rPr>
                <w:rFonts w:hint="default"/>
                <w:b/>
                <w:bCs/>
              </w:rPr>
            </w:pPr>
            <w:r>
              <w:rPr>
                <w:rFonts w:hint="default"/>
                <w:b/>
                <w:bCs/>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restart"/>
            <w:tcBorders>
              <w:tl2br w:val="nil"/>
              <w:tr2bl w:val="nil"/>
            </w:tcBorders>
            <w:vAlign w:val="center"/>
          </w:tcPr>
          <w:p>
            <w:pPr>
              <w:pStyle w:val="17"/>
              <w:bidi w:val="0"/>
              <w:rPr>
                <w:rFonts w:hint="default"/>
              </w:rPr>
            </w:pPr>
            <w:r>
              <w:rPr>
                <w:rFonts w:hint="default"/>
              </w:rPr>
              <w:t>施</w:t>
            </w:r>
          </w:p>
          <w:p>
            <w:pPr>
              <w:pStyle w:val="17"/>
              <w:bidi w:val="0"/>
              <w:rPr>
                <w:rFonts w:hint="default"/>
              </w:rPr>
            </w:pPr>
            <w:r>
              <w:rPr>
                <w:rFonts w:hint="default"/>
              </w:rPr>
              <w:t>工</w:t>
            </w:r>
          </w:p>
          <w:p>
            <w:pPr>
              <w:pStyle w:val="17"/>
              <w:bidi w:val="0"/>
              <w:rPr>
                <w:rFonts w:hint="default"/>
              </w:rPr>
            </w:pPr>
            <w:r>
              <w:rPr>
                <w:rFonts w:hint="default"/>
              </w:rPr>
              <w:t>期</w:t>
            </w:r>
          </w:p>
        </w:tc>
        <w:tc>
          <w:tcPr>
            <w:tcW w:w="1793" w:type="dxa"/>
            <w:tcBorders>
              <w:tl2br w:val="nil"/>
              <w:tr2bl w:val="nil"/>
            </w:tcBorders>
            <w:vAlign w:val="center"/>
          </w:tcPr>
          <w:p>
            <w:pPr>
              <w:pStyle w:val="17"/>
              <w:bidi w:val="0"/>
              <w:rPr>
                <w:rFonts w:hint="default"/>
              </w:rPr>
            </w:pPr>
            <w:r>
              <w:rPr>
                <w:rFonts w:hint="default"/>
              </w:rPr>
              <w:t>废气治理</w:t>
            </w:r>
          </w:p>
        </w:tc>
        <w:tc>
          <w:tcPr>
            <w:tcW w:w="5415" w:type="dxa"/>
            <w:tcBorders>
              <w:tl2br w:val="nil"/>
              <w:tr2bl w:val="nil"/>
            </w:tcBorders>
            <w:vAlign w:val="center"/>
          </w:tcPr>
          <w:p>
            <w:pPr>
              <w:pStyle w:val="17"/>
              <w:bidi w:val="0"/>
              <w:rPr>
                <w:rFonts w:hint="default"/>
              </w:rPr>
            </w:pPr>
            <w:r>
              <w:rPr>
                <w:rFonts w:hint="default"/>
              </w:rPr>
              <w:t>设置施工围挡、洒水等措施</w:t>
            </w:r>
          </w:p>
        </w:tc>
        <w:tc>
          <w:tcPr>
            <w:tcW w:w="1410" w:type="dxa"/>
            <w:tcBorders>
              <w:tl2br w:val="nil"/>
              <w:tr2bl w:val="nil"/>
            </w:tcBorders>
            <w:vAlign w:val="center"/>
          </w:tcPr>
          <w:p>
            <w:pPr>
              <w:pStyle w:val="17"/>
              <w:bidi w:val="0"/>
              <w:rPr>
                <w:rFonts w:hint="default"/>
              </w:rPr>
            </w:pPr>
            <w:r>
              <w:rPr>
                <w:rFonts w:hint="defaul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continue"/>
            <w:tcBorders>
              <w:tl2br w:val="nil"/>
              <w:tr2bl w:val="nil"/>
            </w:tcBorders>
            <w:vAlign w:val="center"/>
          </w:tcPr>
          <w:p>
            <w:pPr>
              <w:pStyle w:val="17"/>
              <w:bidi w:val="0"/>
              <w:rPr>
                <w:rFonts w:hint="default"/>
              </w:rPr>
            </w:pPr>
          </w:p>
        </w:tc>
        <w:tc>
          <w:tcPr>
            <w:tcW w:w="1793" w:type="dxa"/>
            <w:tcBorders>
              <w:tl2br w:val="nil"/>
              <w:tr2bl w:val="nil"/>
            </w:tcBorders>
            <w:vAlign w:val="center"/>
          </w:tcPr>
          <w:p>
            <w:pPr>
              <w:pStyle w:val="17"/>
              <w:bidi w:val="0"/>
              <w:rPr>
                <w:rFonts w:hint="default"/>
              </w:rPr>
            </w:pPr>
            <w:r>
              <w:rPr>
                <w:rFonts w:hint="default"/>
              </w:rPr>
              <w:t>废水治理</w:t>
            </w:r>
          </w:p>
        </w:tc>
        <w:tc>
          <w:tcPr>
            <w:tcW w:w="5415" w:type="dxa"/>
            <w:tcBorders>
              <w:tl2br w:val="nil"/>
              <w:tr2bl w:val="nil"/>
            </w:tcBorders>
            <w:vAlign w:val="center"/>
          </w:tcPr>
          <w:p>
            <w:pPr>
              <w:pStyle w:val="17"/>
              <w:bidi w:val="0"/>
              <w:rPr>
                <w:rFonts w:hint="default"/>
                <w:lang w:val="en-US"/>
              </w:rPr>
            </w:pPr>
            <w:r>
              <w:rPr>
                <w:rFonts w:hint="default"/>
              </w:rPr>
              <w:t>施工废水经隔油、沉淀处理后用作施工现场降尘用水；生活污水经</w:t>
            </w:r>
            <w:r>
              <w:rPr>
                <w:rFonts w:hint="default"/>
                <w:lang w:val="en-US" w:eastAsia="zh-CN"/>
              </w:rPr>
              <w:t>经收集排至县污水处理厂</w:t>
            </w:r>
          </w:p>
        </w:tc>
        <w:tc>
          <w:tcPr>
            <w:tcW w:w="1410" w:type="dxa"/>
            <w:tcBorders>
              <w:tl2br w:val="nil"/>
              <w:tr2bl w:val="nil"/>
            </w:tcBorders>
            <w:vAlign w:val="center"/>
          </w:tcPr>
          <w:p>
            <w:pPr>
              <w:pStyle w:val="17"/>
              <w:bidi w:val="0"/>
              <w:rPr>
                <w:rFonts w:hint="default"/>
              </w:rPr>
            </w:pPr>
            <w:r>
              <w:rPr>
                <w:rFonts w:hint="default"/>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continue"/>
            <w:tcBorders>
              <w:tl2br w:val="nil"/>
              <w:tr2bl w:val="nil"/>
            </w:tcBorders>
            <w:vAlign w:val="center"/>
          </w:tcPr>
          <w:p>
            <w:pPr>
              <w:pStyle w:val="17"/>
              <w:bidi w:val="0"/>
              <w:rPr>
                <w:rFonts w:hint="default"/>
              </w:rPr>
            </w:pPr>
          </w:p>
        </w:tc>
        <w:tc>
          <w:tcPr>
            <w:tcW w:w="1793" w:type="dxa"/>
            <w:tcBorders>
              <w:tl2br w:val="nil"/>
              <w:tr2bl w:val="nil"/>
            </w:tcBorders>
            <w:vAlign w:val="center"/>
          </w:tcPr>
          <w:p>
            <w:pPr>
              <w:pStyle w:val="17"/>
              <w:bidi w:val="0"/>
              <w:rPr>
                <w:rFonts w:hint="default"/>
              </w:rPr>
            </w:pPr>
            <w:r>
              <w:rPr>
                <w:rFonts w:hint="default"/>
              </w:rPr>
              <w:t>噪声治理</w:t>
            </w:r>
          </w:p>
        </w:tc>
        <w:tc>
          <w:tcPr>
            <w:tcW w:w="5415" w:type="dxa"/>
            <w:tcBorders>
              <w:tl2br w:val="nil"/>
              <w:tr2bl w:val="nil"/>
            </w:tcBorders>
            <w:vAlign w:val="center"/>
          </w:tcPr>
          <w:p>
            <w:pPr>
              <w:pStyle w:val="17"/>
              <w:bidi w:val="0"/>
              <w:rPr>
                <w:rFonts w:hint="default"/>
              </w:rPr>
            </w:pPr>
            <w:r>
              <w:rPr>
                <w:rFonts w:hint="default"/>
              </w:rPr>
              <w:t>修建临时隔声棚等</w:t>
            </w:r>
          </w:p>
        </w:tc>
        <w:tc>
          <w:tcPr>
            <w:tcW w:w="1410" w:type="dxa"/>
            <w:tcBorders>
              <w:tl2br w:val="nil"/>
              <w:tr2bl w:val="nil"/>
            </w:tcBorders>
            <w:vAlign w:val="center"/>
          </w:tcPr>
          <w:p>
            <w:pPr>
              <w:pStyle w:val="17"/>
              <w:bidi w:val="0"/>
              <w:rPr>
                <w:rFonts w:hint="default"/>
              </w:rPr>
            </w:pPr>
            <w:r>
              <w:rPr>
                <w:rFonts w:hint="default"/>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continue"/>
            <w:tcBorders>
              <w:tl2br w:val="nil"/>
              <w:tr2bl w:val="nil"/>
            </w:tcBorders>
            <w:vAlign w:val="center"/>
          </w:tcPr>
          <w:p>
            <w:pPr>
              <w:pStyle w:val="17"/>
              <w:bidi w:val="0"/>
              <w:rPr>
                <w:rFonts w:hint="default"/>
              </w:rPr>
            </w:pPr>
          </w:p>
        </w:tc>
        <w:tc>
          <w:tcPr>
            <w:tcW w:w="1793" w:type="dxa"/>
            <w:tcBorders>
              <w:tl2br w:val="nil"/>
              <w:tr2bl w:val="nil"/>
            </w:tcBorders>
            <w:vAlign w:val="center"/>
          </w:tcPr>
          <w:p>
            <w:pPr>
              <w:pStyle w:val="17"/>
              <w:bidi w:val="0"/>
              <w:rPr>
                <w:rFonts w:hint="default"/>
              </w:rPr>
            </w:pPr>
            <w:r>
              <w:rPr>
                <w:rFonts w:hint="default"/>
              </w:rPr>
              <w:t>固废治理</w:t>
            </w:r>
          </w:p>
        </w:tc>
        <w:tc>
          <w:tcPr>
            <w:tcW w:w="5415" w:type="dxa"/>
            <w:tcBorders>
              <w:tl2br w:val="nil"/>
              <w:tr2bl w:val="nil"/>
            </w:tcBorders>
            <w:vAlign w:val="center"/>
          </w:tcPr>
          <w:p>
            <w:pPr>
              <w:pStyle w:val="17"/>
              <w:bidi w:val="0"/>
              <w:rPr>
                <w:rFonts w:hint="default"/>
              </w:rPr>
            </w:pPr>
            <w:r>
              <w:rPr>
                <w:rFonts w:hint="default"/>
              </w:rPr>
              <w:t>建筑垃圾按照《城市建筑垃圾管理规定》，向城市市容卫生管理部门申报，妥善弃置消纳；生活垃圾集中收集后由环卫部门统一清运至生活垃圾填埋场填埋处置</w:t>
            </w:r>
          </w:p>
        </w:tc>
        <w:tc>
          <w:tcPr>
            <w:tcW w:w="1410" w:type="dxa"/>
            <w:tcBorders>
              <w:tl2br w:val="nil"/>
              <w:tr2bl w:val="nil"/>
            </w:tcBorders>
            <w:vAlign w:val="center"/>
          </w:tcPr>
          <w:p>
            <w:pPr>
              <w:pStyle w:val="17"/>
              <w:bidi w:val="0"/>
              <w:rPr>
                <w:rFonts w:hint="default"/>
              </w:rPr>
            </w:pPr>
            <w:r>
              <w:rPr>
                <w:rFonts w:hint="default"/>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continue"/>
            <w:tcBorders>
              <w:tl2br w:val="nil"/>
              <w:tr2bl w:val="nil"/>
            </w:tcBorders>
            <w:vAlign w:val="center"/>
          </w:tcPr>
          <w:p>
            <w:pPr>
              <w:pStyle w:val="17"/>
              <w:bidi w:val="0"/>
              <w:rPr>
                <w:rFonts w:hint="default"/>
              </w:rPr>
            </w:pPr>
          </w:p>
        </w:tc>
        <w:tc>
          <w:tcPr>
            <w:tcW w:w="7208" w:type="dxa"/>
            <w:gridSpan w:val="2"/>
            <w:tcBorders>
              <w:tl2br w:val="nil"/>
              <w:tr2bl w:val="nil"/>
            </w:tcBorders>
            <w:vAlign w:val="center"/>
          </w:tcPr>
          <w:p>
            <w:pPr>
              <w:pStyle w:val="17"/>
              <w:bidi w:val="0"/>
              <w:rPr>
                <w:rFonts w:hint="default"/>
              </w:rPr>
            </w:pPr>
            <w:r>
              <w:rPr>
                <w:rFonts w:hint="default"/>
              </w:rPr>
              <w:t>小计</w:t>
            </w:r>
          </w:p>
        </w:tc>
        <w:tc>
          <w:tcPr>
            <w:tcW w:w="1410" w:type="dxa"/>
            <w:tcBorders>
              <w:tl2br w:val="nil"/>
              <w:tr2bl w:val="nil"/>
            </w:tcBorders>
            <w:vAlign w:val="center"/>
          </w:tcPr>
          <w:p>
            <w:pPr>
              <w:pStyle w:val="17"/>
              <w:bidi w:val="0"/>
              <w:rPr>
                <w:rFonts w:hint="default"/>
              </w:rPr>
            </w:pPr>
            <w:r>
              <w:rPr>
                <w:rFonts w:hint="default"/>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restart"/>
            <w:tcBorders>
              <w:tl2br w:val="nil"/>
              <w:tr2bl w:val="nil"/>
            </w:tcBorders>
            <w:vAlign w:val="center"/>
          </w:tcPr>
          <w:p>
            <w:pPr>
              <w:pStyle w:val="17"/>
              <w:bidi w:val="0"/>
              <w:rPr>
                <w:rFonts w:hint="default"/>
              </w:rPr>
            </w:pPr>
            <w:r>
              <w:rPr>
                <w:rFonts w:hint="default"/>
              </w:rPr>
              <w:t>运</w:t>
            </w:r>
          </w:p>
          <w:p>
            <w:pPr>
              <w:pStyle w:val="17"/>
              <w:bidi w:val="0"/>
              <w:rPr>
                <w:rFonts w:hint="default"/>
              </w:rPr>
            </w:pPr>
            <w:r>
              <w:rPr>
                <w:rFonts w:hint="default"/>
              </w:rPr>
              <w:t>营</w:t>
            </w:r>
          </w:p>
          <w:p>
            <w:pPr>
              <w:pStyle w:val="17"/>
              <w:bidi w:val="0"/>
              <w:rPr>
                <w:rFonts w:hint="default"/>
              </w:rPr>
            </w:pPr>
            <w:r>
              <w:rPr>
                <w:rFonts w:hint="default"/>
              </w:rPr>
              <w:t>期</w:t>
            </w:r>
          </w:p>
        </w:tc>
        <w:tc>
          <w:tcPr>
            <w:tcW w:w="1793" w:type="dxa"/>
            <w:vMerge w:val="restart"/>
            <w:tcBorders>
              <w:tl2br w:val="nil"/>
              <w:tr2bl w:val="nil"/>
            </w:tcBorders>
            <w:vAlign w:val="center"/>
          </w:tcPr>
          <w:p>
            <w:pPr>
              <w:pStyle w:val="17"/>
              <w:bidi w:val="0"/>
              <w:rPr>
                <w:rFonts w:hint="default"/>
              </w:rPr>
            </w:pPr>
            <w:r>
              <w:rPr>
                <w:rFonts w:hint="default"/>
              </w:rPr>
              <w:t>废气治理</w:t>
            </w:r>
          </w:p>
        </w:tc>
        <w:tc>
          <w:tcPr>
            <w:tcW w:w="5415" w:type="dxa"/>
            <w:tcBorders>
              <w:tl2br w:val="nil"/>
              <w:tr2bl w:val="nil"/>
            </w:tcBorders>
            <w:vAlign w:val="center"/>
          </w:tcPr>
          <w:p>
            <w:pPr>
              <w:pStyle w:val="17"/>
              <w:bidi w:val="0"/>
              <w:rPr>
                <w:rFonts w:hint="default"/>
              </w:rPr>
            </w:pPr>
            <w:r>
              <w:rPr>
                <w:rFonts w:hint="default"/>
              </w:rPr>
              <w:t>集气罩+等离子光氧一体机</w:t>
            </w:r>
            <w:r>
              <w:rPr>
                <w:rFonts w:hint="eastAsia"/>
                <w:lang w:val="en-US" w:eastAsia="zh-CN"/>
              </w:rPr>
              <w:t>+活性炭吸附装置</w:t>
            </w:r>
            <w:r>
              <w:rPr>
                <w:rFonts w:hint="default"/>
              </w:rPr>
              <w:t>处理设备+风机+15m高排气筒（</w:t>
            </w:r>
            <w:r>
              <w:rPr>
                <w:rFonts w:hint="eastAsia"/>
                <w:lang w:val="en-US" w:eastAsia="zh-CN"/>
              </w:rPr>
              <w:t>2</w:t>
            </w:r>
            <w:r>
              <w:rPr>
                <w:rFonts w:hint="default"/>
              </w:rPr>
              <w:t>套）</w:t>
            </w:r>
          </w:p>
        </w:tc>
        <w:tc>
          <w:tcPr>
            <w:tcW w:w="1410" w:type="dxa"/>
            <w:tcBorders>
              <w:tl2br w:val="nil"/>
              <w:tr2bl w:val="nil"/>
            </w:tcBorders>
            <w:vAlign w:val="center"/>
          </w:tcPr>
          <w:p>
            <w:pPr>
              <w:pStyle w:val="17"/>
              <w:bidi w:val="0"/>
              <w:rPr>
                <w:rFonts w:hint="default"/>
                <w:lang w:val="en-US" w:eastAsia="zh-CN"/>
              </w:rPr>
            </w:pPr>
            <w:r>
              <w:rPr>
                <w:rFonts w:hint="eastAsia"/>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continue"/>
            <w:tcBorders>
              <w:tl2br w:val="nil"/>
              <w:tr2bl w:val="nil"/>
            </w:tcBorders>
            <w:vAlign w:val="center"/>
          </w:tcPr>
          <w:p>
            <w:pPr>
              <w:pStyle w:val="17"/>
              <w:bidi w:val="0"/>
              <w:rPr>
                <w:rFonts w:hint="default"/>
              </w:rPr>
            </w:pPr>
          </w:p>
        </w:tc>
        <w:tc>
          <w:tcPr>
            <w:tcW w:w="1793" w:type="dxa"/>
            <w:vMerge w:val="continue"/>
            <w:tcBorders>
              <w:tl2br w:val="nil"/>
              <w:tr2bl w:val="nil"/>
            </w:tcBorders>
            <w:vAlign w:val="center"/>
          </w:tcPr>
          <w:p>
            <w:pPr>
              <w:pStyle w:val="17"/>
              <w:bidi w:val="0"/>
              <w:rPr>
                <w:rFonts w:hint="default"/>
              </w:rPr>
            </w:pPr>
          </w:p>
        </w:tc>
        <w:tc>
          <w:tcPr>
            <w:tcW w:w="5415" w:type="dxa"/>
            <w:tcBorders>
              <w:tl2br w:val="nil"/>
              <w:tr2bl w:val="nil"/>
            </w:tcBorders>
            <w:vAlign w:val="center"/>
          </w:tcPr>
          <w:p>
            <w:pPr>
              <w:pStyle w:val="17"/>
              <w:bidi w:val="0"/>
              <w:rPr>
                <w:rFonts w:hint="default"/>
              </w:rPr>
            </w:pPr>
            <w:r>
              <w:rPr>
                <w:rFonts w:hint="default"/>
              </w:rPr>
              <w:t>排风扇（</w:t>
            </w:r>
            <w:r>
              <w:rPr>
                <w:rFonts w:hint="eastAsia"/>
                <w:lang w:val="en-US" w:eastAsia="zh-CN"/>
              </w:rPr>
              <w:t>6</w:t>
            </w:r>
            <w:r>
              <w:rPr>
                <w:rFonts w:hint="default"/>
              </w:rPr>
              <w:t>台）</w:t>
            </w:r>
          </w:p>
        </w:tc>
        <w:tc>
          <w:tcPr>
            <w:tcW w:w="1410" w:type="dxa"/>
            <w:tcBorders>
              <w:tl2br w:val="nil"/>
              <w:tr2bl w:val="nil"/>
            </w:tcBorders>
            <w:vAlign w:val="center"/>
          </w:tcPr>
          <w:p>
            <w:pPr>
              <w:pStyle w:val="17"/>
              <w:bidi w:val="0"/>
              <w:rPr>
                <w:rFonts w:hint="eastAsia"/>
                <w:lang w:eastAsia="zh-CN"/>
              </w:rPr>
            </w:pPr>
            <w:r>
              <w:rPr>
                <w:rFonts w:hint="eastAsia"/>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continue"/>
            <w:tcBorders>
              <w:tl2br w:val="nil"/>
              <w:tr2bl w:val="nil"/>
            </w:tcBorders>
            <w:vAlign w:val="center"/>
          </w:tcPr>
          <w:p>
            <w:pPr>
              <w:pStyle w:val="17"/>
              <w:bidi w:val="0"/>
              <w:rPr>
                <w:rFonts w:hint="default"/>
              </w:rPr>
            </w:pPr>
          </w:p>
        </w:tc>
        <w:tc>
          <w:tcPr>
            <w:tcW w:w="1793" w:type="dxa"/>
            <w:vMerge w:val="continue"/>
            <w:tcBorders>
              <w:tl2br w:val="nil"/>
              <w:tr2bl w:val="nil"/>
            </w:tcBorders>
            <w:vAlign w:val="center"/>
          </w:tcPr>
          <w:p>
            <w:pPr>
              <w:pStyle w:val="17"/>
              <w:bidi w:val="0"/>
              <w:rPr>
                <w:rFonts w:hint="default"/>
              </w:rPr>
            </w:pPr>
          </w:p>
        </w:tc>
        <w:tc>
          <w:tcPr>
            <w:tcW w:w="5415" w:type="dxa"/>
            <w:tcBorders>
              <w:tl2br w:val="nil"/>
              <w:tr2bl w:val="nil"/>
            </w:tcBorders>
            <w:vAlign w:val="center"/>
          </w:tcPr>
          <w:p>
            <w:pPr>
              <w:pStyle w:val="17"/>
              <w:bidi w:val="0"/>
              <w:rPr>
                <w:rFonts w:hint="default"/>
              </w:rPr>
            </w:pPr>
            <w:r>
              <w:rPr>
                <w:rFonts w:hint="default"/>
              </w:rPr>
              <w:t>油烟治理装置（1套油烟净化设备）</w:t>
            </w:r>
          </w:p>
        </w:tc>
        <w:tc>
          <w:tcPr>
            <w:tcW w:w="1410" w:type="dxa"/>
            <w:tcBorders>
              <w:tl2br w:val="nil"/>
              <w:tr2bl w:val="nil"/>
            </w:tcBorders>
            <w:vAlign w:val="center"/>
          </w:tcPr>
          <w:p>
            <w:pPr>
              <w:pStyle w:val="17"/>
              <w:bidi w:val="0"/>
              <w:rPr>
                <w:rFonts w:hint="default"/>
              </w:rPr>
            </w:pPr>
            <w:r>
              <w:rPr>
                <w:rFonts w:hint="default"/>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continue"/>
            <w:tcBorders>
              <w:tl2br w:val="nil"/>
              <w:tr2bl w:val="nil"/>
            </w:tcBorders>
            <w:vAlign w:val="center"/>
          </w:tcPr>
          <w:p>
            <w:pPr>
              <w:pStyle w:val="17"/>
              <w:bidi w:val="0"/>
              <w:rPr>
                <w:rFonts w:hint="default"/>
              </w:rPr>
            </w:pPr>
          </w:p>
        </w:tc>
        <w:tc>
          <w:tcPr>
            <w:tcW w:w="1793" w:type="dxa"/>
            <w:vMerge w:val="continue"/>
            <w:tcBorders>
              <w:tl2br w:val="nil"/>
              <w:tr2bl w:val="nil"/>
            </w:tcBorders>
            <w:vAlign w:val="center"/>
          </w:tcPr>
          <w:p>
            <w:pPr>
              <w:pStyle w:val="17"/>
              <w:bidi w:val="0"/>
              <w:rPr>
                <w:rFonts w:hint="default"/>
              </w:rPr>
            </w:pPr>
          </w:p>
        </w:tc>
        <w:tc>
          <w:tcPr>
            <w:tcW w:w="5415" w:type="dxa"/>
            <w:tcBorders>
              <w:tl2br w:val="nil"/>
              <w:tr2bl w:val="nil"/>
            </w:tcBorders>
            <w:vAlign w:val="center"/>
          </w:tcPr>
          <w:p>
            <w:pPr>
              <w:pStyle w:val="17"/>
              <w:bidi w:val="0"/>
              <w:rPr>
                <w:rFonts w:hint="default"/>
              </w:rPr>
            </w:pPr>
            <w:r>
              <w:rPr>
                <w:rFonts w:hint="default"/>
              </w:rPr>
              <w:t>喷淋降尘</w:t>
            </w:r>
          </w:p>
        </w:tc>
        <w:tc>
          <w:tcPr>
            <w:tcW w:w="1410" w:type="dxa"/>
            <w:tcBorders>
              <w:tl2br w:val="nil"/>
              <w:tr2bl w:val="nil"/>
            </w:tcBorders>
            <w:vAlign w:val="center"/>
          </w:tcPr>
          <w:p>
            <w:pPr>
              <w:pStyle w:val="17"/>
              <w:bidi w:val="0"/>
              <w:rPr>
                <w:rFonts w:hint="eastAsia"/>
                <w:lang w:eastAsia="zh-CN"/>
              </w:rPr>
            </w:pPr>
            <w:r>
              <w:rPr>
                <w:rFonts w:hint="eastAsia"/>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continue"/>
            <w:tcBorders>
              <w:tl2br w:val="nil"/>
              <w:tr2bl w:val="nil"/>
            </w:tcBorders>
            <w:vAlign w:val="center"/>
          </w:tcPr>
          <w:p>
            <w:pPr>
              <w:pStyle w:val="17"/>
              <w:bidi w:val="0"/>
              <w:rPr>
                <w:rFonts w:hint="default"/>
              </w:rPr>
            </w:pPr>
          </w:p>
        </w:tc>
        <w:tc>
          <w:tcPr>
            <w:tcW w:w="1793" w:type="dxa"/>
            <w:vMerge w:val="continue"/>
            <w:tcBorders>
              <w:tl2br w:val="nil"/>
              <w:tr2bl w:val="nil"/>
            </w:tcBorders>
            <w:vAlign w:val="center"/>
          </w:tcPr>
          <w:p>
            <w:pPr>
              <w:pStyle w:val="17"/>
              <w:bidi w:val="0"/>
              <w:rPr>
                <w:rFonts w:hint="default"/>
              </w:rPr>
            </w:pPr>
          </w:p>
        </w:tc>
        <w:tc>
          <w:tcPr>
            <w:tcW w:w="5415" w:type="dxa"/>
            <w:tcBorders>
              <w:tl2br w:val="nil"/>
              <w:tr2bl w:val="nil"/>
            </w:tcBorders>
            <w:vAlign w:val="center"/>
          </w:tcPr>
          <w:p>
            <w:pPr>
              <w:pStyle w:val="17"/>
              <w:bidi w:val="0"/>
              <w:rPr>
                <w:rFonts w:hint="default"/>
              </w:rPr>
            </w:pPr>
            <w:r>
              <w:rPr>
                <w:rFonts w:hint="default"/>
              </w:rPr>
              <w:t>运行维护费用</w:t>
            </w:r>
          </w:p>
        </w:tc>
        <w:tc>
          <w:tcPr>
            <w:tcW w:w="1410" w:type="dxa"/>
            <w:tcBorders>
              <w:tl2br w:val="nil"/>
              <w:tr2bl w:val="nil"/>
            </w:tcBorders>
            <w:vAlign w:val="center"/>
          </w:tcPr>
          <w:p>
            <w:pPr>
              <w:pStyle w:val="17"/>
              <w:bidi w:val="0"/>
              <w:rPr>
                <w:rFonts w:hint="eastAsia"/>
                <w:lang w:eastAsia="zh-CN"/>
              </w:rPr>
            </w:pPr>
            <w:r>
              <w:rPr>
                <w:rFonts w:hint="eastAsia"/>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continue"/>
            <w:tcBorders>
              <w:tl2br w:val="nil"/>
              <w:tr2bl w:val="nil"/>
            </w:tcBorders>
            <w:vAlign w:val="center"/>
          </w:tcPr>
          <w:p>
            <w:pPr>
              <w:pStyle w:val="17"/>
              <w:bidi w:val="0"/>
              <w:rPr>
                <w:rFonts w:hint="default"/>
              </w:rPr>
            </w:pPr>
          </w:p>
        </w:tc>
        <w:tc>
          <w:tcPr>
            <w:tcW w:w="1793" w:type="dxa"/>
            <w:vMerge w:val="restart"/>
            <w:tcBorders>
              <w:tl2br w:val="nil"/>
              <w:tr2bl w:val="nil"/>
            </w:tcBorders>
            <w:vAlign w:val="center"/>
          </w:tcPr>
          <w:p>
            <w:pPr>
              <w:pStyle w:val="17"/>
              <w:bidi w:val="0"/>
              <w:rPr>
                <w:rFonts w:hint="default"/>
              </w:rPr>
            </w:pPr>
            <w:r>
              <w:rPr>
                <w:rFonts w:hint="default"/>
              </w:rPr>
              <w:t>废水治理</w:t>
            </w:r>
          </w:p>
        </w:tc>
        <w:tc>
          <w:tcPr>
            <w:tcW w:w="5415" w:type="dxa"/>
            <w:tcBorders>
              <w:tl2br w:val="nil"/>
              <w:tr2bl w:val="nil"/>
            </w:tcBorders>
            <w:vAlign w:val="center"/>
          </w:tcPr>
          <w:p>
            <w:pPr>
              <w:pStyle w:val="17"/>
              <w:bidi w:val="0"/>
              <w:rPr>
                <w:rFonts w:hint="default" w:eastAsia="宋体"/>
                <w:lang w:val="en-US" w:eastAsia="zh-CN"/>
              </w:rPr>
            </w:pPr>
            <w:r>
              <w:rPr>
                <w:rFonts w:hint="eastAsia"/>
                <w:lang w:val="en-US" w:eastAsia="zh-CN"/>
              </w:rPr>
              <w:t>循环沉淀池</w:t>
            </w:r>
            <w:r>
              <w:rPr>
                <w:rFonts w:hint="default"/>
              </w:rPr>
              <w:t>（</w:t>
            </w:r>
            <w:r>
              <w:rPr>
                <w:rFonts w:hint="eastAsia"/>
                <w:lang w:val="en-US" w:eastAsia="zh-CN"/>
              </w:rPr>
              <w:t>1</w:t>
            </w:r>
            <w:r>
              <w:rPr>
                <w:rFonts w:hint="default"/>
              </w:rPr>
              <w:t>个，</w:t>
            </w:r>
            <w:r>
              <w:rPr>
                <w:rFonts w:hint="eastAsia"/>
                <w:lang w:val="en-US" w:eastAsia="zh-CN"/>
              </w:rPr>
              <w:t>12</w:t>
            </w:r>
            <w:r>
              <w:rPr>
                <w:rFonts w:hint="default"/>
              </w:rPr>
              <w:t>00</w:t>
            </w:r>
            <w:r>
              <w:rPr>
                <w:rFonts w:hint="eastAsia"/>
                <w:lang w:eastAsia="zh-CN"/>
              </w:rPr>
              <w:t>m³</w:t>
            </w:r>
            <w:r>
              <w:rPr>
                <w:rFonts w:hint="default"/>
              </w:rPr>
              <w:t>）</w:t>
            </w:r>
            <w:r>
              <w:rPr>
                <w:rFonts w:hint="eastAsia"/>
                <w:lang w:val="en-US" w:eastAsia="zh-CN"/>
              </w:rPr>
              <w:t>地埋式污水处理设施（1套，50m³/d）</w:t>
            </w:r>
          </w:p>
        </w:tc>
        <w:tc>
          <w:tcPr>
            <w:tcW w:w="1410" w:type="dxa"/>
            <w:tcBorders>
              <w:tl2br w:val="nil"/>
              <w:tr2bl w:val="nil"/>
            </w:tcBorders>
            <w:vAlign w:val="center"/>
          </w:tcPr>
          <w:p>
            <w:pPr>
              <w:pStyle w:val="17"/>
              <w:bidi w:val="0"/>
              <w:rPr>
                <w:rFonts w:hint="default"/>
                <w:lang w:val="en-US" w:eastAsia="zh-CN"/>
              </w:rPr>
            </w:pPr>
            <w:r>
              <w:rPr>
                <w:rFonts w:hint="eastAsia"/>
                <w:lang w:val="en-US" w:eastAsia="zh-CN"/>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continue"/>
            <w:tcBorders>
              <w:tl2br w:val="nil"/>
              <w:tr2bl w:val="nil"/>
            </w:tcBorders>
            <w:vAlign w:val="center"/>
          </w:tcPr>
          <w:p>
            <w:pPr>
              <w:pStyle w:val="17"/>
              <w:bidi w:val="0"/>
              <w:rPr>
                <w:rFonts w:hint="default"/>
              </w:rPr>
            </w:pPr>
          </w:p>
        </w:tc>
        <w:tc>
          <w:tcPr>
            <w:tcW w:w="1793" w:type="dxa"/>
            <w:vMerge w:val="continue"/>
            <w:tcBorders>
              <w:tl2br w:val="nil"/>
              <w:tr2bl w:val="nil"/>
            </w:tcBorders>
            <w:vAlign w:val="center"/>
          </w:tcPr>
          <w:p>
            <w:pPr>
              <w:pStyle w:val="17"/>
              <w:bidi w:val="0"/>
              <w:rPr>
                <w:rFonts w:hint="default"/>
              </w:rPr>
            </w:pPr>
          </w:p>
        </w:tc>
        <w:tc>
          <w:tcPr>
            <w:tcW w:w="5415" w:type="dxa"/>
            <w:tcBorders>
              <w:tl2br w:val="nil"/>
              <w:tr2bl w:val="nil"/>
            </w:tcBorders>
            <w:vAlign w:val="center"/>
          </w:tcPr>
          <w:p>
            <w:pPr>
              <w:pStyle w:val="17"/>
              <w:bidi w:val="0"/>
              <w:rPr>
                <w:rFonts w:hint="default"/>
                <w:lang w:val="en-US" w:eastAsia="zh-CN"/>
              </w:rPr>
            </w:pPr>
            <w:r>
              <w:rPr>
                <w:rFonts w:hint="default"/>
              </w:rPr>
              <w:t>隔油池（</w:t>
            </w:r>
            <w:r>
              <w:rPr>
                <w:rFonts w:hint="default"/>
                <w:lang w:val="en-US" w:eastAsia="zh-CN"/>
              </w:rPr>
              <w:t>0.5</w:t>
            </w:r>
            <w:r>
              <w:rPr>
                <w:rFonts w:hint="eastAsia"/>
                <w:lang w:eastAsia="zh-CN"/>
              </w:rPr>
              <w:t>m³</w:t>
            </w:r>
            <w:r>
              <w:rPr>
                <w:rFonts w:hint="default"/>
              </w:rPr>
              <w:t>）</w:t>
            </w:r>
            <w:r>
              <w:rPr>
                <w:rFonts w:hint="eastAsia"/>
                <w:lang w:eastAsia="zh-CN"/>
              </w:rPr>
              <w:t>、</w:t>
            </w:r>
            <w:r>
              <w:rPr>
                <w:rFonts w:hint="eastAsia"/>
                <w:lang w:val="en-US" w:eastAsia="zh-CN"/>
              </w:rPr>
              <w:t>化粪池</w:t>
            </w:r>
          </w:p>
        </w:tc>
        <w:tc>
          <w:tcPr>
            <w:tcW w:w="1410" w:type="dxa"/>
            <w:tcBorders>
              <w:tl2br w:val="nil"/>
              <w:tr2bl w:val="nil"/>
            </w:tcBorders>
            <w:vAlign w:val="center"/>
          </w:tcPr>
          <w:p>
            <w:pPr>
              <w:pStyle w:val="17"/>
              <w:bidi w:val="0"/>
              <w:rPr>
                <w:rFonts w:hint="default"/>
              </w:rPr>
            </w:pPr>
            <w:r>
              <w:rPr>
                <w:rFonts w:hint="eastAsia"/>
                <w:lang w:val="en-US" w:eastAsia="zh-CN"/>
              </w:rPr>
              <w:t>1</w:t>
            </w:r>
            <w:r>
              <w:rPr>
                <w:rFonts w:hint="default"/>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continue"/>
            <w:tcBorders>
              <w:tl2br w:val="nil"/>
              <w:tr2bl w:val="nil"/>
            </w:tcBorders>
            <w:vAlign w:val="center"/>
          </w:tcPr>
          <w:p>
            <w:pPr>
              <w:pStyle w:val="17"/>
              <w:bidi w:val="0"/>
              <w:rPr>
                <w:rFonts w:hint="default"/>
              </w:rPr>
            </w:pPr>
          </w:p>
        </w:tc>
        <w:tc>
          <w:tcPr>
            <w:tcW w:w="1793" w:type="dxa"/>
            <w:tcBorders>
              <w:tl2br w:val="nil"/>
              <w:tr2bl w:val="nil"/>
            </w:tcBorders>
            <w:vAlign w:val="center"/>
          </w:tcPr>
          <w:p>
            <w:pPr>
              <w:pStyle w:val="17"/>
              <w:bidi w:val="0"/>
              <w:rPr>
                <w:rFonts w:hint="default"/>
              </w:rPr>
            </w:pPr>
            <w:r>
              <w:rPr>
                <w:rFonts w:hint="default"/>
              </w:rPr>
              <w:t>噪声治理</w:t>
            </w:r>
          </w:p>
        </w:tc>
        <w:tc>
          <w:tcPr>
            <w:tcW w:w="5415" w:type="dxa"/>
            <w:tcBorders>
              <w:tl2br w:val="nil"/>
              <w:tr2bl w:val="nil"/>
            </w:tcBorders>
            <w:vAlign w:val="center"/>
          </w:tcPr>
          <w:p>
            <w:pPr>
              <w:pStyle w:val="17"/>
              <w:bidi w:val="0"/>
              <w:rPr>
                <w:rFonts w:hint="default"/>
              </w:rPr>
            </w:pPr>
            <w:r>
              <w:rPr>
                <w:rFonts w:hint="default"/>
              </w:rPr>
              <w:t>安装减振基础、减振垫、消声器等</w:t>
            </w:r>
          </w:p>
        </w:tc>
        <w:tc>
          <w:tcPr>
            <w:tcW w:w="1410" w:type="dxa"/>
            <w:tcBorders>
              <w:tl2br w:val="nil"/>
              <w:tr2bl w:val="nil"/>
            </w:tcBorders>
            <w:vAlign w:val="center"/>
          </w:tcPr>
          <w:p>
            <w:pPr>
              <w:pStyle w:val="17"/>
              <w:bidi w:val="0"/>
              <w:rPr>
                <w:rFonts w:hint="default"/>
              </w:rPr>
            </w:pPr>
            <w:r>
              <w:rPr>
                <w:rFonts w:hint="default"/>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continue"/>
            <w:tcBorders>
              <w:tl2br w:val="nil"/>
              <w:tr2bl w:val="nil"/>
            </w:tcBorders>
            <w:vAlign w:val="center"/>
          </w:tcPr>
          <w:p>
            <w:pPr>
              <w:pStyle w:val="17"/>
              <w:bidi w:val="0"/>
              <w:rPr>
                <w:rFonts w:hint="default"/>
              </w:rPr>
            </w:pPr>
          </w:p>
        </w:tc>
        <w:tc>
          <w:tcPr>
            <w:tcW w:w="1793" w:type="dxa"/>
            <w:tcBorders>
              <w:tl2br w:val="nil"/>
              <w:tr2bl w:val="nil"/>
            </w:tcBorders>
            <w:vAlign w:val="center"/>
          </w:tcPr>
          <w:p>
            <w:pPr>
              <w:pStyle w:val="17"/>
              <w:bidi w:val="0"/>
              <w:rPr>
                <w:rFonts w:hint="default"/>
              </w:rPr>
            </w:pPr>
            <w:r>
              <w:rPr>
                <w:rFonts w:hint="default"/>
              </w:rPr>
              <w:t>固废治理</w:t>
            </w:r>
          </w:p>
        </w:tc>
        <w:tc>
          <w:tcPr>
            <w:tcW w:w="5415" w:type="dxa"/>
            <w:tcBorders>
              <w:tl2br w:val="nil"/>
              <w:tr2bl w:val="nil"/>
            </w:tcBorders>
            <w:vAlign w:val="center"/>
          </w:tcPr>
          <w:p>
            <w:pPr>
              <w:pStyle w:val="17"/>
              <w:bidi w:val="0"/>
              <w:rPr>
                <w:rFonts w:hint="default" w:eastAsia="宋体"/>
                <w:lang w:val="en-US" w:eastAsia="zh-CN"/>
              </w:rPr>
            </w:pPr>
            <w:r>
              <w:rPr>
                <w:rFonts w:hint="default"/>
              </w:rPr>
              <w:t>分拣废物</w:t>
            </w:r>
            <w:r>
              <w:rPr>
                <w:rFonts w:hint="default"/>
                <w:lang w:eastAsia="zh-CN"/>
              </w:rPr>
              <w:t>、</w:t>
            </w:r>
            <w:r>
              <w:rPr>
                <w:rFonts w:hint="default"/>
              </w:rPr>
              <w:t>沉降池污泥及生活垃圾委托环卫部门清运至</w:t>
            </w:r>
            <w:r>
              <w:rPr>
                <w:rFonts w:hint="eastAsia"/>
                <w:lang w:eastAsia="zh-CN"/>
              </w:rPr>
              <w:t>吉木萨尔县</w:t>
            </w:r>
            <w:r>
              <w:rPr>
                <w:rFonts w:hint="default"/>
                <w:lang w:eastAsia="zh-CN"/>
              </w:rPr>
              <w:t>垃圾</w:t>
            </w:r>
            <w:r>
              <w:rPr>
                <w:rFonts w:hint="eastAsia"/>
                <w:lang w:eastAsia="zh-CN"/>
              </w:rPr>
              <w:t>填埋场</w:t>
            </w:r>
            <w:r>
              <w:rPr>
                <w:rFonts w:hint="default"/>
              </w:rPr>
              <w:t>填埋处置；不合格产品一经产生即送至造粒设备重新造粒</w:t>
            </w:r>
            <w:r>
              <w:rPr>
                <w:rFonts w:hint="eastAsia"/>
                <w:lang w:eastAsia="zh-CN"/>
              </w:rPr>
              <w:t>，</w:t>
            </w:r>
            <w:r>
              <w:rPr>
                <w:rFonts w:hint="eastAsia"/>
                <w:lang w:val="en-US" w:eastAsia="zh-CN"/>
              </w:rPr>
              <w:t>危险废物暂存间，危险废物交由具有相应处理资质的单位进行后续处置</w:t>
            </w:r>
          </w:p>
        </w:tc>
        <w:tc>
          <w:tcPr>
            <w:tcW w:w="1410" w:type="dxa"/>
            <w:tcBorders>
              <w:tl2br w:val="nil"/>
              <w:tr2bl w:val="nil"/>
            </w:tcBorders>
            <w:vAlign w:val="center"/>
          </w:tcPr>
          <w:p>
            <w:pPr>
              <w:pStyle w:val="17"/>
              <w:bidi w:val="0"/>
              <w:rPr>
                <w:rFonts w:hint="eastAsia"/>
                <w:lang w:eastAsia="zh-CN"/>
              </w:rPr>
            </w:pPr>
            <w:r>
              <w:rPr>
                <w:rFonts w:hint="eastAsia"/>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continue"/>
            <w:tcBorders>
              <w:tl2br w:val="nil"/>
              <w:tr2bl w:val="nil"/>
            </w:tcBorders>
            <w:vAlign w:val="center"/>
          </w:tcPr>
          <w:p>
            <w:pPr>
              <w:pStyle w:val="17"/>
              <w:bidi w:val="0"/>
              <w:rPr>
                <w:rFonts w:hint="default"/>
              </w:rPr>
            </w:pPr>
          </w:p>
        </w:tc>
        <w:tc>
          <w:tcPr>
            <w:tcW w:w="1793" w:type="dxa"/>
            <w:tcBorders>
              <w:tl2br w:val="nil"/>
              <w:tr2bl w:val="nil"/>
            </w:tcBorders>
            <w:vAlign w:val="center"/>
          </w:tcPr>
          <w:p>
            <w:pPr>
              <w:pStyle w:val="17"/>
              <w:bidi w:val="0"/>
              <w:rPr>
                <w:rFonts w:hint="default"/>
              </w:rPr>
            </w:pPr>
            <w:r>
              <w:rPr>
                <w:rFonts w:hint="default"/>
              </w:rPr>
              <w:t>地下水污染防治</w:t>
            </w:r>
          </w:p>
        </w:tc>
        <w:tc>
          <w:tcPr>
            <w:tcW w:w="5415" w:type="dxa"/>
            <w:tcBorders>
              <w:tl2br w:val="nil"/>
              <w:tr2bl w:val="nil"/>
            </w:tcBorders>
            <w:vAlign w:val="center"/>
          </w:tcPr>
          <w:p>
            <w:pPr>
              <w:pStyle w:val="17"/>
              <w:bidi w:val="0"/>
              <w:rPr>
                <w:rFonts w:hint="default"/>
              </w:rPr>
            </w:pPr>
            <w:r>
              <w:rPr>
                <w:rFonts w:hint="default"/>
              </w:rPr>
              <w:t>厂区分区防渗</w:t>
            </w:r>
          </w:p>
        </w:tc>
        <w:tc>
          <w:tcPr>
            <w:tcW w:w="1410" w:type="dxa"/>
            <w:tcBorders>
              <w:tl2br w:val="nil"/>
              <w:tr2bl w:val="nil"/>
            </w:tcBorders>
            <w:vAlign w:val="center"/>
          </w:tcPr>
          <w:p>
            <w:pPr>
              <w:pStyle w:val="17"/>
              <w:bidi w:val="0"/>
              <w:rPr>
                <w:rFonts w:hint="default"/>
              </w:rPr>
            </w:pPr>
            <w:r>
              <w:rPr>
                <w:rFonts w:hint="default"/>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continue"/>
            <w:tcBorders>
              <w:tl2br w:val="nil"/>
              <w:tr2bl w:val="nil"/>
            </w:tcBorders>
            <w:vAlign w:val="center"/>
          </w:tcPr>
          <w:p>
            <w:pPr>
              <w:pStyle w:val="17"/>
              <w:bidi w:val="0"/>
              <w:rPr>
                <w:rFonts w:hint="default"/>
              </w:rPr>
            </w:pPr>
          </w:p>
        </w:tc>
        <w:tc>
          <w:tcPr>
            <w:tcW w:w="1793" w:type="dxa"/>
            <w:tcBorders>
              <w:tl2br w:val="nil"/>
              <w:tr2bl w:val="nil"/>
            </w:tcBorders>
            <w:vAlign w:val="center"/>
          </w:tcPr>
          <w:p>
            <w:pPr>
              <w:pStyle w:val="17"/>
              <w:bidi w:val="0"/>
              <w:rPr>
                <w:rFonts w:hint="default"/>
              </w:rPr>
            </w:pPr>
            <w:r>
              <w:rPr>
                <w:rFonts w:hint="default"/>
              </w:rPr>
              <w:t>生态恢复</w:t>
            </w:r>
          </w:p>
        </w:tc>
        <w:tc>
          <w:tcPr>
            <w:tcW w:w="5415" w:type="dxa"/>
            <w:tcBorders>
              <w:tl2br w:val="nil"/>
              <w:tr2bl w:val="nil"/>
            </w:tcBorders>
            <w:vAlign w:val="center"/>
          </w:tcPr>
          <w:p>
            <w:pPr>
              <w:pStyle w:val="17"/>
              <w:bidi w:val="0"/>
              <w:rPr>
                <w:rFonts w:hint="default"/>
              </w:rPr>
            </w:pPr>
            <w:r>
              <w:rPr>
                <w:rFonts w:hint="default"/>
              </w:rPr>
              <w:t>厂区绿化</w:t>
            </w:r>
          </w:p>
        </w:tc>
        <w:tc>
          <w:tcPr>
            <w:tcW w:w="1410" w:type="dxa"/>
            <w:tcBorders>
              <w:tl2br w:val="nil"/>
              <w:tr2bl w:val="nil"/>
            </w:tcBorders>
            <w:vAlign w:val="center"/>
          </w:tcPr>
          <w:p>
            <w:pPr>
              <w:pStyle w:val="17"/>
              <w:bidi w:val="0"/>
              <w:rPr>
                <w:rFonts w:hint="default"/>
                <w:lang w:val="en-US" w:eastAsia="zh-CN"/>
              </w:rPr>
            </w:pPr>
            <w:r>
              <w:rPr>
                <w:rFonts w:hint="eastAsia"/>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continue"/>
            <w:tcBorders>
              <w:tl2br w:val="nil"/>
              <w:tr2bl w:val="nil"/>
            </w:tcBorders>
            <w:vAlign w:val="center"/>
          </w:tcPr>
          <w:p>
            <w:pPr>
              <w:pStyle w:val="17"/>
              <w:bidi w:val="0"/>
              <w:rPr>
                <w:rFonts w:hint="default"/>
              </w:rPr>
            </w:pPr>
          </w:p>
        </w:tc>
        <w:tc>
          <w:tcPr>
            <w:tcW w:w="1793" w:type="dxa"/>
            <w:tcBorders>
              <w:tl2br w:val="nil"/>
              <w:tr2bl w:val="nil"/>
            </w:tcBorders>
            <w:vAlign w:val="center"/>
          </w:tcPr>
          <w:p>
            <w:pPr>
              <w:pStyle w:val="17"/>
              <w:bidi w:val="0"/>
              <w:rPr>
                <w:rFonts w:hint="default"/>
              </w:rPr>
            </w:pPr>
            <w:r>
              <w:rPr>
                <w:rFonts w:hint="default"/>
              </w:rPr>
              <w:t>环境监测与管理</w:t>
            </w:r>
          </w:p>
        </w:tc>
        <w:tc>
          <w:tcPr>
            <w:tcW w:w="5415" w:type="dxa"/>
            <w:tcBorders>
              <w:tl2br w:val="nil"/>
              <w:tr2bl w:val="nil"/>
            </w:tcBorders>
            <w:vAlign w:val="center"/>
          </w:tcPr>
          <w:p>
            <w:pPr>
              <w:pStyle w:val="17"/>
              <w:bidi w:val="0"/>
              <w:rPr>
                <w:rFonts w:hint="default"/>
              </w:rPr>
            </w:pPr>
            <w:r>
              <w:rPr>
                <w:rFonts w:hint="default"/>
              </w:rPr>
              <w:t>/</w:t>
            </w:r>
          </w:p>
        </w:tc>
        <w:tc>
          <w:tcPr>
            <w:tcW w:w="1410" w:type="dxa"/>
            <w:tcBorders>
              <w:tl2br w:val="nil"/>
              <w:tr2bl w:val="nil"/>
            </w:tcBorders>
            <w:vAlign w:val="center"/>
          </w:tcPr>
          <w:p>
            <w:pPr>
              <w:pStyle w:val="17"/>
              <w:bidi w:val="0"/>
              <w:rPr>
                <w:rFonts w:hint="default"/>
              </w:rPr>
            </w:pPr>
            <w:r>
              <w:rPr>
                <w:rFonts w:hint="defaul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 w:type="dxa"/>
            <w:vMerge w:val="continue"/>
            <w:tcBorders>
              <w:tl2br w:val="nil"/>
              <w:tr2bl w:val="nil"/>
            </w:tcBorders>
            <w:vAlign w:val="center"/>
          </w:tcPr>
          <w:p>
            <w:pPr>
              <w:pStyle w:val="17"/>
              <w:bidi w:val="0"/>
              <w:rPr>
                <w:rFonts w:hint="default"/>
              </w:rPr>
            </w:pPr>
          </w:p>
        </w:tc>
        <w:tc>
          <w:tcPr>
            <w:tcW w:w="7208" w:type="dxa"/>
            <w:gridSpan w:val="2"/>
            <w:tcBorders>
              <w:tl2br w:val="nil"/>
              <w:tr2bl w:val="nil"/>
            </w:tcBorders>
            <w:vAlign w:val="center"/>
          </w:tcPr>
          <w:p>
            <w:pPr>
              <w:pStyle w:val="17"/>
              <w:bidi w:val="0"/>
              <w:rPr>
                <w:rFonts w:hint="default"/>
              </w:rPr>
            </w:pPr>
            <w:r>
              <w:rPr>
                <w:rFonts w:hint="default"/>
              </w:rPr>
              <w:t>小计</w:t>
            </w:r>
          </w:p>
        </w:tc>
        <w:tc>
          <w:tcPr>
            <w:tcW w:w="1410" w:type="dxa"/>
            <w:tcBorders>
              <w:tl2br w:val="nil"/>
              <w:tr2bl w:val="nil"/>
            </w:tcBorders>
            <w:vAlign w:val="center"/>
          </w:tcPr>
          <w:p>
            <w:pPr>
              <w:pStyle w:val="17"/>
              <w:bidi w:val="0"/>
              <w:rPr>
                <w:rFonts w:hint="default"/>
                <w:lang w:val="en-US" w:eastAsia="zh-CN"/>
              </w:rPr>
            </w:pPr>
            <w:r>
              <w:rPr>
                <w:rFonts w:hint="eastAsia"/>
                <w:lang w:val="en-US" w:eastAsia="zh-CN"/>
              </w:rPr>
              <w:t>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61" w:type="dxa"/>
            <w:gridSpan w:val="3"/>
            <w:tcBorders>
              <w:tl2br w:val="nil"/>
              <w:tr2bl w:val="nil"/>
            </w:tcBorders>
            <w:vAlign w:val="center"/>
          </w:tcPr>
          <w:p>
            <w:pPr>
              <w:pStyle w:val="17"/>
              <w:bidi w:val="0"/>
              <w:rPr>
                <w:rFonts w:hint="default"/>
              </w:rPr>
            </w:pPr>
            <w:r>
              <w:rPr>
                <w:rFonts w:hint="default"/>
              </w:rPr>
              <w:t>总计</w:t>
            </w:r>
          </w:p>
        </w:tc>
        <w:tc>
          <w:tcPr>
            <w:tcW w:w="1410" w:type="dxa"/>
            <w:tcBorders>
              <w:tl2br w:val="nil"/>
              <w:tr2bl w:val="nil"/>
            </w:tcBorders>
            <w:vAlign w:val="center"/>
          </w:tcPr>
          <w:p>
            <w:pPr>
              <w:pStyle w:val="17"/>
              <w:bidi w:val="0"/>
              <w:rPr>
                <w:rFonts w:hint="default"/>
                <w:lang w:val="en-US" w:eastAsia="zh-CN"/>
              </w:rPr>
            </w:pPr>
            <w:r>
              <w:rPr>
                <w:rFonts w:hint="eastAsia"/>
                <w:lang w:val="en-US" w:eastAsia="zh-CN"/>
              </w:rPr>
              <w:t>106</w:t>
            </w:r>
          </w:p>
        </w:tc>
      </w:tr>
    </w:tbl>
    <w:p>
      <w:pPr>
        <w:pStyle w:val="4"/>
        <w:bidi w:val="0"/>
        <w:rPr>
          <w:rFonts w:hint="default"/>
        </w:rPr>
      </w:pPr>
      <w:bookmarkStart w:id="345" w:name="_Toc12284"/>
      <w:bookmarkStart w:id="346" w:name="_Toc30422"/>
      <w:bookmarkStart w:id="347" w:name="_Toc27894_WPSOffice_Level2"/>
      <w:bookmarkStart w:id="348" w:name="_Toc24335"/>
      <w:bookmarkStart w:id="349" w:name="_Toc524431475"/>
      <w:r>
        <w:rPr>
          <w:rFonts w:hint="default"/>
        </w:rPr>
        <w:t>8.2</w:t>
      </w:r>
      <w:r>
        <w:rPr>
          <w:rFonts w:hint="eastAsia"/>
          <w:lang w:eastAsia="zh-CN"/>
        </w:rPr>
        <w:t>、</w:t>
      </w:r>
      <w:r>
        <w:rPr>
          <w:rFonts w:hint="default"/>
        </w:rPr>
        <w:t>环境经济损益分析</w:t>
      </w:r>
      <w:bookmarkEnd w:id="345"/>
      <w:bookmarkEnd w:id="346"/>
      <w:bookmarkEnd w:id="347"/>
      <w:bookmarkEnd w:id="348"/>
      <w:bookmarkEnd w:id="349"/>
    </w:p>
    <w:p>
      <w:pPr>
        <w:bidi w:val="0"/>
        <w:rPr>
          <w:rFonts w:hint="default"/>
        </w:rPr>
      </w:pPr>
      <w:r>
        <w:rPr>
          <w:rFonts w:hint="default"/>
        </w:rPr>
        <w:t>本项目运营期不可避免地对环境空气、水环境、声环境等造成一定的影响。本次环境经济损益分析中，主要针对项目在采取废水、废气、噪声、固废等各项污染防治措施及未采取污染防治措施前后经济效益与环境效益进行对比分析。</w:t>
      </w:r>
    </w:p>
    <w:p>
      <w:pPr>
        <w:pStyle w:val="5"/>
        <w:bidi w:val="0"/>
        <w:rPr>
          <w:rFonts w:hint="default"/>
        </w:rPr>
      </w:pPr>
      <w:bookmarkStart w:id="350" w:name="_Toc24777_WPSOffice_Level3"/>
      <w:bookmarkStart w:id="351" w:name="_Toc9735"/>
      <w:r>
        <w:rPr>
          <w:rFonts w:hint="default"/>
        </w:rPr>
        <w:t>8.2.1</w:t>
      </w:r>
      <w:r>
        <w:rPr>
          <w:rFonts w:hint="eastAsia"/>
          <w:lang w:eastAsia="zh-CN"/>
        </w:rPr>
        <w:t>、</w:t>
      </w:r>
      <w:r>
        <w:rPr>
          <w:rFonts w:hint="default"/>
        </w:rPr>
        <w:t>大气环境损益分析</w:t>
      </w:r>
      <w:bookmarkEnd w:id="350"/>
      <w:bookmarkEnd w:id="351"/>
    </w:p>
    <w:p>
      <w:pPr>
        <w:bidi w:val="0"/>
        <w:rPr>
          <w:rFonts w:hint="default"/>
        </w:rPr>
      </w:pPr>
      <w:r>
        <w:rPr>
          <w:rFonts w:hint="default"/>
        </w:rPr>
        <w:t>本项目对大气环境的影响主要是破碎工序产生的粉尘和熔融挤出工序产生的非甲烷总烃、职工食堂产生的油烟废气对大气环境的影响。对于非甲烷总烃，拟采用集气罩收集+等离子光氧一体机</w:t>
      </w:r>
      <w:r>
        <w:rPr>
          <w:rFonts w:hint="eastAsia"/>
          <w:lang w:val="en-US" w:eastAsia="zh-CN"/>
        </w:rPr>
        <w:t>+活性炭吸附装置</w:t>
      </w:r>
      <w:r>
        <w:rPr>
          <w:rFonts w:hint="default"/>
        </w:rPr>
        <w:t>处理设备处理；对于粉尘，拟采取破碎同时进行喷淋的方式抑制，可有效减少粉尘的产生；对于无组织排放的非甲烷总烃，拟采用排风扇使其快速扩散；对于油烟废气，拟采用油烟净化设备进行处理。</w:t>
      </w:r>
    </w:p>
    <w:p>
      <w:pPr>
        <w:bidi w:val="0"/>
        <w:rPr>
          <w:rFonts w:hint="default"/>
        </w:rPr>
      </w:pPr>
      <w:r>
        <w:rPr>
          <w:rFonts w:hint="default"/>
        </w:rPr>
        <w:t>废气治理措施投资</w:t>
      </w:r>
      <w:r>
        <w:rPr>
          <w:rFonts w:hint="eastAsia"/>
          <w:lang w:val="en-US" w:eastAsia="zh-CN"/>
        </w:rPr>
        <w:t>27.5</w:t>
      </w:r>
      <w:r>
        <w:rPr>
          <w:rFonts w:hint="default"/>
        </w:rPr>
        <w:t>万元，采取上述治理措施后，非甲烷总烃、粉尘、油烟均可实现达标排放。</w:t>
      </w:r>
    </w:p>
    <w:p>
      <w:pPr>
        <w:pStyle w:val="5"/>
        <w:bidi w:val="0"/>
        <w:rPr>
          <w:rFonts w:hint="default"/>
        </w:rPr>
      </w:pPr>
      <w:bookmarkStart w:id="352" w:name="_Toc15167_WPSOffice_Level3"/>
      <w:bookmarkStart w:id="353" w:name="_Toc20245"/>
      <w:r>
        <w:rPr>
          <w:rFonts w:hint="default"/>
        </w:rPr>
        <w:t>8.2.2</w:t>
      </w:r>
      <w:r>
        <w:rPr>
          <w:rFonts w:hint="eastAsia"/>
          <w:lang w:eastAsia="zh-CN"/>
        </w:rPr>
        <w:t>、</w:t>
      </w:r>
      <w:r>
        <w:rPr>
          <w:rFonts w:hint="default"/>
        </w:rPr>
        <w:t>水环境损益分析</w:t>
      </w:r>
      <w:bookmarkEnd w:id="352"/>
      <w:bookmarkEnd w:id="353"/>
    </w:p>
    <w:p>
      <w:pPr>
        <w:bidi w:val="0"/>
        <w:rPr>
          <w:rFonts w:hint="default"/>
        </w:rPr>
      </w:pPr>
      <w:r>
        <w:rPr>
          <w:rFonts w:hint="default"/>
        </w:rPr>
        <w:t>本项目运营期产生的废水包括清洗废水和生活污水。清洗废水经沉降池沉淀</w:t>
      </w:r>
      <w:r>
        <w:rPr>
          <w:rFonts w:hint="eastAsia"/>
          <w:lang w:val="en-US" w:eastAsia="zh-CN"/>
        </w:rPr>
        <w:t>+地埋式污水处理设施处理</w:t>
      </w:r>
      <w:r>
        <w:rPr>
          <w:rFonts w:hint="default"/>
        </w:rPr>
        <w:t>后回用于清洗工序和喷淋工序，不外排；餐饮废水经隔油池</w:t>
      </w:r>
      <w:r>
        <w:rPr>
          <w:rFonts w:hint="eastAsia"/>
          <w:lang w:val="en-US" w:eastAsia="zh-CN"/>
        </w:rPr>
        <w:t>隔油后</w:t>
      </w:r>
      <w:r>
        <w:rPr>
          <w:rFonts w:hint="default"/>
        </w:rPr>
        <w:t>与生活污水一同经</w:t>
      </w:r>
      <w:r>
        <w:rPr>
          <w:rFonts w:hint="eastAsia"/>
          <w:lang w:val="en-US" w:eastAsia="zh-CN"/>
        </w:rPr>
        <w:t>化粪池预处理后抽运至吉木萨尔县二工镇污水处理厂进行后续处理</w:t>
      </w:r>
      <w:r>
        <w:rPr>
          <w:rFonts w:hint="default"/>
        </w:rPr>
        <w:t>。</w:t>
      </w:r>
    </w:p>
    <w:p>
      <w:pPr>
        <w:bidi w:val="0"/>
        <w:rPr>
          <w:rFonts w:hint="default"/>
        </w:rPr>
      </w:pPr>
      <w:r>
        <w:rPr>
          <w:rFonts w:hint="default"/>
        </w:rPr>
        <w:t>废水处理设施投资</w:t>
      </w:r>
      <w:r>
        <w:rPr>
          <w:rFonts w:hint="eastAsia"/>
          <w:lang w:val="en-US" w:eastAsia="zh-CN"/>
        </w:rPr>
        <w:t>35.5</w:t>
      </w:r>
      <w:r>
        <w:rPr>
          <w:rFonts w:hint="default"/>
        </w:rPr>
        <w:t>万元，采取上述治理措施后，可避免废水乱排污染环境，使生产废水循环利用率达到了90%。</w:t>
      </w:r>
    </w:p>
    <w:p>
      <w:pPr>
        <w:pStyle w:val="5"/>
        <w:bidi w:val="0"/>
        <w:rPr>
          <w:rFonts w:hint="default"/>
        </w:rPr>
      </w:pPr>
      <w:bookmarkStart w:id="354" w:name="_Toc4924"/>
      <w:bookmarkStart w:id="355" w:name="_Toc12689_WPSOffice_Level3"/>
      <w:r>
        <w:rPr>
          <w:rFonts w:hint="default"/>
        </w:rPr>
        <w:t>8.2.3</w:t>
      </w:r>
      <w:r>
        <w:rPr>
          <w:rFonts w:hint="eastAsia"/>
          <w:lang w:eastAsia="zh-CN"/>
        </w:rPr>
        <w:t>、</w:t>
      </w:r>
      <w:r>
        <w:rPr>
          <w:rFonts w:hint="default"/>
        </w:rPr>
        <w:t>声环境损益分析</w:t>
      </w:r>
      <w:bookmarkEnd w:id="354"/>
      <w:bookmarkEnd w:id="355"/>
    </w:p>
    <w:p>
      <w:pPr>
        <w:bidi w:val="0"/>
        <w:rPr>
          <w:rFonts w:hint="default"/>
        </w:rPr>
      </w:pPr>
      <w:r>
        <w:rPr>
          <w:rFonts w:hint="default"/>
        </w:rPr>
        <w:t>本项目运营期噪声主要来源于各类机械设备，包括破碎机、造粒机、挤出机、风机等。经预测可知，在采取减振、消声、隔声等措施（投资6万元）后，可使噪声达标排放，减轻噪声对声环境及工作人员的不利影响。</w:t>
      </w:r>
    </w:p>
    <w:p>
      <w:pPr>
        <w:pStyle w:val="5"/>
        <w:bidi w:val="0"/>
        <w:rPr>
          <w:rFonts w:hint="default"/>
        </w:rPr>
      </w:pPr>
      <w:bookmarkStart w:id="356" w:name="_Toc29547_WPSOffice_Level3"/>
      <w:bookmarkStart w:id="357" w:name="_Toc7999"/>
      <w:r>
        <w:rPr>
          <w:rFonts w:hint="default"/>
        </w:rPr>
        <w:t>8.2.4</w:t>
      </w:r>
      <w:r>
        <w:rPr>
          <w:rFonts w:hint="eastAsia"/>
          <w:lang w:eastAsia="zh-CN"/>
        </w:rPr>
        <w:t>、</w:t>
      </w:r>
      <w:r>
        <w:rPr>
          <w:rFonts w:hint="default"/>
        </w:rPr>
        <w:t>固体废物环境损益分析</w:t>
      </w:r>
      <w:bookmarkEnd w:id="356"/>
      <w:bookmarkEnd w:id="357"/>
    </w:p>
    <w:p>
      <w:pPr>
        <w:bidi w:val="0"/>
        <w:rPr>
          <w:rFonts w:hint="default"/>
        </w:rPr>
      </w:pPr>
      <w:r>
        <w:rPr>
          <w:rFonts w:hint="default"/>
        </w:rPr>
        <w:t>本项目运营期产生的固体废物包括废塑料分拣工序产生的分拣废物，挤塑车间产生的不合格产品，污泥，以及工作人员产生的生活垃圾等。若处理不当，将对周围的环境产生不利影响。建设单位通过对产生的固废废物做分类收集处置，不能回收的生产固废与生活垃圾均交由环卫部门统一清运处置。</w:t>
      </w:r>
      <w:r>
        <w:rPr>
          <w:rFonts w:hint="eastAsia"/>
          <w:lang w:val="en-US" w:eastAsia="zh-CN"/>
        </w:rPr>
        <w:t>设置危险废物暂存间暂存，并交由具有相应处理资质的单位进行后续处置，</w:t>
      </w:r>
      <w:r>
        <w:rPr>
          <w:rFonts w:hint="default"/>
        </w:rPr>
        <w:t>通过采取以上措施（投资</w:t>
      </w:r>
      <w:r>
        <w:rPr>
          <w:rFonts w:hint="eastAsia"/>
          <w:lang w:val="en-US" w:eastAsia="zh-CN"/>
        </w:rPr>
        <w:t>3</w:t>
      </w:r>
      <w:r>
        <w:rPr>
          <w:rFonts w:hint="default"/>
        </w:rPr>
        <w:t>万元）可使固体废物处置率达到100%，大大减轻不利影响。</w:t>
      </w:r>
    </w:p>
    <w:p>
      <w:pPr>
        <w:pStyle w:val="4"/>
        <w:bidi w:val="0"/>
        <w:rPr>
          <w:rFonts w:hint="default"/>
        </w:rPr>
      </w:pPr>
      <w:bookmarkStart w:id="358" w:name="_Toc7891"/>
      <w:bookmarkStart w:id="359" w:name="_Toc26080_WPSOffice_Level2"/>
      <w:bookmarkStart w:id="360" w:name="_Toc524431476"/>
      <w:bookmarkStart w:id="361" w:name="_Toc8396"/>
      <w:bookmarkStart w:id="362" w:name="_Toc28289"/>
      <w:r>
        <w:rPr>
          <w:rFonts w:hint="default"/>
        </w:rPr>
        <w:t>8.3</w:t>
      </w:r>
      <w:r>
        <w:rPr>
          <w:rFonts w:hint="eastAsia"/>
          <w:lang w:eastAsia="zh-CN"/>
        </w:rPr>
        <w:t>、</w:t>
      </w:r>
      <w:r>
        <w:rPr>
          <w:rFonts w:hint="default"/>
        </w:rPr>
        <w:t>社会经济效益分析</w:t>
      </w:r>
      <w:bookmarkEnd w:id="358"/>
      <w:bookmarkEnd w:id="359"/>
      <w:bookmarkEnd w:id="360"/>
      <w:bookmarkEnd w:id="361"/>
      <w:bookmarkEnd w:id="362"/>
    </w:p>
    <w:p>
      <w:pPr>
        <w:bidi w:val="0"/>
        <w:rPr>
          <w:rFonts w:hint="default"/>
        </w:rPr>
      </w:pPr>
      <w:r>
        <w:rPr>
          <w:rFonts w:hint="default"/>
        </w:rPr>
        <w:t>（1）本项目的建设不仅可满足市场需求，而且可以带动当地相关产业的发展，具有较好的经济效益。</w:t>
      </w:r>
    </w:p>
    <w:p>
      <w:pPr>
        <w:bidi w:val="0"/>
        <w:rPr>
          <w:rFonts w:hint="default"/>
        </w:rPr>
      </w:pPr>
      <w:r>
        <w:rPr>
          <w:rFonts w:hint="default"/>
        </w:rPr>
        <w:t>（2）本项目劳动定员共计</w:t>
      </w:r>
      <w:r>
        <w:rPr>
          <w:rFonts w:hint="eastAsia"/>
          <w:lang w:val="en-US" w:eastAsia="zh-CN"/>
        </w:rPr>
        <w:t>42</w:t>
      </w:r>
      <w:r>
        <w:rPr>
          <w:rFonts w:hint="default"/>
        </w:rPr>
        <w:t>人，可解决当地部分待业人口的就业问题，对转移团场剩余劳动力、安置下岗职工，促进当地社会的稳定能起到一定的积极作用。</w:t>
      </w:r>
    </w:p>
    <w:p>
      <w:pPr>
        <w:bidi w:val="0"/>
        <w:rPr>
          <w:rFonts w:hint="default"/>
        </w:rPr>
      </w:pPr>
      <w:r>
        <w:rPr>
          <w:rFonts w:hint="default"/>
        </w:rPr>
        <w:t>（3）本项目的实施有利于加快</w:t>
      </w:r>
      <w:r>
        <w:rPr>
          <w:rFonts w:hint="default"/>
          <w:lang w:val="en-US" w:eastAsia="zh-CN"/>
        </w:rPr>
        <w:t>当地</w:t>
      </w:r>
      <w:r>
        <w:rPr>
          <w:rFonts w:hint="default"/>
        </w:rPr>
        <w:t>废旧塑料产业化进程，生产过程中采用国内先进技术，减少原材料、动力等的消耗，减少三废的排放，更好地满足广大消费者的需求。通过实施废旧塑料回收再利用项目，有利于带动当地现代产业的发展，促进产业结构调整，使广大农民增收。</w:t>
      </w:r>
    </w:p>
    <w:p>
      <w:pPr>
        <w:bidi w:val="0"/>
        <w:rPr>
          <w:rFonts w:hint="default"/>
        </w:rPr>
      </w:pPr>
      <w:r>
        <w:rPr>
          <w:rFonts w:hint="default"/>
        </w:rPr>
        <w:t>（4）本项目的实施可减轻废旧塑料造成的农业面源污染，有利于改善区域生态环境和生产环境，促进农业生产的可持续发展。</w:t>
      </w:r>
    </w:p>
    <w:p>
      <w:pPr>
        <w:pStyle w:val="4"/>
        <w:bidi w:val="0"/>
        <w:rPr>
          <w:rFonts w:hint="default"/>
        </w:rPr>
      </w:pPr>
      <w:bookmarkStart w:id="363" w:name="_Toc24350_WPSOffice_Level2"/>
      <w:bookmarkStart w:id="364" w:name="_Toc28877"/>
      <w:bookmarkStart w:id="365" w:name="_Toc524431477"/>
      <w:bookmarkStart w:id="366" w:name="_Toc12085"/>
      <w:bookmarkStart w:id="367" w:name="_Toc23036"/>
      <w:r>
        <w:rPr>
          <w:rFonts w:hint="default"/>
        </w:rPr>
        <w:t>8.4</w:t>
      </w:r>
      <w:r>
        <w:rPr>
          <w:rFonts w:hint="eastAsia"/>
          <w:lang w:eastAsia="zh-CN"/>
        </w:rPr>
        <w:t>、</w:t>
      </w:r>
      <w:r>
        <w:rPr>
          <w:rFonts w:hint="default"/>
        </w:rPr>
        <w:t>小结</w:t>
      </w:r>
      <w:bookmarkEnd w:id="363"/>
      <w:bookmarkEnd w:id="364"/>
      <w:bookmarkEnd w:id="365"/>
      <w:bookmarkEnd w:id="366"/>
      <w:bookmarkEnd w:id="367"/>
    </w:p>
    <w:p>
      <w:pPr>
        <w:bidi w:val="0"/>
        <w:rPr>
          <w:rFonts w:hint="default"/>
        </w:rPr>
      </w:pPr>
      <w:r>
        <w:rPr>
          <w:rFonts w:hint="default"/>
        </w:rPr>
        <w:t>本项目的建设不可避免地会对环境造成一些不利影响，但建设单位拟投资</w:t>
      </w:r>
      <w:r>
        <w:rPr>
          <w:rFonts w:hint="eastAsia"/>
          <w:lang w:val="en-US" w:eastAsia="zh-CN"/>
        </w:rPr>
        <w:t>106</w:t>
      </w:r>
      <w:r>
        <w:rPr>
          <w:rFonts w:hint="default"/>
        </w:rPr>
        <w:t>万元用于减少污染、改善环境质量，具有较明显的环境效益，为企业的发展创造了有利条件。有针对性的污染治理措施可大幅度削减污染物排放量，使污染得到有效控制，使污染物实现达标排放，满足项目所在地环境功能区要求。</w:t>
      </w:r>
    </w:p>
    <w:bookmarkEnd w:id="337"/>
    <w:bookmarkEnd w:id="338"/>
    <w:bookmarkEnd w:id="339"/>
    <w:bookmarkEnd w:id="340"/>
    <w:bookmarkEnd w:id="341"/>
    <w:bookmarkEnd w:id="342"/>
    <w:bookmarkEnd w:id="343"/>
    <w:bookmarkEnd w:id="344"/>
    <w:p>
      <w:pPr>
        <w:bidi w:val="0"/>
        <w:rPr>
          <w:rFonts w:hint="default"/>
        </w:rPr>
      </w:pPr>
      <w:bookmarkStart w:id="368" w:name="_Toc17526"/>
      <w:bookmarkStart w:id="369" w:name="_Toc486850811"/>
      <w:bookmarkStart w:id="370" w:name="_Toc31714"/>
      <w:bookmarkStart w:id="371" w:name="_Toc13717"/>
      <w:bookmarkStart w:id="372" w:name="_Toc27831_WPSOffice_Level1"/>
    </w:p>
    <w:p>
      <w:pPr>
        <w:rPr>
          <w:rFonts w:hint="default"/>
        </w:rPr>
      </w:pPr>
      <w:r>
        <w:rPr>
          <w:rFonts w:hint="default"/>
        </w:rPr>
        <w:br w:type="page"/>
      </w:r>
    </w:p>
    <w:p>
      <w:pPr>
        <w:pStyle w:val="3"/>
        <w:bidi w:val="0"/>
        <w:rPr>
          <w:rFonts w:hint="default"/>
        </w:rPr>
      </w:pPr>
      <w:bookmarkStart w:id="373" w:name="_Toc30815"/>
      <w:r>
        <w:rPr>
          <w:rFonts w:hint="default"/>
        </w:rPr>
        <w:t xml:space="preserve">9 </w:t>
      </w:r>
      <w:bookmarkEnd w:id="368"/>
      <w:bookmarkEnd w:id="369"/>
      <w:r>
        <w:rPr>
          <w:rFonts w:hint="default"/>
        </w:rPr>
        <w:t>环境管理与监测计划</w:t>
      </w:r>
      <w:bookmarkEnd w:id="370"/>
      <w:bookmarkEnd w:id="371"/>
      <w:bookmarkEnd w:id="372"/>
      <w:bookmarkEnd w:id="373"/>
    </w:p>
    <w:p>
      <w:pPr>
        <w:pStyle w:val="4"/>
        <w:bidi w:val="0"/>
        <w:rPr>
          <w:rFonts w:hint="default"/>
        </w:rPr>
      </w:pPr>
      <w:bookmarkStart w:id="374" w:name="_Toc15073"/>
      <w:bookmarkStart w:id="375" w:name="_Toc524431479"/>
      <w:bookmarkStart w:id="376" w:name="_Toc20895_WPSOffice_Level2"/>
      <w:bookmarkStart w:id="377" w:name="_Toc15916"/>
      <w:bookmarkStart w:id="378" w:name="_Toc17984"/>
      <w:bookmarkStart w:id="379" w:name="_Toc230880539"/>
      <w:bookmarkStart w:id="380" w:name="_Toc283742920"/>
      <w:bookmarkStart w:id="381" w:name="_Toc207600020"/>
      <w:bookmarkStart w:id="382" w:name="_Toc286865830"/>
      <w:bookmarkStart w:id="383" w:name="_Toc286859708"/>
      <w:bookmarkStart w:id="384" w:name="_Toc392506266"/>
      <w:bookmarkStart w:id="385" w:name="_Toc211261196"/>
      <w:r>
        <w:rPr>
          <w:rFonts w:hint="default"/>
        </w:rPr>
        <w:t>9.1</w:t>
      </w:r>
      <w:r>
        <w:rPr>
          <w:rFonts w:hint="eastAsia"/>
          <w:lang w:eastAsia="zh-CN"/>
        </w:rPr>
        <w:t>、</w:t>
      </w:r>
      <w:r>
        <w:rPr>
          <w:rFonts w:hint="default"/>
        </w:rPr>
        <w:t>环境管理</w:t>
      </w:r>
      <w:bookmarkEnd w:id="374"/>
      <w:bookmarkEnd w:id="375"/>
      <w:bookmarkEnd w:id="376"/>
      <w:bookmarkEnd w:id="377"/>
      <w:bookmarkEnd w:id="378"/>
    </w:p>
    <w:p>
      <w:pPr>
        <w:bidi w:val="0"/>
        <w:rPr>
          <w:rFonts w:hint="default"/>
        </w:rPr>
      </w:pPr>
      <w:r>
        <w:rPr>
          <w:rFonts w:hint="default"/>
        </w:rPr>
        <w:t>为了更好的对项目在建设阶段和建成投产后的环境保护工作进行监督和管理，本项目应建立相应的环境保护工作小组，制定相应的环境保护管理制度，全面管理本项目的有关环境问题，以满足区域环境保护的要求，并不断改善自身环境，达到发展经济、保护环境的目的。</w:t>
      </w:r>
    </w:p>
    <w:p>
      <w:pPr>
        <w:pStyle w:val="5"/>
        <w:bidi w:val="0"/>
        <w:rPr>
          <w:rFonts w:hint="default"/>
        </w:rPr>
      </w:pPr>
      <w:bookmarkStart w:id="386" w:name="_Toc16482"/>
      <w:bookmarkStart w:id="387" w:name="_Toc23960_WPSOffice_Level3"/>
      <w:r>
        <w:rPr>
          <w:rFonts w:hint="default"/>
        </w:rPr>
        <w:t>9.1.1</w:t>
      </w:r>
      <w:r>
        <w:rPr>
          <w:rFonts w:hint="eastAsia"/>
          <w:lang w:eastAsia="zh-CN"/>
        </w:rPr>
        <w:t>、</w:t>
      </w:r>
      <w:r>
        <w:rPr>
          <w:rFonts w:hint="default"/>
        </w:rPr>
        <w:t>环境管理机构的设置</w:t>
      </w:r>
      <w:bookmarkEnd w:id="386"/>
      <w:bookmarkEnd w:id="387"/>
    </w:p>
    <w:p>
      <w:pPr>
        <w:bidi w:val="0"/>
        <w:rPr>
          <w:rFonts w:hint="default"/>
        </w:rPr>
      </w:pPr>
      <w:r>
        <w:rPr>
          <w:rFonts w:hint="default"/>
        </w:rPr>
        <w:t>环境管理是环境保护工作的重要内容之一，也是企业管理的主要组成部分。环境管理的核心是把环境保护融于企业经营管理的过程之中，使环境保护成为工业企业的重要决策因素，重视研究本企业的环境对策，采用新技术、新工艺，减少有害废物的排放，对废旧产品进行回收处理及循环利用，变普通产品为</w:t>
      </w:r>
      <w:r>
        <w:rPr>
          <w:rFonts w:hint="eastAsia"/>
          <w:lang w:eastAsia="zh-CN"/>
        </w:rPr>
        <w:t>“</w:t>
      </w:r>
      <w:r>
        <w:rPr>
          <w:rFonts w:hint="default"/>
        </w:rPr>
        <w:t>绿色</w:t>
      </w:r>
      <w:r>
        <w:rPr>
          <w:rFonts w:hint="eastAsia"/>
          <w:lang w:eastAsia="zh-CN"/>
        </w:rPr>
        <w:t>”</w:t>
      </w:r>
      <w:r>
        <w:rPr>
          <w:rFonts w:hint="default"/>
        </w:rPr>
        <w:t>产品，努力通过环境认证，积极参与社会环境整治，推动员工和公众的环保宣传和引导，树立</w:t>
      </w:r>
      <w:r>
        <w:rPr>
          <w:rFonts w:hint="eastAsia"/>
          <w:lang w:eastAsia="zh-CN"/>
        </w:rPr>
        <w:t>“</w:t>
      </w:r>
      <w:r>
        <w:rPr>
          <w:rFonts w:hint="default"/>
        </w:rPr>
        <w:t>绿色企业</w:t>
      </w:r>
      <w:r>
        <w:rPr>
          <w:rFonts w:hint="eastAsia"/>
          <w:lang w:eastAsia="zh-CN"/>
        </w:rPr>
        <w:t>”</w:t>
      </w:r>
      <w:r>
        <w:rPr>
          <w:rFonts w:hint="default"/>
        </w:rPr>
        <w:t>的良好形象。</w:t>
      </w:r>
    </w:p>
    <w:p>
      <w:pPr>
        <w:bidi w:val="0"/>
        <w:rPr>
          <w:rFonts w:hint="default"/>
        </w:rPr>
      </w:pPr>
      <w:r>
        <w:rPr>
          <w:rFonts w:hint="default"/>
        </w:rPr>
        <w:t>本项目按照现代企业制度组建运行，环保工作实行总经理负责制，建立企业内部的环境保护管理机构。针对企业内部的环境管理除总经理负总责外，建议公司指定相关部门作为公司的环境管理部门，并设专职管理人员，另外，在生产车间和主要污染源均设置环境管理责任人，组成公司、车间、污染源三级环境管理体系，明确分工，各负其责。</w:t>
      </w:r>
    </w:p>
    <w:p>
      <w:pPr>
        <w:pStyle w:val="5"/>
        <w:bidi w:val="0"/>
        <w:rPr>
          <w:rFonts w:hint="default"/>
        </w:rPr>
      </w:pPr>
      <w:bookmarkStart w:id="388" w:name="_Toc30035_WPSOffice_Level3"/>
      <w:bookmarkStart w:id="389" w:name="_Toc17264"/>
      <w:r>
        <w:rPr>
          <w:rFonts w:hint="default"/>
        </w:rPr>
        <w:t>9.1.2</w:t>
      </w:r>
      <w:r>
        <w:rPr>
          <w:rFonts w:hint="eastAsia"/>
          <w:lang w:eastAsia="zh-CN"/>
        </w:rPr>
        <w:t>、</w:t>
      </w:r>
      <w:r>
        <w:rPr>
          <w:rFonts w:hint="default"/>
        </w:rPr>
        <w:t>环境管理部门职责</w:t>
      </w:r>
      <w:bookmarkEnd w:id="388"/>
      <w:bookmarkEnd w:id="389"/>
    </w:p>
    <w:p>
      <w:pPr>
        <w:bidi w:val="0"/>
        <w:rPr>
          <w:rFonts w:hint="default"/>
        </w:rPr>
      </w:pPr>
      <w:r>
        <w:rPr>
          <w:rFonts w:hint="default"/>
        </w:rPr>
        <w:t>（1）贯彻执行国家、地方和上级部门制定的各项环境保护方针、政策、法律和法规；</w:t>
      </w:r>
    </w:p>
    <w:p>
      <w:pPr>
        <w:bidi w:val="0"/>
        <w:rPr>
          <w:rFonts w:hint="default"/>
        </w:rPr>
      </w:pPr>
      <w:r>
        <w:rPr>
          <w:rFonts w:hint="default"/>
        </w:rPr>
        <w:t>（2）负责全厂环境保护规划的制定和落实；</w:t>
      </w:r>
    </w:p>
    <w:p>
      <w:pPr>
        <w:bidi w:val="0"/>
        <w:rPr>
          <w:rFonts w:hint="default"/>
        </w:rPr>
      </w:pPr>
      <w:r>
        <w:rPr>
          <w:rFonts w:hint="default"/>
        </w:rPr>
        <w:t>（3）监督环保设施的运行、污染源监测；</w:t>
      </w:r>
    </w:p>
    <w:p>
      <w:pPr>
        <w:bidi w:val="0"/>
        <w:rPr>
          <w:rFonts w:hint="default"/>
        </w:rPr>
      </w:pPr>
      <w:r>
        <w:rPr>
          <w:rFonts w:hint="default"/>
        </w:rPr>
        <w:t>（4）组织落实以环保为主要内容的技术措施、方案；</w:t>
      </w:r>
    </w:p>
    <w:p>
      <w:pPr>
        <w:bidi w:val="0"/>
        <w:rPr>
          <w:rFonts w:hint="default"/>
        </w:rPr>
      </w:pPr>
      <w:r>
        <w:rPr>
          <w:rFonts w:hint="default"/>
        </w:rPr>
        <w:t>（5）在企业推行实施清洁生产；</w:t>
      </w:r>
    </w:p>
    <w:p>
      <w:pPr>
        <w:bidi w:val="0"/>
        <w:rPr>
          <w:rFonts w:hint="default"/>
        </w:rPr>
      </w:pPr>
      <w:r>
        <w:rPr>
          <w:rFonts w:hint="default"/>
        </w:rPr>
        <w:t>（6）制定风险防范措施并监督实施；</w:t>
      </w:r>
    </w:p>
    <w:p>
      <w:pPr>
        <w:bidi w:val="0"/>
        <w:rPr>
          <w:rFonts w:hint="default"/>
        </w:rPr>
      </w:pPr>
      <w:r>
        <w:rPr>
          <w:rFonts w:hint="default"/>
        </w:rPr>
        <w:t>（7）编制事故应急预案，一旦发生环境污染事故，协助公司领导按照预定方案及时采取补救措施。</w:t>
      </w:r>
    </w:p>
    <w:p>
      <w:pPr>
        <w:pStyle w:val="5"/>
        <w:bidi w:val="0"/>
        <w:rPr>
          <w:rFonts w:hint="default"/>
        </w:rPr>
      </w:pPr>
      <w:bookmarkStart w:id="390" w:name="_Toc11871"/>
      <w:bookmarkStart w:id="391" w:name="_Toc15121_WPSOffice_Level3"/>
      <w:r>
        <w:rPr>
          <w:rFonts w:hint="default"/>
        </w:rPr>
        <w:t>9.1.3</w:t>
      </w:r>
      <w:r>
        <w:rPr>
          <w:rFonts w:hint="eastAsia"/>
          <w:lang w:eastAsia="zh-CN"/>
        </w:rPr>
        <w:t>、</w:t>
      </w:r>
      <w:r>
        <w:rPr>
          <w:rFonts w:hint="default"/>
        </w:rPr>
        <w:t>环境监督检查</w:t>
      </w:r>
      <w:bookmarkEnd w:id="390"/>
      <w:bookmarkEnd w:id="391"/>
    </w:p>
    <w:p>
      <w:pPr>
        <w:bidi w:val="0"/>
        <w:rPr>
          <w:rFonts w:hint="default"/>
        </w:rPr>
      </w:pPr>
      <w:r>
        <w:rPr>
          <w:rFonts w:hint="default"/>
        </w:rPr>
        <w:t>除加强自身的环境监督检查工作外，地方环境保护主管部门也应加强对项目环境保护工作的监督检查，重点包括：</w:t>
      </w:r>
    </w:p>
    <w:p>
      <w:pPr>
        <w:bidi w:val="0"/>
        <w:rPr>
          <w:rFonts w:hint="default"/>
        </w:rPr>
      </w:pPr>
      <w:r>
        <w:rPr>
          <w:rFonts w:hint="default"/>
        </w:rPr>
        <w:t>（1）施工期环境监督检查，包括施工噪声影响、扬尘影响、施工</w:t>
      </w:r>
      <w:r>
        <w:rPr>
          <w:rFonts w:hint="eastAsia"/>
          <w:lang w:eastAsia="zh-CN"/>
        </w:rPr>
        <w:t>“</w:t>
      </w:r>
      <w:r>
        <w:rPr>
          <w:rFonts w:hint="default"/>
        </w:rPr>
        <w:t>三废</w:t>
      </w:r>
      <w:r>
        <w:rPr>
          <w:rFonts w:hint="eastAsia"/>
          <w:lang w:eastAsia="zh-CN"/>
        </w:rPr>
        <w:t>”</w:t>
      </w:r>
      <w:r>
        <w:rPr>
          <w:rFonts w:hint="default"/>
        </w:rPr>
        <w:t>的处理处置等；</w:t>
      </w:r>
    </w:p>
    <w:p>
      <w:pPr>
        <w:bidi w:val="0"/>
        <w:rPr>
          <w:rFonts w:hint="default"/>
        </w:rPr>
      </w:pPr>
      <w:r>
        <w:rPr>
          <w:rFonts w:hint="default"/>
        </w:rPr>
        <w:t>（2）检查环境管理制度及其落实执行情况；</w:t>
      </w:r>
    </w:p>
    <w:p>
      <w:pPr>
        <w:bidi w:val="0"/>
        <w:rPr>
          <w:rFonts w:hint="default"/>
        </w:rPr>
      </w:pPr>
      <w:r>
        <w:rPr>
          <w:rFonts w:hint="default"/>
        </w:rPr>
        <w:t>（3）检查污染物防治措施的执行情况；</w:t>
      </w:r>
    </w:p>
    <w:p>
      <w:pPr>
        <w:bidi w:val="0"/>
        <w:rPr>
          <w:rFonts w:hint="default"/>
        </w:rPr>
      </w:pPr>
      <w:r>
        <w:rPr>
          <w:rFonts w:hint="default"/>
        </w:rPr>
        <w:t>（4）污染源达标及污染防治设施运行情况；</w:t>
      </w:r>
    </w:p>
    <w:p>
      <w:pPr>
        <w:bidi w:val="0"/>
        <w:rPr>
          <w:rFonts w:hint="default"/>
        </w:rPr>
      </w:pPr>
      <w:r>
        <w:rPr>
          <w:rFonts w:hint="default"/>
        </w:rPr>
        <w:t>（5）调查周围环境敏感点环境质量状况，调查受影响公众反映的意见，并及时反馈给有关部门；</w:t>
      </w:r>
    </w:p>
    <w:p>
      <w:pPr>
        <w:bidi w:val="0"/>
        <w:rPr>
          <w:rFonts w:hint="default"/>
        </w:rPr>
      </w:pPr>
      <w:r>
        <w:rPr>
          <w:rFonts w:hint="default"/>
        </w:rPr>
        <w:t>（6）提出环境保护要求和措施、建议。</w:t>
      </w:r>
    </w:p>
    <w:p>
      <w:pPr>
        <w:pStyle w:val="4"/>
        <w:bidi w:val="0"/>
        <w:rPr>
          <w:rFonts w:hint="default"/>
        </w:rPr>
      </w:pPr>
      <w:bookmarkStart w:id="392" w:name="_Toc7611"/>
      <w:bookmarkStart w:id="393" w:name="_Toc224_WPSOffice_Level2"/>
      <w:bookmarkStart w:id="394" w:name="_Toc2507"/>
      <w:bookmarkStart w:id="395" w:name="_Toc26570"/>
      <w:bookmarkStart w:id="396" w:name="_Toc524431480"/>
      <w:r>
        <w:rPr>
          <w:rFonts w:hint="default"/>
        </w:rPr>
        <w:t>9.2</w:t>
      </w:r>
      <w:r>
        <w:rPr>
          <w:rFonts w:hint="eastAsia"/>
          <w:lang w:eastAsia="zh-CN"/>
        </w:rPr>
        <w:t>、</w:t>
      </w:r>
      <w:r>
        <w:rPr>
          <w:rFonts w:hint="default"/>
        </w:rPr>
        <w:t>污染物排放清单及环境管理要求</w:t>
      </w:r>
      <w:bookmarkEnd w:id="392"/>
      <w:bookmarkEnd w:id="393"/>
      <w:bookmarkEnd w:id="394"/>
      <w:bookmarkEnd w:id="395"/>
      <w:bookmarkEnd w:id="396"/>
    </w:p>
    <w:p>
      <w:pPr>
        <w:pStyle w:val="5"/>
        <w:bidi w:val="0"/>
        <w:rPr>
          <w:rFonts w:hint="default"/>
        </w:rPr>
      </w:pPr>
      <w:bookmarkStart w:id="397" w:name="_Toc21496_WPSOffice_Level3"/>
      <w:bookmarkStart w:id="398" w:name="_Toc23009"/>
      <w:r>
        <w:rPr>
          <w:rFonts w:hint="default"/>
        </w:rPr>
        <w:t>9.2.1</w:t>
      </w:r>
      <w:r>
        <w:rPr>
          <w:rFonts w:hint="eastAsia"/>
          <w:lang w:eastAsia="zh-CN"/>
        </w:rPr>
        <w:t>、</w:t>
      </w:r>
      <w:r>
        <w:rPr>
          <w:rFonts w:hint="default"/>
        </w:rPr>
        <w:t>污染物排放清单</w:t>
      </w:r>
      <w:bookmarkEnd w:id="397"/>
      <w:bookmarkEnd w:id="398"/>
    </w:p>
    <w:p>
      <w:pPr>
        <w:bidi w:val="0"/>
        <w:rPr>
          <w:rFonts w:hint="default"/>
        </w:rPr>
        <w:sectPr>
          <w:headerReference r:id="rId7" w:type="default"/>
          <w:footerReference r:id="rId8"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r>
        <w:rPr>
          <w:rFonts w:hint="default"/>
        </w:rPr>
        <w:t>根据工程分析，本项目主要的污染物排放清单详见表9.2-1。</w:t>
      </w:r>
    </w:p>
    <w:p>
      <w:pPr>
        <w:pStyle w:val="17"/>
        <w:bidi w:val="0"/>
        <w:rPr>
          <w:rFonts w:hint="default"/>
          <w:b/>
          <w:bCs/>
        </w:rPr>
      </w:pPr>
      <w:r>
        <w:rPr>
          <w:rFonts w:hint="default"/>
          <w:b/>
          <w:bCs/>
        </w:rPr>
        <w:t xml:space="preserve">表9.2-1  </w:t>
      </w:r>
      <w:r>
        <w:rPr>
          <w:rFonts w:hint="eastAsia"/>
          <w:b/>
          <w:bCs/>
          <w:lang w:val="en-US" w:eastAsia="zh-CN"/>
        </w:rPr>
        <w:t xml:space="preserve">  </w:t>
      </w:r>
      <w:r>
        <w:rPr>
          <w:rFonts w:hint="default"/>
          <w:b/>
          <w:bCs/>
        </w:rPr>
        <w:t>污染物排放清单</w:t>
      </w:r>
    </w:p>
    <w:tbl>
      <w:tblPr>
        <w:tblStyle w:val="12"/>
        <w:tblW w:w="1417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708"/>
        <w:gridCol w:w="1704"/>
        <w:gridCol w:w="1246"/>
        <w:gridCol w:w="1134"/>
        <w:gridCol w:w="1162"/>
        <w:gridCol w:w="1428"/>
        <w:gridCol w:w="31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tcBorders>
              <w:tl2br w:val="nil"/>
              <w:tr2bl w:val="nil"/>
            </w:tcBorders>
            <w:vAlign w:val="center"/>
          </w:tcPr>
          <w:p>
            <w:pPr>
              <w:pStyle w:val="17"/>
              <w:bidi w:val="0"/>
              <w:rPr>
                <w:rFonts w:hint="default"/>
                <w:b/>
                <w:bCs/>
              </w:rPr>
            </w:pPr>
            <w:r>
              <w:rPr>
                <w:rFonts w:hint="default"/>
                <w:b/>
                <w:bCs/>
              </w:rPr>
              <w:t>分类</w:t>
            </w:r>
          </w:p>
        </w:tc>
        <w:tc>
          <w:tcPr>
            <w:tcW w:w="3708" w:type="dxa"/>
            <w:tcBorders>
              <w:tl2br w:val="nil"/>
              <w:tr2bl w:val="nil"/>
            </w:tcBorders>
            <w:vAlign w:val="center"/>
          </w:tcPr>
          <w:p>
            <w:pPr>
              <w:pStyle w:val="17"/>
              <w:bidi w:val="0"/>
              <w:rPr>
                <w:rFonts w:hint="default"/>
                <w:b/>
                <w:bCs/>
              </w:rPr>
            </w:pPr>
            <w:r>
              <w:rPr>
                <w:rFonts w:hint="default"/>
                <w:b/>
                <w:bCs/>
              </w:rPr>
              <w:t>拟采取的环境保护措施及主要运行参数</w:t>
            </w:r>
          </w:p>
        </w:tc>
        <w:tc>
          <w:tcPr>
            <w:tcW w:w="1704" w:type="dxa"/>
            <w:tcBorders>
              <w:tl2br w:val="nil"/>
              <w:tr2bl w:val="nil"/>
            </w:tcBorders>
            <w:vAlign w:val="center"/>
          </w:tcPr>
          <w:p>
            <w:pPr>
              <w:pStyle w:val="17"/>
              <w:bidi w:val="0"/>
              <w:rPr>
                <w:rFonts w:hint="default"/>
                <w:b/>
                <w:bCs/>
              </w:rPr>
            </w:pPr>
            <w:r>
              <w:rPr>
                <w:rFonts w:hint="default"/>
                <w:b/>
                <w:bCs/>
              </w:rPr>
              <w:t>污染物种类</w:t>
            </w:r>
          </w:p>
        </w:tc>
        <w:tc>
          <w:tcPr>
            <w:tcW w:w="1246" w:type="dxa"/>
            <w:tcBorders>
              <w:tl2br w:val="nil"/>
              <w:tr2bl w:val="nil"/>
            </w:tcBorders>
            <w:vAlign w:val="center"/>
          </w:tcPr>
          <w:p>
            <w:pPr>
              <w:pStyle w:val="17"/>
              <w:bidi w:val="0"/>
              <w:rPr>
                <w:rFonts w:hint="default"/>
                <w:b/>
                <w:bCs/>
              </w:rPr>
            </w:pPr>
            <w:r>
              <w:rPr>
                <w:rFonts w:hint="default"/>
                <w:b/>
                <w:bCs/>
              </w:rPr>
              <w:t>污染物排放浓度</w:t>
            </w:r>
          </w:p>
        </w:tc>
        <w:tc>
          <w:tcPr>
            <w:tcW w:w="1134" w:type="dxa"/>
            <w:tcBorders>
              <w:tl2br w:val="nil"/>
              <w:tr2bl w:val="nil"/>
            </w:tcBorders>
            <w:vAlign w:val="center"/>
          </w:tcPr>
          <w:p>
            <w:pPr>
              <w:pStyle w:val="17"/>
              <w:bidi w:val="0"/>
              <w:rPr>
                <w:rFonts w:hint="default"/>
                <w:b/>
                <w:bCs/>
              </w:rPr>
            </w:pPr>
            <w:r>
              <w:rPr>
                <w:rFonts w:hint="default"/>
                <w:b/>
                <w:bCs/>
              </w:rPr>
              <w:t>污染物排放量</w:t>
            </w:r>
          </w:p>
        </w:tc>
        <w:tc>
          <w:tcPr>
            <w:tcW w:w="1162" w:type="dxa"/>
            <w:tcBorders>
              <w:tl2br w:val="nil"/>
              <w:tr2bl w:val="nil"/>
            </w:tcBorders>
            <w:vAlign w:val="center"/>
          </w:tcPr>
          <w:p>
            <w:pPr>
              <w:pStyle w:val="17"/>
              <w:bidi w:val="0"/>
              <w:rPr>
                <w:rFonts w:hint="default"/>
                <w:b/>
                <w:bCs/>
              </w:rPr>
            </w:pPr>
            <w:r>
              <w:rPr>
                <w:rFonts w:hint="default"/>
                <w:b/>
                <w:bCs/>
              </w:rPr>
              <w:t>污染物总量指标</w:t>
            </w:r>
          </w:p>
        </w:tc>
        <w:tc>
          <w:tcPr>
            <w:tcW w:w="1428" w:type="dxa"/>
            <w:tcBorders>
              <w:tl2br w:val="nil"/>
              <w:tr2bl w:val="nil"/>
            </w:tcBorders>
            <w:vAlign w:val="center"/>
          </w:tcPr>
          <w:p>
            <w:pPr>
              <w:pStyle w:val="17"/>
              <w:bidi w:val="0"/>
              <w:rPr>
                <w:rFonts w:hint="default"/>
                <w:b/>
                <w:bCs/>
              </w:rPr>
            </w:pPr>
            <w:r>
              <w:rPr>
                <w:rFonts w:hint="default"/>
                <w:b/>
                <w:bCs/>
              </w:rPr>
              <w:t>污染物排放分时段要求</w:t>
            </w:r>
          </w:p>
        </w:tc>
        <w:tc>
          <w:tcPr>
            <w:tcW w:w="3106" w:type="dxa"/>
            <w:tcBorders>
              <w:tl2br w:val="nil"/>
              <w:tr2bl w:val="nil"/>
            </w:tcBorders>
            <w:vAlign w:val="center"/>
          </w:tcPr>
          <w:p>
            <w:pPr>
              <w:pStyle w:val="17"/>
              <w:bidi w:val="0"/>
              <w:rPr>
                <w:rFonts w:hint="default"/>
                <w:b/>
                <w:bCs/>
              </w:rPr>
            </w:pPr>
            <w:r>
              <w:rPr>
                <w:rFonts w:hint="default"/>
                <w:b/>
                <w:bCs/>
              </w:rPr>
              <w:t>执行的标准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restart"/>
            <w:tcBorders>
              <w:tl2br w:val="nil"/>
              <w:tr2bl w:val="nil"/>
            </w:tcBorders>
            <w:vAlign w:val="center"/>
          </w:tcPr>
          <w:p>
            <w:pPr>
              <w:pStyle w:val="17"/>
              <w:bidi w:val="0"/>
              <w:rPr>
                <w:rFonts w:hint="default"/>
              </w:rPr>
            </w:pPr>
            <w:r>
              <w:rPr>
                <w:rFonts w:hint="default"/>
              </w:rPr>
              <w:t>废气</w:t>
            </w:r>
          </w:p>
        </w:tc>
        <w:tc>
          <w:tcPr>
            <w:tcW w:w="3708" w:type="dxa"/>
            <w:tcBorders>
              <w:tl2br w:val="nil"/>
              <w:tr2bl w:val="nil"/>
            </w:tcBorders>
            <w:vAlign w:val="center"/>
          </w:tcPr>
          <w:p>
            <w:pPr>
              <w:pStyle w:val="17"/>
              <w:bidi w:val="0"/>
              <w:rPr>
                <w:rFonts w:hint="default"/>
              </w:rPr>
            </w:pPr>
            <w:r>
              <w:rPr>
                <w:rFonts w:hint="default"/>
              </w:rPr>
              <w:t>集气罩+等离子光氧一体机</w:t>
            </w:r>
            <w:r>
              <w:rPr>
                <w:rFonts w:hint="eastAsia"/>
                <w:lang w:val="en-US" w:eastAsia="zh-CN"/>
              </w:rPr>
              <w:t>+活性炭吸附装置</w:t>
            </w:r>
            <w:r>
              <w:rPr>
                <w:rFonts w:hint="default"/>
              </w:rPr>
              <w:t>处理设备+风机+15m高排气筒；风机风量为12000</w:t>
            </w:r>
            <w:r>
              <w:rPr>
                <w:rFonts w:hint="eastAsia"/>
                <w:lang w:eastAsia="zh-CN"/>
              </w:rPr>
              <w:t>m³</w:t>
            </w:r>
            <w:r>
              <w:rPr>
                <w:rFonts w:hint="default"/>
              </w:rPr>
              <w:t>/h；集气罩集气效率为90%，等离子光氧一体机处理设备处理效率为</w:t>
            </w:r>
            <w:r>
              <w:rPr>
                <w:rFonts w:hint="eastAsia"/>
                <w:lang w:val="en-US" w:eastAsia="zh-CN"/>
              </w:rPr>
              <w:t>65</w:t>
            </w:r>
            <w:r>
              <w:rPr>
                <w:rFonts w:hint="default"/>
              </w:rPr>
              <w:t>%，</w:t>
            </w:r>
            <w:r>
              <w:rPr>
                <w:rFonts w:hint="eastAsia"/>
                <w:lang w:val="en-US" w:eastAsia="zh-CN"/>
              </w:rPr>
              <w:t>活性炭吸附净化效率位75%</w:t>
            </w:r>
            <w:r>
              <w:rPr>
                <w:rFonts w:hint="default"/>
              </w:rPr>
              <w:t>运行时间为24h/d</w:t>
            </w:r>
          </w:p>
        </w:tc>
        <w:tc>
          <w:tcPr>
            <w:tcW w:w="1704" w:type="dxa"/>
            <w:tcBorders>
              <w:tl2br w:val="nil"/>
              <w:tr2bl w:val="nil"/>
            </w:tcBorders>
            <w:vAlign w:val="center"/>
          </w:tcPr>
          <w:p>
            <w:pPr>
              <w:pStyle w:val="17"/>
              <w:bidi w:val="0"/>
              <w:rPr>
                <w:rFonts w:hint="default"/>
              </w:rPr>
            </w:pPr>
            <w:r>
              <w:rPr>
                <w:rFonts w:hint="default"/>
              </w:rPr>
              <w:t>非甲烷总烃</w:t>
            </w:r>
          </w:p>
          <w:p>
            <w:pPr>
              <w:pStyle w:val="17"/>
              <w:bidi w:val="0"/>
              <w:rPr>
                <w:rFonts w:hint="default"/>
              </w:rPr>
            </w:pPr>
            <w:r>
              <w:rPr>
                <w:rFonts w:hint="default"/>
              </w:rPr>
              <w:t>（</w:t>
            </w:r>
            <w:r>
              <w:rPr>
                <w:rFonts w:hint="eastAsia"/>
                <w:lang w:val="en-US" w:eastAsia="zh-CN"/>
              </w:rPr>
              <w:t>造粒车间</w:t>
            </w:r>
            <w:r>
              <w:rPr>
                <w:rFonts w:hint="default"/>
              </w:rPr>
              <w:t>）</w:t>
            </w:r>
          </w:p>
        </w:tc>
        <w:tc>
          <w:tcPr>
            <w:tcW w:w="1246" w:type="dxa"/>
            <w:tcBorders>
              <w:tl2br w:val="nil"/>
              <w:tr2bl w:val="nil"/>
            </w:tcBorders>
            <w:vAlign w:val="center"/>
          </w:tcPr>
          <w:p>
            <w:pPr>
              <w:pStyle w:val="17"/>
              <w:bidi w:val="0"/>
              <w:rPr>
                <w:rFonts w:hint="eastAsia"/>
                <w:lang w:eastAsia="zh-CN"/>
              </w:rPr>
            </w:pPr>
            <w:r>
              <w:rPr>
                <w:rFonts w:hint="eastAsia"/>
                <w:lang w:val="en-US" w:eastAsia="zh-CN"/>
              </w:rPr>
              <w:t>11.3</w:t>
            </w:r>
            <w:r>
              <w:rPr>
                <w:rFonts w:hint="default"/>
              </w:rPr>
              <w:t>mg/</w:t>
            </w:r>
            <w:r>
              <w:rPr>
                <w:rFonts w:hint="eastAsia"/>
                <w:lang w:eastAsia="zh-CN"/>
              </w:rPr>
              <w:t>m³</w:t>
            </w:r>
          </w:p>
        </w:tc>
        <w:tc>
          <w:tcPr>
            <w:tcW w:w="1134" w:type="dxa"/>
            <w:tcBorders>
              <w:tl2br w:val="nil"/>
              <w:tr2bl w:val="nil"/>
            </w:tcBorders>
            <w:vAlign w:val="center"/>
          </w:tcPr>
          <w:p>
            <w:pPr>
              <w:pStyle w:val="17"/>
              <w:bidi w:val="0"/>
              <w:rPr>
                <w:rFonts w:hint="default"/>
              </w:rPr>
            </w:pPr>
            <w:r>
              <w:rPr>
                <w:rFonts w:hint="eastAsia"/>
                <w:lang w:val="en-US" w:eastAsia="zh-CN"/>
              </w:rPr>
              <w:t>0.284</w:t>
            </w:r>
            <w:r>
              <w:rPr>
                <w:rFonts w:hint="default"/>
              </w:rPr>
              <w:t>t/a</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vMerge w:val="restart"/>
            <w:tcBorders>
              <w:tl2br w:val="nil"/>
              <w:tr2bl w:val="nil"/>
            </w:tcBorders>
            <w:vAlign w:val="center"/>
          </w:tcPr>
          <w:p>
            <w:pPr>
              <w:pStyle w:val="17"/>
              <w:bidi w:val="0"/>
              <w:rPr>
                <w:rFonts w:hint="default"/>
              </w:rPr>
            </w:pPr>
            <w:r>
              <w:rPr>
                <w:rFonts w:hint="default"/>
              </w:rPr>
              <w:t>《合成树脂工业污染物排放标准》（GB31572-2015）表</w:t>
            </w:r>
            <w:r>
              <w:rPr>
                <w:rFonts w:hint="eastAsia"/>
                <w:lang w:val="en-US" w:eastAsia="zh-CN"/>
              </w:rPr>
              <w:t>5</w:t>
            </w:r>
            <w:r>
              <w:rPr>
                <w:rFonts w:hint="default"/>
              </w:rPr>
              <w:t>中非甲烷总烃排放</w:t>
            </w:r>
            <w:r>
              <w:rPr>
                <w:rFonts w:hint="eastAsia"/>
                <w:lang w:val="en-US" w:eastAsia="zh-CN"/>
              </w:rPr>
              <w:t>特别</w:t>
            </w:r>
            <w:r>
              <w:rPr>
                <w:rFonts w:hint="default"/>
              </w:rPr>
              <w:t>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continue"/>
            <w:tcBorders>
              <w:tl2br w:val="nil"/>
              <w:tr2bl w:val="nil"/>
            </w:tcBorders>
            <w:vAlign w:val="center"/>
          </w:tcPr>
          <w:p>
            <w:pPr>
              <w:pStyle w:val="17"/>
              <w:bidi w:val="0"/>
              <w:rPr>
                <w:rFonts w:hint="default"/>
              </w:rPr>
            </w:pPr>
          </w:p>
        </w:tc>
        <w:tc>
          <w:tcPr>
            <w:tcW w:w="3708" w:type="dxa"/>
            <w:tcBorders>
              <w:tl2br w:val="nil"/>
              <w:tr2bl w:val="nil"/>
            </w:tcBorders>
            <w:vAlign w:val="center"/>
          </w:tcPr>
          <w:p>
            <w:pPr>
              <w:pStyle w:val="17"/>
              <w:bidi w:val="0"/>
              <w:rPr>
                <w:rFonts w:hint="default"/>
              </w:rPr>
            </w:pPr>
            <w:r>
              <w:rPr>
                <w:rFonts w:hint="default"/>
              </w:rPr>
              <w:t>集气罩+等离子光氧一体机</w:t>
            </w:r>
            <w:r>
              <w:rPr>
                <w:rFonts w:hint="eastAsia"/>
                <w:lang w:val="en-US" w:eastAsia="zh-CN"/>
              </w:rPr>
              <w:t>+活性炭吸附装置</w:t>
            </w:r>
            <w:r>
              <w:rPr>
                <w:rFonts w:hint="default"/>
              </w:rPr>
              <w:t>处理设备+风机+15m高排气筒；风机风量为12000</w:t>
            </w:r>
            <w:r>
              <w:rPr>
                <w:rFonts w:hint="eastAsia"/>
                <w:lang w:eastAsia="zh-CN"/>
              </w:rPr>
              <w:t>m³</w:t>
            </w:r>
            <w:r>
              <w:rPr>
                <w:rFonts w:hint="default"/>
              </w:rPr>
              <w:t>/h；集气罩集气效率为90%，等离子光氧一体机处理设备处理效率为</w:t>
            </w:r>
            <w:r>
              <w:rPr>
                <w:rFonts w:hint="eastAsia"/>
                <w:lang w:val="en-US" w:eastAsia="zh-CN"/>
              </w:rPr>
              <w:t>65</w:t>
            </w:r>
            <w:r>
              <w:rPr>
                <w:rFonts w:hint="default"/>
              </w:rPr>
              <w:t>%，</w:t>
            </w:r>
            <w:r>
              <w:rPr>
                <w:rFonts w:hint="eastAsia"/>
                <w:lang w:val="en-US" w:eastAsia="zh-CN"/>
              </w:rPr>
              <w:t>活性炭吸附净化效率位75%</w:t>
            </w:r>
            <w:r>
              <w:rPr>
                <w:rFonts w:hint="default"/>
              </w:rPr>
              <w:t>运行时间为24h/d</w:t>
            </w:r>
          </w:p>
        </w:tc>
        <w:tc>
          <w:tcPr>
            <w:tcW w:w="1704" w:type="dxa"/>
            <w:tcBorders>
              <w:tl2br w:val="nil"/>
              <w:tr2bl w:val="nil"/>
            </w:tcBorders>
            <w:vAlign w:val="center"/>
          </w:tcPr>
          <w:p>
            <w:pPr>
              <w:pStyle w:val="17"/>
              <w:bidi w:val="0"/>
              <w:rPr>
                <w:rFonts w:hint="default"/>
              </w:rPr>
            </w:pPr>
            <w:r>
              <w:rPr>
                <w:rFonts w:hint="default"/>
              </w:rPr>
              <w:t>非甲烷总烃</w:t>
            </w:r>
          </w:p>
          <w:p>
            <w:pPr>
              <w:pStyle w:val="17"/>
              <w:bidi w:val="0"/>
              <w:rPr>
                <w:rFonts w:hint="default"/>
              </w:rPr>
            </w:pPr>
            <w:r>
              <w:rPr>
                <w:rFonts w:hint="default"/>
              </w:rPr>
              <w:t>（</w:t>
            </w:r>
            <w:r>
              <w:rPr>
                <w:rFonts w:hint="eastAsia"/>
                <w:lang w:val="en-US" w:eastAsia="zh-CN"/>
              </w:rPr>
              <w:t>生产车间</w:t>
            </w:r>
            <w:r>
              <w:rPr>
                <w:rFonts w:hint="default"/>
              </w:rPr>
              <w:t>）</w:t>
            </w:r>
          </w:p>
        </w:tc>
        <w:tc>
          <w:tcPr>
            <w:tcW w:w="1246" w:type="dxa"/>
            <w:tcBorders>
              <w:tl2br w:val="nil"/>
              <w:tr2bl w:val="nil"/>
            </w:tcBorders>
            <w:vAlign w:val="center"/>
          </w:tcPr>
          <w:p>
            <w:pPr>
              <w:pStyle w:val="17"/>
              <w:bidi w:val="0"/>
              <w:ind w:firstLine="0" w:firstLineChars="0"/>
              <w:rPr>
                <w:rFonts w:hint="eastAsia"/>
                <w:lang w:eastAsia="zh-CN"/>
              </w:rPr>
            </w:pPr>
            <w:r>
              <w:rPr>
                <w:rFonts w:hint="eastAsia"/>
                <w:lang w:val="en-US" w:eastAsia="zh-CN"/>
              </w:rPr>
              <w:t>11.3</w:t>
            </w:r>
            <w:r>
              <w:rPr>
                <w:rFonts w:hint="default"/>
              </w:rPr>
              <w:t>mg/</w:t>
            </w:r>
            <w:r>
              <w:rPr>
                <w:rFonts w:hint="eastAsia"/>
                <w:lang w:eastAsia="zh-CN"/>
              </w:rPr>
              <w:t>m³</w:t>
            </w:r>
          </w:p>
        </w:tc>
        <w:tc>
          <w:tcPr>
            <w:tcW w:w="1134" w:type="dxa"/>
            <w:tcBorders>
              <w:tl2br w:val="nil"/>
              <w:tr2bl w:val="nil"/>
            </w:tcBorders>
            <w:vAlign w:val="center"/>
          </w:tcPr>
          <w:p>
            <w:pPr>
              <w:pStyle w:val="17"/>
              <w:bidi w:val="0"/>
              <w:ind w:firstLine="0" w:firstLineChars="0"/>
              <w:rPr>
                <w:rFonts w:hint="default"/>
              </w:rPr>
            </w:pPr>
            <w:r>
              <w:rPr>
                <w:rFonts w:hint="eastAsia"/>
                <w:lang w:val="en-US" w:eastAsia="zh-CN"/>
              </w:rPr>
              <w:t>1.35</w:t>
            </w:r>
            <w:r>
              <w:rPr>
                <w:rFonts w:hint="default"/>
              </w:rPr>
              <w:t>t/a</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continue"/>
            <w:tcBorders>
              <w:tl2br w:val="nil"/>
              <w:tr2bl w:val="nil"/>
            </w:tcBorders>
            <w:vAlign w:val="center"/>
          </w:tcPr>
          <w:p>
            <w:pPr>
              <w:pStyle w:val="17"/>
              <w:bidi w:val="0"/>
              <w:rPr>
                <w:rFonts w:hint="default"/>
              </w:rPr>
            </w:pPr>
          </w:p>
        </w:tc>
        <w:tc>
          <w:tcPr>
            <w:tcW w:w="3708" w:type="dxa"/>
            <w:tcBorders>
              <w:tl2br w:val="nil"/>
              <w:tr2bl w:val="nil"/>
            </w:tcBorders>
            <w:vAlign w:val="center"/>
          </w:tcPr>
          <w:p>
            <w:pPr>
              <w:pStyle w:val="17"/>
              <w:bidi w:val="0"/>
              <w:rPr>
                <w:rFonts w:hint="default"/>
              </w:rPr>
            </w:pPr>
            <w:r>
              <w:rPr>
                <w:rFonts w:hint="default"/>
              </w:rPr>
              <w:t>排风扇，2台</w:t>
            </w:r>
          </w:p>
        </w:tc>
        <w:tc>
          <w:tcPr>
            <w:tcW w:w="1704" w:type="dxa"/>
            <w:tcBorders>
              <w:tl2br w:val="nil"/>
              <w:tr2bl w:val="nil"/>
            </w:tcBorders>
            <w:vAlign w:val="center"/>
          </w:tcPr>
          <w:p>
            <w:pPr>
              <w:pStyle w:val="17"/>
              <w:bidi w:val="0"/>
              <w:rPr>
                <w:rFonts w:hint="default"/>
              </w:rPr>
            </w:pPr>
            <w:r>
              <w:rPr>
                <w:rFonts w:hint="default"/>
              </w:rPr>
              <w:t>非甲烷总烃</w:t>
            </w:r>
          </w:p>
          <w:p>
            <w:pPr>
              <w:pStyle w:val="17"/>
              <w:bidi w:val="0"/>
              <w:ind w:firstLine="0" w:firstLineChars="0"/>
              <w:rPr>
                <w:rFonts w:hint="default"/>
              </w:rPr>
            </w:pPr>
            <w:r>
              <w:rPr>
                <w:rFonts w:hint="default"/>
              </w:rPr>
              <w:t>（</w:t>
            </w:r>
            <w:r>
              <w:rPr>
                <w:rFonts w:hint="eastAsia"/>
                <w:lang w:val="en-US" w:eastAsia="zh-CN"/>
              </w:rPr>
              <w:t>造粒车间</w:t>
            </w:r>
            <w:r>
              <w:rPr>
                <w:rFonts w:hint="default"/>
              </w:rPr>
              <w:t>）</w:t>
            </w:r>
          </w:p>
        </w:tc>
        <w:tc>
          <w:tcPr>
            <w:tcW w:w="1246" w:type="dxa"/>
            <w:tcBorders>
              <w:tl2br w:val="nil"/>
              <w:tr2bl w:val="nil"/>
            </w:tcBorders>
            <w:vAlign w:val="center"/>
          </w:tcPr>
          <w:p>
            <w:pPr>
              <w:pStyle w:val="17"/>
              <w:bidi w:val="0"/>
              <w:rPr>
                <w:rFonts w:hint="default"/>
              </w:rPr>
            </w:pPr>
            <w:r>
              <w:rPr>
                <w:rFonts w:hint="default"/>
              </w:rPr>
              <w:t>/</w:t>
            </w:r>
          </w:p>
        </w:tc>
        <w:tc>
          <w:tcPr>
            <w:tcW w:w="1134" w:type="dxa"/>
            <w:tcBorders>
              <w:tl2br w:val="nil"/>
              <w:tr2bl w:val="nil"/>
            </w:tcBorders>
            <w:vAlign w:val="center"/>
          </w:tcPr>
          <w:p>
            <w:pPr>
              <w:pStyle w:val="17"/>
              <w:bidi w:val="0"/>
              <w:rPr>
                <w:rFonts w:hint="default"/>
              </w:rPr>
            </w:pPr>
            <w:r>
              <w:rPr>
                <w:rFonts w:hint="eastAsia"/>
                <w:lang w:val="en-US" w:eastAsia="zh-CN"/>
              </w:rPr>
              <w:t>0.158</w:t>
            </w:r>
            <w:r>
              <w:rPr>
                <w:rFonts w:hint="default"/>
              </w:rPr>
              <w:t>t/a</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vMerge w:val="restart"/>
            <w:tcBorders>
              <w:tl2br w:val="nil"/>
              <w:tr2bl w:val="nil"/>
            </w:tcBorders>
            <w:vAlign w:val="center"/>
          </w:tcPr>
          <w:p>
            <w:pPr>
              <w:pStyle w:val="17"/>
              <w:bidi w:val="0"/>
              <w:rPr>
                <w:rFonts w:hint="default"/>
              </w:rPr>
            </w:pPr>
            <w:r>
              <w:rPr>
                <w:rFonts w:hint="default"/>
              </w:rPr>
              <w:t>《合成树脂工业污染物排放标准》（GB31572-2015）表9中企业边界非甲烷总烃浓度限值要求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continue"/>
            <w:tcBorders>
              <w:tl2br w:val="nil"/>
              <w:tr2bl w:val="nil"/>
            </w:tcBorders>
            <w:vAlign w:val="center"/>
          </w:tcPr>
          <w:p>
            <w:pPr>
              <w:pStyle w:val="17"/>
              <w:bidi w:val="0"/>
              <w:rPr>
                <w:rFonts w:hint="default"/>
              </w:rPr>
            </w:pPr>
          </w:p>
        </w:tc>
        <w:tc>
          <w:tcPr>
            <w:tcW w:w="3708" w:type="dxa"/>
            <w:tcBorders>
              <w:tl2br w:val="nil"/>
              <w:tr2bl w:val="nil"/>
            </w:tcBorders>
            <w:vAlign w:val="center"/>
          </w:tcPr>
          <w:p>
            <w:pPr>
              <w:pStyle w:val="17"/>
              <w:bidi w:val="0"/>
              <w:rPr>
                <w:rFonts w:hint="default"/>
              </w:rPr>
            </w:pPr>
            <w:r>
              <w:rPr>
                <w:rFonts w:hint="default"/>
              </w:rPr>
              <w:t>排风扇，</w:t>
            </w:r>
            <w:r>
              <w:rPr>
                <w:rFonts w:hint="eastAsia"/>
                <w:lang w:val="en-US" w:eastAsia="zh-CN"/>
              </w:rPr>
              <w:t>4</w:t>
            </w:r>
            <w:r>
              <w:rPr>
                <w:rFonts w:hint="default"/>
              </w:rPr>
              <w:t>台</w:t>
            </w:r>
          </w:p>
        </w:tc>
        <w:tc>
          <w:tcPr>
            <w:tcW w:w="1704" w:type="dxa"/>
            <w:tcBorders>
              <w:tl2br w:val="nil"/>
              <w:tr2bl w:val="nil"/>
            </w:tcBorders>
            <w:vAlign w:val="center"/>
          </w:tcPr>
          <w:p>
            <w:pPr>
              <w:pStyle w:val="17"/>
              <w:bidi w:val="0"/>
              <w:rPr>
                <w:rFonts w:hint="default"/>
              </w:rPr>
            </w:pPr>
            <w:r>
              <w:rPr>
                <w:rFonts w:hint="default"/>
              </w:rPr>
              <w:t>非甲烷总烃</w:t>
            </w:r>
          </w:p>
          <w:p>
            <w:pPr>
              <w:pStyle w:val="17"/>
              <w:bidi w:val="0"/>
              <w:ind w:firstLine="0" w:firstLineChars="0"/>
              <w:rPr>
                <w:rFonts w:hint="default"/>
              </w:rPr>
            </w:pPr>
            <w:r>
              <w:rPr>
                <w:rFonts w:hint="default"/>
              </w:rPr>
              <w:t>（</w:t>
            </w:r>
            <w:r>
              <w:rPr>
                <w:rFonts w:hint="eastAsia"/>
                <w:lang w:val="en-US" w:eastAsia="zh-CN"/>
              </w:rPr>
              <w:t>生产车间</w:t>
            </w:r>
            <w:r>
              <w:rPr>
                <w:rFonts w:hint="default"/>
              </w:rPr>
              <w:t>）</w:t>
            </w:r>
          </w:p>
        </w:tc>
        <w:tc>
          <w:tcPr>
            <w:tcW w:w="1246" w:type="dxa"/>
            <w:tcBorders>
              <w:tl2br w:val="nil"/>
              <w:tr2bl w:val="nil"/>
            </w:tcBorders>
            <w:vAlign w:val="center"/>
          </w:tcPr>
          <w:p>
            <w:pPr>
              <w:pStyle w:val="17"/>
              <w:bidi w:val="0"/>
              <w:rPr>
                <w:rFonts w:hint="default"/>
              </w:rPr>
            </w:pPr>
            <w:r>
              <w:rPr>
                <w:rFonts w:hint="default"/>
              </w:rPr>
              <w:t>/</w:t>
            </w:r>
          </w:p>
        </w:tc>
        <w:tc>
          <w:tcPr>
            <w:tcW w:w="1134" w:type="dxa"/>
            <w:tcBorders>
              <w:tl2br w:val="nil"/>
              <w:tr2bl w:val="nil"/>
            </w:tcBorders>
            <w:vAlign w:val="center"/>
          </w:tcPr>
          <w:p>
            <w:pPr>
              <w:pStyle w:val="17"/>
              <w:bidi w:val="0"/>
              <w:rPr>
                <w:rFonts w:hint="default"/>
              </w:rPr>
            </w:pPr>
            <w:r>
              <w:rPr>
                <w:rFonts w:hint="eastAsia"/>
                <w:lang w:val="en-US" w:eastAsia="zh-CN"/>
              </w:rPr>
              <w:t>0.57</w:t>
            </w:r>
            <w:r>
              <w:rPr>
                <w:rFonts w:hint="default"/>
              </w:rPr>
              <w:t>t/a</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continue"/>
            <w:tcBorders>
              <w:tl2br w:val="nil"/>
              <w:tr2bl w:val="nil"/>
            </w:tcBorders>
            <w:vAlign w:val="center"/>
          </w:tcPr>
          <w:p>
            <w:pPr>
              <w:pStyle w:val="17"/>
              <w:bidi w:val="0"/>
              <w:rPr>
                <w:rFonts w:hint="default"/>
              </w:rPr>
            </w:pPr>
          </w:p>
        </w:tc>
        <w:tc>
          <w:tcPr>
            <w:tcW w:w="3708" w:type="dxa"/>
            <w:tcBorders>
              <w:tl2br w:val="nil"/>
              <w:tr2bl w:val="nil"/>
            </w:tcBorders>
            <w:vAlign w:val="center"/>
          </w:tcPr>
          <w:p>
            <w:pPr>
              <w:pStyle w:val="17"/>
              <w:bidi w:val="0"/>
              <w:rPr>
                <w:rFonts w:hint="default"/>
              </w:rPr>
            </w:pPr>
            <w:r>
              <w:rPr>
                <w:rFonts w:hint="default"/>
              </w:rPr>
              <w:t>喷淋降尘</w:t>
            </w:r>
          </w:p>
        </w:tc>
        <w:tc>
          <w:tcPr>
            <w:tcW w:w="1704" w:type="dxa"/>
            <w:tcBorders>
              <w:tl2br w:val="nil"/>
              <w:tr2bl w:val="nil"/>
            </w:tcBorders>
            <w:vAlign w:val="center"/>
          </w:tcPr>
          <w:p>
            <w:pPr>
              <w:pStyle w:val="17"/>
              <w:bidi w:val="0"/>
              <w:rPr>
                <w:rFonts w:hint="default"/>
              </w:rPr>
            </w:pPr>
            <w:r>
              <w:rPr>
                <w:rFonts w:hint="default"/>
              </w:rPr>
              <w:t>粉尘（</w:t>
            </w:r>
            <w:r>
              <w:rPr>
                <w:rFonts w:hint="eastAsia"/>
                <w:lang w:val="en-US" w:eastAsia="zh-CN"/>
              </w:rPr>
              <w:t>造粒车间</w:t>
            </w:r>
            <w:r>
              <w:rPr>
                <w:rFonts w:hint="default"/>
              </w:rPr>
              <w:t>）</w:t>
            </w:r>
          </w:p>
        </w:tc>
        <w:tc>
          <w:tcPr>
            <w:tcW w:w="1246" w:type="dxa"/>
            <w:tcBorders>
              <w:tl2br w:val="nil"/>
              <w:tr2bl w:val="nil"/>
            </w:tcBorders>
            <w:vAlign w:val="center"/>
          </w:tcPr>
          <w:p>
            <w:pPr>
              <w:pStyle w:val="17"/>
              <w:bidi w:val="0"/>
              <w:rPr>
                <w:rFonts w:hint="default"/>
              </w:rPr>
            </w:pPr>
            <w:r>
              <w:rPr>
                <w:rFonts w:hint="default"/>
              </w:rPr>
              <w:t>/</w:t>
            </w:r>
          </w:p>
        </w:tc>
        <w:tc>
          <w:tcPr>
            <w:tcW w:w="1134" w:type="dxa"/>
            <w:tcBorders>
              <w:tl2br w:val="nil"/>
              <w:tr2bl w:val="nil"/>
            </w:tcBorders>
            <w:vAlign w:val="center"/>
          </w:tcPr>
          <w:p>
            <w:pPr>
              <w:pStyle w:val="17"/>
              <w:bidi w:val="0"/>
              <w:rPr>
                <w:rFonts w:hint="default"/>
              </w:rPr>
            </w:pPr>
            <w:r>
              <w:rPr>
                <w:rFonts w:hint="default"/>
              </w:rPr>
              <w:t>0.</w:t>
            </w:r>
            <w:r>
              <w:rPr>
                <w:rFonts w:hint="eastAsia"/>
                <w:lang w:val="en-US" w:eastAsia="zh-CN"/>
              </w:rPr>
              <w:t>033</w:t>
            </w:r>
            <w:r>
              <w:rPr>
                <w:rFonts w:hint="default"/>
              </w:rPr>
              <w:t>t/a</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tcBorders>
              <w:tl2br w:val="nil"/>
              <w:tr2bl w:val="nil"/>
            </w:tcBorders>
            <w:vAlign w:val="center"/>
          </w:tcPr>
          <w:p>
            <w:pPr>
              <w:pStyle w:val="17"/>
              <w:bidi w:val="0"/>
              <w:rPr>
                <w:rFonts w:hint="default"/>
              </w:rPr>
            </w:pPr>
            <w:r>
              <w:rPr>
                <w:rFonts w:hint="default"/>
              </w:rPr>
              <w:t>《合成树脂工业污染物排放标准》（GB31572-2015）表9中企业边界颗粒物浓度限值要求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continue"/>
            <w:tcBorders>
              <w:tl2br w:val="nil"/>
              <w:tr2bl w:val="nil"/>
            </w:tcBorders>
            <w:vAlign w:val="center"/>
          </w:tcPr>
          <w:p>
            <w:pPr>
              <w:pStyle w:val="17"/>
              <w:bidi w:val="0"/>
              <w:rPr>
                <w:rFonts w:hint="default"/>
              </w:rPr>
            </w:pPr>
          </w:p>
        </w:tc>
        <w:tc>
          <w:tcPr>
            <w:tcW w:w="3708" w:type="dxa"/>
            <w:tcBorders>
              <w:tl2br w:val="nil"/>
              <w:tr2bl w:val="nil"/>
            </w:tcBorders>
            <w:vAlign w:val="center"/>
          </w:tcPr>
          <w:p>
            <w:pPr>
              <w:pStyle w:val="17"/>
              <w:bidi w:val="0"/>
              <w:rPr>
                <w:rFonts w:hint="default"/>
              </w:rPr>
            </w:pPr>
            <w:r>
              <w:rPr>
                <w:rFonts w:hint="default"/>
              </w:rPr>
              <w:t>油烟净化设备，净化效率60%</w:t>
            </w:r>
          </w:p>
        </w:tc>
        <w:tc>
          <w:tcPr>
            <w:tcW w:w="1704" w:type="dxa"/>
            <w:tcBorders>
              <w:tl2br w:val="nil"/>
              <w:tr2bl w:val="nil"/>
            </w:tcBorders>
            <w:vAlign w:val="center"/>
          </w:tcPr>
          <w:p>
            <w:pPr>
              <w:pStyle w:val="17"/>
              <w:bidi w:val="0"/>
              <w:rPr>
                <w:rFonts w:hint="default"/>
              </w:rPr>
            </w:pPr>
            <w:r>
              <w:rPr>
                <w:rFonts w:hint="default"/>
              </w:rPr>
              <w:t>油烟</w:t>
            </w:r>
          </w:p>
        </w:tc>
        <w:tc>
          <w:tcPr>
            <w:tcW w:w="1246" w:type="dxa"/>
            <w:tcBorders>
              <w:tl2br w:val="nil"/>
              <w:tr2bl w:val="nil"/>
            </w:tcBorders>
            <w:vAlign w:val="center"/>
          </w:tcPr>
          <w:p>
            <w:pPr>
              <w:pStyle w:val="17"/>
              <w:bidi w:val="0"/>
              <w:rPr>
                <w:rFonts w:hint="eastAsia"/>
                <w:lang w:eastAsia="zh-CN"/>
              </w:rPr>
            </w:pPr>
            <w:r>
              <w:rPr>
                <w:rFonts w:hint="default"/>
              </w:rPr>
              <w:t>1.13mg/</w:t>
            </w:r>
            <w:r>
              <w:rPr>
                <w:rFonts w:hint="eastAsia"/>
                <w:lang w:eastAsia="zh-CN"/>
              </w:rPr>
              <w:t>m³</w:t>
            </w:r>
          </w:p>
        </w:tc>
        <w:tc>
          <w:tcPr>
            <w:tcW w:w="1134" w:type="dxa"/>
            <w:tcBorders>
              <w:tl2br w:val="nil"/>
              <w:tr2bl w:val="nil"/>
            </w:tcBorders>
            <w:vAlign w:val="center"/>
          </w:tcPr>
          <w:p>
            <w:pPr>
              <w:pStyle w:val="17"/>
              <w:bidi w:val="0"/>
              <w:rPr>
                <w:rFonts w:hint="default"/>
              </w:rPr>
            </w:pPr>
            <w:r>
              <w:rPr>
                <w:rFonts w:hint="default"/>
              </w:rPr>
              <w:t>0.0032t/a</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tcBorders>
              <w:tl2br w:val="nil"/>
              <w:tr2bl w:val="nil"/>
            </w:tcBorders>
            <w:vAlign w:val="center"/>
          </w:tcPr>
          <w:p>
            <w:pPr>
              <w:pStyle w:val="17"/>
              <w:bidi w:val="0"/>
              <w:rPr>
                <w:rFonts w:hint="default"/>
              </w:rPr>
            </w:pPr>
            <w:r>
              <w:rPr>
                <w:rFonts w:hint="default"/>
              </w:rPr>
              <w:t>《饮食业油烟排放标准（试行）》（GB18483-2001）中油烟最高允许排放浓度限值要求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restart"/>
            <w:tcBorders>
              <w:tl2br w:val="nil"/>
              <w:tr2bl w:val="nil"/>
            </w:tcBorders>
            <w:vAlign w:val="center"/>
          </w:tcPr>
          <w:p>
            <w:pPr>
              <w:pStyle w:val="17"/>
              <w:bidi w:val="0"/>
              <w:rPr>
                <w:rFonts w:hint="default"/>
              </w:rPr>
            </w:pPr>
            <w:r>
              <w:rPr>
                <w:rFonts w:hint="default"/>
              </w:rPr>
              <w:t>废水</w:t>
            </w:r>
          </w:p>
        </w:tc>
        <w:tc>
          <w:tcPr>
            <w:tcW w:w="3708" w:type="dxa"/>
            <w:tcBorders>
              <w:tl2br w:val="nil"/>
              <w:tr2bl w:val="nil"/>
            </w:tcBorders>
            <w:vAlign w:val="center"/>
          </w:tcPr>
          <w:p>
            <w:pPr>
              <w:pStyle w:val="17"/>
              <w:bidi w:val="0"/>
              <w:rPr>
                <w:rFonts w:hint="default"/>
              </w:rPr>
            </w:pPr>
            <w:r>
              <w:rPr>
                <w:rFonts w:hint="eastAsia"/>
                <w:lang w:val="en-US" w:eastAsia="zh-CN"/>
              </w:rPr>
              <w:t>循环沉淀池</w:t>
            </w:r>
            <w:r>
              <w:rPr>
                <w:rFonts w:hint="default"/>
              </w:rPr>
              <w:t>（</w:t>
            </w:r>
            <w:r>
              <w:rPr>
                <w:rFonts w:hint="eastAsia"/>
                <w:lang w:val="en-US" w:eastAsia="zh-CN"/>
              </w:rPr>
              <w:t>1</w:t>
            </w:r>
            <w:r>
              <w:rPr>
                <w:rFonts w:hint="default"/>
              </w:rPr>
              <w:t>个，</w:t>
            </w:r>
            <w:r>
              <w:rPr>
                <w:rFonts w:hint="eastAsia"/>
                <w:lang w:val="en-US" w:eastAsia="zh-CN"/>
              </w:rPr>
              <w:t>2</w:t>
            </w:r>
            <w:r>
              <w:rPr>
                <w:rFonts w:hint="default"/>
              </w:rPr>
              <w:t>00</w:t>
            </w:r>
            <w:r>
              <w:rPr>
                <w:rFonts w:hint="eastAsia"/>
                <w:lang w:eastAsia="zh-CN"/>
              </w:rPr>
              <w:t>m³</w:t>
            </w:r>
            <w:r>
              <w:rPr>
                <w:rFonts w:hint="default"/>
              </w:rPr>
              <w:t>）</w:t>
            </w:r>
          </w:p>
          <w:p>
            <w:pPr>
              <w:pStyle w:val="17"/>
              <w:bidi w:val="0"/>
              <w:rPr>
                <w:rFonts w:hint="default"/>
                <w:lang w:val="en-US" w:eastAsia="zh-CN"/>
              </w:rPr>
            </w:pPr>
            <w:r>
              <w:rPr>
                <w:rFonts w:hint="eastAsia"/>
                <w:lang w:val="en-US" w:eastAsia="zh-CN"/>
              </w:rPr>
              <w:t>地埋式污水处理设施（1套，50m³/d）</w:t>
            </w:r>
          </w:p>
        </w:tc>
        <w:tc>
          <w:tcPr>
            <w:tcW w:w="1704" w:type="dxa"/>
            <w:tcBorders>
              <w:tl2br w:val="nil"/>
              <w:tr2bl w:val="nil"/>
            </w:tcBorders>
            <w:vAlign w:val="center"/>
          </w:tcPr>
          <w:p>
            <w:pPr>
              <w:pStyle w:val="17"/>
              <w:bidi w:val="0"/>
              <w:rPr>
                <w:rFonts w:hint="default"/>
              </w:rPr>
            </w:pPr>
            <w:r>
              <w:rPr>
                <w:rFonts w:hint="default"/>
              </w:rPr>
              <w:t>废水量</w:t>
            </w:r>
          </w:p>
        </w:tc>
        <w:tc>
          <w:tcPr>
            <w:tcW w:w="1246" w:type="dxa"/>
            <w:tcBorders>
              <w:tl2br w:val="nil"/>
              <w:tr2bl w:val="nil"/>
            </w:tcBorders>
            <w:vAlign w:val="center"/>
          </w:tcPr>
          <w:p>
            <w:pPr>
              <w:pStyle w:val="17"/>
              <w:bidi w:val="0"/>
              <w:rPr>
                <w:rFonts w:hint="default"/>
              </w:rPr>
            </w:pPr>
            <w:r>
              <w:rPr>
                <w:rFonts w:hint="default"/>
              </w:rPr>
              <w:t>/</w:t>
            </w:r>
          </w:p>
        </w:tc>
        <w:tc>
          <w:tcPr>
            <w:tcW w:w="1134" w:type="dxa"/>
            <w:tcBorders>
              <w:tl2br w:val="nil"/>
              <w:tr2bl w:val="nil"/>
            </w:tcBorders>
            <w:vAlign w:val="center"/>
          </w:tcPr>
          <w:p>
            <w:pPr>
              <w:pStyle w:val="17"/>
              <w:bidi w:val="0"/>
              <w:rPr>
                <w:rFonts w:hint="default"/>
              </w:rPr>
            </w:pPr>
            <w:r>
              <w:rPr>
                <w:rFonts w:hint="default"/>
              </w:rPr>
              <w:t>0</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tcBorders>
              <w:tl2br w:val="nil"/>
              <w:tr2bl w:val="nil"/>
            </w:tcBorders>
            <w:vAlign w:val="center"/>
          </w:tcPr>
          <w:p>
            <w:pPr>
              <w:pStyle w:val="17"/>
              <w:bidi w:val="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continue"/>
            <w:tcBorders>
              <w:tl2br w:val="nil"/>
              <w:tr2bl w:val="nil"/>
            </w:tcBorders>
            <w:vAlign w:val="center"/>
          </w:tcPr>
          <w:p>
            <w:pPr>
              <w:pStyle w:val="17"/>
              <w:bidi w:val="0"/>
              <w:rPr>
                <w:rFonts w:hint="default"/>
              </w:rPr>
            </w:pPr>
          </w:p>
        </w:tc>
        <w:tc>
          <w:tcPr>
            <w:tcW w:w="3708" w:type="dxa"/>
            <w:tcBorders>
              <w:tl2br w:val="nil"/>
              <w:tr2bl w:val="nil"/>
            </w:tcBorders>
            <w:vAlign w:val="center"/>
          </w:tcPr>
          <w:p>
            <w:pPr>
              <w:pStyle w:val="17"/>
              <w:bidi w:val="0"/>
              <w:rPr>
                <w:rFonts w:hint="eastAsia"/>
                <w:lang w:eastAsia="zh-CN"/>
              </w:rPr>
            </w:pPr>
            <w:r>
              <w:rPr>
                <w:rFonts w:hint="default"/>
              </w:rPr>
              <w:t>生活污水</w:t>
            </w:r>
            <w:r>
              <w:rPr>
                <w:rFonts w:hint="eastAsia"/>
                <w:lang w:eastAsia="zh-CN"/>
              </w:rPr>
              <w:t>（</w:t>
            </w:r>
            <w:r>
              <w:rPr>
                <w:rFonts w:hint="eastAsia"/>
                <w:lang w:val="en-US" w:eastAsia="zh-CN"/>
              </w:rPr>
              <w:t>隔油池、化粪池</w:t>
            </w:r>
            <w:r>
              <w:rPr>
                <w:rFonts w:hint="eastAsia"/>
                <w:lang w:eastAsia="zh-CN"/>
              </w:rPr>
              <w:t>）</w:t>
            </w:r>
          </w:p>
        </w:tc>
        <w:tc>
          <w:tcPr>
            <w:tcW w:w="1704" w:type="dxa"/>
            <w:tcBorders>
              <w:tl2br w:val="nil"/>
              <w:tr2bl w:val="nil"/>
            </w:tcBorders>
            <w:vAlign w:val="center"/>
          </w:tcPr>
          <w:p>
            <w:pPr>
              <w:pStyle w:val="17"/>
              <w:bidi w:val="0"/>
              <w:rPr>
                <w:rFonts w:hint="default"/>
              </w:rPr>
            </w:pPr>
            <w:r>
              <w:rPr>
                <w:rFonts w:hint="default"/>
              </w:rPr>
              <w:t>废水量</w:t>
            </w:r>
          </w:p>
        </w:tc>
        <w:tc>
          <w:tcPr>
            <w:tcW w:w="1246" w:type="dxa"/>
            <w:tcBorders>
              <w:tl2br w:val="nil"/>
              <w:tr2bl w:val="nil"/>
            </w:tcBorders>
            <w:vAlign w:val="center"/>
          </w:tcPr>
          <w:p>
            <w:pPr>
              <w:pStyle w:val="17"/>
              <w:bidi w:val="0"/>
              <w:rPr>
                <w:rFonts w:hint="default"/>
              </w:rPr>
            </w:pPr>
            <w:r>
              <w:rPr>
                <w:rFonts w:hint="default"/>
              </w:rPr>
              <w:t>/</w:t>
            </w:r>
          </w:p>
        </w:tc>
        <w:tc>
          <w:tcPr>
            <w:tcW w:w="1134" w:type="dxa"/>
            <w:tcBorders>
              <w:tl2br w:val="nil"/>
              <w:tr2bl w:val="nil"/>
            </w:tcBorders>
            <w:vAlign w:val="center"/>
          </w:tcPr>
          <w:p>
            <w:pPr>
              <w:pStyle w:val="17"/>
              <w:bidi w:val="0"/>
              <w:rPr>
                <w:rFonts w:hint="default"/>
              </w:rPr>
            </w:pPr>
            <w:r>
              <w:rPr>
                <w:rFonts w:hint="eastAsia"/>
                <w:lang w:val="en-US" w:eastAsia="zh-CN"/>
              </w:rPr>
              <w:t>1108.8</w:t>
            </w:r>
            <w:r>
              <w:rPr>
                <w:rFonts w:hint="default"/>
              </w:rPr>
              <w:t>t/a</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tcBorders>
              <w:tl2br w:val="nil"/>
              <w:tr2bl w:val="nil"/>
            </w:tcBorders>
            <w:vAlign w:val="center"/>
          </w:tcPr>
          <w:p>
            <w:pPr>
              <w:pStyle w:val="17"/>
              <w:bidi w:val="0"/>
              <w:rPr>
                <w:rFonts w:hint="default"/>
              </w:rPr>
            </w:pPr>
            <w:r>
              <w:rPr>
                <w:rFonts w:hint="default"/>
              </w:rPr>
              <w:t>《污水综合排放标准》（GB8978-1996）中三级标准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tcBorders>
              <w:tl2br w:val="nil"/>
              <w:tr2bl w:val="nil"/>
            </w:tcBorders>
            <w:vAlign w:val="center"/>
          </w:tcPr>
          <w:p>
            <w:pPr>
              <w:pStyle w:val="17"/>
              <w:bidi w:val="0"/>
              <w:rPr>
                <w:rFonts w:hint="default"/>
              </w:rPr>
            </w:pPr>
            <w:r>
              <w:rPr>
                <w:rFonts w:hint="default"/>
              </w:rPr>
              <w:t>噪声</w:t>
            </w:r>
          </w:p>
        </w:tc>
        <w:tc>
          <w:tcPr>
            <w:tcW w:w="3708" w:type="dxa"/>
            <w:tcBorders>
              <w:tl2br w:val="nil"/>
              <w:tr2bl w:val="nil"/>
            </w:tcBorders>
            <w:vAlign w:val="center"/>
          </w:tcPr>
          <w:p>
            <w:pPr>
              <w:pStyle w:val="17"/>
              <w:bidi w:val="0"/>
              <w:rPr>
                <w:rFonts w:hint="default"/>
              </w:rPr>
            </w:pPr>
            <w:r>
              <w:rPr>
                <w:rFonts w:hint="default"/>
              </w:rPr>
              <w:t>减振基础、减振垫、消声器等</w:t>
            </w:r>
          </w:p>
        </w:tc>
        <w:tc>
          <w:tcPr>
            <w:tcW w:w="1704" w:type="dxa"/>
            <w:tcBorders>
              <w:tl2br w:val="nil"/>
              <w:tr2bl w:val="nil"/>
            </w:tcBorders>
            <w:vAlign w:val="center"/>
          </w:tcPr>
          <w:p>
            <w:pPr>
              <w:pStyle w:val="17"/>
              <w:bidi w:val="0"/>
              <w:rPr>
                <w:rFonts w:hint="default"/>
              </w:rPr>
            </w:pPr>
            <w:r>
              <w:rPr>
                <w:rFonts w:hint="default"/>
              </w:rPr>
              <w:t>机械噪声</w:t>
            </w:r>
          </w:p>
        </w:tc>
        <w:tc>
          <w:tcPr>
            <w:tcW w:w="1246" w:type="dxa"/>
            <w:tcBorders>
              <w:tl2br w:val="nil"/>
              <w:tr2bl w:val="nil"/>
            </w:tcBorders>
            <w:vAlign w:val="center"/>
          </w:tcPr>
          <w:p>
            <w:pPr>
              <w:pStyle w:val="17"/>
              <w:bidi w:val="0"/>
              <w:rPr>
                <w:rFonts w:hint="default"/>
              </w:rPr>
            </w:pPr>
            <w:r>
              <w:rPr>
                <w:rFonts w:hint="default"/>
              </w:rPr>
              <w:t>/</w:t>
            </w:r>
          </w:p>
        </w:tc>
        <w:tc>
          <w:tcPr>
            <w:tcW w:w="1134" w:type="dxa"/>
            <w:tcBorders>
              <w:tl2br w:val="nil"/>
              <w:tr2bl w:val="nil"/>
            </w:tcBorders>
            <w:vAlign w:val="center"/>
          </w:tcPr>
          <w:p>
            <w:pPr>
              <w:pStyle w:val="17"/>
              <w:bidi w:val="0"/>
              <w:rPr>
                <w:rFonts w:hint="default"/>
              </w:rPr>
            </w:pPr>
            <w:r>
              <w:rPr>
                <w:rFonts w:hint="default"/>
              </w:rPr>
              <w:t>/</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tcBorders>
              <w:tl2br w:val="nil"/>
              <w:tr2bl w:val="nil"/>
            </w:tcBorders>
            <w:vAlign w:val="center"/>
          </w:tcPr>
          <w:p>
            <w:pPr>
              <w:pStyle w:val="17"/>
              <w:bidi w:val="0"/>
              <w:rPr>
                <w:rFonts w:hint="default"/>
              </w:rPr>
            </w:pPr>
            <w:r>
              <w:rPr>
                <w:rFonts w:hint="default"/>
              </w:rPr>
              <w:t>《工业企业厂界环境噪声排放标准》（GB12348-2008）中的</w:t>
            </w:r>
            <w:r>
              <w:rPr>
                <w:rFonts w:hint="eastAsia"/>
                <w:lang w:val="en-US" w:eastAsia="zh-CN"/>
              </w:rPr>
              <w:t>2</w:t>
            </w:r>
            <w:r>
              <w:rPr>
                <w:rFonts w:hint="default"/>
              </w:rPr>
              <w:t>类区标准要求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restart"/>
            <w:tcBorders>
              <w:tl2br w:val="nil"/>
              <w:tr2bl w:val="nil"/>
            </w:tcBorders>
            <w:vAlign w:val="center"/>
          </w:tcPr>
          <w:p>
            <w:pPr>
              <w:pStyle w:val="17"/>
              <w:bidi w:val="0"/>
              <w:rPr>
                <w:rFonts w:hint="default"/>
              </w:rPr>
            </w:pPr>
            <w:r>
              <w:rPr>
                <w:rFonts w:hint="default"/>
              </w:rPr>
              <w:t>固废</w:t>
            </w:r>
          </w:p>
        </w:tc>
        <w:tc>
          <w:tcPr>
            <w:tcW w:w="3708" w:type="dxa"/>
            <w:tcBorders>
              <w:tl2br w:val="nil"/>
              <w:tr2bl w:val="nil"/>
            </w:tcBorders>
            <w:vAlign w:val="center"/>
          </w:tcPr>
          <w:p>
            <w:pPr>
              <w:pStyle w:val="17"/>
              <w:bidi w:val="0"/>
              <w:rPr>
                <w:rFonts w:hint="default"/>
              </w:rPr>
            </w:pPr>
            <w:r>
              <w:rPr>
                <w:rFonts w:hint="default"/>
              </w:rPr>
              <w:t>统一收集后由环卫部门统一处理</w:t>
            </w:r>
          </w:p>
        </w:tc>
        <w:tc>
          <w:tcPr>
            <w:tcW w:w="1704" w:type="dxa"/>
            <w:tcBorders>
              <w:tl2br w:val="nil"/>
              <w:tr2bl w:val="nil"/>
            </w:tcBorders>
            <w:vAlign w:val="center"/>
          </w:tcPr>
          <w:p>
            <w:pPr>
              <w:pStyle w:val="17"/>
              <w:bidi w:val="0"/>
              <w:rPr>
                <w:rFonts w:hint="default"/>
              </w:rPr>
            </w:pPr>
            <w:r>
              <w:rPr>
                <w:rFonts w:hint="default"/>
              </w:rPr>
              <w:t>分拣废物</w:t>
            </w:r>
          </w:p>
        </w:tc>
        <w:tc>
          <w:tcPr>
            <w:tcW w:w="1246" w:type="dxa"/>
            <w:tcBorders>
              <w:tl2br w:val="nil"/>
              <w:tr2bl w:val="nil"/>
            </w:tcBorders>
            <w:vAlign w:val="center"/>
          </w:tcPr>
          <w:p>
            <w:pPr>
              <w:pStyle w:val="17"/>
              <w:bidi w:val="0"/>
              <w:rPr>
                <w:rFonts w:hint="default"/>
              </w:rPr>
            </w:pPr>
            <w:r>
              <w:rPr>
                <w:rFonts w:hint="default"/>
              </w:rPr>
              <w:t>/</w:t>
            </w:r>
          </w:p>
        </w:tc>
        <w:tc>
          <w:tcPr>
            <w:tcW w:w="1134" w:type="dxa"/>
            <w:tcBorders>
              <w:tl2br w:val="nil"/>
              <w:tr2bl w:val="nil"/>
            </w:tcBorders>
            <w:vAlign w:val="center"/>
          </w:tcPr>
          <w:p>
            <w:pPr>
              <w:pStyle w:val="17"/>
              <w:bidi w:val="0"/>
              <w:rPr>
                <w:rFonts w:hint="default"/>
                <w:lang w:val="en-US" w:eastAsia="zh-CN"/>
              </w:rPr>
            </w:pPr>
            <w:r>
              <w:rPr>
                <w:rFonts w:hint="eastAsia"/>
                <w:lang w:val="en-US" w:eastAsia="zh-CN"/>
              </w:rPr>
              <w:t>150</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vMerge w:val="restart"/>
            <w:tcBorders>
              <w:tl2br w:val="nil"/>
              <w:tr2bl w:val="nil"/>
            </w:tcBorders>
            <w:vAlign w:val="center"/>
          </w:tcPr>
          <w:p>
            <w:pPr>
              <w:pStyle w:val="17"/>
              <w:bidi w:val="0"/>
              <w:rPr>
                <w:rFonts w:hint="default"/>
              </w:rPr>
            </w:pPr>
            <w:r>
              <w:rPr>
                <w:rFonts w:hint="default"/>
              </w:rPr>
              <w:t>《一般工业固体废物贮存、处置场污染控制标准》（GB18599-2001）及2013年修改单中的相关要求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continue"/>
            <w:tcBorders>
              <w:tl2br w:val="nil"/>
              <w:tr2bl w:val="nil"/>
            </w:tcBorders>
            <w:vAlign w:val="center"/>
          </w:tcPr>
          <w:p>
            <w:pPr>
              <w:pStyle w:val="17"/>
              <w:bidi w:val="0"/>
              <w:rPr>
                <w:rFonts w:hint="default"/>
              </w:rPr>
            </w:pPr>
          </w:p>
        </w:tc>
        <w:tc>
          <w:tcPr>
            <w:tcW w:w="3708" w:type="dxa"/>
            <w:tcBorders>
              <w:tl2br w:val="nil"/>
              <w:tr2bl w:val="nil"/>
            </w:tcBorders>
            <w:vAlign w:val="center"/>
          </w:tcPr>
          <w:p>
            <w:pPr>
              <w:pStyle w:val="17"/>
              <w:bidi w:val="0"/>
              <w:rPr>
                <w:rFonts w:hint="default"/>
              </w:rPr>
            </w:pPr>
            <w:r>
              <w:rPr>
                <w:rFonts w:hint="default"/>
              </w:rPr>
              <w:t>回用到生产系统，综合利用</w:t>
            </w:r>
          </w:p>
        </w:tc>
        <w:tc>
          <w:tcPr>
            <w:tcW w:w="1704" w:type="dxa"/>
            <w:tcBorders>
              <w:tl2br w:val="nil"/>
              <w:tr2bl w:val="nil"/>
            </w:tcBorders>
            <w:vAlign w:val="center"/>
          </w:tcPr>
          <w:p>
            <w:pPr>
              <w:pStyle w:val="17"/>
              <w:bidi w:val="0"/>
              <w:rPr>
                <w:rFonts w:hint="default"/>
              </w:rPr>
            </w:pPr>
            <w:r>
              <w:rPr>
                <w:rFonts w:hint="default"/>
              </w:rPr>
              <w:t>不合格产品</w:t>
            </w:r>
          </w:p>
        </w:tc>
        <w:tc>
          <w:tcPr>
            <w:tcW w:w="1246" w:type="dxa"/>
            <w:tcBorders>
              <w:tl2br w:val="nil"/>
              <w:tr2bl w:val="nil"/>
            </w:tcBorders>
            <w:vAlign w:val="center"/>
          </w:tcPr>
          <w:p>
            <w:pPr>
              <w:pStyle w:val="17"/>
              <w:bidi w:val="0"/>
              <w:rPr>
                <w:rFonts w:hint="default"/>
              </w:rPr>
            </w:pPr>
            <w:r>
              <w:rPr>
                <w:rFonts w:hint="default"/>
              </w:rPr>
              <w:t>/</w:t>
            </w:r>
          </w:p>
        </w:tc>
        <w:tc>
          <w:tcPr>
            <w:tcW w:w="1134" w:type="dxa"/>
            <w:tcBorders>
              <w:tl2br w:val="nil"/>
              <w:tr2bl w:val="nil"/>
            </w:tcBorders>
            <w:vAlign w:val="center"/>
          </w:tcPr>
          <w:p>
            <w:pPr>
              <w:pStyle w:val="17"/>
              <w:bidi w:val="0"/>
              <w:rPr>
                <w:rFonts w:hint="default" w:eastAsia="宋体"/>
                <w:lang w:val="en-US" w:eastAsia="zh-CN"/>
              </w:rPr>
            </w:pPr>
            <w:r>
              <w:rPr>
                <w:rFonts w:hint="eastAsia"/>
                <w:lang w:val="en-US" w:eastAsia="zh-CN"/>
              </w:rPr>
              <w:t>21.36</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continue"/>
            <w:tcBorders>
              <w:tl2br w:val="nil"/>
              <w:tr2bl w:val="nil"/>
            </w:tcBorders>
            <w:vAlign w:val="center"/>
          </w:tcPr>
          <w:p>
            <w:pPr>
              <w:pStyle w:val="17"/>
              <w:bidi w:val="0"/>
              <w:rPr>
                <w:rFonts w:hint="default"/>
              </w:rPr>
            </w:pPr>
          </w:p>
        </w:tc>
        <w:tc>
          <w:tcPr>
            <w:tcW w:w="3708" w:type="dxa"/>
            <w:tcBorders>
              <w:tl2br w:val="nil"/>
              <w:tr2bl w:val="nil"/>
            </w:tcBorders>
            <w:vAlign w:val="center"/>
          </w:tcPr>
          <w:p>
            <w:pPr>
              <w:pStyle w:val="17"/>
              <w:bidi w:val="0"/>
              <w:rPr>
                <w:rFonts w:hint="default"/>
              </w:rPr>
            </w:pPr>
            <w:r>
              <w:rPr>
                <w:rFonts w:hint="default"/>
              </w:rPr>
              <w:t>干化填埋</w:t>
            </w:r>
          </w:p>
        </w:tc>
        <w:tc>
          <w:tcPr>
            <w:tcW w:w="1704" w:type="dxa"/>
            <w:tcBorders>
              <w:tl2br w:val="nil"/>
              <w:tr2bl w:val="nil"/>
            </w:tcBorders>
            <w:vAlign w:val="center"/>
          </w:tcPr>
          <w:p>
            <w:pPr>
              <w:pStyle w:val="17"/>
              <w:bidi w:val="0"/>
              <w:rPr>
                <w:rFonts w:hint="default"/>
              </w:rPr>
            </w:pPr>
            <w:r>
              <w:rPr>
                <w:rFonts w:hint="eastAsia"/>
                <w:lang w:val="en-US" w:eastAsia="zh-CN"/>
              </w:rPr>
              <w:t>沉淀池和污水处理设施</w:t>
            </w:r>
            <w:r>
              <w:rPr>
                <w:rFonts w:hint="default"/>
              </w:rPr>
              <w:t>污泥</w:t>
            </w:r>
          </w:p>
        </w:tc>
        <w:tc>
          <w:tcPr>
            <w:tcW w:w="1246" w:type="dxa"/>
            <w:tcBorders>
              <w:tl2br w:val="nil"/>
              <w:tr2bl w:val="nil"/>
            </w:tcBorders>
            <w:vAlign w:val="center"/>
          </w:tcPr>
          <w:p>
            <w:pPr>
              <w:pStyle w:val="17"/>
              <w:bidi w:val="0"/>
              <w:rPr>
                <w:rFonts w:hint="default"/>
              </w:rPr>
            </w:pPr>
            <w:r>
              <w:rPr>
                <w:rFonts w:hint="default"/>
              </w:rPr>
              <w:t>/</w:t>
            </w:r>
          </w:p>
        </w:tc>
        <w:tc>
          <w:tcPr>
            <w:tcW w:w="1134" w:type="dxa"/>
            <w:tcBorders>
              <w:tl2br w:val="nil"/>
              <w:tr2bl w:val="nil"/>
            </w:tcBorders>
            <w:vAlign w:val="center"/>
          </w:tcPr>
          <w:p>
            <w:pPr>
              <w:pStyle w:val="17"/>
              <w:bidi w:val="0"/>
              <w:rPr>
                <w:rFonts w:hint="default"/>
                <w:lang w:val="en-US" w:eastAsia="zh-CN"/>
              </w:rPr>
            </w:pPr>
            <w:r>
              <w:rPr>
                <w:rFonts w:hint="eastAsia"/>
                <w:lang w:val="en-US" w:eastAsia="zh-CN"/>
              </w:rPr>
              <w:t>190</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continue"/>
            <w:tcBorders>
              <w:tl2br w:val="nil"/>
              <w:tr2bl w:val="nil"/>
            </w:tcBorders>
            <w:vAlign w:val="center"/>
          </w:tcPr>
          <w:p>
            <w:pPr>
              <w:pStyle w:val="17"/>
              <w:bidi w:val="0"/>
              <w:rPr>
                <w:rFonts w:hint="default"/>
              </w:rPr>
            </w:pPr>
          </w:p>
        </w:tc>
        <w:tc>
          <w:tcPr>
            <w:tcW w:w="3708" w:type="dxa"/>
            <w:tcBorders>
              <w:tl2br w:val="nil"/>
              <w:tr2bl w:val="nil"/>
            </w:tcBorders>
            <w:vAlign w:val="center"/>
          </w:tcPr>
          <w:p>
            <w:pPr>
              <w:pStyle w:val="17"/>
              <w:bidi w:val="0"/>
              <w:rPr>
                <w:rFonts w:hint="default"/>
                <w:lang w:val="en-US" w:eastAsia="zh-CN"/>
              </w:rPr>
            </w:pPr>
            <w:r>
              <w:rPr>
                <w:rFonts w:hint="eastAsia"/>
                <w:lang w:val="en-US" w:eastAsia="zh-CN"/>
              </w:rPr>
              <w:t>环卫部门定期抽运干化后卫生填埋</w:t>
            </w:r>
          </w:p>
        </w:tc>
        <w:tc>
          <w:tcPr>
            <w:tcW w:w="1704" w:type="dxa"/>
            <w:tcBorders>
              <w:tl2br w:val="nil"/>
              <w:tr2bl w:val="nil"/>
            </w:tcBorders>
            <w:vAlign w:val="center"/>
          </w:tcPr>
          <w:p>
            <w:pPr>
              <w:pStyle w:val="17"/>
              <w:bidi w:val="0"/>
              <w:rPr>
                <w:rFonts w:hint="default"/>
                <w:lang w:val="en-US" w:eastAsia="zh-CN"/>
              </w:rPr>
            </w:pPr>
            <w:r>
              <w:rPr>
                <w:rFonts w:hint="eastAsia"/>
                <w:lang w:val="en-US" w:eastAsia="zh-CN"/>
              </w:rPr>
              <w:t>化粪池污泥</w:t>
            </w:r>
          </w:p>
        </w:tc>
        <w:tc>
          <w:tcPr>
            <w:tcW w:w="1246" w:type="dxa"/>
            <w:tcBorders>
              <w:tl2br w:val="nil"/>
              <w:tr2bl w:val="nil"/>
            </w:tcBorders>
            <w:vAlign w:val="center"/>
          </w:tcPr>
          <w:p>
            <w:pPr>
              <w:pStyle w:val="17"/>
              <w:bidi w:val="0"/>
              <w:rPr>
                <w:rFonts w:hint="eastAsia"/>
                <w:lang w:val="en-US" w:eastAsia="zh-CN"/>
              </w:rPr>
            </w:pPr>
            <w:r>
              <w:rPr>
                <w:rFonts w:hint="eastAsia"/>
                <w:lang w:val="en-US" w:eastAsia="zh-CN"/>
              </w:rPr>
              <w:t>/</w:t>
            </w:r>
          </w:p>
        </w:tc>
        <w:tc>
          <w:tcPr>
            <w:tcW w:w="1134" w:type="dxa"/>
            <w:tcBorders>
              <w:tl2br w:val="nil"/>
              <w:tr2bl w:val="nil"/>
            </w:tcBorders>
            <w:vAlign w:val="center"/>
          </w:tcPr>
          <w:p>
            <w:pPr>
              <w:pStyle w:val="17"/>
              <w:bidi w:val="0"/>
              <w:rPr>
                <w:rFonts w:hint="default"/>
                <w:lang w:val="en-US" w:eastAsia="zh-CN"/>
              </w:rPr>
            </w:pPr>
            <w:r>
              <w:rPr>
                <w:rFonts w:hint="eastAsia"/>
                <w:lang w:val="en-US" w:eastAsia="zh-CN"/>
              </w:rPr>
              <w:t>5</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continue"/>
            <w:tcBorders>
              <w:tl2br w:val="nil"/>
              <w:tr2bl w:val="nil"/>
            </w:tcBorders>
            <w:vAlign w:val="center"/>
          </w:tcPr>
          <w:p>
            <w:pPr>
              <w:pStyle w:val="17"/>
              <w:bidi w:val="0"/>
              <w:rPr>
                <w:rFonts w:hint="default"/>
              </w:rPr>
            </w:pPr>
          </w:p>
        </w:tc>
        <w:tc>
          <w:tcPr>
            <w:tcW w:w="3708" w:type="dxa"/>
            <w:tcBorders>
              <w:tl2br w:val="nil"/>
              <w:tr2bl w:val="nil"/>
            </w:tcBorders>
            <w:vAlign w:val="center"/>
          </w:tcPr>
          <w:p>
            <w:pPr>
              <w:pStyle w:val="17"/>
              <w:bidi w:val="0"/>
              <w:rPr>
                <w:rFonts w:hint="default"/>
              </w:rPr>
            </w:pPr>
            <w:r>
              <w:rPr>
                <w:rFonts w:hint="default"/>
              </w:rPr>
              <w:t>由厂家回收</w:t>
            </w:r>
          </w:p>
        </w:tc>
        <w:tc>
          <w:tcPr>
            <w:tcW w:w="1704" w:type="dxa"/>
            <w:tcBorders>
              <w:tl2br w:val="nil"/>
              <w:tr2bl w:val="nil"/>
            </w:tcBorders>
            <w:vAlign w:val="center"/>
          </w:tcPr>
          <w:p>
            <w:pPr>
              <w:pStyle w:val="17"/>
              <w:bidi w:val="0"/>
              <w:rPr>
                <w:rFonts w:hint="default"/>
              </w:rPr>
            </w:pPr>
            <w:r>
              <w:rPr>
                <w:rFonts w:hint="default"/>
              </w:rPr>
              <w:t>废过滤网</w:t>
            </w:r>
          </w:p>
        </w:tc>
        <w:tc>
          <w:tcPr>
            <w:tcW w:w="1246" w:type="dxa"/>
            <w:tcBorders>
              <w:tl2br w:val="nil"/>
              <w:tr2bl w:val="nil"/>
            </w:tcBorders>
            <w:vAlign w:val="center"/>
          </w:tcPr>
          <w:p>
            <w:pPr>
              <w:pStyle w:val="17"/>
              <w:bidi w:val="0"/>
              <w:rPr>
                <w:rFonts w:hint="default"/>
              </w:rPr>
            </w:pPr>
          </w:p>
        </w:tc>
        <w:tc>
          <w:tcPr>
            <w:tcW w:w="1134" w:type="dxa"/>
            <w:tcBorders>
              <w:tl2br w:val="nil"/>
              <w:tr2bl w:val="nil"/>
            </w:tcBorders>
            <w:vAlign w:val="center"/>
          </w:tcPr>
          <w:p>
            <w:pPr>
              <w:pStyle w:val="17"/>
              <w:bidi w:val="0"/>
              <w:rPr>
                <w:rFonts w:hint="default"/>
                <w:lang w:val="en-US" w:eastAsia="zh-CN"/>
              </w:rPr>
            </w:pPr>
            <w:r>
              <w:rPr>
                <w:rFonts w:hint="eastAsia"/>
                <w:lang w:val="en-US" w:eastAsia="zh-CN"/>
              </w:rPr>
              <w:t>0.18</w:t>
            </w:r>
          </w:p>
        </w:tc>
        <w:tc>
          <w:tcPr>
            <w:tcW w:w="1162" w:type="dxa"/>
            <w:tcBorders>
              <w:tl2br w:val="nil"/>
              <w:tr2bl w:val="nil"/>
            </w:tcBorders>
            <w:vAlign w:val="center"/>
          </w:tcPr>
          <w:p>
            <w:pPr>
              <w:pStyle w:val="17"/>
              <w:bidi w:val="0"/>
              <w:rPr>
                <w:rFonts w:hint="default"/>
              </w:rPr>
            </w:pP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continue"/>
            <w:tcBorders>
              <w:tl2br w:val="nil"/>
              <w:tr2bl w:val="nil"/>
            </w:tcBorders>
            <w:vAlign w:val="center"/>
          </w:tcPr>
          <w:p>
            <w:pPr>
              <w:pStyle w:val="17"/>
              <w:bidi w:val="0"/>
              <w:rPr>
                <w:rFonts w:hint="default"/>
              </w:rPr>
            </w:pPr>
          </w:p>
        </w:tc>
        <w:tc>
          <w:tcPr>
            <w:tcW w:w="3708" w:type="dxa"/>
            <w:tcBorders>
              <w:tl2br w:val="nil"/>
              <w:tr2bl w:val="nil"/>
            </w:tcBorders>
            <w:vAlign w:val="center"/>
          </w:tcPr>
          <w:p>
            <w:pPr>
              <w:pStyle w:val="17"/>
              <w:bidi w:val="0"/>
              <w:rPr>
                <w:rFonts w:hint="default"/>
              </w:rPr>
            </w:pPr>
            <w:r>
              <w:rPr>
                <w:rFonts w:hint="default"/>
              </w:rPr>
              <w:t>统一收集后由环卫部门统一处理</w:t>
            </w:r>
          </w:p>
        </w:tc>
        <w:tc>
          <w:tcPr>
            <w:tcW w:w="1704" w:type="dxa"/>
            <w:tcBorders>
              <w:tl2br w:val="nil"/>
              <w:tr2bl w:val="nil"/>
            </w:tcBorders>
            <w:vAlign w:val="center"/>
          </w:tcPr>
          <w:p>
            <w:pPr>
              <w:pStyle w:val="17"/>
              <w:bidi w:val="0"/>
              <w:rPr>
                <w:rFonts w:hint="default"/>
              </w:rPr>
            </w:pPr>
            <w:r>
              <w:rPr>
                <w:rFonts w:hint="default"/>
              </w:rPr>
              <w:t>生活垃圾</w:t>
            </w:r>
          </w:p>
        </w:tc>
        <w:tc>
          <w:tcPr>
            <w:tcW w:w="1246" w:type="dxa"/>
            <w:tcBorders>
              <w:tl2br w:val="nil"/>
              <w:tr2bl w:val="nil"/>
            </w:tcBorders>
            <w:vAlign w:val="center"/>
          </w:tcPr>
          <w:p>
            <w:pPr>
              <w:pStyle w:val="17"/>
              <w:bidi w:val="0"/>
              <w:rPr>
                <w:rFonts w:hint="default"/>
              </w:rPr>
            </w:pPr>
            <w:r>
              <w:rPr>
                <w:rFonts w:hint="default"/>
              </w:rPr>
              <w:t>/</w:t>
            </w:r>
          </w:p>
        </w:tc>
        <w:tc>
          <w:tcPr>
            <w:tcW w:w="1134" w:type="dxa"/>
            <w:tcBorders>
              <w:tl2br w:val="nil"/>
              <w:tr2bl w:val="nil"/>
            </w:tcBorders>
            <w:vAlign w:val="center"/>
          </w:tcPr>
          <w:p>
            <w:pPr>
              <w:pStyle w:val="17"/>
              <w:bidi w:val="0"/>
              <w:rPr>
                <w:rFonts w:hint="default"/>
                <w:lang w:val="en-US" w:eastAsia="zh-CN"/>
              </w:rPr>
            </w:pPr>
            <w:r>
              <w:rPr>
                <w:rFonts w:hint="eastAsia"/>
                <w:lang w:val="en-US" w:eastAsia="zh-CN"/>
              </w:rPr>
              <w:t>13.86</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tcBorders>
              <w:tl2br w:val="nil"/>
              <w:tr2bl w:val="nil"/>
            </w:tcBorders>
            <w:vAlign w:val="center"/>
          </w:tcPr>
          <w:p>
            <w:pPr>
              <w:pStyle w:val="17"/>
              <w:bidi w:val="0"/>
              <w:rPr>
                <w:rFonts w:hint="default"/>
              </w:rPr>
            </w:pPr>
            <w:r>
              <w:rPr>
                <w:rFonts w:hint="default"/>
              </w:rPr>
              <w:t>《生活垃圾填埋场污染控制标准》（GB16889-2008）中的相关要求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continue"/>
            <w:tcBorders>
              <w:tl2br w:val="nil"/>
              <w:tr2bl w:val="nil"/>
            </w:tcBorders>
            <w:vAlign w:val="center"/>
          </w:tcPr>
          <w:p>
            <w:pPr>
              <w:pStyle w:val="17"/>
              <w:bidi w:val="0"/>
              <w:rPr>
                <w:rFonts w:hint="default"/>
              </w:rPr>
            </w:pPr>
          </w:p>
        </w:tc>
        <w:tc>
          <w:tcPr>
            <w:tcW w:w="3708" w:type="dxa"/>
            <w:vMerge w:val="restart"/>
            <w:tcBorders>
              <w:tl2br w:val="nil"/>
              <w:tr2bl w:val="nil"/>
            </w:tcBorders>
            <w:vAlign w:val="center"/>
          </w:tcPr>
          <w:p>
            <w:pPr>
              <w:pStyle w:val="17"/>
              <w:bidi w:val="0"/>
              <w:rPr>
                <w:rFonts w:hint="default"/>
                <w:lang w:val="en-US" w:eastAsia="zh-CN"/>
              </w:rPr>
            </w:pPr>
            <w:r>
              <w:rPr>
                <w:rFonts w:hint="eastAsia"/>
                <w:lang w:val="en-US" w:eastAsia="zh-CN"/>
              </w:rPr>
              <w:t>危险废物暂存间暂存，交由具有处理资质的单位处置</w:t>
            </w:r>
          </w:p>
        </w:tc>
        <w:tc>
          <w:tcPr>
            <w:tcW w:w="1704" w:type="dxa"/>
            <w:tcBorders>
              <w:tl2br w:val="nil"/>
              <w:tr2bl w:val="nil"/>
            </w:tcBorders>
            <w:vAlign w:val="center"/>
          </w:tcPr>
          <w:p>
            <w:pPr>
              <w:pStyle w:val="17"/>
              <w:bidi w:val="0"/>
              <w:rPr>
                <w:rFonts w:hint="default"/>
                <w:lang w:val="en-US" w:eastAsia="zh-CN"/>
              </w:rPr>
            </w:pPr>
            <w:r>
              <w:rPr>
                <w:rFonts w:hint="eastAsia"/>
                <w:lang w:val="en-US" w:eastAsia="zh-CN"/>
              </w:rPr>
              <w:t>等离子光氧一体化产生废灯管</w:t>
            </w:r>
          </w:p>
        </w:tc>
        <w:tc>
          <w:tcPr>
            <w:tcW w:w="1246" w:type="dxa"/>
            <w:tcBorders>
              <w:tl2br w:val="nil"/>
              <w:tr2bl w:val="nil"/>
            </w:tcBorders>
            <w:vAlign w:val="center"/>
          </w:tcPr>
          <w:p>
            <w:pPr>
              <w:pStyle w:val="17"/>
              <w:bidi w:val="0"/>
              <w:rPr>
                <w:rFonts w:hint="default"/>
              </w:rPr>
            </w:pPr>
          </w:p>
        </w:tc>
        <w:tc>
          <w:tcPr>
            <w:tcW w:w="1134" w:type="dxa"/>
            <w:tcBorders>
              <w:tl2br w:val="nil"/>
              <w:tr2bl w:val="nil"/>
            </w:tcBorders>
            <w:vAlign w:val="center"/>
          </w:tcPr>
          <w:p>
            <w:pPr>
              <w:pStyle w:val="17"/>
              <w:bidi w:val="0"/>
              <w:rPr>
                <w:rFonts w:hint="default"/>
                <w:lang w:val="en-US" w:eastAsia="zh-CN"/>
              </w:rPr>
            </w:pPr>
            <w:r>
              <w:rPr>
                <w:rFonts w:hint="eastAsia"/>
                <w:lang w:val="en-US" w:eastAsia="zh-CN"/>
              </w:rPr>
              <w:t>0.015</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vMerge w:val="restart"/>
            <w:tcBorders>
              <w:tl2br w:val="nil"/>
              <w:tr2bl w:val="nil"/>
            </w:tcBorders>
            <w:vAlign w:val="center"/>
          </w:tcPr>
          <w:p>
            <w:pPr>
              <w:pStyle w:val="17"/>
              <w:bidi w:val="0"/>
              <w:rPr>
                <w:rFonts w:hint="default"/>
              </w:rPr>
            </w:pPr>
            <w:r>
              <w:rPr>
                <w:rFonts w:hint="default"/>
              </w:rPr>
              <w:t>《危险废物贮存污染控制标准》（GB18597-2001）及其修改单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continue"/>
            <w:tcBorders>
              <w:tl2br w:val="nil"/>
              <w:tr2bl w:val="nil"/>
            </w:tcBorders>
            <w:vAlign w:val="center"/>
          </w:tcPr>
          <w:p>
            <w:pPr>
              <w:pStyle w:val="17"/>
              <w:bidi w:val="0"/>
              <w:rPr>
                <w:rFonts w:hint="default"/>
              </w:rPr>
            </w:pPr>
          </w:p>
        </w:tc>
        <w:tc>
          <w:tcPr>
            <w:tcW w:w="3708" w:type="dxa"/>
            <w:vMerge w:val="continue"/>
            <w:tcBorders>
              <w:tl2br w:val="nil"/>
              <w:tr2bl w:val="nil"/>
            </w:tcBorders>
            <w:vAlign w:val="center"/>
          </w:tcPr>
          <w:p>
            <w:pPr>
              <w:pStyle w:val="17"/>
              <w:bidi w:val="0"/>
              <w:rPr>
                <w:rFonts w:hint="default"/>
                <w:lang w:val="en-US" w:eastAsia="zh-CN"/>
              </w:rPr>
            </w:pPr>
          </w:p>
        </w:tc>
        <w:tc>
          <w:tcPr>
            <w:tcW w:w="1704" w:type="dxa"/>
            <w:tcBorders>
              <w:tl2br w:val="nil"/>
              <w:tr2bl w:val="nil"/>
            </w:tcBorders>
            <w:vAlign w:val="center"/>
          </w:tcPr>
          <w:p>
            <w:pPr>
              <w:pStyle w:val="17"/>
              <w:bidi w:val="0"/>
              <w:rPr>
                <w:rFonts w:hint="default"/>
                <w:lang w:val="en-US" w:eastAsia="zh-CN"/>
              </w:rPr>
            </w:pPr>
            <w:r>
              <w:rPr>
                <w:rFonts w:hint="eastAsia"/>
                <w:lang w:val="en-US" w:eastAsia="zh-CN"/>
              </w:rPr>
              <w:t>活性炭吸附装置产生废活性炭</w:t>
            </w:r>
          </w:p>
        </w:tc>
        <w:tc>
          <w:tcPr>
            <w:tcW w:w="1246" w:type="dxa"/>
            <w:tcBorders>
              <w:tl2br w:val="nil"/>
              <w:tr2bl w:val="nil"/>
            </w:tcBorders>
            <w:vAlign w:val="center"/>
          </w:tcPr>
          <w:p>
            <w:pPr>
              <w:pStyle w:val="17"/>
              <w:bidi w:val="0"/>
              <w:rPr>
                <w:rFonts w:hint="default"/>
              </w:rPr>
            </w:pPr>
          </w:p>
        </w:tc>
        <w:tc>
          <w:tcPr>
            <w:tcW w:w="1134" w:type="dxa"/>
            <w:tcBorders>
              <w:tl2br w:val="nil"/>
              <w:tr2bl w:val="nil"/>
            </w:tcBorders>
            <w:vAlign w:val="center"/>
          </w:tcPr>
          <w:p>
            <w:pPr>
              <w:pStyle w:val="17"/>
              <w:bidi w:val="0"/>
              <w:rPr>
                <w:rFonts w:hint="default"/>
                <w:lang w:val="en-US" w:eastAsia="zh-CN"/>
              </w:rPr>
            </w:pPr>
            <w:r>
              <w:rPr>
                <w:rFonts w:hint="eastAsia"/>
                <w:lang w:val="en-US" w:eastAsia="zh-CN"/>
              </w:rPr>
              <w:t>7.2</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6" w:type="dxa"/>
            <w:vMerge w:val="continue"/>
            <w:tcBorders>
              <w:tl2br w:val="nil"/>
              <w:tr2bl w:val="nil"/>
            </w:tcBorders>
            <w:vAlign w:val="center"/>
          </w:tcPr>
          <w:p>
            <w:pPr>
              <w:pStyle w:val="17"/>
              <w:bidi w:val="0"/>
              <w:rPr>
                <w:rFonts w:hint="default"/>
              </w:rPr>
            </w:pPr>
          </w:p>
        </w:tc>
        <w:tc>
          <w:tcPr>
            <w:tcW w:w="3708" w:type="dxa"/>
            <w:vMerge w:val="continue"/>
            <w:tcBorders>
              <w:tl2br w:val="nil"/>
              <w:tr2bl w:val="nil"/>
            </w:tcBorders>
            <w:vAlign w:val="center"/>
          </w:tcPr>
          <w:p>
            <w:pPr>
              <w:pStyle w:val="17"/>
              <w:bidi w:val="0"/>
              <w:rPr>
                <w:rFonts w:hint="default"/>
              </w:rPr>
            </w:pPr>
          </w:p>
        </w:tc>
        <w:tc>
          <w:tcPr>
            <w:tcW w:w="1704" w:type="dxa"/>
            <w:tcBorders>
              <w:tl2br w:val="nil"/>
              <w:tr2bl w:val="nil"/>
            </w:tcBorders>
            <w:vAlign w:val="center"/>
          </w:tcPr>
          <w:p>
            <w:pPr>
              <w:pStyle w:val="17"/>
              <w:bidi w:val="0"/>
              <w:rPr>
                <w:rFonts w:hint="default"/>
                <w:lang w:val="en-US" w:eastAsia="zh-CN"/>
              </w:rPr>
            </w:pPr>
            <w:r>
              <w:rPr>
                <w:rFonts w:hint="eastAsia"/>
                <w:lang w:val="en-US" w:eastAsia="zh-CN"/>
              </w:rPr>
              <w:t>维养护产生的废机油</w:t>
            </w:r>
          </w:p>
        </w:tc>
        <w:tc>
          <w:tcPr>
            <w:tcW w:w="1246" w:type="dxa"/>
            <w:tcBorders>
              <w:tl2br w:val="nil"/>
              <w:tr2bl w:val="nil"/>
            </w:tcBorders>
            <w:vAlign w:val="center"/>
          </w:tcPr>
          <w:p>
            <w:pPr>
              <w:pStyle w:val="17"/>
              <w:bidi w:val="0"/>
              <w:rPr>
                <w:rFonts w:hint="default"/>
              </w:rPr>
            </w:pPr>
          </w:p>
        </w:tc>
        <w:tc>
          <w:tcPr>
            <w:tcW w:w="1134" w:type="dxa"/>
            <w:tcBorders>
              <w:tl2br w:val="nil"/>
              <w:tr2bl w:val="nil"/>
            </w:tcBorders>
            <w:vAlign w:val="center"/>
          </w:tcPr>
          <w:p>
            <w:pPr>
              <w:pStyle w:val="17"/>
              <w:bidi w:val="0"/>
              <w:rPr>
                <w:rFonts w:hint="default"/>
                <w:lang w:val="en-US" w:eastAsia="zh-CN"/>
              </w:rPr>
            </w:pPr>
            <w:r>
              <w:rPr>
                <w:rFonts w:hint="eastAsia"/>
                <w:lang w:val="en-US" w:eastAsia="zh-CN"/>
              </w:rPr>
              <w:t>0.2</w:t>
            </w:r>
          </w:p>
        </w:tc>
        <w:tc>
          <w:tcPr>
            <w:tcW w:w="1162" w:type="dxa"/>
            <w:tcBorders>
              <w:tl2br w:val="nil"/>
              <w:tr2bl w:val="nil"/>
            </w:tcBorders>
            <w:vAlign w:val="center"/>
          </w:tcPr>
          <w:p>
            <w:pPr>
              <w:pStyle w:val="17"/>
              <w:bidi w:val="0"/>
              <w:rPr>
                <w:rFonts w:hint="default"/>
              </w:rPr>
            </w:pPr>
            <w:r>
              <w:rPr>
                <w:rFonts w:hint="default"/>
              </w:rPr>
              <w:t>/</w:t>
            </w:r>
          </w:p>
        </w:tc>
        <w:tc>
          <w:tcPr>
            <w:tcW w:w="1428" w:type="dxa"/>
            <w:tcBorders>
              <w:tl2br w:val="nil"/>
              <w:tr2bl w:val="nil"/>
            </w:tcBorders>
            <w:vAlign w:val="center"/>
          </w:tcPr>
          <w:p>
            <w:pPr>
              <w:pStyle w:val="17"/>
              <w:bidi w:val="0"/>
              <w:rPr>
                <w:rFonts w:hint="default"/>
              </w:rPr>
            </w:pPr>
            <w:r>
              <w:rPr>
                <w:rFonts w:hint="default"/>
              </w:rPr>
              <w:t>无特殊要求</w:t>
            </w:r>
          </w:p>
        </w:tc>
        <w:tc>
          <w:tcPr>
            <w:tcW w:w="3106" w:type="dxa"/>
            <w:vMerge w:val="continue"/>
            <w:tcBorders>
              <w:tl2br w:val="nil"/>
              <w:tr2bl w:val="nil"/>
            </w:tcBorders>
            <w:vAlign w:val="center"/>
          </w:tcPr>
          <w:p>
            <w:pPr>
              <w:pStyle w:val="17"/>
              <w:bidi w:val="0"/>
              <w:rPr>
                <w:rFonts w:hint="default"/>
              </w:rPr>
            </w:pPr>
          </w:p>
        </w:tc>
      </w:tr>
    </w:tbl>
    <w:p>
      <w:pPr>
        <w:bidi w:val="0"/>
        <w:rPr>
          <w:rFonts w:hint="default"/>
        </w:rPr>
      </w:pPr>
    </w:p>
    <w:p>
      <w:pPr>
        <w:bidi w:val="0"/>
        <w:rPr>
          <w:rFonts w:hint="default"/>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linePitch="312" w:charSpace="0"/>
        </w:sectPr>
      </w:pPr>
    </w:p>
    <w:p>
      <w:pPr>
        <w:pStyle w:val="5"/>
        <w:bidi w:val="0"/>
        <w:rPr>
          <w:rFonts w:hint="default"/>
        </w:rPr>
      </w:pPr>
      <w:bookmarkStart w:id="399" w:name="_Toc30382"/>
      <w:bookmarkStart w:id="400" w:name="_Toc22542_WPSOffice_Level3"/>
      <w:r>
        <w:rPr>
          <w:rFonts w:hint="default"/>
        </w:rPr>
        <w:t>9.2.2</w:t>
      </w:r>
      <w:r>
        <w:rPr>
          <w:rFonts w:hint="eastAsia"/>
          <w:lang w:eastAsia="zh-CN"/>
        </w:rPr>
        <w:t>、</w:t>
      </w:r>
      <w:r>
        <w:rPr>
          <w:rFonts w:hint="default"/>
        </w:rPr>
        <w:t>环境管理要求</w:t>
      </w:r>
      <w:bookmarkEnd w:id="399"/>
      <w:bookmarkEnd w:id="400"/>
    </w:p>
    <w:p>
      <w:pPr>
        <w:pStyle w:val="6"/>
        <w:bidi w:val="0"/>
        <w:rPr>
          <w:rFonts w:hint="default"/>
        </w:rPr>
      </w:pPr>
      <w:r>
        <w:rPr>
          <w:rFonts w:hint="default"/>
        </w:rPr>
        <w:t>9.2.2.1</w:t>
      </w:r>
      <w:r>
        <w:rPr>
          <w:rFonts w:hint="eastAsia"/>
          <w:lang w:eastAsia="zh-CN"/>
        </w:rPr>
        <w:t>、</w:t>
      </w:r>
      <w:r>
        <w:rPr>
          <w:rFonts w:hint="default"/>
        </w:rPr>
        <w:t>工程组成及原辅材料组分要求</w:t>
      </w:r>
    </w:p>
    <w:p>
      <w:pPr>
        <w:bidi w:val="0"/>
        <w:rPr>
          <w:rFonts w:hint="default"/>
        </w:rPr>
      </w:pPr>
      <w:r>
        <w:rPr>
          <w:rFonts w:hint="default"/>
        </w:rPr>
        <w:t>工程组成包括主体工程、储运工程、辅助工程、公用工程以及环保工程，环保工程必须与主体工程同时设计、同时施工、同时投入使用，环保设施应严格按照本评价及相关环保要求进行设计和建设。</w:t>
      </w:r>
    </w:p>
    <w:p>
      <w:pPr>
        <w:bidi w:val="0"/>
        <w:rPr>
          <w:rFonts w:hint="default"/>
        </w:rPr>
      </w:pPr>
      <w:r>
        <w:rPr>
          <w:rFonts w:hint="default"/>
        </w:rPr>
        <w:t>本项目所用原辅材料包括废旧滴灌带、PE颗粒（新料）、色母、抗老化剂。其中废塑料所占比例达</w:t>
      </w:r>
      <w:r>
        <w:rPr>
          <w:rFonts w:hint="eastAsia"/>
          <w:lang w:val="en-US" w:eastAsia="zh-CN"/>
        </w:rPr>
        <w:t>95.87</w:t>
      </w:r>
      <w:r>
        <w:rPr>
          <w:rFonts w:hint="default"/>
        </w:rPr>
        <w:t>%。废塑料主要自周边农户处收购，PE颗粒、色母及抗老化剂主要自乌鲁木齐市采购。废塑料的回收按原料树脂种类进行分类，并严格区分废塑料来源和原用途，不回收属于医疗废物和危险废物的废塑料，也不涉及含卤素废塑料的回收，符合《废塑料回收与再生利用污染控制技术规范（试行）》（HJ/T364-2007）中的相关要求。</w:t>
      </w:r>
    </w:p>
    <w:p>
      <w:pPr>
        <w:pStyle w:val="6"/>
        <w:bidi w:val="0"/>
        <w:rPr>
          <w:rFonts w:hint="default"/>
        </w:rPr>
      </w:pPr>
      <w:r>
        <w:rPr>
          <w:rFonts w:hint="default"/>
        </w:rPr>
        <w:t>9.2.2.2</w:t>
      </w:r>
      <w:r>
        <w:rPr>
          <w:rFonts w:hint="eastAsia"/>
          <w:lang w:eastAsia="zh-CN"/>
        </w:rPr>
        <w:t>、</w:t>
      </w:r>
      <w:r>
        <w:rPr>
          <w:rFonts w:hint="default"/>
        </w:rPr>
        <w:t>排污口管理</w:t>
      </w:r>
    </w:p>
    <w:p>
      <w:pPr>
        <w:bidi w:val="0"/>
        <w:rPr>
          <w:rFonts w:hint="default"/>
        </w:rPr>
      </w:pPr>
      <w:r>
        <w:rPr>
          <w:rFonts w:hint="default"/>
        </w:rPr>
        <w:t>本项目厂区内各排污口按照环境管理要求，必须进行规范化建设，厂区废水排放源、废气排放源、噪声排放源均设立规范的环境保护图形标志，按照《环境保护图形标志——排放口（源）》（GB15562.1-1995）执行，以利于企业管理和公众监督。</w:t>
      </w:r>
    </w:p>
    <w:p>
      <w:pPr>
        <w:bidi w:val="0"/>
        <w:rPr>
          <w:rFonts w:hint="default"/>
        </w:rPr>
      </w:pPr>
      <w:r>
        <w:rPr>
          <w:rFonts w:hint="default"/>
        </w:rPr>
        <w:t>环境保护图形标志详见表9.2-2。</w:t>
      </w:r>
    </w:p>
    <w:p>
      <w:pPr>
        <w:pStyle w:val="17"/>
        <w:bidi w:val="0"/>
        <w:rPr>
          <w:rFonts w:hint="default"/>
          <w:b/>
          <w:bCs/>
        </w:rPr>
      </w:pPr>
      <w:bookmarkStart w:id="401" w:name="_Ref975"/>
      <w:r>
        <w:rPr>
          <w:rFonts w:hint="default"/>
          <w:b/>
          <w:bCs/>
        </w:rPr>
        <w:t xml:space="preserve">表9.2-2  </w:t>
      </w:r>
      <w:r>
        <w:rPr>
          <w:rFonts w:hint="eastAsia"/>
          <w:b/>
          <w:bCs/>
          <w:lang w:val="en-US" w:eastAsia="zh-CN"/>
        </w:rPr>
        <w:t xml:space="preserve"> </w:t>
      </w:r>
      <w:r>
        <w:rPr>
          <w:rFonts w:hint="default"/>
          <w:b/>
          <w:bCs/>
        </w:rPr>
        <w:t>环境保护图形标志</w:t>
      </w:r>
      <w:bookmarkEnd w:id="401"/>
      <w:r>
        <w:rPr>
          <w:rFonts w:hint="default"/>
          <w:b/>
          <w:bCs/>
        </w:rPr>
        <w:t>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2646"/>
        <w:gridCol w:w="2476"/>
        <w:gridCol w:w="27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97" w:type="dxa"/>
            <w:tcBorders>
              <w:tl2br w:val="nil"/>
              <w:tr2bl w:val="nil"/>
            </w:tcBorders>
            <w:vAlign w:val="center"/>
          </w:tcPr>
          <w:p>
            <w:pPr>
              <w:pStyle w:val="17"/>
              <w:bidi w:val="0"/>
              <w:rPr>
                <w:rFonts w:hint="default"/>
                <w:b/>
                <w:bCs/>
              </w:rPr>
            </w:pPr>
            <w:r>
              <w:rPr>
                <w:rFonts w:hint="default"/>
                <w:b/>
                <w:bCs/>
              </w:rPr>
              <w:t>序号</w:t>
            </w:r>
          </w:p>
        </w:tc>
        <w:tc>
          <w:tcPr>
            <w:tcW w:w="2646" w:type="dxa"/>
            <w:tcBorders>
              <w:tl2br w:val="nil"/>
              <w:tr2bl w:val="nil"/>
            </w:tcBorders>
            <w:vAlign w:val="center"/>
          </w:tcPr>
          <w:p>
            <w:pPr>
              <w:pStyle w:val="17"/>
              <w:bidi w:val="0"/>
              <w:rPr>
                <w:rFonts w:hint="default"/>
                <w:b/>
                <w:bCs/>
              </w:rPr>
            </w:pPr>
            <w:r>
              <w:rPr>
                <w:rFonts w:hint="default"/>
                <w:b/>
                <w:bCs/>
              </w:rPr>
              <w:t>提示图形标志</w:t>
            </w:r>
          </w:p>
        </w:tc>
        <w:tc>
          <w:tcPr>
            <w:tcW w:w="2476" w:type="dxa"/>
            <w:tcBorders>
              <w:tl2br w:val="nil"/>
              <w:tr2bl w:val="nil"/>
            </w:tcBorders>
            <w:vAlign w:val="center"/>
          </w:tcPr>
          <w:p>
            <w:pPr>
              <w:pStyle w:val="17"/>
              <w:bidi w:val="0"/>
              <w:rPr>
                <w:rFonts w:hint="default"/>
                <w:b/>
                <w:bCs/>
              </w:rPr>
            </w:pPr>
            <w:r>
              <w:rPr>
                <w:rFonts w:hint="default"/>
                <w:b/>
                <w:bCs/>
              </w:rPr>
              <w:t>警告图形符号</w:t>
            </w:r>
          </w:p>
        </w:tc>
        <w:tc>
          <w:tcPr>
            <w:tcW w:w="2752" w:type="dxa"/>
            <w:tcBorders>
              <w:tl2br w:val="nil"/>
              <w:tr2bl w:val="nil"/>
            </w:tcBorders>
            <w:vAlign w:val="center"/>
          </w:tcPr>
          <w:p>
            <w:pPr>
              <w:pStyle w:val="17"/>
              <w:bidi w:val="0"/>
              <w:rPr>
                <w:rFonts w:hint="default"/>
                <w:b/>
                <w:bCs/>
              </w:rPr>
            </w:pPr>
            <w:r>
              <w:rPr>
                <w:rFonts w:hint="default"/>
                <w:b/>
                <w:bCs/>
              </w:rPr>
              <w:t>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97" w:type="dxa"/>
            <w:tcBorders>
              <w:tl2br w:val="nil"/>
              <w:tr2bl w:val="nil"/>
            </w:tcBorders>
            <w:vAlign w:val="center"/>
          </w:tcPr>
          <w:p>
            <w:pPr>
              <w:pStyle w:val="17"/>
              <w:bidi w:val="0"/>
              <w:rPr>
                <w:rFonts w:hint="default"/>
              </w:rPr>
            </w:pPr>
            <w:r>
              <w:rPr>
                <w:rFonts w:hint="default"/>
              </w:rPr>
              <w:t>1</w:t>
            </w:r>
          </w:p>
        </w:tc>
        <w:tc>
          <w:tcPr>
            <w:tcW w:w="2646" w:type="dxa"/>
            <w:tcBorders>
              <w:tl2br w:val="nil"/>
              <w:tr2bl w:val="nil"/>
            </w:tcBorders>
            <w:vAlign w:val="center"/>
          </w:tcPr>
          <w:p>
            <w:pPr>
              <w:pStyle w:val="17"/>
              <w:bidi w:val="0"/>
              <w:rPr>
                <w:rFonts w:hint="default"/>
              </w:rPr>
            </w:pPr>
            <w:r>
              <w:rPr>
                <w:rFonts w:hint="default"/>
              </w:rPr>
              <w:drawing>
                <wp:inline distT="0" distB="0" distL="114300" distR="114300">
                  <wp:extent cx="866775" cy="904875"/>
                  <wp:effectExtent l="0" t="0" r="9525" b="9525"/>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56" cstate="print"/>
                          <a:stretch>
                            <a:fillRect/>
                          </a:stretch>
                        </pic:blipFill>
                        <pic:spPr>
                          <a:xfrm>
                            <a:off x="0" y="0"/>
                            <a:ext cx="866775" cy="904875"/>
                          </a:xfrm>
                          <a:prstGeom prst="rect">
                            <a:avLst/>
                          </a:prstGeom>
                          <a:noFill/>
                          <a:ln>
                            <a:noFill/>
                          </a:ln>
                        </pic:spPr>
                      </pic:pic>
                    </a:graphicData>
                  </a:graphic>
                </wp:inline>
              </w:drawing>
            </w:r>
          </w:p>
        </w:tc>
        <w:tc>
          <w:tcPr>
            <w:tcW w:w="2476" w:type="dxa"/>
            <w:tcBorders>
              <w:tl2br w:val="nil"/>
              <w:tr2bl w:val="nil"/>
            </w:tcBorders>
            <w:vAlign w:val="center"/>
          </w:tcPr>
          <w:p>
            <w:pPr>
              <w:pStyle w:val="17"/>
              <w:bidi w:val="0"/>
              <w:rPr>
                <w:rFonts w:hint="default"/>
              </w:rPr>
            </w:pPr>
            <w:r>
              <w:rPr>
                <w:rFonts w:hint="default"/>
              </w:rPr>
              <w:drawing>
                <wp:inline distT="0" distB="0" distL="114300" distR="114300">
                  <wp:extent cx="923925" cy="923925"/>
                  <wp:effectExtent l="0" t="0" r="3175" b="317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57" cstate="print"/>
                          <a:stretch>
                            <a:fillRect/>
                          </a:stretch>
                        </pic:blipFill>
                        <pic:spPr>
                          <a:xfrm>
                            <a:off x="0" y="0"/>
                            <a:ext cx="923925" cy="923925"/>
                          </a:xfrm>
                          <a:prstGeom prst="rect">
                            <a:avLst/>
                          </a:prstGeom>
                          <a:noFill/>
                          <a:ln>
                            <a:noFill/>
                          </a:ln>
                        </pic:spPr>
                      </pic:pic>
                    </a:graphicData>
                  </a:graphic>
                </wp:inline>
              </w:drawing>
            </w:r>
          </w:p>
        </w:tc>
        <w:tc>
          <w:tcPr>
            <w:tcW w:w="2752" w:type="dxa"/>
            <w:tcBorders>
              <w:tl2br w:val="nil"/>
              <w:tr2bl w:val="nil"/>
            </w:tcBorders>
            <w:vAlign w:val="center"/>
          </w:tcPr>
          <w:p>
            <w:pPr>
              <w:pStyle w:val="17"/>
              <w:bidi w:val="0"/>
              <w:rPr>
                <w:rFonts w:hint="default"/>
              </w:rPr>
            </w:pPr>
            <w:r>
              <w:rPr>
                <w:rFonts w:hint="default"/>
              </w:rPr>
              <w:t>废水排放口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97" w:type="dxa"/>
            <w:tcBorders>
              <w:tl2br w:val="nil"/>
              <w:tr2bl w:val="nil"/>
            </w:tcBorders>
            <w:vAlign w:val="center"/>
          </w:tcPr>
          <w:p>
            <w:pPr>
              <w:pStyle w:val="17"/>
              <w:bidi w:val="0"/>
              <w:rPr>
                <w:rFonts w:hint="default"/>
              </w:rPr>
            </w:pPr>
            <w:r>
              <w:rPr>
                <w:rFonts w:hint="default"/>
              </w:rPr>
              <w:t>2</w:t>
            </w:r>
          </w:p>
        </w:tc>
        <w:tc>
          <w:tcPr>
            <w:tcW w:w="2646" w:type="dxa"/>
            <w:tcBorders>
              <w:tl2br w:val="nil"/>
              <w:tr2bl w:val="nil"/>
            </w:tcBorders>
            <w:vAlign w:val="center"/>
          </w:tcPr>
          <w:p>
            <w:pPr>
              <w:pStyle w:val="17"/>
              <w:bidi w:val="0"/>
              <w:rPr>
                <w:rFonts w:hint="default"/>
              </w:rPr>
            </w:pPr>
            <w:r>
              <w:rPr>
                <w:rFonts w:hint="default"/>
              </w:rPr>
              <w:drawing>
                <wp:inline distT="0" distB="0" distL="114300" distR="114300">
                  <wp:extent cx="923925" cy="866775"/>
                  <wp:effectExtent l="0" t="0" r="317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58" cstate="print"/>
                          <a:stretch>
                            <a:fillRect/>
                          </a:stretch>
                        </pic:blipFill>
                        <pic:spPr>
                          <a:xfrm>
                            <a:off x="0" y="0"/>
                            <a:ext cx="923925" cy="866775"/>
                          </a:xfrm>
                          <a:prstGeom prst="rect">
                            <a:avLst/>
                          </a:prstGeom>
                          <a:noFill/>
                          <a:ln>
                            <a:noFill/>
                          </a:ln>
                        </pic:spPr>
                      </pic:pic>
                    </a:graphicData>
                  </a:graphic>
                </wp:inline>
              </w:drawing>
            </w:r>
          </w:p>
        </w:tc>
        <w:tc>
          <w:tcPr>
            <w:tcW w:w="2476" w:type="dxa"/>
            <w:tcBorders>
              <w:tl2br w:val="nil"/>
              <w:tr2bl w:val="nil"/>
            </w:tcBorders>
            <w:vAlign w:val="center"/>
          </w:tcPr>
          <w:p>
            <w:pPr>
              <w:pStyle w:val="17"/>
              <w:bidi w:val="0"/>
              <w:rPr>
                <w:rFonts w:hint="default"/>
              </w:rPr>
            </w:pPr>
            <w:r>
              <w:rPr>
                <w:rFonts w:hint="default"/>
              </w:rPr>
              <w:drawing>
                <wp:inline distT="0" distB="0" distL="114300" distR="114300">
                  <wp:extent cx="952500" cy="904875"/>
                  <wp:effectExtent l="0" t="0" r="0" b="9525"/>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59" cstate="print"/>
                          <a:stretch>
                            <a:fillRect/>
                          </a:stretch>
                        </pic:blipFill>
                        <pic:spPr>
                          <a:xfrm>
                            <a:off x="0" y="0"/>
                            <a:ext cx="952500" cy="904875"/>
                          </a:xfrm>
                          <a:prstGeom prst="rect">
                            <a:avLst/>
                          </a:prstGeom>
                          <a:noFill/>
                          <a:ln>
                            <a:noFill/>
                          </a:ln>
                        </pic:spPr>
                      </pic:pic>
                    </a:graphicData>
                  </a:graphic>
                </wp:inline>
              </w:drawing>
            </w:r>
          </w:p>
        </w:tc>
        <w:tc>
          <w:tcPr>
            <w:tcW w:w="2752" w:type="dxa"/>
            <w:tcBorders>
              <w:tl2br w:val="nil"/>
              <w:tr2bl w:val="nil"/>
            </w:tcBorders>
            <w:vAlign w:val="center"/>
          </w:tcPr>
          <w:p>
            <w:pPr>
              <w:pStyle w:val="17"/>
              <w:bidi w:val="0"/>
              <w:rPr>
                <w:rFonts w:hint="default"/>
              </w:rPr>
            </w:pPr>
            <w:r>
              <w:rPr>
                <w:rFonts w:hint="default"/>
              </w:rPr>
              <w:t>废气排放口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97" w:type="dxa"/>
            <w:tcBorders>
              <w:tl2br w:val="nil"/>
              <w:tr2bl w:val="nil"/>
            </w:tcBorders>
            <w:vAlign w:val="center"/>
          </w:tcPr>
          <w:p>
            <w:pPr>
              <w:pStyle w:val="17"/>
              <w:bidi w:val="0"/>
              <w:rPr>
                <w:rFonts w:hint="default"/>
              </w:rPr>
            </w:pPr>
            <w:r>
              <w:rPr>
                <w:rFonts w:hint="default"/>
              </w:rPr>
              <w:t>3</w:t>
            </w:r>
          </w:p>
        </w:tc>
        <w:tc>
          <w:tcPr>
            <w:tcW w:w="2646" w:type="dxa"/>
            <w:tcBorders>
              <w:tl2br w:val="nil"/>
              <w:tr2bl w:val="nil"/>
            </w:tcBorders>
            <w:vAlign w:val="center"/>
          </w:tcPr>
          <w:p>
            <w:pPr>
              <w:pStyle w:val="17"/>
              <w:bidi w:val="0"/>
              <w:rPr>
                <w:rFonts w:hint="default"/>
              </w:rPr>
            </w:pPr>
            <w:r>
              <w:rPr>
                <w:rFonts w:hint="default"/>
              </w:rPr>
              <w:drawing>
                <wp:inline distT="0" distB="0" distL="114300" distR="114300">
                  <wp:extent cx="962025" cy="923925"/>
                  <wp:effectExtent l="0" t="0" r="3175"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0" cstate="print"/>
                          <a:stretch>
                            <a:fillRect/>
                          </a:stretch>
                        </pic:blipFill>
                        <pic:spPr>
                          <a:xfrm>
                            <a:off x="0" y="0"/>
                            <a:ext cx="962025" cy="923925"/>
                          </a:xfrm>
                          <a:prstGeom prst="rect">
                            <a:avLst/>
                          </a:prstGeom>
                          <a:noFill/>
                          <a:ln>
                            <a:noFill/>
                          </a:ln>
                        </pic:spPr>
                      </pic:pic>
                    </a:graphicData>
                  </a:graphic>
                </wp:inline>
              </w:drawing>
            </w:r>
          </w:p>
        </w:tc>
        <w:tc>
          <w:tcPr>
            <w:tcW w:w="2476" w:type="dxa"/>
            <w:tcBorders>
              <w:tl2br w:val="nil"/>
              <w:tr2bl w:val="nil"/>
            </w:tcBorders>
            <w:vAlign w:val="center"/>
          </w:tcPr>
          <w:p>
            <w:pPr>
              <w:pStyle w:val="17"/>
              <w:bidi w:val="0"/>
              <w:rPr>
                <w:rFonts w:hint="default"/>
              </w:rPr>
            </w:pPr>
            <w:r>
              <w:rPr>
                <w:rFonts w:hint="default"/>
              </w:rPr>
              <w:drawing>
                <wp:inline distT="0" distB="0" distL="114300" distR="114300">
                  <wp:extent cx="962660" cy="777875"/>
                  <wp:effectExtent l="0" t="0" r="2540" b="9525"/>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61" cstate="print"/>
                          <a:stretch>
                            <a:fillRect/>
                          </a:stretch>
                        </pic:blipFill>
                        <pic:spPr>
                          <a:xfrm>
                            <a:off x="0" y="0"/>
                            <a:ext cx="962660" cy="777875"/>
                          </a:xfrm>
                          <a:prstGeom prst="rect">
                            <a:avLst/>
                          </a:prstGeom>
                          <a:noFill/>
                          <a:ln>
                            <a:noFill/>
                          </a:ln>
                        </pic:spPr>
                      </pic:pic>
                    </a:graphicData>
                  </a:graphic>
                </wp:inline>
              </w:drawing>
            </w:r>
          </w:p>
        </w:tc>
        <w:tc>
          <w:tcPr>
            <w:tcW w:w="2752" w:type="dxa"/>
            <w:tcBorders>
              <w:tl2br w:val="nil"/>
              <w:tr2bl w:val="nil"/>
            </w:tcBorders>
            <w:vAlign w:val="center"/>
          </w:tcPr>
          <w:p>
            <w:pPr>
              <w:pStyle w:val="17"/>
              <w:bidi w:val="0"/>
              <w:rPr>
                <w:rFonts w:hint="default"/>
              </w:rPr>
            </w:pPr>
            <w:r>
              <w:rPr>
                <w:rFonts w:hint="default"/>
              </w:rPr>
              <w:t>噪声排放源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97" w:type="dxa"/>
            <w:tcBorders>
              <w:tl2br w:val="nil"/>
              <w:tr2bl w:val="nil"/>
            </w:tcBorders>
            <w:vAlign w:val="center"/>
          </w:tcPr>
          <w:p>
            <w:pPr>
              <w:pStyle w:val="17"/>
              <w:bidi w:val="0"/>
              <w:rPr>
                <w:rFonts w:hint="default"/>
              </w:rPr>
            </w:pPr>
            <w:r>
              <w:rPr>
                <w:rFonts w:hint="default"/>
              </w:rPr>
              <w:t>4</w:t>
            </w:r>
          </w:p>
        </w:tc>
        <w:tc>
          <w:tcPr>
            <w:tcW w:w="2646" w:type="dxa"/>
            <w:tcBorders>
              <w:tl2br w:val="nil"/>
              <w:tr2bl w:val="nil"/>
            </w:tcBorders>
            <w:vAlign w:val="center"/>
          </w:tcPr>
          <w:p>
            <w:pPr>
              <w:pStyle w:val="17"/>
              <w:bidi w:val="0"/>
              <w:rPr>
                <w:rFonts w:hint="default"/>
              </w:rPr>
            </w:pPr>
            <w:r>
              <w:rPr>
                <w:rFonts w:hint="default"/>
              </w:rPr>
              <w:drawing>
                <wp:inline distT="0" distB="0" distL="114300" distR="114300">
                  <wp:extent cx="962025" cy="914400"/>
                  <wp:effectExtent l="0" t="0" r="3175" b="0"/>
                  <wp:docPr id="35" name="图片 22"/>
                  <wp:cNvGraphicFramePr/>
                  <a:graphic xmlns:a="http://schemas.openxmlformats.org/drawingml/2006/main">
                    <a:graphicData uri="http://schemas.openxmlformats.org/drawingml/2006/picture">
                      <pic:pic xmlns:pic="http://schemas.openxmlformats.org/drawingml/2006/picture">
                        <pic:nvPicPr>
                          <pic:cNvPr id="35" name="图片 22"/>
                          <pic:cNvPicPr/>
                        </pic:nvPicPr>
                        <pic:blipFill>
                          <a:blip r:embed="rId62" cstate="print"/>
                          <a:stretch>
                            <a:fillRect/>
                          </a:stretch>
                        </pic:blipFill>
                        <pic:spPr>
                          <a:xfrm>
                            <a:off x="0" y="0"/>
                            <a:ext cx="962025" cy="914400"/>
                          </a:xfrm>
                          <a:prstGeom prst="rect">
                            <a:avLst/>
                          </a:prstGeom>
                          <a:noFill/>
                          <a:ln>
                            <a:noFill/>
                          </a:ln>
                        </pic:spPr>
                      </pic:pic>
                    </a:graphicData>
                  </a:graphic>
                </wp:inline>
              </w:drawing>
            </w:r>
          </w:p>
        </w:tc>
        <w:tc>
          <w:tcPr>
            <w:tcW w:w="2476" w:type="dxa"/>
            <w:tcBorders>
              <w:tl2br w:val="nil"/>
              <w:tr2bl w:val="nil"/>
            </w:tcBorders>
            <w:vAlign w:val="center"/>
          </w:tcPr>
          <w:p>
            <w:pPr>
              <w:pStyle w:val="17"/>
              <w:bidi w:val="0"/>
              <w:rPr>
                <w:rFonts w:hint="default"/>
              </w:rPr>
            </w:pPr>
            <w:r>
              <w:rPr>
                <w:rFonts w:hint="default"/>
              </w:rPr>
              <w:drawing>
                <wp:inline distT="0" distB="0" distL="114300" distR="114300">
                  <wp:extent cx="962025" cy="828040"/>
                  <wp:effectExtent l="0" t="0" r="3175" b="1016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63" cstate="print"/>
                          <a:stretch>
                            <a:fillRect/>
                          </a:stretch>
                        </pic:blipFill>
                        <pic:spPr>
                          <a:xfrm>
                            <a:off x="0" y="0"/>
                            <a:ext cx="962025" cy="828040"/>
                          </a:xfrm>
                          <a:prstGeom prst="rect">
                            <a:avLst/>
                          </a:prstGeom>
                          <a:noFill/>
                          <a:ln>
                            <a:noFill/>
                          </a:ln>
                        </pic:spPr>
                      </pic:pic>
                    </a:graphicData>
                  </a:graphic>
                </wp:inline>
              </w:drawing>
            </w:r>
          </w:p>
        </w:tc>
        <w:tc>
          <w:tcPr>
            <w:tcW w:w="2752" w:type="dxa"/>
            <w:tcBorders>
              <w:tl2br w:val="nil"/>
              <w:tr2bl w:val="nil"/>
            </w:tcBorders>
            <w:vAlign w:val="center"/>
          </w:tcPr>
          <w:p>
            <w:pPr>
              <w:pStyle w:val="17"/>
              <w:bidi w:val="0"/>
              <w:rPr>
                <w:rFonts w:hint="default"/>
              </w:rPr>
            </w:pPr>
            <w:r>
              <w:rPr>
                <w:rFonts w:hint="default"/>
              </w:rPr>
              <w:t>一般固体废物暂存区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97" w:type="dxa"/>
            <w:tcBorders>
              <w:tl2br w:val="nil"/>
              <w:tr2bl w:val="nil"/>
            </w:tcBorders>
            <w:vAlign w:val="center"/>
          </w:tcPr>
          <w:p>
            <w:pPr>
              <w:pStyle w:val="17"/>
              <w:bidi w:val="0"/>
              <w:rPr>
                <w:rFonts w:hint="eastAsia" w:eastAsia="宋体"/>
                <w:lang w:val="en-US" w:eastAsia="zh-CN"/>
              </w:rPr>
            </w:pPr>
            <w:r>
              <w:rPr>
                <w:rFonts w:hint="eastAsia"/>
                <w:lang w:val="en-US" w:eastAsia="zh-CN"/>
              </w:rPr>
              <w:t>5</w:t>
            </w:r>
          </w:p>
        </w:tc>
        <w:tc>
          <w:tcPr>
            <w:tcW w:w="2646" w:type="dxa"/>
            <w:tcBorders>
              <w:tl2br w:val="nil"/>
              <w:tr2bl w:val="nil"/>
            </w:tcBorders>
            <w:vAlign w:val="center"/>
          </w:tcPr>
          <w:p>
            <w:pPr>
              <w:pStyle w:val="17"/>
              <w:bidi w:val="0"/>
              <w:rPr>
                <w:rFonts w:hint="default"/>
              </w:rPr>
            </w:pPr>
            <w:r>
              <w:rPr>
                <w:rFonts w:hint="default" w:ascii="Times New Roman" w:hAnsi="Times New Roman" w:eastAsia="宋体" w:cs="Times New Roman"/>
                <w:color w:val="000000"/>
                <w:sz w:val="24"/>
              </w:rPr>
              <w:drawing>
                <wp:inline distT="0" distB="0" distL="114300" distR="114300">
                  <wp:extent cx="935990" cy="899795"/>
                  <wp:effectExtent l="0" t="0" r="3810" b="1905"/>
                  <wp:docPr id="8" name="图片 4"/>
                  <wp:cNvGraphicFramePr/>
                  <a:graphic xmlns:a="http://schemas.openxmlformats.org/drawingml/2006/main">
                    <a:graphicData uri="http://schemas.openxmlformats.org/drawingml/2006/picture">
                      <pic:pic xmlns:pic="http://schemas.openxmlformats.org/drawingml/2006/picture">
                        <pic:nvPicPr>
                          <pic:cNvPr id="8" name="图片 4"/>
                          <pic:cNvPicPr/>
                        </pic:nvPicPr>
                        <pic:blipFill>
                          <a:blip r:embed="rId64"/>
                          <a:stretch>
                            <a:fillRect/>
                          </a:stretch>
                        </pic:blipFill>
                        <pic:spPr>
                          <a:xfrm>
                            <a:off x="0" y="0"/>
                            <a:ext cx="935990" cy="899795"/>
                          </a:xfrm>
                          <a:prstGeom prst="rect">
                            <a:avLst/>
                          </a:prstGeom>
                          <a:noFill/>
                          <a:ln w="9525">
                            <a:noFill/>
                          </a:ln>
                          <a:effectLst/>
                        </pic:spPr>
                      </pic:pic>
                    </a:graphicData>
                  </a:graphic>
                </wp:inline>
              </w:drawing>
            </w:r>
          </w:p>
        </w:tc>
        <w:tc>
          <w:tcPr>
            <w:tcW w:w="2476" w:type="dxa"/>
            <w:tcBorders>
              <w:tl2br w:val="nil"/>
              <w:tr2bl w:val="nil"/>
            </w:tcBorders>
            <w:vAlign w:val="center"/>
          </w:tcPr>
          <w:p>
            <w:pPr>
              <w:pStyle w:val="17"/>
              <w:bidi w:val="0"/>
              <w:rPr>
                <w:rFonts w:hint="default"/>
              </w:rPr>
            </w:pPr>
            <w:r>
              <w:drawing>
                <wp:inline distT="0" distB="0" distL="114300" distR="114300">
                  <wp:extent cx="935990" cy="899795"/>
                  <wp:effectExtent l="0" t="0" r="3810" b="1905"/>
                  <wp:docPr id="9" name="图片 18"/>
                  <wp:cNvGraphicFramePr/>
                  <a:graphic xmlns:a="http://schemas.openxmlformats.org/drawingml/2006/main">
                    <a:graphicData uri="http://schemas.openxmlformats.org/drawingml/2006/picture">
                      <pic:pic xmlns:pic="http://schemas.openxmlformats.org/drawingml/2006/picture">
                        <pic:nvPicPr>
                          <pic:cNvPr id="9" name="图片 18"/>
                          <pic:cNvPicPr/>
                        </pic:nvPicPr>
                        <pic:blipFill>
                          <a:blip r:embed="rId65"/>
                          <a:stretch>
                            <a:fillRect/>
                          </a:stretch>
                        </pic:blipFill>
                        <pic:spPr>
                          <a:xfrm>
                            <a:off x="0" y="0"/>
                            <a:ext cx="935990" cy="899795"/>
                          </a:xfrm>
                          <a:prstGeom prst="rect">
                            <a:avLst/>
                          </a:prstGeom>
                          <a:noFill/>
                          <a:ln>
                            <a:noFill/>
                          </a:ln>
                        </pic:spPr>
                      </pic:pic>
                    </a:graphicData>
                  </a:graphic>
                </wp:inline>
              </w:drawing>
            </w:r>
          </w:p>
        </w:tc>
        <w:tc>
          <w:tcPr>
            <w:tcW w:w="2752" w:type="dxa"/>
            <w:tcBorders>
              <w:tl2br w:val="nil"/>
              <w:tr2bl w:val="nil"/>
            </w:tcBorders>
            <w:vAlign w:val="center"/>
          </w:tcPr>
          <w:p>
            <w:pPr>
              <w:pStyle w:val="17"/>
              <w:bidi w:val="0"/>
              <w:rPr>
                <w:rFonts w:hint="default" w:eastAsia="宋体"/>
                <w:lang w:val="en-US" w:eastAsia="zh-CN"/>
              </w:rPr>
            </w:pPr>
            <w:r>
              <w:rPr>
                <w:rFonts w:hint="eastAsia"/>
                <w:lang w:val="en-US" w:eastAsia="zh-CN"/>
              </w:rPr>
              <w:t>危险废物暂存间</w:t>
            </w:r>
          </w:p>
        </w:tc>
      </w:tr>
    </w:tbl>
    <w:p>
      <w:pPr>
        <w:pStyle w:val="6"/>
        <w:bidi w:val="0"/>
        <w:rPr>
          <w:rFonts w:hint="default"/>
        </w:rPr>
      </w:pPr>
      <w:r>
        <w:rPr>
          <w:rFonts w:hint="default"/>
        </w:rPr>
        <w:t>9.2.2.3</w:t>
      </w:r>
      <w:r>
        <w:rPr>
          <w:rFonts w:hint="eastAsia"/>
          <w:lang w:eastAsia="zh-CN"/>
        </w:rPr>
        <w:t>、</w:t>
      </w:r>
      <w:r>
        <w:rPr>
          <w:rFonts w:hint="default"/>
        </w:rPr>
        <w:t>环境管理制度及台账</w:t>
      </w:r>
    </w:p>
    <w:p>
      <w:pPr>
        <w:bidi w:val="0"/>
        <w:rPr>
          <w:rFonts w:hint="default"/>
        </w:rPr>
      </w:pPr>
      <w:r>
        <w:rPr>
          <w:rFonts w:hint="default"/>
        </w:rPr>
        <w:t>项目应建立健全的环境管理制度，明确责任主体、管理重点，确保各项环境保护设施的建设、运行及维护费用保障计划。建设单位应建立专门的环境管理机构，并指定公司领导分管环保工作，对公司的环境管理工作进行监督。日常生产中，要做好相关环境管理的台账记录，主要包括环保设施维护维修等台账记录</w:t>
      </w:r>
      <w:r>
        <w:rPr>
          <w:rFonts w:hint="eastAsia"/>
          <w:lang w:eastAsia="zh-CN"/>
        </w:rPr>
        <w:t>、</w:t>
      </w:r>
      <w:r>
        <w:rPr>
          <w:rFonts w:hint="eastAsia"/>
          <w:lang w:val="en-US" w:eastAsia="zh-CN"/>
        </w:rPr>
        <w:t>危险废物产生、转移台账等</w:t>
      </w:r>
      <w:r>
        <w:rPr>
          <w:rFonts w:hint="default"/>
        </w:rPr>
        <w:t>。</w:t>
      </w:r>
    </w:p>
    <w:p>
      <w:pPr>
        <w:pStyle w:val="6"/>
        <w:bidi w:val="0"/>
        <w:rPr>
          <w:rFonts w:hint="default"/>
        </w:rPr>
      </w:pPr>
      <w:r>
        <w:rPr>
          <w:rFonts w:hint="default"/>
        </w:rPr>
        <w:t>9.2.2.4</w:t>
      </w:r>
      <w:r>
        <w:rPr>
          <w:rFonts w:hint="eastAsia"/>
          <w:lang w:eastAsia="zh-CN"/>
        </w:rPr>
        <w:t>、</w:t>
      </w:r>
      <w:r>
        <w:rPr>
          <w:rFonts w:hint="default"/>
        </w:rPr>
        <w:t>社会公开信息</w:t>
      </w:r>
    </w:p>
    <w:p>
      <w:pPr>
        <w:bidi w:val="0"/>
        <w:rPr>
          <w:rFonts w:hint="default"/>
        </w:rPr>
      </w:pPr>
      <w:r>
        <w:rPr>
          <w:rFonts w:hint="default"/>
        </w:rPr>
        <w:t>生产运营期间，针对项目各污染源，建设单位应及时对各污染源产排情况向社会公开，公开内容包括以下几方面：</w:t>
      </w:r>
    </w:p>
    <w:p>
      <w:pPr>
        <w:bidi w:val="0"/>
        <w:rPr>
          <w:rFonts w:hint="default"/>
        </w:rPr>
      </w:pPr>
      <w:r>
        <w:rPr>
          <w:rFonts w:hint="default"/>
        </w:rPr>
        <w:t>（1）各污染源主要排放因子、污染物排放浓度及排放量；</w:t>
      </w:r>
    </w:p>
    <w:p>
      <w:pPr>
        <w:bidi w:val="0"/>
        <w:rPr>
          <w:rFonts w:hint="default"/>
        </w:rPr>
      </w:pPr>
      <w:r>
        <w:rPr>
          <w:rFonts w:hint="default"/>
        </w:rPr>
        <w:t>（2）各污染源拟采取的污染防治措施及设施运行效果是否满足设计要求；</w:t>
      </w:r>
    </w:p>
    <w:p>
      <w:pPr>
        <w:bidi w:val="0"/>
        <w:rPr>
          <w:rFonts w:hint="default"/>
        </w:rPr>
      </w:pPr>
      <w:r>
        <w:rPr>
          <w:rFonts w:hint="default"/>
        </w:rPr>
        <w:t>（3）各污染源排放是否符合相关污染排放标准。</w:t>
      </w:r>
    </w:p>
    <w:p>
      <w:pPr>
        <w:pStyle w:val="4"/>
        <w:bidi w:val="0"/>
        <w:rPr>
          <w:rFonts w:hint="default"/>
        </w:rPr>
      </w:pPr>
      <w:bookmarkStart w:id="402" w:name="_Toc7356"/>
      <w:bookmarkStart w:id="403" w:name="_Toc524431481"/>
      <w:bookmarkStart w:id="404" w:name="_Toc14979_WPSOffice_Level2"/>
      <w:bookmarkStart w:id="405" w:name="_Toc32443"/>
      <w:bookmarkStart w:id="406" w:name="_Toc22647"/>
      <w:r>
        <w:rPr>
          <w:rFonts w:hint="default"/>
        </w:rPr>
        <w:t>9.3</w:t>
      </w:r>
      <w:r>
        <w:rPr>
          <w:rFonts w:hint="eastAsia"/>
          <w:lang w:eastAsia="zh-CN"/>
        </w:rPr>
        <w:t>、</w:t>
      </w:r>
      <w:r>
        <w:rPr>
          <w:rFonts w:hint="default"/>
        </w:rPr>
        <w:t>环境监测计划</w:t>
      </w:r>
      <w:bookmarkEnd w:id="402"/>
      <w:bookmarkEnd w:id="403"/>
      <w:bookmarkEnd w:id="404"/>
      <w:bookmarkEnd w:id="405"/>
      <w:bookmarkEnd w:id="406"/>
    </w:p>
    <w:p>
      <w:pPr>
        <w:bidi w:val="0"/>
        <w:rPr>
          <w:rFonts w:hint="default"/>
        </w:rPr>
      </w:pPr>
      <w:r>
        <w:rPr>
          <w:rFonts w:hint="default"/>
        </w:rPr>
        <w:t>本项目环境监测工作由建设单位委托当地环境监测部门进行，监测结果按次、月、季、年编制报表，并由综合办公室派专人管理并存档。</w:t>
      </w:r>
    </w:p>
    <w:p>
      <w:pPr>
        <w:bidi w:val="0"/>
        <w:rPr>
          <w:rFonts w:hint="default"/>
        </w:rPr>
      </w:pPr>
      <w:r>
        <w:rPr>
          <w:rFonts w:hint="default"/>
        </w:rPr>
        <w:t>根据《排污单位自行监测技术指南 总则》（HJ819-2017）组织安排监测。</w:t>
      </w:r>
    </w:p>
    <w:p>
      <w:pPr>
        <w:pStyle w:val="5"/>
        <w:bidi w:val="0"/>
        <w:rPr>
          <w:rFonts w:hint="default"/>
        </w:rPr>
      </w:pPr>
      <w:bookmarkStart w:id="407" w:name="_Toc503197167"/>
      <w:bookmarkStart w:id="408" w:name="_Toc508790129"/>
      <w:bookmarkStart w:id="409" w:name="_Toc465009128"/>
      <w:r>
        <w:rPr>
          <w:rFonts w:hint="default"/>
        </w:rPr>
        <w:t>9</w:t>
      </w:r>
      <w:r>
        <w:rPr>
          <w:rFonts w:hint="default"/>
          <w:lang w:val="en-GB"/>
        </w:rPr>
        <w:t>.</w:t>
      </w:r>
      <w:r>
        <w:rPr>
          <w:rFonts w:hint="default"/>
        </w:rPr>
        <w:t>3</w:t>
      </w:r>
      <w:r>
        <w:rPr>
          <w:rFonts w:hint="default"/>
          <w:lang w:val="en-GB"/>
        </w:rPr>
        <w:t>.1</w:t>
      </w:r>
      <w:r>
        <w:rPr>
          <w:rFonts w:hint="eastAsia"/>
          <w:lang w:val="en-GB" w:eastAsia="zh-CN"/>
        </w:rPr>
        <w:t>、</w:t>
      </w:r>
      <w:r>
        <w:rPr>
          <w:rFonts w:hint="default"/>
          <w:lang w:val="en-GB"/>
        </w:rPr>
        <w:t>施工期环境监理</w:t>
      </w:r>
      <w:bookmarkEnd w:id="407"/>
      <w:bookmarkEnd w:id="408"/>
      <w:bookmarkEnd w:id="409"/>
    </w:p>
    <w:p>
      <w:pPr>
        <w:bidi w:val="0"/>
        <w:rPr>
          <w:rFonts w:hint="default"/>
        </w:rPr>
      </w:pPr>
      <w:r>
        <w:rPr>
          <w:rFonts w:hint="default"/>
        </w:rPr>
        <w:t>施工期施工过程必须要由当地环保部门进行监管，监管内容主要应包括施工时间和施工工段的安排；建筑材料、管材的合理堆放；施工机械合理安置；运输车辆的运输路线的合理性；施工土方防尘维护和防止水土流失措施的落实；施工期间的噪声控制；还有施工期固体废物的堆放和定期清理、合理处置等。</w:t>
      </w:r>
    </w:p>
    <w:p>
      <w:pPr>
        <w:bidi w:val="0"/>
        <w:rPr>
          <w:rFonts w:hint="default"/>
        </w:rPr>
      </w:pPr>
      <w:r>
        <w:rPr>
          <w:rFonts w:hint="default"/>
        </w:rPr>
        <w:t>施工期的环境监理应根据施工方法制定监理计划。在施工期初期主要检查扬尘、噪声控制以及建筑垃圾清运、处置情况；在施工后检查环境恢复情况；工程施工结束后，要监督施工单位清除一切弃土，平整场地，做到工完、料尽、场地清。施工期间施工单位要严格按照当地环保部门提出的要求进行管理与控制，杜绝施工期对环境造成污染。施工期的环境监理由工程监测部门负责。</w:t>
      </w:r>
    </w:p>
    <w:p>
      <w:pPr>
        <w:pStyle w:val="5"/>
        <w:bidi w:val="0"/>
        <w:rPr>
          <w:rFonts w:hint="default"/>
          <w:lang w:val="en-GB"/>
        </w:rPr>
      </w:pPr>
      <w:bookmarkStart w:id="410" w:name="_Toc503197168"/>
      <w:bookmarkStart w:id="411" w:name="_Toc508790130"/>
      <w:bookmarkStart w:id="412" w:name="_Toc465009129"/>
      <w:r>
        <w:rPr>
          <w:rFonts w:hint="default"/>
        </w:rPr>
        <w:t>9.3.2</w:t>
      </w:r>
      <w:r>
        <w:rPr>
          <w:rFonts w:hint="eastAsia"/>
          <w:lang w:eastAsia="zh-CN"/>
        </w:rPr>
        <w:t>、</w:t>
      </w:r>
      <w:r>
        <w:rPr>
          <w:rFonts w:hint="default"/>
          <w:lang w:val="en-GB"/>
        </w:rPr>
        <w:t>运营期环境监督检查</w:t>
      </w:r>
      <w:bookmarkEnd w:id="410"/>
      <w:bookmarkEnd w:id="411"/>
      <w:bookmarkEnd w:id="412"/>
    </w:p>
    <w:p>
      <w:pPr>
        <w:bidi w:val="0"/>
        <w:rPr>
          <w:rFonts w:hint="default"/>
        </w:rPr>
      </w:pPr>
      <w:r>
        <w:rPr>
          <w:rFonts w:hint="default"/>
        </w:rPr>
        <w:t>（1）废气污染源监督检查</w:t>
      </w:r>
    </w:p>
    <w:p>
      <w:pPr>
        <w:bidi w:val="0"/>
        <w:rPr>
          <w:rFonts w:hint="default"/>
        </w:rPr>
      </w:pPr>
      <w:r>
        <w:rPr>
          <w:rFonts w:hint="default"/>
        </w:rPr>
        <w:t>检查本项目造粒设备和制膜设备密封性是否良好，废气处理装置能否正常运行，处理后的废气能否满足有关标准。</w:t>
      </w:r>
    </w:p>
    <w:p>
      <w:pPr>
        <w:bidi w:val="0"/>
        <w:rPr>
          <w:rFonts w:hint="default"/>
        </w:rPr>
      </w:pPr>
      <w:r>
        <w:rPr>
          <w:rFonts w:hint="default"/>
        </w:rPr>
        <w:t>（2）噪声污染源监督检查</w:t>
      </w:r>
    </w:p>
    <w:p>
      <w:pPr>
        <w:bidi w:val="0"/>
        <w:rPr>
          <w:rFonts w:hint="default"/>
        </w:rPr>
      </w:pPr>
      <w:r>
        <w:rPr>
          <w:rFonts w:hint="default"/>
        </w:rPr>
        <w:t>检查产生噪声的设备是否为国家禁止生产、销售、使用的淘汰产品。一些设备在运行了一段时期后，会产生额外的噪声与振动。也会使噪声值升高，应监督项目区加强设备的维护，及时更换磨损部件，降低噪声。</w:t>
      </w:r>
    </w:p>
    <w:p>
      <w:pPr>
        <w:bidi w:val="0"/>
        <w:rPr>
          <w:rFonts w:hint="default"/>
        </w:rPr>
      </w:pPr>
      <w:r>
        <w:rPr>
          <w:rFonts w:hint="default"/>
        </w:rPr>
        <w:t>（3）废水污染源监督检查</w:t>
      </w:r>
    </w:p>
    <w:p>
      <w:pPr>
        <w:bidi w:val="0"/>
        <w:rPr>
          <w:rFonts w:hint="default"/>
        </w:rPr>
      </w:pPr>
      <w:r>
        <w:rPr>
          <w:rFonts w:hint="default"/>
        </w:rPr>
        <w:t>检查项目区原料库房、沉淀池冷却池防渗措施是否存在隐患，避免污水地下水的影响。</w:t>
      </w:r>
    </w:p>
    <w:p>
      <w:pPr>
        <w:bidi w:val="0"/>
        <w:rPr>
          <w:rFonts w:hint="default"/>
        </w:rPr>
      </w:pPr>
      <w:r>
        <w:rPr>
          <w:rFonts w:hint="default"/>
        </w:rPr>
        <w:t>（4）地下水污染监督检查</w:t>
      </w:r>
    </w:p>
    <w:p>
      <w:pPr>
        <w:bidi w:val="0"/>
        <w:rPr>
          <w:rFonts w:hint="default"/>
        </w:rPr>
      </w:pPr>
      <w:r>
        <w:rPr>
          <w:rFonts w:hint="default"/>
        </w:rPr>
        <w:t>在工程场址下游选择一座地下水井对地下水进行定期监测，防止渗漏造成地下水污染。</w:t>
      </w:r>
    </w:p>
    <w:p>
      <w:pPr>
        <w:bidi w:val="0"/>
        <w:rPr>
          <w:rFonts w:hint="default"/>
        </w:rPr>
      </w:pPr>
      <w:r>
        <w:rPr>
          <w:rFonts w:hint="default"/>
        </w:rPr>
        <w:t>（5）固体废物监督检查</w:t>
      </w:r>
    </w:p>
    <w:p>
      <w:pPr>
        <w:bidi w:val="0"/>
        <w:rPr>
          <w:rFonts w:hint="default"/>
        </w:rPr>
      </w:pPr>
      <w:r>
        <w:rPr>
          <w:rFonts w:hint="default"/>
        </w:rPr>
        <w:t>检查项目区是否对运营期产生的固废进行合理贮存和处置，生活垃圾及时送往填埋场处置。</w:t>
      </w:r>
    </w:p>
    <w:p>
      <w:pPr>
        <w:bidi w:val="0"/>
        <w:rPr>
          <w:rFonts w:hint="default"/>
        </w:rPr>
      </w:pPr>
      <w:r>
        <w:rPr>
          <w:rFonts w:hint="default"/>
        </w:rPr>
        <w:t>（6）绿化监督检查</w:t>
      </w:r>
    </w:p>
    <w:p>
      <w:pPr>
        <w:bidi w:val="0"/>
        <w:rPr>
          <w:rFonts w:hint="default"/>
        </w:rPr>
      </w:pPr>
      <w:r>
        <w:rPr>
          <w:rFonts w:hint="default"/>
        </w:rPr>
        <w:t>监督检查场区绿化面积是否按要求完成。</w:t>
      </w:r>
    </w:p>
    <w:p>
      <w:pPr>
        <w:bidi w:val="0"/>
        <w:rPr>
          <w:rFonts w:hint="default"/>
        </w:rPr>
      </w:pPr>
      <w:r>
        <w:rPr>
          <w:rFonts w:hint="default"/>
        </w:rPr>
        <w:t>本项目环境管理措施及环保行动计划见表9.3-1。</w:t>
      </w:r>
    </w:p>
    <w:p>
      <w:pPr>
        <w:pStyle w:val="17"/>
        <w:bidi w:val="0"/>
        <w:rPr>
          <w:rFonts w:hint="default"/>
          <w:b/>
          <w:bCs/>
        </w:rPr>
      </w:pPr>
      <w:r>
        <w:rPr>
          <w:rFonts w:hint="default"/>
          <w:b/>
          <w:bCs/>
        </w:rPr>
        <w:t>表9.3-1</w:t>
      </w:r>
      <w:r>
        <w:rPr>
          <w:rFonts w:hint="eastAsia"/>
          <w:b/>
          <w:bCs/>
          <w:lang w:val="en-US" w:eastAsia="zh-CN"/>
        </w:rPr>
        <w:t xml:space="preserve"> </w:t>
      </w:r>
      <w:r>
        <w:rPr>
          <w:rFonts w:hint="default"/>
          <w:b/>
          <w:bCs/>
        </w:rPr>
        <w:t xml:space="preserve">  环境管理措施及要求一览表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192"/>
        <w:gridCol w:w="4443"/>
        <w:gridCol w:w="1293"/>
        <w:gridCol w:w="12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943" w:type="dxa"/>
            <w:tcBorders>
              <w:tl2br w:val="nil"/>
              <w:tr2bl w:val="nil"/>
            </w:tcBorders>
            <w:vAlign w:val="center"/>
          </w:tcPr>
          <w:p>
            <w:pPr>
              <w:pStyle w:val="17"/>
              <w:bidi w:val="0"/>
              <w:rPr>
                <w:rFonts w:hint="default"/>
                <w:b/>
                <w:bCs/>
              </w:rPr>
            </w:pPr>
            <w:r>
              <w:rPr>
                <w:rFonts w:hint="default"/>
                <w:b/>
                <w:bCs/>
              </w:rPr>
              <w:t>建设阶段</w:t>
            </w:r>
          </w:p>
        </w:tc>
        <w:tc>
          <w:tcPr>
            <w:tcW w:w="5635" w:type="dxa"/>
            <w:gridSpan w:val="2"/>
            <w:tcBorders>
              <w:tl2br w:val="nil"/>
              <w:tr2bl w:val="nil"/>
            </w:tcBorders>
            <w:vAlign w:val="center"/>
          </w:tcPr>
          <w:p>
            <w:pPr>
              <w:pStyle w:val="17"/>
              <w:bidi w:val="0"/>
              <w:rPr>
                <w:rFonts w:hint="default"/>
                <w:b/>
                <w:bCs/>
              </w:rPr>
            </w:pPr>
            <w:r>
              <w:rPr>
                <w:rFonts w:hint="default"/>
                <w:b/>
                <w:bCs/>
              </w:rPr>
              <w:t>环境监控管理措施</w:t>
            </w:r>
          </w:p>
        </w:tc>
        <w:tc>
          <w:tcPr>
            <w:tcW w:w="1293" w:type="dxa"/>
            <w:tcBorders>
              <w:tl2br w:val="nil"/>
              <w:tr2bl w:val="nil"/>
            </w:tcBorders>
            <w:vAlign w:val="center"/>
          </w:tcPr>
          <w:p>
            <w:pPr>
              <w:pStyle w:val="17"/>
              <w:bidi w:val="0"/>
              <w:rPr>
                <w:rFonts w:hint="default"/>
                <w:b/>
                <w:bCs/>
              </w:rPr>
            </w:pPr>
            <w:r>
              <w:rPr>
                <w:rFonts w:hint="default"/>
                <w:b/>
                <w:bCs/>
              </w:rPr>
              <w:t>实施方</w:t>
            </w:r>
          </w:p>
        </w:tc>
        <w:tc>
          <w:tcPr>
            <w:tcW w:w="1200" w:type="dxa"/>
            <w:tcBorders>
              <w:tl2br w:val="nil"/>
              <w:tr2bl w:val="nil"/>
            </w:tcBorders>
            <w:vAlign w:val="center"/>
          </w:tcPr>
          <w:p>
            <w:pPr>
              <w:pStyle w:val="17"/>
              <w:bidi w:val="0"/>
              <w:rPr>
                <w:rFonts w:hint="default"/>
                <w:b/>
                <w:bCs/>
              </w:rPr>
            </w:pPr>
            <w:r>
              <w:rPr>
                <w:rFonts w:hint="default"/>
                <w:b/>
                <w:bCs/>
              </w:rPr>
              <w:t>监督管理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jc w:val="center"/>
        </w:trPr>
        <w:tc>
          <w:tcPr>
            <w:tcW w:w="943" w:type="dxa"/>
            <w:tcBorders>
              <w:tl2br w:val="nil"/>
              <w:tr2bl w:val="nil"/>
            </w:tcBorders>
            <w:vAlign w:val="center"/>
          </w:tcPr>
          <w:p>
            <w:pPr>
              <w:pStyle w:val="17"/>
              <w:bidi w:val="0"/>
              <w:rPr>
                <w:rFonts w:hint="default"/>
              </w:rPr>
            </w:pPr>
            <w:r>
              <w:rPr>
                <w:rFonts w:hint="default"/>
              </w:rPr>
              <w:t>施</w:t>
            </w:r>
          </w:p>
          <w:p>
            <w:pPr>
              <w:pStyle w:val="17"/>
              <w:bidi w:val="0"/>
              <w:rPr>
                <w:rFonts w:hint="default"/>
              </w:rPr>
            </w:pPr>
            <w:r>
              <w:rPr>
                <w:rFonts w:hint="default"/>
              </w:rPr>
              <w:t>工</w:t>
            </w:r>
          </w:p>
          <w:p>
            <w:pPr>
              <w:pStyle w:val="17"/>
              <w:bidi w:val="0"/>
              <w:rPr>
                <w:rFonts w:hint="default"/>
              </w:rPr>
            </w:pPr>
            <w:r>
              <w:rPr>
                <w:rFonts w:hint="default"/>
              </w:rPr>
              <w:t>期</w:t>
            </w:r>
          </w:p>
        </w:tc>
        <w:tc>
          <w:tcPr>
            <w:tcW w:w="5635" w:type="dxa"/>
            <w:gridSpan w:val="2"/>
            <w:tcBorders>
              <w:tl2br w:val="nil"/>
              <w:tr2bl w:val="nil"/>
            </w:tcBorders>
            <w:vAlign w:val="center"/>
          </w:tcPr>
          <w:p>
            <w:pPr>
              <w:pStyle w:val="17"/>
              <w:bidi w:val="0"/>
              <w:rPr>
                <w:rFonts w:hint="default"/>
              </w:rPr>
            </w:pPr>
            <w:r>
              <w:rPr>
                <w:rFonts w:hint="default"/>
              </w:rPr>
              <w:t>（1）注意控制施工现场对地面的扰动，减少扬尘；</w:t>
            </w:r>
          </w:p>
          <w:p>
            <w:pPr>
              <w:pStyle w:val="17"/>
              <w:bidi w:val="0"/>
              <w:rPr>
                <w:rFonts w:hint="default"/>
              </w:rPr>
            </w:pPr>
            <w:r>
              <w:rPr>
                <w:rFonts w:hint="default"/>
              </w:rPr>
              <w:t>（2）注意保护建场区已建成绿化；</w:t>
            </w:r>
          </w:p>
          <w:p>
            <w:pPr>
              <w:pStyle w:val="17"/>
              <w:bidi w:val="0"/>
              <w:rPr>
                <w:rFonts w:hint="default"/>
              </w:rPr>
            </w:pPr>
            <w:r>
              <w:rPr>
                <w:rFonts w:hint="default"/>
              </w:rPr>
              <w:t>（3）加强施工管理，禁止现场随意乱排生活污水；</w:t>
            </w:r>
          </w:p>
          <w:p>
            <w:pPr>
              <w:pStyle w:val="17"/>
              <w:bidi w:val="0"/>
              <w:rPr>
                <w:rFonts w:hint="default"/>
              </w:rPr>
            </w:pPr>
            <w:r>
              <w:rPr>
                <w:rFonts w:hint="default"/>
              </w:rPr>
              <w:t>（4）施工完毕及时清理现场垃圾；</w:t>
            </w:r>
          </w:p>
          <w:p>
            <w:pPr>
              <w:pStyle w:val="17"/>
              <w:bidi w:val="0"/>
              <w:rPr>
                <w:rFonts w:hint="default"/>
              </w:rPr>
            </w:pPr>
            <w:r>
              <w:rPr>
                <w:rFonts w:hint="default"/>
              </w:rPr>
              <w:t>（5）环保投资、环保措施</w:t>
            </w:r>
            <w:r>
              <w:rPr>
                <w:rFonts w:hint="eastAsia"/>
                <w:lang w:eastAsia="zh-CN"/>
              </w:rPr>
              <w:t>“</w:t>
            </w:r>
            <w:r>
              <w:rPr>
                <w:rFonts w:hint="default"/>
              </w:rPr>
              <w:t>三同时</w:t>
            </w:r>
            <w:r>
              <w:rPr>
                <w:rFonts w:hint="eastAsia"/>
                <w:lang w:eastAsia="zh-CN"/>
              </w:rPr>
              <w:t>”</w:t>
            </w:r>
            <w:r>
              <w:rPr>
                <w:rFonts w:hint="default"/>
              </w:rPr>
              <w:t>。</w:t>
            </w:r>
          </w:p>
        </w:tc>
        <w:tc>
          <w:tcPr>
            <w:tcW w:w="1293" w:type="dxa"/>
            <w:tcBorders>
              <w:tl2br w:val="nil"/>
              <w:tr2bl w:val="nil"/>
            </w:tcBorders>
            <w:vAlign w:val="center"/>
          </w:tcPr>
          <w:p>
            <w:pPr>
              <w:pStyle w:val="17"/>
              <w:bidi w:val="0"/>
              <w:rPr>
                <w:rFonts w:hint="default"/>
              </w:rPr>
            </w:pPr>
            <w:r>
              <w:rPr>
                <w:rFonts w:hint="default"/>
              </w:rPr>
              <w:t>施工单位</w:t>
            </w:r>
          </w:p>
          <w:p>
            <w:pPr>
              <w:pStyle w:val="17"/>
              <w:bidi w:val="0"/>
              <w:rPr>
                <w:rFonts w:hint="default"/>
              </w:rPr>
            </w:pPr>
            <w:r>
              <w:rPr>
                <w:rFonts w:hint="default"/>
              </w:rPr>
              <w:t>建设单位</w:t>
            </w:r>
          </w:p>
        </w:tc>
        <w:tc>
          <w:tcPr>
            <w:tcW w:w="1200" w:type="dxa"/>
            <w:vMerge w:val="restart"/>
            <w:tcBorders>
              <w:tl2br w:val="nil"/>
              <w:tr2bl w:val="nil"/>
            </w:tcBorders>
            <w:vAlign w:val="center"/>
          </w:tcPr>
          <w:p>
            <w:pPr>
              <w:pStyle w:val="17"/>
              <w:bidi w:val="0"/>
              <w:rPr>
                <w:rFonts w:hint="default"/>
              </w:rPr>
            </w:pPr>
            <w:r>
              <w:rPr>
                <w:rFonts w:hint="eastAsia"/>
                <w:lang w:eastAsia="zh-CN"/>
              </w:rPr>
              <w:t>吉木萨尔县</w:t>
            </w:r>
            <w:r>
              <w:rPr>
                <w:rFonts w:hint="default"/>
              </w:rPr>
              <w:t>生态环境局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43" w:type="dxa"/>
            <w:vMerge w:val="restart"/>
            <w:tcBorders>
              <w:tl2br w:val="nil"/>
              <w:tr2bl w:val="nil"/>
            </w:tcBorders>
            <w:vAlign w:val="center"/>
          </w:tcPr>
          <w:p>
            <w:pPr>
              <w:pStyle w:val="17"/>
              <w:bidi w:val="0"/>
              <w:rPr>
                <w:rFonts w:hint="default"/>
              </w:rPr>
            </w:pPr>
            <w:r>
              <w:rPr>
                <w:rFonts w:hint="default"/>
              </w:rPr>
              <w:t>运</w:t>
            </w:r>
          </w:p>
          <w:p>
            <w:pPr>
              <w:pStyle w:val="17"/>
              <w:bidi w:val="0"/>
              <w:rPr>
                <w:rFonts w:hint="default"/>
              </w:rPr>
            </w:pPr>
            <w:r>
              <w:rPr>
                <w:rFonts w:hint="default"/>
              </w:rPr>
              <w:t>营</w:t>
            </w:r>
          </w:p>
          <w:p>
            <w:pPr>
              <w:pStyle w:val="17"/>
              <w:bidi w:val="0"/>
              <w:rPr>
                <w:rFonts w:hint="default"/>
              </w:rPr>
            </w:pPr>
            <w:r>
              <w:rPr>
                <w:rFonts w:hint="default"/>
              </w:rPr>
              <w:t>期</w:t>
            </w:r>
          </w:p>
        </w:tc>
        <w:tc>
          <w:tcPr>
            <w:tcW w:w="1192" w:type="dxa"/>
            <w:tcBorders>
              <w:tl2br w:val="nil"/>
              <w:tr2bl w:val="nil"/>
            </w:tcBorders>
            <w:vAlign w:val="center"/>
          </w:tcPr>
          <w:p>
            <w:pPr>
              <w:pStyle w:val="17"/>
              <w:bidi w:val="0"/>
              <w:rPr>
                <w:rFonts w:hint="default"/>
              </w:rPr>
            </w:pPr>
            <w:r>
              <w:rPr>
                <w:rFonts w:hint="default"/>
              </w:rPr>
              <w:t>废气治理</w:t>
            </w:r>
          </w:p>
        </w:tc>
        <w:tc>
          <w:tcPr>
            <w:tcW w:w="4443" w:type="dxa"/>
            <w:tcBorders>
              <w:tl2br w:val="nil"/>
              <w:tr2bl w:val="nil"/>
            </w:tcBorders>
            <w:vAlign w:val="center"/>
          </w:tcPr>
          <w:p>
            <w:pPr>
              <w:pStyle w:val="17"/>
              <w:bidi w:val="0"/>
              <w:rPr>
                <w:rFonts w:hint="default"/>
              </w:rPr>
            </w:pPr>
            <w:r>
              <w:rPr>
                <w:rFonts w:hint="default"/>
              </w:rPr>
              <w:t>①</w:t>
            </w:r>
            <w:r>
              <w:rPr>
                <w:rFonts w:hint="eastAsia"/>
                <w:lang w:val="en-US" w:eastAsia="zh-CN"/>
              </w:rPr>
              <w:t>喷淋除尘设备</w:t>
            </w:r>
            <w:r>
              <w:rPr>
                <w:rFonts w:hint="default"/>
              </w:rPr>
              <w:t>、等离子光氧一体机</w:t>
            </w:r>
            <w:r>
              <w:rPr>
                <w:rFonts w:hint="eastAsia"/>
                <w:lang w:val="en-US" w:eastAsia="zh-CN"/>
              </w:rPr>
              <w:t>+活性炭吸附</w:t>
            </w:r>
            <w:r>
              <w:rPr>
                <w:rFonts w:hint="default"/>
              </w:rPr>
              <w:t>处理设备装置正常运行，保证废气达标排放；</w:t>
            </w:r>
          </w:p>
          <w:p>
            <w:pPr>
              <w:pStyle w:val="17"/>
              <w:bidi w:val="0"/>
              <w:rPr>
                <w:rFonts w:hint="default"/>
              </w:rPr>
            </w:pPr>
            <w:r>
              <w:rPr>
                <w:rFonts w:hint="default"/>
              </w:rPr>
              <w:t>②定期对排气筒出口进行监测；</w:t>
            </w:r>
          </w:p>
        </w:tc>
        <w:tc>
          <w:tcPr>
            <w:tcW w:w="1293" w:type="dxa"/>
            <w:tcBorders>
              <w:tl2br w:val="nil"/>
              <w:tr2bl w:val="nil"/>
            </w:tcBorders>
            <w:vAlign w:val="center"/>
          </w:tcPr>
          <w:p>
            <w:pPr>
              <w:pStyle w:val="17"/>
              <w:bidi w:val="0"/>
              <w:rPr>
                <w:rFonts w:hint="default"/>
              </w:rPr>
            </w:pPr>
            <w:r>
              <w:rPr>
                <w:rFonts w:hint="default"/>
              </w:rPr>
              <w:t>建设单位</w:t>
            </w:r>
          </w:p>
        </w:tc>
        <w:tc>
          <w:tcPr>
            <w:tcW w:w="1200"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43" w:type="dxa"/>
            <w:vMerge w:val="continue"/>
            <w:tcBorders>
              <w:tl2br w:val="nil"/>
              <w:tr2bl w:val="nil"/>
            </w:tcBorders>
            <w:vAlign w:val="center"/>
          </w:tcPr>
          <w:p>
            <w:pPr>
              <w:pStyle w:val="17"/>
              <w:bidi w:val="0"/>
              <w:rPr>
                <w:rFonts w:hint="default"/>
              </w:rPr>
            </w:pPr>
          </w:p>
        </w:tc>
        <w:tc>
          <w:tcPr>
            <w:tcW w:w="1192" w:type="dxa"/>
            <w:tcBorders>
              <w:tl2br w:val="nil"/>
              <w:tr2bl w:val="nil"/>
            </w:tcBorders>
            <w:vAlign w:val="center"/>
          </w:tcPr>
          <w:p>
            <w:pPr>
              <w:pStyle w:val="17"/>
              <w:bidi w:val="0"/>
              <w:rPr>
                <w:rFonts w:hint="default"/>
              </w:rPr>
            </w:pPr>
            <w:r>
              <w:rPr>
                <w:rFonts w:hint="default"/>
              </w:rPr>
              <w:t>废水</w:t>
            </w:r>
          </w:p>
        </w:tc>
        <w:tc>
          <w:tcPr>
            <w:tcW w:w="4443" w:type="dxa"/>
            <w:tcBorders>
              <w:tl2br w:val="nil"/>
              <w:tr2bl w:val="nil"/>
            </w:tcBorders>
            <w:vAlign w:val="center"/>
          </w:tcPr>
          <w:p>
            <w:pPr>
              <w:pStyle w:val="17"/>
              <w:bidi w:val="0"/>
              <w:rPr>
                <w:rFonts w:hint="default"/>
              </w:rPr>
            </w:pPr>
            <w:r>
              <w:rPr>
                <w:rFonts w:hint="default"/>
              </w:rPr>
              <w:t>原料库房、沉淀池、冷却池进行防渗措施，生产过程中的清洗废水、冷却废水全部进行循环利用，不外排</w:t>
            </w:r>
          </w:p>
        </w:tc>
        <w:tc>
          <w:tcPr>
            <w:tcW w:w="1293" w:type="dxa"/>
            <w:tcBorders>
              <w:tl2br w:val="nil"/>
              <w:tr2bl w:val="nil"/>
            </w:tcBorders>
            <w:vAlign w:val="center"/>
          </w:tcPr>
          <w:p>
            <w:pPr>
              <w:pStyle w:val="17"/>
              <w:bidi w:val="0"/>
              <w:rPr>
                <w:rFonts w:hint="default"/>
              </w:rPr>
            </w:pPr>
            <w:r>
              <w:rPr>
                <w:rFonts w:hint="default"/>
              </w:rPr>
              <w:t>建设单位</w:t>
            </w:r>
          </w:p>
        </w:tc>
        <w:tc>
          <w:tcPr>
            <w:tcW w:w="1200"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43" w:type="dxa"/>
            <w:vMerge w:val="continue"/>
            <w:tcBorders>
              <w:tl2br w:val="nil"/>
              <w:tr2bl w:val="nil"/>
            </w:tcBorders>
            <w:vAlign w:val="center"/>
          </w:tcPr>
          <w:p>
            <w:pPr>
              <w:pStyle w:val="17"/>
              <w:bidi w:val="0"/>
              <w:rPr>
                <w:rFonts w:hint="default"/>
              </w:rPr>
            </w:pPr>
          </w:p>
        </w:tc>
        <w:tc>
          <w:tcPr>
            <w:tcW w:w="1192" w:type="dxa"/>
            <w:tcBorders>
              <w:tl2br w:val="nil"/>
              <w:tr2bl w:val="nil"/>
            </w:tcBorders>
            <w:vAlign w:val="center"/>
          </w:tcPr>
          <w:p>
            <w:pPr>
              <w:pStyle w:val="17"/>
              <w:bidi w:val="0"/>
              <w:rPr>
                <w:rFonts w:hint="default"/>
              </w:rPr>
            </w:pPr>
            <w:r>
              <w:rPr>
                <w:rFonts w:hint="default"/>
              </w:rPr>
              <w:t>噪声</w:t>
            </w:r>
          </w:p>
        </w:tc>
        <w:tc>
          <w:tcPr>
            <w:tcW w:w="4443" w:type="dxa"/>
            <w:tcBorders>
              <w:tl2br w:val="nil"/>
              <w:tr2bl w:val="nil"/>
            </w:tcBorders>
            <w:vAlign w:val="center"/>
          </w:tcPr>
          <w:p>
            <w:pPr>
              <w:pStyle w:val="17"/>
              <w:bidi w:val="0"/>
              <w:rPr>
                <w:rFonts w:hint="default"/>
              </w:rPr>
            </w:pPr>
            <w:r>
              <w:rPr>
                <w:rFonts w:hint="default"/>
              </w:rPr>
              <w:t>①选用低噪声设备及必要的隔声、减震措施；</w:t>
            </w:r>
          </w:p>
          <w:p>
            <w:pPr>
              <w:pStyle w:val="17"/>
              <w:bidi w:val="0"/>
              <w:rPr>
                <w:rFonts w:hint="default"/>
              </w:rPr>
            </w:pPr>
            <w:r>
              <w:rPr>
                <w:rFonts w:hint="default"/>
              </w:rPr>
              <w:t>②保持设备良好的运营工况，及时维修检修。</w:t>
            </w:r>
          </w:p>
        </w:tc>
        <w:tc>
          <w:tcPr>
            <w:tcW w:w="1293" w:type="dxa"/>
            <w:tcBorders>
              <w:tl2br w:val="nil"/>
              <w:tr2bl w:val="nil"/>
            </w:tcBorders>
            <w:vAlign w:val="center"/>
          </w:tcPr>
          <w:p>
            <w:pPr>
              <w:pStyle w:val="17"/>
              <w:bidi w:val="0"/>
              <w:rPr>
                <w:rFonts w:hint="default"/>
              </w:rPr>
            </w:pPr>
            <w:r>
              <w:rPr>
                <w:rFonts w:hint="default"/>
              </w:rPr>
              <w:t>建设单位</w:t>
            </w:r>
          </w:p>
        </w:tc>
        <w:tc>
          <w:tcPr>
            <w:tcW w:w="1200"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43" w:type="dxa"/>
            <w:vMerge w:val="continue"/>
            <w:tcBorders>
              <w:tl2br w:val="nil"/>
              <w:tr2bl w:val="nil"/>
            </w:tcBorders>
            <w:vAlign w:val="center"/>
          </w:tcPr>
          <w:p>
            <w:pPr>
              <w:pStyle w:val="17"/>
              <w:bidi w:val="0"/>
              <w:rPr>
                <w:rFonts w:hint="default"/>
              </w:rPr>
            </w:pPr>
          </w:p>
        </w:tc>
        <w:tc>
          <w:tcPr>
            <w:tcW w:w="1192" w:type="dxa"/>
            <w:tcBorders>
              <w:tl2br w:val="nil"/>
              <w:tr2bl w:val="nil"/>
            </w:tcBorders>
            <w:vAlign w:val="center"/>
          </w:tcPr>
          <w:p>
            <w:pPr>
              <w:pStyle w:val="17"/>
              <w:bidi w:val="0"/>
              <w:rPr>
                <w:rFonts w:hint="default"/>
              </w:rPr>
            </w:pPr>
            <w:r>
              <w:rPr>
                <w:rFonts w:hint="default"/>
              </w:rPr>
              <w:t>固体废物</w:t>
            </w:r>
          </w:p>
        </w:tc>
        <w:tc>
          <w:tcPr>
            <w:tcW w:w="4443" w:type="dxa"/>
            <w:tcBorders>
              <w:tl2br w:val="nil"/>
              <w:tr2bl w:val="nil"/>
            </w:tcBorders>
            <w:vAlign w:val="center"/>
          </w:tcPr>
          <w:p>
            <w:pPr>
              <w:pStyle w:val="17"/>
              <w:bidi w:val="0"/>
              <w:rPr>
                <w:rFonts w:hint="default"/>
              </w:rPr>
            </w:pPr>
            <w:r>
              <w:rPr>
                <w:rFonts w:hint="default"/>
              </w:rPr>
              <w:t>生活垃圾收集桶（箱）</w:t>
            </w:r>
          </w:p>
        </w:tc>
        <w:tc>
          <w:tcPr>
            <w:tcW w:w="1293" w:type="dxa"/>
            <w:tcBorders>
              <w:tl2br w:val="nil"/>
              <w:tr2bl w:val="nil"/>
            </w:tcBorders>
            <w:vAlign w:val="center"/>
          </w:tcPr>
          <w:p>
            <w:pPr>
              <w:pStyle w:val="17"/>
              <w:bidi w:val="0"/>
              <w:rPr>
                <w:rFonts w:hint="default"/>
              </w:rPr>
            </w:pPr>
            <w:r>
              <w:rPr>
                <w:rFonts w:hint="default"/>
              </w:rPr>
              <w:t>建设单位</w:t>
            </w:r>
          </w:p>
        </w:tc>
        <w:tc>
          <w:tcPr>
            <w:tcW w:w="1200"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43" w:type="dxa"/>
            <w:vMerge w:val="continue"/>
            <w:tcBorders>
              <w:tl2br w:val="nil"/>
              <w:tr2bl w:val="nil"/>
            </w:tcBorders>
            <w:vAlign w:val="center"/>
          </w:tcPr>
          <w:p>
            <w:pPr>
              <w:pStyle w:val="17"/>
              <w:bidi w:val="0"/>
              <w:rPr>
                <w:rFonts w:hint="default"/>
              </w:rPr>
            </w:pPr>
          </w:p>
        </w:tc>
        <w:tc>
          <w:tcPr>
            <w:tcW w:w="1192" w:type="dxa"/>
            <w:tcBorders>
              <w:tl2br w:val="nil"/>
              <w:tr2bl w:val="nil"/>
            </w:tcBorders>
            <w:vAlign w:val="center"/>
          </w:tcPr>
          <w:p>
            <w:pPr>
              <w:pStyle w:val="17"/>
              <w:bidi w:val="0"/>
              <w:rPr>
                <w:rFonts w:hint="default"/>
              </w:rPr>
            </w:pPr>
            <w:r>
              <w:rPr>
                <w:rFonts w:hint="default"/>
              </w:rPr>
              <w:t>生态保护</w:t>
            </w:r>
          </w:p>
        </w:tc>
        <w:tc>
          <w:tcPr>
            <w:tcW w:w="4443" w:type="dxa"/>
            <w:tcBorders>
              <w:tl2br w:val="nil"/>
              <w:tr2bl w:val="nil"/>
            </w:tcBorders>
            <w:vAlign w:val="center"/>
          </w:tcPr>
          <w:p>
            <w:pPr>
              <w:pStyle w:val="17"/>
              <w:bidi w:val="0"/>
              <w:rPr>
                <w:rFonts w:hint="default"/>
              </w:rPr>
            </w:pPr>
            <w:r>
              <w:rPr>
                <w:rFonts w:hint="default"/>
              </w:rPr>
              <w:t>加强场区及外围绿化，场区绿化系数达到</w:t>
            </w:r>
            <w:r>
              <w:rPr>
                <w:rFonts w:hint="eastAsia"/>
                <w:lang w:val="en-US" w:eastAsia="zh-CN"/>
              </w:rPr>
              <w:t>32.81</w:t>
            </w:r>
            <w:r>
              <w:rPr>
                <w:rFonts w:hint="default"/>
              </w:rPr>
              <w:t>%的要求及生态补偿。</w:t>
            </w:r>
          </w:p>
        </w:tc>
        <w:tc>
          <w:tcPr>
            <w:tcW w:w="1293" w:type="dxa"/>
            <w:tcBorders>
              <w:tl2br w:val="nil"/>
              <w:tr2bl w:val="nil"/>
            </w:tcBorders>
            <w:vAlign w:val="center"/>
          </w:tcPr>
          <w:p>
            <w:pPr>
              <w:pStyle w:val="17"/>
              <w:bidi w:val="0"/>
              <w:rPr>
                <w:rFonts w:hint="default"/>
              </w:rPr>
            </w:pPr>
            <w:r>
              <w:rPr>
                <w:rFonts w:hint="default"/>
              </w:rPr>
              <w:t>建设单位</w:t>
            </w:r>
          </w:p>
        </w:tc>
        <w:tc>
          <w:tcPr>
            <w:tcW w:w="1200"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43" w:type="dxa"/>
            <w:vMerge w:val="continue"/>
            <w:tcBorders>
              <w:tl2br w:val="nil"/>
              <w:tr2bl w:val="nil"/>
            </w:tcBorders>
            <w:vAlign w:val="center"/>
          </w:tcPr>
          <w:p>
            <w:pPr>
              <w:pStyle w:val="17"/>
              <w:bidi w:val="0"/>
              <w:rPr>
                <w:rFonts w:hint="default"/>
              </w:rPr>
            </w:pPr>
          </w:p>
        </w:tc>
        <w:tc>
          <w:tcPr>
            <w:tcW w:w="1192" w:type="dxa"/>
            <w:tcBorders>
              <w:tl2br w:val="nil"/>
              <w:tr2bl w:val="nil"/>
            </w:tcBorders>
            <w:vAlign w:val="center"/>
          </w:tcPr>
          <w:p>
            <w:pPr>
              <w:pStyle w:val="17"/>
              <w:bidi w:val="0"/>
              <w:rPr>
                <w:rFonts w:hint="default"/>
              </w:rPr>
            </w:pPr>
            <w:r>
              <w:rPr>
                <w:rFonts w:hint="default"/>
              </w:rPr>
              <w:t>环境管理</w:t>
            </w:r>
          </w:p>
        </w:tc>
        <w:tc>
          <w:tcPr>
            <w:tcW w:w="4443" w:type="dxa"/>
            <w:tcBorders>
              <w:tl2br w:val="nil"/>
              <w:tr2bl w:val="nil"/>
            </w:tcBorders>
            <w:vAlign w:val="center"/>
          </w:tcPr>
          <w:p>
            <w:pPr>
              <w:pStyle w:val="17"/>
              <w:bidi w:val="0"/>
              <w:rPr>
                <w:rFonts w:hint="default"/>
              </w:rPr>
            </w:pPr>
            <w:r>
              <w:rPr>
                <w:rFonts w:hint="default"/>
              </w:rPr>
              <w:t>建立经常性环境监测制度，完善厂、工段、班组环保机构及环境目标管理。</w:t>
            </w:r>
          </w:p>
        </w:tc>
        <w:tc>
          <w:tcPr>
            <w:tcW w:w="1293" w:type="dxa"/>
            <w:tcBorders>
              <w:tl2br w:val="nil"/>
              <w:tr2bl w:val="nil"/>
            </w:tcBorders>
            <w:vAlign w:val="center"/>
          </w:tcPr>
          <w:p>
            <w:pPr>
              <w:pStyle w:val="17"/>
              <w:bidi w:val="0"/>
              <w:rPr>
                <w:rFonts w:hint="default"/>
              </w:rPr>
            </w:pPr>
            <w:r>
              <w:rPr>
                <w:rFonts w:hint="default"/>
              </w:rPr>
              <w:t>建设单位</w:t>
            </w:r>
          </w:p>
        </w:tc>
        <w:tc>
          <w:tcPr>
            <w:tcW w:w="1200" w:type="dxa"/>
            <w:vMerge w:val="continue"/>
            <w:tcBorders>
              <w:tl2br w:val="nil"/>
              <w:tr2bl w:val="nil"/>
            </w:tcBorders>
            <w:vAlign w:val="center"/>
          </w:tcPr>
          <w:p>
            <w:pPr>
              <w:pStyle w:val="17"/>
              <w:bidi w:val="0"/>
              <w:rPr>
                <w:rFonts w:hint="default"/>
              </w:rPr>
            </w:pPr>
          </w:p>
        </w:tc>
      </w:tr>
    </w:tbl>
    <w:p>
      <w:pPr>
        <w:pStyle w:val="5"/>
        <w:bidi w:val="0"/>
        <w:rPr>
          <w:rFonts w:hint="default"/>
        </w:rPr>
      </w:pPr>
      <w:bookmarkStart w:id="413" w:name="_Toc9378"/>
      <w:r>
        <w:rPr>
          <w:rFonts w:hint="default"/>
        </w:rPr>
        <w:t>9.3.3</w:t>
      </w:r>
      <w:r>
        <w:rPr>
          <w:rFonts w:hint="eastAsia"/>
          <w:lang w:eastAsia="zh-CN"/>
        </w:rPr>
        <w:t>、</w:t>
      </w:r>
      <w:r>
        <w:rPr>
          <w:rFonts w:hint="default"/>
        </w:rPr>
        <w:t>污染源监测计划</w:t>
      </w:r>
      <w:bookmarkEnd w:id="413"/>
    </w:p>
    <w:p>
      <w:pPr>
        <w:bidi w:val="0"/>
        <w:rPr>
          <w:rFonts w:hint="default"/>
        </w:rPr>
      </w:pPr>
      <w:r>
        <w:rPr>
          <w:rFonts w:hint="default"/>
        </w:rPr>
        <w:t>（1）废气污染源监测</w:t>
      </w:r>
    </w:p>
    <w:p>
      <w:pPr>
        <w:bidi w:val="0"/>
        <w:rPr>
          <w:rFonts w:hint="default"/>
        </w:rPr>
      </w:pPr>
      <w:r>
        <w:rPr>
          <w:rFonts w:hint="default"/>
        </w:rPr>
        <w:t>① 有组织排放</w:t>
      </w:r>
    </w:p>
    <w:p>
      <w:pPr>
        <w:bidi w:val="0"/>
        <w:rPr>
          <w:rFonts w:hint="default"/>
        </w:rPr>
      </w:pPr>
      <w:r>
        <w:rPr>
          <w:rFonts w:hint="default"/>
        </w:rPr>
        <w:t>监测点：各排气筒采样口。</w:t>
      </w:r>
    </w:p>
    <w:p>
      <w:pPr>
        <w:bidi w:val="0"/>
        <w:rPr>
          <w:rFonts w:hint="default"/>
        </w:rPr>
      </w:pPr>
      <w:r>
        <w:rPr>
          <w:rFonts w:hint="default"/>
        </w:rPr>
        <w:t>监测频次：每半年监测一次。</w:t>
      </w:r>
    </w:p>
    <w:p>
      <w:pPr>
        <w:bidi w:val="0"/>
        <w:rPr>
          <w:rFonts w:hint="default"/>
        </w:rPr>
      </w:pPr>
      <w:r>
        <w:rPr>
          <w:rFonts w:hint="default"/>
        </w:rPr>
        <w:t>监测项目：非甲烷总烃。</w:t>
      </w:r>
    </w:p>
    <w:p>
      <w:pPr>
        <w:bidi w:val="0"/>
        <w:rPr>
          <w:rFonts w:hint="default"/>
        </w:rPr>
      </w:pPr>
      <w:r>
        <w:rPr>
          <w:rFonts w:hint="default"/>
        </w:rPr>
        <w:t>② 无组织排放</w:t>
      </w:r>
    </w:p>
    <w:p>
      <w:pPr>
        <w:bidi w:val="0"/>
        <w:rPr>
          <w:rFonts w:hint="default"/>
        </w:rPr>
      </w:pPr>
      <w:r>
        <w:rPr>
          <w:rFonts w:hint="default"/>
        </w:rPr>
        <w:t>监测点：厂址下风向。</w:t>
      </w:r>
    </w:p>
    <w:p>
      <w:pPr>
        <w:bidi w:val="0"/>
        <w:rPr>
          <w:rFonts w:hint="default"/>
        </w:rPr>
      </w:pPr>
      <w:r>
        <w:rPr>
          <w:rFonts w:hint="default"/>
        </w:rPr>
        <w:t>监测频次：每年一次。</w:t>
      </w:r>
    </w:p>
    <w:p>
      <w:pPr>
        <w:bidi w:val="0"/>
        <w:rPr>
          <w:rFonts w:hint="default"/>
        </w:rPr>
      </w:pPr>
      <w:r>
        <w:rPr>
          <w:rFonts w:hint="default"/>
        </w:rPr>
        <w:t>监测项目：非甲烷总烃、TSP、PM</w:t>
      </w:r>
      <w:r>
        <w:rPr>
          <w:rFonts w:hint="default"/>
          <w:vertAlign w:val="subscript"/>
        </w:rPr>
        <w:t>10</w:t>
      </w:r>
      <w:r>
        <w:rPr>
          <w:rFonts w:hint="default"/>
        </w:rPr>
        <w:t>。</w:t>
      </w:r>
    </w:p>
    <w:p>
      <w:pPr>
        <w:bidi w:val="0"/>
        <w:rPr>
          <w:rFonts w:hint="default"/>
        </w:rPr>
      </w:pPr>
      <w:r>
        <w:rPr>
          <w:rFonts w:hint="default"/>
        </w:rPr>
        <w:t>（2）噪声监测</w:t>
      </w:r>
    </w:p>
    <w:p>
      <w:pPr>
        <w:bidi w:val="0"/>
        <w:rPr>
          <w:rFonts w:hint="default"/>
        </w:rPr>
      </w:pPr>
      <w:r>
        <w:rPr>
          <w:rFonts w:hint="default"/>
        </w:rPr>
        <w:t>监测点：四周厂界外1m处。</w:t>
      </w:r>
    </w:p>
    <w:p>
      <w:pPr>
        <w:bidi w:val="0"/>
        <w:rPr>
          <w:rFonts w:hint="default"/>
        </w:rPr>
      </w:pPr>
      <w:r>
        <w:rPr>
          <w:rFonts w:hint="default"/>
        </w:rPr>
        <w:t>监测频次：每年一次。</w:t>
      </w:r>
    </w:p>
    <w:p>
      <w:pPr>
        <w:bidi w:val="0"/>
        <w:rPr>
          <w:rFonts w:hint="default"/>
        </w:rPr>
      </w:pPr>
      <w:r>
        <w:rPr>
          <w:rFonts w:hint="default"/>
        </w:rPr>
        <w:t>监测项目：等效连续A声级。</w:t>
      </w:r>
    </w:p>
    <w:p>
      <w:pPr>
        <w:bidi w:val="0"/>
        <w:rPr>
          <w:rFonts w:hint="eastAsia"/>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生活污水监测</w:t>
      </w:r>
    </w:p>
    <w:p>
      <w:pPr>
        <w:bidi w:val="0"/>
        <w:rPr>
          <w:rFonts w:hint="eastAsia"/>
          <w:lang w:val="en-US" w:eastAsia="zh-CN"/>
        </w:rPr>
      </w:pPr>
      <w:r>
        <w:rPr>
          <w:rFonts w:hint="eastAsia"/>
          <w:lang w:val="en-US" w:eastAsia="zh-CN"/>
        </w:rPr>
        <w:t>监测点：厂区总排口</w:t>
      </w:r>
    </w:p>
    <w:p>
      <w:pPr>
        <w:bidi w:val="0"/>
        <w:rPr>
          <w:rFonts w:hint="eastAsia"/>
          <w:lang w:val="en-US" w:eastAsia="zh-CN"/>
        </w:rPr>
      </w:pPr>
      <w:r>
        <w:rPr>
          <w:rFonts w:hint="eastAsia"/>
          <w:lang w:val="en-US" w:eastAsia="zh-CN"/>
        </w:rPr>
        <w:t>监测频次：每年一次</w:t>
      </w:r>
    </w:p>
    <w:p>
      <w:pPr>
        <w:bidi w:val="0"/>
        <w:rPr>
          <w:rFonts w:hint="default"/>
          <w:lang w:val="en-US" w:eastAsia="zh-CN"/>
        </w:rPr>
      </w:pPr>
      <w:r>
        <w:rPr>
          <w:rFonts w:hint="eastAsia"/>
          <w:lang w:val="en-US" w:eastAsia="zh-CN"/>
        </w:rPr>
        <w:t>监测项目：流量、COD、BOD</w:t>
      </w:r>
      <w:r>
        <w:rPr>
          <w:rFonts w:hint="eastAsia"/>
          <w:vertAlign w:val="subscript"/>
          <w:lang w:val="en-US" w:eastAsia="zh-CN"/>
        </w:rPr>
        <w:t>5</w:t>
      </w:r>
      <w:r>
        <w:rPr>
          <w:rFonts w:hint="eastAsia"/>
          <w:lang w:val="en-US" w:eastAsia="zh-CN"/>
        </w:rPr>
        <w:t>、SS、氨氮、动植物油、总氮、总磷</w:t>
      </w:r>
    </w:p>
    <w:p>
      <w:pPr>
        <w:pStyle w:val="5"/>
        <w:bidi w:val="0"/>
        <w:rPr>
          <w:rFonts w:hint="default"/>
        </w:rPr>
      </w:pPr>
      <w:bookmarkStart w:id="414" w:name="_Toc4205"/>
      <w:r>
        <w:rPr>
          <w:rFonts w:hint="default"/>
        </w:rPr>
        <w:t>9.3.4</w:t>
      </w:r>
      <w:r>
        <w:rPr>
          <w:rFonts w:hint="eastAsia"/>
          <w:lang w:eastAsia="zh-CN"/>
        </w:rPr>
        <w:t>、</w:t>
      </w:r>
      <w:r>
        <w:rPr>
          <w:rFonts w:hint="default"/>
        </w:rPr>
        <w:t>环境质量监测计划</w:t>
      </w:r>
      <w:bookmarkEnd w:id="414"/>
    </w:p>
    <w:p>
      <w:pPr>
        <w:bidi w:val="0"/>
        <w:rPr>
          <w:rFonts w:hint="default"/>
        </w:rPr>
      </w:pPr>
      <w:r>
        <w:rPr>
          <w:rFonts w:hint="default"/>
        </w:rPr>
        <w:t>根据项目特点，结合区域环境保护目标分布情况，制定环境质量监测计划如下：</w:t>
      </w:r>
    </w:p>
    <w:p>
      <w:pPr>
        <w:bidi w:val="0"/>
        <w:rPr>
          <w:rFonts w:hint="default"/>
        </w:rPr>
      </w:pPr>
      <w:r>
        <w:rPr>
          <w:rFonts w:hint="default"/>
        </w:rPr>
        <w:t>监测点：同现状监测点位。</w:t>
      </w:r>
    </w:p>
    <w:p>
      <w:pPr>
        <w:bidi w:val="0"/>
        <w:rPr>
          <w:rFonts w:hint="default"/>
        </w:rPr>
      </w:pPr>
      <w:r>
        <w:rPr>
          <w:rFonts w:hint="default"/>
        </w:rPr>
        <w:t>监测频次：每年一次。</w:t>
      </w:r>
    </w:p>
    <w:p>
      <w:pPr>
        <w:bidi w:val="0"/>
        <w:rPr>
          <w:rFonts w:hint="default"/>
        </w:rPr>
      </w:pPr>
      <w:r>
        <w:rPr>
          <w:rFonts w:hint="default"/>
        </w:rPr>
        <w:t>监测项目：非甲烷总烃、TSP、PM</w:t>
      </w:r>
      <w:r>
        <w:rPr>
          <w:rFonts w:hint="default"/>
          <w:vertAlign w:val="subscript"/>
        </w:rPr>
        <w:t>10</w:t>
      </w:r>
      <w:r>
        <w:rPr>
          <w:rFonts w:hint="default"/>
        </w:rPr>
        <w:t>。</w:t>
      </w:r>
    </w:p>
    <w:p>
      <w:pPr>
        <w:pStyle w:val="5"/>
        <w:bidi w:val="0"/>
        <w:rPr>
          <w:rFonts w:hint="default"/>
        </w:rPr>
      </w:pPr>
      <w:bookmarkStart w:id="415" w:name="_Toc11651"/>
      <w:r>
        <w:rPr>
          <w:rFonts w:hint="default"/>
        </w:rPr>
        <w:t>9.3.5</w:t>
      </w:r>
      <w:r>
        <w:rPr>
          <w:rFonts w:hint="eastAsia"/>
          <w:lang w:eastAsia="zh-CN"/>
        </w:rPr>
        <w:t>、</w:t>
      </w:r>
      <w:r>
        <w:rPr>
          <w:rFonts w:hint="default"/>
        </w:rPr>
        <w:t>信息记录和报告</w:t>
      </w:r>
      <w:bookmarkEnd w:id="415"/>
    </w:p>
    <w:p>
      <w:pPr>
        <w:bidi w:val="0"/>
        <w:rPr>
          <w:rFonts w:hint="default"/>
        </w:rPr>
      </w:pPr>
      <w:r>
        <w:rPr>
          <w:rFonts w:hint="default"/>
        </w:rPr>
        <w:t>（1）手工监测的记录</w:t>
      </w:r>
    </w:p>
    <w:p>
      <w:pPr>
        <w:bidi w:val="0"/>
        <w:rPr>
          <w:rFonts w:hint="default"/>
        </w:rPr>
      </w:pPr>
      <w:r>
        <w:rPr>
          <w:rFonts w:hint="default"/>
        </w:rPr>
        <w:t>采样记录：采样日期、采样时间、采样点位、混合取样的样品数量、采样器名称、采样人姓名等；样品保存和交接：样品保存方式、样品传输交接记录；样品分析记录：分析日期、样品处理方式、分析方法、质控措施、分析结果、分析人姓名等；质控记录：质控结果报告单。</w:t>
      </w:r>
    </w:p>
    <w:p>
      <w:pPr>
        <w:bidi w:val="0"/>
        <w:rPr>
          <w:rFonts w:hint="default"/>
        </w:rPr>
      </w:pPr>
      <w:r>
        <w:rPr>
          <w:rFonts w:hint="default"/>
        </w:rPr>
        <w:t>（2）自动监测运维记录</w:t>
      </w:r>
    </w:p>
    <w:p>
      <w:pPr>
        <w:bidi w:val="0"/>
        <w:rPr>
          <w:rFonts w:hint="default"/>
        </w:rPr>
      </w:pPr>
      <w:r>
        <w:rPr>
          <w:rFonts w:hint="default"/>
        </w:rPr>
        <w:t>包括自动监测系统运行状况、系统辅助设备运行状况、系统校准、校验工作等；仪器说明书及相关标准规范中规定的其他检查项目；校准、维护保养、维修记录等。</w:t>
      </w:r>
    </w:p>
    <w:p>
      <w:pPr>
        <w:bidi w:val="0"/>
        <w:rPr>
          <w:rFonts w:hint="default"/>
        </w:rPr>
      </w:pPr>
      <w:r>
        <w:rPr>
          <w:rFonts w:hint="default"/>
        </w:rPr>
        <w:t>（3）生产和污染治理设施运行状况</w:t>
      </w:r>
    </w:p>
    <w:p>
      <w:pPr>
        <w:bidi w:val="0"/>
        <w:rPr>
          <w:rFonts w:hint="default"/>
        </w:rPr>
      </w:pPr>
      <w:r>
        <w:rPr>
          <w:rFonts w:hint="default"/>
        </w:rPr>
        <w:t>记录监测期间企业及各主要生产设施（至少涵盖废气主要污染源相关生产设施）运行状况（包括停机、启动情况）、取水量、污染治理设施主要运行状态参数等。日常生产中上述信息也需整理成台账保存备查。</w:t>
      </w:r>
    </w:p>
    <w:p>
      <w:pPr>
        <w:bidi w:val="0"/>
        <w:rPr>
          <w:rFonts w:hint="default"/>
        </w:rPr>
      </w:pPr>
      <w:r>
        <w:rPr>
          <w:rFonts w:hint="default"/>
        </w:rPr>
        <w:t>（4）固体废物产生与处理状况</w:t>
      </w:r>
    </w:p>
    <w:p>
      <w:pPr>
        <w:bidi w:val="0"/>
        <w:rPr>
          <w:rFonts w:hint="default"/>
        </w:rPr>
      </w:pPr>
      <w:r>
        <w:rPr>
          <w:rFonts w:hint="default"/>
        </w:rPr>
        <w:t>记录监测期间各类固体废物产生量、综合利用量、处置量、贮存量、倾倒丢弃量。</w:t>
      </w:r>
    </w:p>
    <w:p>
      <w:pPr>
        <w:pStyle w:val="5"/>
        <w:bidi w:val="0"/>
        <w:rPr>
          <w:rFonts w:hint="default"/>
        </w:rPr>
      </w:pPr>
      <w:bookmarkStart w:id="416" w:name="_Toc13327"/>
      <w:r>
        <w:rPr>
          <w:rFonts w:hint="default"/>
        </w:rPr>
        <w:t>9.3.6</w:t>
      </w:r>
      <w:r>
        <w:rPr>
          <w:rFonts w:hint="eastAsia"/>
          <w:lang w:eastAsia="zh-CN"/>
        </w:rPr>
        <w:t>、</w:t>
      </w:r>
      <w:r>
        <w:rPr>
          <w:rFonts w:hint="default"/>
        </w:rPr>
        <w:t>信息报告</w:t>
      </w:r>
      <w:bookmarkEnd w:id="416"/>
    </w:p>
    <w:p>
      <w:pPr>
        <w:bidi w:val="0"/>
        <w:rPr>
          <w:rFonts w:hint="default"/>
        </w:rPr>
      </w:pPr>
      <w:r>
        <w:rPr>
          <w:rFonts w:hint="default"/>
        </w:rPr>
        <w:t>排污单位应编写自行监测年度报告，年度报告至少应包含以下内容：</w:t>
      </w:r>
    </w:p>
    <w:p>
      <w:pPr>
        <w:bidi w:val="0"/>
        <w:rPr>
          <w:rFonts w:hint="default"/>
        </w:rPr>
      </w:pPr>
      <w:r>
        <w:rPr>
          <w:rFonts w:hint="default"/>
        </w:rPr>
        <w:t>① 监测方案的调整变化情况及变更原因；</w:t>
      </w:r>
    </w:p>
    <w:p>
      <w:pPr>
        <w:bidi w:val="0"/>
        <w:rPr>
          <w:rFonts w:hint="default"/>
        </w:rPr>
      </w:pPr>
      <w:r>
        <w:rPr>
          <w:rFonts w:hint="default"/>
        </w:rPr>
        <w:t>② 企业及各主要生产设施（至少涵盖废气主要污染源相关生产设施）全年运行天数；</w:t>
      </w:r>
    </w:p>
    <w:p>
      <w:pPr>
        <w:bidi w:val="0"/>
        <w:rPr>
          <w:rFonts w:hint="default"/>
        </w:rPr>
      </w:pPr>
      <w:r>
        <w:rPr>
          <w:rFonts w:hint="default"/>
        </w:rPr>
        <w:t>③ 各监测点、各监测指标全年监测次数、超标情况、浓度分布情况；</w:t>
      </w:r>
    </w:p>
    <w:p>
      <w:pPr>
        <w:bidi w:val="0"/>
        <w:rPr>
          <w:rFonts w:hint="default"/>
        </w:rPr>
      </w:pPr>
      <w:r>
        <w:rPr>
          <w:rFonts w:hint="default"/>
        </w:rPr>
        <w:t>④ 按要求开展的周边环境质量影响状况监测结果；</w:t>
      </w:r>
    </w:p>
    <w:p>
      <w:pPr>
        <w:bidi w:val="0"/>
        <w:rPr>
          <w:rFonts w:hint="default"/>
        </w:rPr>
      </w:pPr>
      <w:r>
        <w:rPr>
          <w:rFonts w:hint="default"/>
        </w:rPr>
        <w:t>⑤ 自行监测开展的其他情况说明；</w:t>
      </w:r>
    </w:p>
    <w:p>
      <w:pPr>
        <w:bidi w:val="0"/>
        <w:rPr>
          <w:rFonts w:hint="default"/>
        </w:rPr>
      </w:pPr>
      <w:r>
        <w:rPr>
          <w:rFonts w:hint="default"/>
        </w:rPr>
        <w:t>⑥ 排污单位实现达标排放所采取的主要措施。</w:t>
      </w:r>
    </w:p>
    <w:p>
      <w:pPr>
        <w:pStyle w:val="5"/>
        <w:bidi w:val="0"/>
        <w:rPr>
          <w:rFonts w:hint="default"/>
        </w:rPr>
      </w:pPr>
      <w:bookmarkStart w:id="417" w:name="_Toc18802"/>
      <w:r>
        <w:rPr>
          <w:rFonts w:hint="default"/>
        </w:rPr>
        <w:t>9.3.7</w:t>
      </w:r>
      <w:r>
        <w:rPr>
          <w:rFonts w:hint="eastAsia"/>
          <w:lang w:eastAsia="zh-CN"/>
        </w:rPr>
        <w:t>、</w:t>
      </w:r>
      <w:r>
        <w:rPr>
          <w:rFonts w:hint="default"/>
        </w:rPr>
        <w:t>信息公开</w:t>
      </w:r>
      <w:bookmarkEnd w:id="417"/>
    </w:p>
    <w:p>
      <w:pPr>
        <w:bidi w:val="0"/>
        <w:rPr>
          <w:rFonts w:hint="default"/>
        </w:rPr>
      </w:pPr>
      <w:r>
        <w:rPr>
          <w:rFonts w:hint="default"/>
        </w:rPr>
        <w:t>排污单位自行监测信息公开内容及方式按照《企业事业单位环境信息公开办法》（环境保护部令第31号）及《国家重点监控企业自行监测及信息公开办法（试行）》（环发〔2013〕81号）执行。非重点排污单位的信息公开要求由地方环境保护主管部门确定。</w:t>
      </w:r>
    </w:p>
    <w:p>
      <w:pPr>
        <w:pStyle w:val="4"/>
        <w:bidi w:val="0"/>
        <w:rPr>
          <w:rFonts w:hint="default"/>
        </w:rPr>
      </w:pPr>
      <w:bookmarkStart w:id="418" w:name="_Toc266108902"/>
      <w:bookmarkStart w:id="419" w:name="_Toc25687_WPSOffice_Level2"/>
      <w:bookmarkStart w:id="420" w:name="_Toc524431482"/>
      <w:bookmarkStart w:id="421" w:name="_Toc456651304"/>
      <w:bookmarkStart w:id="422" w:name="_Toc1766"/>
      <w:bookmarkStart w:id="423" w:name="_Toc264959695"/>
      <w:bookmarkStart w:id="424" w:name="_Toc16552"/>
      <w:bookmarkStart w:id="425" w:name="_Toc479687862"/>
      <w:bookmarkStart w:id="426" w:name="_Toc25128"/>
      <w:r>
        <w:rPr>
          <w:rFonts w:hint="default"/>
        </w:rPr>
        <w:t>9.4</w:t>
      </w:r>
      <w:bookmarkEnd w:id="418"/>
      <w:bookmarkEnd w:id="419"/>
      <w:bookmarkEnd w:id="420"/>
      <w:bookmarkEnd w:id="421"/>
      <w:bookmarkEnd w:id="422"/>
      <w:bookmarkEnd w:id="423"/>
      <w:bookmarkEnd w:id="424"/>
      <w:bookmarkEnd w:id="425"/>
      <w:r>
        <w:rPr>
          <w:rFonts w:hint="eastAsia"/>
          <w:lang w:eastAsia="zh-CN"/>
        </w:rPr>
        <w:t>、</w:t>
      </w:r>
      <w:r>
        <w:rPr>
          <w:rFonts w:hint="default"/>
        </w:rPr>
        <w:t>竣工验收管理</w:t>
      </w:r>
      <w:bookmarkEnd w:id="426"/>
    </w:p>
    <w:p>
      <w:pPr>
        <w:pStyle w:val="5"/>
        <w:bidi w:val="0"/>
        <w:rPr>
          <w:rFonts w:hint="default"/>
        </w:rPr>
      </w:pPr>
      <w:bookmarkStart w:id="427" w:name="_Toc287434044"/>
      <w:bookmarkStart w:id="428" w:name="_Toc287434246"/>
      <w:bookmarkStart w:id="429" w:name="_Toc287433174"/>
      <w:r>
        <w:rPr>
          <w:rFonts w:hint="default"/>
        </w:rPr>
        <w:t>9.4.1</w:t>
      </w:r>
      <w:r>
        <w:rPr>
          <w:rFonts w:hint="eastAsia"/>
          <w:lang w:eastAsia="zh-CN"/>
        </w:rPr>
        <w:t>、</w:t>
      </w:r>
      <w:r>
        <w:rPr>
          <w:rFonts w:hint="default"/>
        </w:rPr>
        <w:t>环保验收依据</w:t>
      </w:r>
      <w:bookmarkEnd w:id="427"/>
      <w:bookmarkEnd w:id="428"/>
      <w:bookmarkEnd w:id="429"/>
    </w:p>
    <w:p>
      <w:pPr>
        <w:bidi w:val="0"/>
        <w:rPr>
          <w:rFonts w:hint="default"/>
        </w:rPr>
      </w:pPr>
      <w:r>
        <w:rPr>
          <w:rFonts w:hint="default"/>
        </w:rPr>
        <w:t>本项目建成投产后，生产负荷达到验收条件，环保设施运行正常，并征得环境保护主管部门的同意，建设单位可以</w:t>
      </w:r>
      <w:r>
        <w:rPr>
          <w:rFonts w:hint="eastAsia"/>
          <w:lang w:val="en-US" w:eastAsia="zh-CN"/>
        </w:rPr>
        <w:t>自行主持</w:t>
      </w:r>
      <w:r>
        <w:rPr>
          <w:rFonts w:hint="default"/>
        </w:rPr>
        <w:t>环保验收。</w:t>
      </w:r>
    </w:p>
    <w:p>
      <w:pPr>
        <w:bidi w:val="0"/>
        <w:rPr>
          <w:rFonts w:hint="default"/>
        </w:rPr>
      </w:pPr>
      <w:r>
        <w:rPr>
          <w:rFonts w:hint="default"/>
        </w:rPr>
        <w:t>本项目验收主要依据以下几个方面：</w:t>
      </w:r>
    </w:p>
    <w:p>
      <w:pPr>
        <w:bidi w:val="0"/>
        <w:rPr>
          <w:rFonts w:hint="default"/>
        </w:rPr>
      </w:pPr>
      <w:r>
        <w:rPr>
          <w:rFonts w:hint="default"/>
        </w:rPr>
        <w:t>（1）项目可研、批复及设计文件确定的项目建设规模、内容、工艺方法及与建设项目有关的环保设施；</w:t>
      </w:r>
    </w:p>
    <w:p>
      <w:pPr>
        <w:bidi w:val="0"/>
        <w:rPr>
          <w:rFonts w:hint="default"/>
        </w:rPr>
      </w:pPr>
      <w:r>
        <w:rPr>
          <w:rFonts w:hint="default"/>
        </w:rPr>
        <w:t>（2）环境影响评价文件及其批复规定应采取的各项环境保护措施，以及污染物排放、敏感区域保护、总量控制等要求；</w:t>
      </w:r>
    </w:p>
    <w:p>
      <w:pPr>
        <w:bidi w:val="0"/>
        <w:rPr>
          <w:rFonts w:hint="default"/>
        </w:rPr>
      </w:pPr>
      <w:r>
        <w:rPr>
          <w:rFonts w:hint="default"/>
        </w:rPr>
        <w:t>（3）各级环境保护主管部门针对建设项目提出的具体环境保护要求文件；</w:t>
      </w:r>
    </w:p>
    <w:p>
      <w:pPr>
        <w:bidi w:val="0"/>
        <w:rPr>
          <w:rFonts w:hint="default"/>
        </w:rPr>
      </w:pPr>
      <w:r>
        <w:rPr>
          <w:rFonts w:hint="default"/>
        </w:rPr>
        <w:t>（4）国家相关产业政策及清洁生产要求。</w:t>
      </w:r>
    </w:p>
    <w:p>
      <w:pPr>
        <w:pStyle w:val="5"/>
        <w:bidi w:val="0"/>
        <w:rPr>
          <w:rFonts w:hint="default"/>
        </w:rPr>
      </w:pPr>
      <w:r>
        <w:rPr>
          <w:rFonts w:hint="default"/>
        </w:rPr>
        <w:t>9.4.2</w:t>
      </w:r>
      <w:r>
        <w:rPr>
          <w:rFonts w:hint="eastAsia"/>
          <w:lang w:eastAsia="zh-CN"/>
        </w:rPr>
        <w:t>、</w:t>
      </w:r>
      <w:r>
        <w:rPr>
          <w:rFonts w:hint="default"/>
        </w:rPr>
        <w:t>工程环保实施方案验收</w:t>
      </w:r>
    </w:p>
    <w:p>
      <w:pPr>
        <w:bidi w:val="0"/>
        <w:rPr>
          <w:rFonts w:hint="default"/>
        </w:rPr>
      </w:pPr>
      <w:r>
        <w:rPr>
          <w:rFonts w:hint="default"/>
        </w:rPr>
        <w:t>为了本项目顺利、有效的实施，必须对全体员工（包括施工人员等）进行环境保护知识、技能的培训，讲解工程的重要性和实施的意义，</w:t>
      </w:r>
      <w:r>
        <w:rPr>
          <w:rFonts w:hint="default"/>
          <w:lang w:eastAsia="zh-CN"/>
        </w:rPr>
        <w:t>并有</w:t>
      </w:r>
      <w:r>
        <w:rPr>
          <w:rFonts w:hint="default"/>
        </w:rPr>
        <w:t>针对性地对不同岗位的员工进行侧重点不同的培训</w:t>
      </w:r>
      <w:r>
        <w:rPr>
          <w:rFonts w:hint="default"/>
          <w:lang w:eastAsia="zh-CN"/>
        </w:rPr>
        <w:t>，</w:t>
      </w:r>
      <w:r>
        <w:rPr>
          <w:rFonts w:hint="default"/>
        </w:rPr>
        <w:t>具体培训计划见表9.4-1。</w:t>
      </w:r>
    </w:p>
    <w:p>
      <w:pPr>
        <w:pStyle w:val="17"/>
        <w:bidi w:val="0"/>
        <w:rPr>
          <w:rFonts w:hint="default"/>
          <w:b/>
          <w:bCs/>
        </w:rPr>
      </w:pPr>
      <w:r>
        <w:rPr>
          <w:rFonts w:hint="default"/>
          <w:b/>
          <w:bCs/>
        </w:rPr>
        <w:t>表9.4-1</w:t>
      </w:r>
      <w:r>
        <w:rPr>
          <w:rFonts w:hint="default"/>
          <w:b/>
          <w:bCs/>
          <w:lang w:val="en-US" w:eastAsia="zh-CN"/>
        </w:rPr>
        <w:t xml:space="preserve">   </w:t>
      </w:r>
      <w:r>
        <w:rPr>
          <w:rFonts w:hint="default"/>
          <w:b/>
          <w:bCs/>
        </w:rPr>
        <w:t>培训计划表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4457"/>
        <w:gridCol w:w="1193"/>
        <w:gridCol w:w="16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4" w:hRule="atLeast"/>
          <w:jc w:val="center"/>
        </w:trPr>
        <w:tc>
          <w:tcPr>
            <w:tcW w:w="1810" w:type="dxa"/>
            <w:tcBorders>
              <w:tl2br w:val="nil"/>
              <w:tr2bl w:val="nil"/>
            </w:tcBorders>
            <w:noWrap w:val="0"/>
            <w:vAlign w:val="center"/>
          </w:tcPr>
          <w:p>
            <w:pPr>
              <w:pStyle w:val="17"/>
              <w:bidi w:val="0"/>
              <w:rPr>
                <w:rFonts w:hint="default"/>
                <w:b/>
                <w:bCs/>
              </w:rPr>
            </w:pPr>
            <w:r>
              <w:rPr>
                <w:rFonts w:hint="default"/>
                <w:b/>
                <w:bCs/>
              </w:rPr>
              <w:t>受训人员</w:t>
            </w:r>
          </w:p>
        </w:tc>
        <w:tc>
          <w:tcPr>
            <w:tcW w:w="4457" w:type="dxa"/>
            <w:tcBorders>
              <w:tl2br w:val="nil"/>
              <w:tr2bl w:val="nil"/>
            </w:tcBorders>
            <w:noWrap w:val="0"/>
            <w:vAlign w:val="center"/>
          </w:tcPr>
          <w:p>
            <w:pPr>
              <w:pStyle w:val="17"/>
              <w:bidi w:val="0"/>
              <w:rPr>
                <w:rFonts w:hint="default"/>
                <w:b/>
                <w:bCs/>
              </w:rPr>
            </w:pPr>
            <w:r>
              <w:rPr>
                <w:rFonts w:hint="default"/>
                <w:b/>
                <w:bCs/>
              </w:rPr>
              <w:t>培训内容</w:t>
            </w:r>
          </w:p>
        </w:tc>
        <w:tc>
          <w:tcPr>
            <w:tcW w:w="1193" w:type="dxa"/>
            <w:tcBorders>
              <w:tl2br w:val="nil"/>
              <w:tr2bl w:val="nil"/>
            </w:tcBorders>
            <w:noWrap w:val="0"/>
            <w:vAlign w:val="center"/>
          </w:tcPr>
          <w:p>
            <w:pPr>
              <w:pStyle w:val="17"/>
              <w:bidi w:val="0"/>
              <w:rPr>
                <w:rFonts w:hint="default"/>
                <w:b/>
                <w:bCs/>
              </w:rPr>
            </w:pPr>
            <w:r>
              <w:rPr>
                <w:rFonts w:hint="default"/>
                <w:b/>
                <w:bCs/>
              </w:rPr>
              <w:t>人数（人）</w:t>
            </w:r>
          </w:p>
        </w:tc>
        <w:tc>
          <w:tcPr>
            <w:tcW w:w="1611" w:type="dxa"/>
            <w:tcBorders>
              <w:tl2br w:val="nil"/>
              <w:tr2bl w:val="nil"/>
            </w:tcBorders>
            <w:noWrap w:val="0"/>
            <w:vAlign w:val="center"/>
          </w:tcPr>
          <w:p>
            <w:pPr>
              <w:pStyle w:val="17"/>
              <w:bidi w:val="0"/>
              <w:rPr>
                <w:rFonts w:hint="default"/>
                <w:b/>
                <w:bCs/>
              </w:rPr>
            </w:pPr>
            <w:r>
              <w:rPr>
                <w:rFonts w:hint="default"/>
                <w:b/>
                <w:bCs/>
              </w:rPr>
              <w:t>培训时间（天）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810" w:type="dxa"/>
            <w:vMerge w:val="restart"/>
            <w:tcBorders>
              <w:tl2br w:val="nil"/>
              <w:tr2bl w:val="nil"/>
            </w:tcBorders>
            <w:noWrap w:val="0"/>
            <w:vAlign w:val="center"/>
          </w:tcPr>
          <w:p>
            <w:pPr>
              <w:pStyle w:val="17"/>
              <w:bidi w:val="0"/>
              <w:rPr>
                <w:rFonts w:hint="default"/>
                <w:lang w:eastAsia="zh-CN"/>
              </w:rPr>
            </w:pPr>
            <w:r>
              <w:rPr>
                <w:rFonts w:hint="default"/>
                <w:lang w:eastAsia="zh-CN"/>
              </w:rPr>
              <w:t>建设方环境管理人员、施工人员</w:t>
            </w:r>
          </w:p>
        </w:tc>
        <w:tc>
          <w:tcPr>
            <w:tcW w:w="4457" w:type="dxa"/>
            <w:tcBorders>
              <w:tl2br w:val="nil"/>
              <w:tr2bl w:val="nil"/>
            </w:tcBorders>
            <w:noWrap w:val="0"/>
            <w:vAlign w:val="center"/>
          </w:tcPr>
          <w:p>
            <w:pPr>
              <w:pStyle w:val="17"/>
              <w:bidi w:val="0"/>
              <w:rPr>
                <w:rFonts w:hint="default"/>
                <w:lang w:eastAsia="zh-CN"/>
              </w:rPr>
            </w:pPr>
            <w:r>
              <w:rPr>
                <w:rFonts w:hint="default"/>
                <w:lang w:eastAsia="zh-CN"/>
              </w:rPr>
              <w:t>环保法规、施工规划、环境监控准则及规范</w:t>
            </w:r>
          </w:p>
        </w:tc>
        <w:tc>
          <w:tcPr>
            <w:tcW w:w="1193" w:type="dxa"/>
            <w:tcBorders>
              <w:tl2br w:val="nil"/>
              <w:tr2bl w:val="nil"/>
            </w:tcBorders>
            <w:noWrap w:val="0"/>
            <w:vAlign w:val="center"/>
          </w:tcPr>
          <w:p>
            <w:pPr>
              <w:pStyle w:val="17"/>
              <w:bidi w:val="0"/>
              <w:rPr>
                <w:rFonts w:hint="default"/>
              </w:rPr>
            </w:pPr>
            <w:r>
              <w:rPr>
                <w:rFonts w:hint="default"/>
              </w:rPr>
              <w:t>2-3</w:t>
            </w:r>
          </w:p>
        </w:tc>
        <w:tc>
          <w:tcPr>
            <w:tcW w:w="1611" w:type="dxa"/>
            <w:tcBorders>
              <w:tl2br w:val="nil"/>
              <w:tr2bl w:val="nil"/>
            </w:tcBorders>
            <w:noWrap w:val="0"/>
            <w:vAlign w:val="center"/>
          </w:tcPr>
          <w:p>
            <w:pPr>
              <w:pStyle w:val="17"/>
              <w:bidi w:val="0"/>
              <w:rPr>
                <w:rFonts w:hint="default"/>
              </w:rPr>
            </w:pPr>
            <w:r>
              <w:rPr>
                <w:rFonts w:hint="defaul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10" w:type="dxa"/>
            <w:vMerge w:val="continue"/>
            <w:tcBorders>
              <w:tl2br w:val="nil"/>
              <w:tr2bl w:val="nil"/>
            </w:tcBorders>
            <w:noWrap w:val="0"/>
            <w:vAlign w:val="center"/>
          </w:tcPr>
          <w:p>
            <w:pPr>
              <w:pStyle w:val="17"/>
              <w:bidi w:val="0"/>
              <w:rPr>
                <w:rFonts w:hint="default"/>
              </w:rPr>
            </w:pPr>
          </w:p>
        </w:tc>
        <w:tc>
          <w:tcPr>
            <w:tcW w:w="4457" w:type="dxa"/>
            <w:tcBorders>
              <w:tl2br w:val="nil"/>
              <w:tr2bl w:val="nil"/>
            </w:tcBorders>
            <w:noWrap w:val="0"/>
            <w:vAlign w:val="center"/>
          </w:tcPr>
          <w:p>
            <w:pPr>
              <w:pStyle w:val="17"/>
              <w:bidi w:val="0"/>
              <w:rPr>
                <w:rFonts w:hint="default"/>
                <w:lang w:eastAsia="zh-CN"/>
              </w:rPr>
            </w:pPr>
            <w:r>
              <w:rPr>
                <w:rFonts w:hint="default"/>
                <w:lang w:eastAsia="zh-CN"/>
              </w:rPr>
              <w:t>环境空气监测及控制技术、环境噪声监测及控制技术、水环境监测及控制技术等</w:t>
            </w:r>
          </w:p>
        </w:tc>
        <w:tc>
          <w:tcPr>
            <w:tcW w:w="1193" w:type="dxa"/>
            <w:tcBorders>
              <w:tl2br w:val="nil"/>
              <w:tr2bl w:val="nil"/>
            </w:tcBorders>
            <w:noWrap w:val="0"/>
            <w:vAlign w:val="center"/>
          </w:tcPr>
          <w:p>
            <w:pPr>
              <w:pStyle w:val="17"/>
              <w:bidi w:val="0"/>
              <w:rPr>
                <w:rFonts w:hint="default"/>
              </w:rPr>
            </w:pPr>
            <w:r>
              <w:rPr>
                <w:rFonts w:hint="default"/>
              </w:rPr>
              <w:t>3-5</w:t>
            </w:r>
          </w:p>
        </w:tc>
        <w:tc>
          <w:tcPr>
            <w:tcW w:w="1611" w:type="dxa"/>
            <w:tcBorders>
              <w:tl2br w:val="nil"/>
              <w:tr2bl w:val="nil"/>
            </w:tcBorders>
            <w:noWrap w:val="0"/>
            <w:vAlign w:val="center"/>
          </w:tcPr>
          <w:p>
            <w:pPr>
              <w:pStyle w:val="17"/>
              <w:bidi w:val="0"/>
              <w:rPr>
                <w:rFonts w:hint="default"/>
              </w:rPr>
            </w:pPr>
            <w:r>
              <w:rPr>
                <w:rFonts w:hint="default"/>
              </w:rPr>
              <w:t>2</w:t>
            </w:r>
          </w:p>
        </w:tc>
      </w:tr>
    </w:tbl>
    <w:p>
      <w:pPr>
        <w:bidi w:val="0"/>
        <w:rPr>
          <w:rFonts w:hint="default"/>
        </w:rPr>
      </w:pPr>
      <w:r>
        <w:rPr>
          <w:rFonts w:hint="default"/>
        </w:rPr>
        <w:t>本项目环境保护设施</w:t>
      </w:r>
      <w:r>
        <w:rPr>
          <w:rFonts w:hint="eastAsia"/>
          <w:lang w:eastAsia="zh-CN"/>
        </w:rPr>
        <w:t>“</w:t>
      </w:r>
      <w:r>
        <w:rPr>
          <w:rFonts w:hint="default"/>
        </w:rPr>
        <w:t>三同时</w:t>
      </w:r>
      <w:r>
        <w:rPr>
          <w:rFonts w:hint="eastAsia"/>
          <w:lang w:eastAsia="zh-CN"/>
        </w:rPr>
        <w:t>”</w:t>
      </w:r>
      <w:r>
        <w:rPr>
          <w:rFonts w:hint="default"/>
        </w:rPr>
        <w:t>验收内容及验收要求详见表9.4-</w:t>
      </w:r>
      <w:r>
        <w:rPr>
          <w:rFonts w:hint="default"/>
          <w:lang w:val="en-US" w:eastAsia="zh-CN"/>
        </w:rPr>
        <w:t>2</w:t>
      </w:r>
      <w:r>
        <w:rPr>
          <w:rFonts w:hint="default"/>
        </w:rPr>
        <w:t>。</w:t>
      </w:r>
    </w:p>
    <w:p>
      <w:pPr>
        <w:pStyle w:val="17"/>
        <w:bidi w:val="0"/>
        <w:rPr>
          <w:rFonts w:hint="default"/>
          <w:b/>
          <w:bCs/>
        </w:rPr>
      </w:pPr>
      <w:r>
        <w:rPr>
          <w:rFonts w:hint="default"/>
          <w:b/>
          <w:bCs/>
        </w:rPr>
        <w:t>表9.4-</w:t>
      </w:r>
      <w:r>
        <w:rPr>
          <w:rFonts w:hint="default"/>
          <w:b/>
          <w:bCs/>
          <w:lang w:val="en-US" w:eastAsia="zh-CN"/>
        </w:rPr>
        <w:t>2</w:t>
      </w:r>
      <w:r>
        <w:rPr>
          <w:rFonts w:hint="eastAsia"/>
          <w:b/>
          <w:bCs/>
          <w:lang w:val="en-US" w:eastAsia="zh-CN"/>
        </w:rPr>
        <w:t xml:space="preserve"> </w:t>
      </w:r>
      <w:r>
        <w:rPr>
          <w:rFonts w:hint="default"/>
          <w:b/>
          <w:bCs/>
        </w:rPr>
        <w:t xml:space="preserve">  建设项目环境保护</w:t>
      </w:r>
      <w:r>
        <w:rPr>
          <w:rFonts w:hint="eastAsia"/>
          <w:b/>
          <w:bCs/>
          <w:lang w:eastAsia="zh-CN"/>
        </w:rPr>
        <w:t>“</w:t>
      </w:r>
      <w:r>
        <w:rPr>
          <w:rFonts w:hint="default"/>
          <w:b/>
          <w:bCs/>
        </w:rPr>
        <w:t>三同时</w:t>
      </w:r>
      <w:r>
        <w:rPr>
          <w:rFonts w:hint="eastAsia"/>
          <w:b/>
          <w:bCs/>
          <w:lang w:eastAsia="zh-CN"/>
        </w:rPr>
        <w:t>”</w:t>
      </w:r>
      <w:r>
        <w:rPr>
          <w:rFonts w:hint="default"/>
          <w:b/>
          <w:bCs/>
        </w:rPr>
        <w:t>验收一览表</w:t>
      </w:r>
    </w:p>
    <w:tbl>
      <w:tblPr>
        <w:tblStyle w:val="12"/>
        <w:tblW w:w="90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1"/>
        <w:gridCol w:w="518"/>
        <w:gridCol w:w="658"/>
        <w:gridCol w:w="2553"/>
        <w:gridCol w:w="1147"/>
        <w:gridCol w:w="2503"/>
        <w:gridCol w:w="1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707" w:type="dxa"/>
            <w:gridSpan w:val="3"/>
            <w:tcBorders>
              <w:tl2br w:val="nil"/>
              <w:tr2bl w:val="nil"/>
            </w:tcBorders>
            <w:vAlign w:val="center"/>
          </w:tcPr>
          <w:p>
            <w:pPr>
              <w:pStyle w:val="17"/>
              <w:bidi w:val="0"/>
              <w:rPr>
                <w:rFonts w:hint="default"/>
                <w:b/>
                <w:bCs/>
              </w:rPr>
            </w:pPr>
            <w:r>
              <w:rPr>
                <w:rFonts w:hint="default"/>
                <w:b/>
                <w:bCs/>
              </w:rPr>
              <w:t>类别</w:t>
            </w:r>
          </w:p>
        </w:tc>
        <w:tc>
          <w:tcPr>
            <w:tcW w:w="2553" w:type="dxa"/>
            <w:tcBorders>
              <w:tl2br w:val="nil"/>
              <w:tr2bl w:val="nil"/>
            </w:tcBorders>
            <w:vAlign w:val="center"/>
          </w:tcPr>
          <w:p>
            <w:pPr>
              <w:pStyle w:val="17"/>
              <w:bidi w:val="0"/>
              <w:rPr>
                <w:rFonts w:hint="default"/>
                <w:b/>
                <w:bCs/>
              </w:rPr>
            </w:pPr>
            <w:r>
              <w:rPr>
                <w:rFonts w:hint="default"/>
                <w:b/>
                <w:bCs/>
              </w:rPr>
              <w:t>环保措施</w:t>
            </w:r>
          </w:p>
        </w:tc>
        <w:tc>
          <w:tcPr>
            <w:tcW w:w="1147" w:type="dxa"/>
            <w:tcBorders>
              <w:tl2br w:val="nil"/>
              <w:tr2bl w:val="nil"/>
            </w:tcBorders>
            <w:vAlign w:val="center"/>
          </w:tcPr>
          <w:p>
            <w:pPr>
              <w:pStyle w:val="17"/>
              <w:bidi w:val="0"/>
              <w:rPr>
                <w:rFonts w:hint="default"/>
                <w:b/>
                <w:bCs/>
              </w:rPr>
            </w:pPr>
            <w:r>
              <w:rPr>
                <w:rFonts w:hint="default"/>
                <w:b/>
                <w:bCs/>
              </w:rPr>
              <w:t>收集、处理效率</w:t>
            </w:r>
          </w:p>
        </w:tc>
        <w:tc>
          <w:tcPr>
            <w:tcW w:w="2503" w:type="dxa"/>
            <w:tcBorders>
              <w:tl2br w:val="nil"/>
              <w:tr2bl w:val="nil"/>
            </w:tcBorders>
            <w:vAlign w:val="center"/>
          </w:tcPr>
          <w:p>
            <w:pPr>
              <w:pStyle w:val="17"/>
              <w:bidi w:val="0"/>
              <w:rPr>
                <w:rFonts w:hint="default"/>
                <w:b/>
                <w:bCs/>
              </w:rPr>
            </w:pPr>
            <w:r>
              <w:rPr>
                <w:rFonts w:hint="default"/>
                <w:b/>
                <w:bCs/>
              </w:rPr>
              <w:t>验收要求</w:t>
            </w:r>
          </w:p>
        </w:tc>
        <w:tc>
          <w:tcPr>
            <w:tcW w:w="1161" w:type="dxa"/>
            <w:tcBorders>
              <w:tl2br w:val="nil"/>
              <w:tr2bl w:val="nil"/>
            </w:tcBorders>
            <w:vAlign w:val="center"/>
          </w:tcPr>
          <w:p>
            <w:pPr>
              <w:pStyle w:val="17"/>
              <w:bidi w:val="0"/>
              <w:rPr>
                <w:rFonts w:hint="default"/>
                <w:b/>
                <w:bCs/>
              </w:rPr>
            </w:pPr>
            <w:r>
              <w:rPr>
                <w:rFonts w:hint="default"/>
                <w:b/>
                <w:bCs/>
              </w:rPr>
              <w:t>环保投资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31" w:type="dxa"/>
            <w:vMerge w:val="restart"/>
            <w:tcBorders>
              <w:tl2br w:val="nil"/>
              <w:tr2bl w:val="nil"/>
            </w:tcBorders>
            <w:vAlign w:val="center"/>
          </w:tcPr>
          <w:p>
            <w:pPr>
              <w:pStyle w:val="17"/>
              <w:bidi w:val="0"/>
              <w:rPr>
                <w:rFonts w:hint="default"/>
              </w:rPr>
            </w:pPr>
            <w:r>
              <w:rPr>
                <w:rFonts w:hint="default"/>
              </w:rPr>
              <w:t>废气</w:t>
            </w:r>
          </w:p>
        </w:tc>
        <w:tc>
          <w:tcPr>
            <w:tcW w:w="518" w:type="dxa"/>
            <w:vMerge w:val="restart"/>
            <w:tcBorders>
              <w:tl2br w:val="nil"/>
              <w:tr2bl w:val="nil"/>
            </w:tcBorders>
            <w:vAlign w:val="center"/>
          </w:tcPr>
          <w:p>
            <w:pPr>
              <w:pStyle w:val="17"/>
              <w:bidi w:val="0"/>
              <w:rPr>
                <w:rFonts w:hint="default"/>
              </w:rPr>
            </w:pPr>
            <w:r>
              <w:rPr>
                <w:rFonts w:hint="default"/>
              </w:rPr>
              <w:t>非甲烷总烃</w:t>
            </w:r>
          </w:p>
        </w:tc>
        <w:tc>
          <w:tcPr>
            <w:tcW w:w="658" w:type="dxa"/>
            <w:tcBorders>
              <w:tl2br w:val="nil"/>
              <w:tr2bl w:val="nil"/>
            </w:tcBorders>
            <w:vAlign w:val="center"/>
          </w:tcPr>
          <w:p>
            <w:pPr>
              <w:pStyle w:val="17"/>
              <w:bidi w:val="0"/>
              <w:rPr>
                <w:rFonts w:hint="default"/>
              </w:rPr>
            </w:pPr>
            <w:r>
              <w:rPr>
                <w:rFonts w:hint="default"/>
              </w:rPr>
              <w:t>有</w:t>
            </w:r>
          </w:p>
          <w:p>
            <w:pPr>
              <w:pStyle w:val="17"/>
              <w:bidi w:val="0"/>
              <w:rPr>
                <w:rFonts w:hint="default"/>
              </w:rPr>
            </w:pPr>
            <w:r>
              <w:rPr>
                <w:rFonts w:hint="default"/>
              </w:rPr>
              <w:t>组</w:t>
            </w:r>
          </w:p>
          <w:p>
            <w:pPr>
              <w:pStyle w:val="17"/>
              <w:bidi w:val="0"/>
              <w:rPr>
                <w:rFonts w:hint="default"/>
              </w:rPr>
            </w:pPr>
            <w:r>
              <w:rPr>
                <w:rFonts w:hint="default"/>
              </w:rPr>
              <w:t>织</w:t>
            </w:r>
          </w:p>
        </w:tc>
        <w:tc>
          <w:tcPr>
            <w:tcW w:w="2553" w:type="dxa"/>
            <w:tcBorders>
              <w:tl2br w:val="nil"/>
              <w:tr2bl w:val="nil"/>
            </w:tcBorders>
            <w:vAlign w:val="center"/>
          </w:tcPr>
          <w:p>
            <w:pPr>
              <w:pStyle w:val="17"/>
              <w:bidi w:val="0"/>
              <w:rPr>
                <w:rFonts w:hint="default"/>
              </w:rPr>
            </w:pPr>
            <w:r>
              <w:rPr>
                <w:rFonts w:hint="default"/>
              </w:rPr>
              <w:t>集气罩+等离子光氧一体机</w:t>
            </w:r>
            <w:r>
              <w:rPr>
                <w:rFonts w:hint="eastAsia"/>
                <w:lang w:val="en-US" w:eastAsia="zh-CN"/>
              </w:rPr>
              <w:t>+活性炭吸附</w:t>
            </w:r>
            <w:r>
              <w:rPr>
                <w:rFonts w:hint="default"/>
              </w:rPr>
              <w:t>处理设备+风机+15m高排气筒（</w:t>
            </w:r>
            <w:r>
              <w:rPr>
                <w:rFonts w:hint="eastAsia"/>
                <w:lang w:val="en-US" w:eastAsia="zh-CN"/>
              </w:rPr>
              <w:t>2</w:t>
            </w:r>
            <w:r>
              <w:rPr>
                <w:rFonts w:hint="default"/>
              </w:rPr>
              <w:t>套）</w:t>
            </w:r>
          </w:p>
        </w:tc>
        <w:tc>
          <w:tcPr>
            <w:tcW w:w="1147" w:type="dxa"/>
            <w:tcBorders>
              <w:tl2br w:val="nil"/>
              <w:tr2bl w:val="nil"/>
            </w:tcBorders>
            <w:vAlign w:val="center"/>
          </w:tcPr>
          <w:p>
            <w:pPr>
              <w:pStyle w:val="17"/>
              <w:bidi w:val="0"/>
              <w:rPr>
                <w:rFonts w:hint="default" w:eastAsia="宋体"/>
                <w:lang w:val="en-US" w:eastAsia="zh-CN"/>
              </w:rPr>
            </w:pPr>
            <w:r>
              <w:rPr>
                <w:rFonts w:hint="default"/>
              </w:rPr>
              <w:t>集气罩集气效率为90%，等离子光氧一体机处理设备处理效率为</w:t>
            </w:r>
            <w:r>
              <w:rPr>
                <w:rFonts w:hint="eastAsia"/>
                <w:lang w:val="en-US" w:eastAsia="zh-CN"/>
              </w:rPr>
              <w:t>65</w:t>
            </w:r>
            <w:r>
              <w:rPr>
                <w:rFonts w:hint="default"/>
              </w:rPr>
              <w:t>%</w:t>
            </w:r>
            <w:r>
              <w:rPr>
                <w:rFonts w:hint="eastAsia"/>
                <w:lang w:eastAsia="zh-CN"/>
              </w:rPr>
              <w:t>，</w:t>
            </w:r>
            <w:r>
              <w:rPr>
                <w:rFonts w:hint="eastAsia"/>
                <w:lang w:val="en-US" w:eastAsia="zh-CN"/>
              </w:rPr>
              <w:t>活性炭吸附装置净化效率位75%。</w:t>
            </w:r>
          </w:p>
        </w:tc>
        <w:tc>
          <w:tcPr>
            <w:tcW w:w="2503" w:type="dxa"/>
            <w:tcBorders>
              <w:tl2br w:val="nil"/>
              <w:tr2bl w:val="nil"/>
            </w:tcBorders>
            <w:vAlign w:val="center"/>
          </w:tcPr>
          <w:p>
            <w:pPr>
              <w:pStyle w:val="17"/>
              <w:bidi w:val="0"/>
              <w:rPr>
                <w:rFonts w:hint="default"/>
              </w:rPr>
            </w:pPr>
            <w:r>
              <w:rPr>
                <w:rFonts w:hint="default"/>
              </w:rPr>
              <w:t>《合成树脂工业污染物排放标准》（GB31572-2015）表</w:t>
            </w:r>
            <w:r>
              <w:rPr>
                <w:rFonts w:hint="eastAsia"/>
                <w:lang w:val="en-US" w:eastAsia="zh-CN"/>
              </w:rPr>
              <w:t>5</w:t>
            </w:r>
            <w:r>
              <w:rPr>
                <w:rFonts w:hint="default"/>
              </w:rPr>
              <w:t>中非甲烷总烃</w:t>
            </w:r>
            <w:r>
              <w:rPr>
                <w:rFonts w:hint="eastAsia"/>
                <w:lang w:val="en-US" w:eastAsia="zh-CN"/>
              </w:rPr>
              <w:t>特别</w:t>
            </w:r>
            <w:r>
              <w:rPr>
                <w:rFonts w:hint="default"/>
              </w:rPr>
              <w:t>排放限值要求</w:t>
            </w:r>
          </w:p>
        </w:tc>
        <w:tc>
          <w:tcPr>
            <w:tcW w:w="1161" w:type="dxa"/>
            <w:tcBorders>
              <w:tl2br w:val="nil"/>
              <w:tr2bl w:val="nil"/>
            </w:tcBorders>
            <w:vAlign w:val="center"/>
          </w:tcPr>
          <w:p>
            <w:pPr>
              <w:pStyle w:val="17"/>
              <w:bidi w:val="0"/>
              <w:rPr>
                <w:rFonts w:hint="default"/>
              </w:rPr>
            </w:pPr>
            <w:r>
              <w:rPr>
                <w:rFonts w:hint="default"/>
              </w:rPr>
              <w:t>1</w:t>
            </w:r>
            <w:r>
              <w:rPr>
                <w:rFonts w:hint="eastAsia"/>
                <w:lang w:val="en-US" w:eastAsia="zh-CN"/>
              </w:rPr>
              <w:t>5</w:t>
            </w:r>
            <w:r>
              <w:rPr>
                <w:rFonts w:hint="default"/>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31" w:type="dxa"/>
            <w:vMerge w:val="continue"/>
            <w:tcBorders>
              <w:tl2br w:val="nil"/>
              <w:tr2bl w:val="nil"/>
            </w:tcBorders>
            <w:vAlign w:val="center"/>
          </w:tcPr>
          <w:p>
            <w:pPr>
              <w:pStyle w:val="17"/>
              <w:bidi w:val="0"/>
              <w:rPr>
                <w:rFonts w:hint="default"/>
              </w:rPr>
            </w:pPr>
          </w:p>
        </w:tc>
        <w:tc>
          <w:tcPr>
            <w:tcW w:w="518" w:type="dxa"/>
            <w:vMerge w:val="continue"/>
            <w:tcBorders>
              <w:tl2br w:val="nil"/>
              <w:tr2bl w:val="nil"/>
            </w:tcBorders>
            <w:vAlign w:val="center"/>
          </w:tcPr>
          <w:p>
            <w:pPr>
              <w:pStyle w:val="17"/>
              <w:bidi w:val="0"/>
              <w:rPr>
                <w:rFonts w:hint="default"/>
              </w:rPr>
            </w:pPr>
          </w:p>
        </w:tc>
        <w:tc>
          <w:tcPr>
            <w:tcW w:w="658" w:type="dxa"/>
            <w:tcBorders>
              <w:tl2br w:val="nil"/>
              <w:tr2bl w:val="nil"/>
            </w:tcBorders>
            <w:vAlign w:val="center"/>
          </w:tcPr>
          <w:p>
            <w:pPr>
              <w:pStyle w:val="17"/>
              <w:bidi w:val="0"/>
              <w:rPr>
                <w:rFonts w:hint="default"/>
              </w:rPr>
            </w:pPr>
            <w:r>
              <w:rPr>
                <w:rFonts w:hint="default"/>
              </w:rPr>
              <w:t>无</w:t>
            </w:r>
          </w:p>
          <w:p>
            <w:pPr>
              <w:pStyle w:val="17"/>
              <w:bidi w:val="0"/>
              <w:rPr>
                <w:rFonts w:hint="default"/>
              </w:rPr>
            </w:pPr>
            <w:r>
              <w:rPr>
                <w:rFonts w:hint="default"/>
              </w:rPr>
              <w:t>组</w:t>
            </w:r>
          </w:p>
          <w:p>
            <w:pPr>
              <w:pStyle w:val="17"/>
              <w:bidi w:val="0"/>
              <w:rPr>
                <w:rFonts w:hint="default"/>
              </w:rPr>
            </w:pPr>
            <w:r>
              <w:rPr>
                <w:rFonts w:hint="default"/>
              </w:rPr>
              <w:t>织</w:t>
            </w:r>
          </w:p>
        </w:tc>
        <w:tc>
          <w:tcPr>
            <w:tcW w:w="2553" w:type="dxa"/>
            <w:tcBorders>
              <w:tl2br w:val="nil"/>
              <w:tr2bl w:val="nil"/>
            </w:tcBorders>
            <w:vAlign w:val="center"/>
          </w:tcPr>
          <w:p>
            <w:pPr>
              <w:pStyle w:val="17"/>
              <w:bidi w:val="0"/>
              <w:rPr>
                <w:rFonts w:hint="default"/>
              </w:rPr>
            </w:pPr>
            <w:r>
              <w:rPr>
                <w:rFonts w:hint="default"/>
              </w:rPr>
              <w:t>排风扇（</w:t>
            </w:r>
            <w:r>
              <w:rPr>
                <w:rFonts w:hint="eastAsia"/>
                <w:lang w:val="en-US" w:eastAsia="zh-CN"/>
              </w:rPr>
              <w:t>6</w:t>
            </w:r>
            <w:r>
              <w:rPr>
                <w:rFonts w:hint="default"/>
              </w:rPr>
              <w:t>台）</w:t>
            </w:r>
          </w:p>
        </w:tc>
        <w:tc>
          <w:tcPr>
            <w:tcW w:w="1147" w:type="dxa"/>
            <w:tcBorders>
              <w:tl2br w:val="nil"/>
              <w:tr2bl w:val="nil"/>
            </w:tcBorders>
            <w:vAlign w:val="center"/>
          </w:tcPr>
          <w:p>
            <w:pPr>
              <w:pStyle w:val="17"/>
              <w:bidi w:val="0"/>
              <w:rPr>
                <w:rFonts w:hint="default"/>
              </w:rPr>
            </w:pPr>
            <w:r>
              <w:rPr>
                <w:rFonts w:hint="default"/>
              </w:rPr>
              <w:t>/</w:t>
            </w:r>
          </w:p>
        </w:tc>
        <w:tc>
          <w:tcPr>
            <w:tcW w:w="2503" w:type="dxa"/>
            <w:tcBorders>
              <w:tl2br w:val="nil"/>
              <w:tr2bl w:val="nil"/>
            </w:tcBorders>
            <w:vAlign w:val="center"/>
          </w:tcPr>
          <w:p>
            <w:pPr>
              <w:pStyle w:val="17"/>
              <w:bidi w:val="0"/>
              <w:rPr>
                <w:rFonts w:hint="default"/>
              </w:rPr>
            </w:pPr>
            <w:r>
              <w:rPr>
                <w:rFonts w:hint="default"/>
              </w:rPr>
              <w:t>《合成树脂工业污染物排放标准》（GB31572-2015）表9中企业边界非甲烷总烃浓度限值要求</w:t>
            </w:r>
          </w:p>
        </w:tc>
        <w:tc>
          <w:tcPr>
            <w:tcW w:w="1161" w:type="dxa"/>
            <w:vMerge w:val="restart"/>
            <w:tcBorders>
              <w:tl2br w:val="nil"/>
              <w:tr2bl w:val="nil"/>
            </w:tcBorders>
            <w:vAlign w:val="center"/>
          </w:tcPr>
          <w:p>
            <w:pPr>
              <w:pStyle w:val="17"/>
              <w:bidi w:val="0"/>
              <w:rPr>
                <w:rFonts w:hint="default"/>
              </w:rPr>
            </w:pPr>
            <w:r>
              <w:rPr>
                <w:rFonts w:hint="eastAsia"/>
                <w:lang w:val="en-US" w:eastAsia="zh-CN"/>
              </w:rPr>
              <w:t>6</w:t>
            </w:r>
            <w:r>
              <w:rPr>
                <w:rFonts w:hint="default"/>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31" w:type="dxa"/>
            <w:vMerge w:val="continue"/>
            <w:tcBorders>
              <w:tl2br w:val="nil"/>
              <w:tr2bl w:val="nil"/>
            </w:tcBorders>
            <w:vAlign w:val="center"/>
          </w:tcPr>
          <w:p>
            <w:pPr>
              <w:pStyle w:val="17"/>
              <w:bidi w:val="0"/>
              <w:rPr>
                <w:rFonts w:hint="default"/>
              </w:rPr>
            </w:pPr>
          </w:p>
        </w:tc>
        <w:tc>
          <w:tcPr>
            <w:tcW w:w="518" w:type="dxa"/>
            <w:tcBorders>
              <w:tl2br w:val="nil"/>
              <w:tr2bl w:val="nil"/>
            </w:tcBorders>
            <w:vAlign w:val="center"/>
          </w:tcPr>
          <w:p>
            <w:pPr>
              <w:pStyle w:val="17"/>
              <w:bidi w:val="0"/>
              <w:rPr>
                <w:rFonts w:hint="default"/>
              </w:rPr>
            </w:pPr>
            <w:r>
              <w:rPr>
                <w:rFonts w:hint="default"/>
              </w:rPr>
              <w:t>粉尘</w:t>
            </w:r>
          </w:p>
        </w:tc>
        <w:tc>
          <w:tcPr>
            <w:tcW w:w="658" w:type="dxa"/>
            <w:tcBorders>
              <w:tl2br w:val="nil"/>
              <w:tr2bl w:val="nil"/>
            </w:tcBorders>
            <w:vAlign w:val="center"/>
          </w:tcPr>
          <w:p>
            <w:pPr>
              <w:pStyle w:val="17"/>
              <w:bidi w:val="0"/>
              <w:rPr>
                <w:rFonts w:hint="default"/>
              </w:rPr>
            </w:pPr>
            <w:r>
              <w:rPr>
                <w:rFonts w:hint="default"/>
              </w:rPr>
              <w:t>无</w:t>
            </w:r>
          </w:p>
          <w:p>
            <w:pPr>
              <w:pStyle w:val="17"/>
              <w:bidi w:val="0"/>
              <w:rPr>
                <w:rFonts w:hint="default"/>
              </w:rPr>
            </w:pPr>
            <w:r>
              <w:rPr>
                <w:rFonts w:hint="default"/>
              </w:rPr>
              <w:t>组</w:t>
            </w:r>
          </w:p>
          <w:p>
            <w:pPr>
              <w:pStyle w:val="17"/>
              <w:bidi w:val="0"/>
              <w:rPr>
                <w:rFonts w:hint="default"/>
              </w:rPr>
            </w:pPr>
            <w:r>
              <w:rPr>
                <w:rFonts w:hint="default"/>
              </w:rPr>
              <w:t>织</w:t>
            </w:r>
          </w:p>
        </w:tc>
        <w:tc>
          <w:tcPr>
            <w:tcW w:w="2553" w:type="dxa"/>
            <w:tcBorders>
              <w:tl2br w:val="nil"/>
              <w:tr2bl w:val="nil"/>
            </w:tcBorders>
            <w:vAlign w:val="center"/>
          </w:tcPr>
          <w:p>
            <w:pPr>
              <w:pStyle w:val="17"/>
              <w:bidi w:val="0"/>
              <w:rPr>
                <w:rFonts w:hint="default"/>
              </w:rPr>
            </w:pPr>
            <w:r>
              <w:rPr>
                <w:rFonts w:hint="default"/>
              </w:rPr>
              <w:t>排风扇</w:t>
            </w:r>
          </w:p>
        </w:tc>
        <w:tc>
          <w:tcPr>
            <w:tcW w:w="1147" w:type="dxa"/>
            <w:tcBorders>
              <w:tl2br w:val="nil"/>
              <w:tr2bl w:val="nil"/>
            </w:tcBorders>
            <w:vAlign w:val="center"/>
          </w:tcPr>
          <w:p>
            <w:pPr>
              <w:pStyle w:val="17"/>
              <w:bidi w:val="0"/>
              <w:rPr>
                <w:rFonts w:hint="default"/>
              </w:rPr>
            </w:pPr>
            <w:r>
              <w:rPr>
                <w:rFonts w:hint="default"/>
              </w:rPr>
              <w:t>/</w:t>
            </w:r>
          </w:p>
        </w:tc>
        <w:tc>
          <w:tcPr>
            <w:tcW w:w="2503" w:type="dxa"/>
            <w:tcBorders>
              <w:tl2br w:val="nil"/>
              <w:tr2bl w:val="nil"/>
            </w:tcBorders>
            <w:vAlign w:val="center"/>
          </w:tcPr>
          <w:p>
            <w:pPr>
              <w:pStyle w:val="17"/>
              <w:bidi w:val="0"/>
              <w:rPr>
                <w:rFonts w:hint="default"/>
              </w:rPr>
            </w:pPr>
            <w:r>
              <w:rPr>
                <w:rFonts w:hint="default"/>
              </w:rPr>
              <w:t>《合成树脂工业污染物排放标准》（GB31572-2015）表9中企业边界颗粒物浓度限值要求</w:t>
            </w:r>
          </w:p>
        </w:tc>
        <w:tc>
          <w:tcPr>
            <w:tcW w:w="1161"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31" w:type="dxa"/>
            <w:vMerge w:val="continue"/>
            <w:tcBorders>
              <w:tl2br w:val="nil"/>
              <w:tr2bl w:val="nil"/>
            </w:tcBorders>
            <w:vAlign w:val="center"/>
          </w:tcPr>
          <w:p>
            <w:pPr>
              <w:pStyle w:val="17"/>
              <w:bidi w:val="0"/>
              <w:rPr>
                <w:rFonts w:hint="default"/>
              </w:rPr>
            </w:pPr>
          </w:p>
        </w:tc>
        <w:tc>
          <w:tcPr>
            <w:tcW w:w="1176" w:type="dxa"/>
            <w:gridSpan w:val="2"/>
            <w:tcBorders>
              <w:tl2br w:val="nil"/>
              <w:tr2bl w:val="nil"/>
            </w:tcBorders>
            <w:vAlign w:val="center"/>
          </w:tcPr>
          <w:p>
            <w:pPr>
              <w:pStyle w:val="17"/>
              <w:bidi w:val="0"/>
              <w:rPr>
                <w:rFonts w:hint="default"/>
              </w:rPr>
            </w:pPr>
            <w:r>
              <w:rPr>
                <w:rFonts w:hint="default"/>
              </w:rPr>
              <w:t>油烟</w:t>
            </w:r>
          </w:p>
        </w:tc>
        <w:tc>
          <w:tcPr>
            <w:tcW w:w="2553" w:type="dxa"/>
            <w:tcBorders>
              <w:tl2br w:val="nil"/>
              <w:tr2bl w:val="nil"/>
            </w:tcBorders>
            <w:vAlign w:val="center"/>
          </w:tcPr>
          <w:p>
            <w:pPr>
              <w:pStyle w:val="17"/>
              <w:bidi w:val="0"/>
              <w:rPr>
                <w:rFonts w:hint="default"/>
              </w:rPr>
            </w:pPr>
            <w:r>
              <w:rPr>
                <w:rFonts w:hint="default"/>
              </w:rPr>
              <w:t>油烟治理装置（1套油烟净化设备）</w:t>
            </w:r>
          </w:p>
        </w:tc>
        <w:tc>
          <w:tcPr>
            <w:tcW w:w="1147" w:type="dxa"/>
            <w:tcBorders>
              <w:tl2br w:val="nil"/>
              <w:tr2bl w:val="nil"/>
            </w:tcBorders>
            <w:vAlign w:val="center"/>
          </w:tcPr>
          <w:p>
            <w:pPr>
              <w:pStyle w:val="17"/>
              <w:bidi w:val="0"/>
              <w:rPr>
                <w:rFonts w:hint="default"/>
              </w:rPr>
            </w:pPr>
            <w:r>
              <w:rPr>
                <w:rFonts w:hint="default"/>
              </w:rPr>
              <w:t>净化效率60%</w:t>
            </w:r>
          </w:p>
        </w:tc>
        <w:tc>
          <w:tcPr>
            <w:tcW w:w="2503" w:type="dxa"/>
            <w:tcBorders>
              <w:tl2br w:val="nil"/>
              <w:tr2bl w:val="nil"/>
            </w:tcBorders>
            <w:vAlign w:val="center"/>
          </w:tcPr>
          <w:p>
            <w:pPr>
              <w:pStyle w:val="17"/>
              <w:bidi w:val="0"/>
              <w:rPr>
                <w:rFonts w:hint="default"/>
              </w:rPr>
            </w:pPr>
            <w:r>
              <w:rPr>
                <w:rFonts w:hint="default"/>
              </w:rPr>
              <w:t>《饮食业油烟排放标准（试行）》（GB18483-2001）中油烟最高允许排放浓度限值要求</w:t>
            </w:r>
          </w:p>
        </w:tc>
        <w:tc>
          <w:tcPr>
            <w:tcW w:w="1161" w:type="dxa"/>
            <w:tcBorders>
              <w:tl2br w:val="nil"/>
              <w:tr2bl w:val="nil"/>
            </w:tcBorders>
            <w:vAlign w:val="center"/>
          </w:tcPr>
          <w:p>
            <w:pPr>
              <w:pStyle w:val="17"/>
              <w:bidi w:val="0"/>
              <w:rPr>
                <w:rFonts w:hint="default"/>
              </w:rPr>
            </w:pPr>
            <w:r>
              <w:rPr>
                <w:rFonts w:hint="default"/>
              </w:rPr>
              <w:t>0.5万元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31" w:type="dxa"/>
            <w:vMerge w:val="restart"/>
            <w:tcBorders>
              <w:tl2br w:val="nil"/>
              <w:tr2bl w:val="nil"/>
            </w:tcBorders>
            <w:vAlign w:val="center"/>
          </w:tcPr>
          <w:p>
            <w:pPr>
              <w:pStyle w:val="17"/>
              <w:bidi w:val="0"/>
              <w:rPr>
                <w:rFonts w:hint="default"/>
              </w:rPr>
            </w:pPr>
            <w:r>
              <w:rPr>
                <w:rFonts w:hint="default"/>
              </w:rPr>
              <w:t>废水</w:t>
            </w:r>
          </w:p>
        </w:tc>
        <w:tc>
          <w:tcPr>
            <w:tcW w:w="1176" w:type="dxa"/>
            <w:gridSpan w:val="2"/>
            <w:tcBorders>
              <w:tl2br w:val="nil"/>
              <w:tr2bl w:val="nil"/>
            </w:tcBorders>
            <w:vAlign w:val="center"/>
          </w:tcPr>
          <w:p>
            <w:pPr>
              <w:pStyle w:val="17"/>
              <w:bidi w:val="0"/>
              <w:rPr>
                <w:rFonts w:hint="default"/>
              </w:rPr>
            </w:pPr>
            <w:r>
              <w:rPr>
                <w:rFonts w:hint="default"/>
              </w:rPr>
              <w:t>清洗废水</w:t>
            </w:r>
          </w:p>
        </w:tc>
        <w:tc>
          <w:tcPr>
            <w:tcW w:w="2553" w:type="dxa"/>
            <w:tcBorders>
              <w:tl2br w:val="nil"/>
              <w:tr2bl w:val="nil"/>
            </w:tcBorders>
            <w:vAlign w:val="center"/>
          </w:tcPr>
          <w:p>
            <w:pPr>
              <w:pStyle w:val="17"/>
              <w:bidi w:val="0"/>
              <w:rPr>
                <w:rFonts w:hint="default"/>
              </w:rPr>
            </w:pPr>
            <w:r>
              <w:rPr>
                <w:rFonts w:hint="default"/>
              </w:rPr>
              <w:t>沉降池（</w:t>
            </w:r>
            <w:r>
              <w:rPr>
                <w:rFonts w:hint="eastAsia"/>
                <w:lang w:val="en-US" w:eastAsia="zh-CN"/>
              </w:rPr>
              <w:t>1</w:t>
            </w:r>
            <w:r>
              <w:rPr>
                <w:rFonts w:hint="default"/>
              </w:rPr>
              <w:t>个</w:t>
            </w:r>
            <w:r>
              <w:rPr>
                <w:rFonts w:hint="default"/>
                <w:lang w:eastAsia="zh-CN"/>
              </w:rPr>
              <w:t>，</w:t>
            </w:r>
            <w:r>
              <w:rPr>
                <w:rFonts w:hint="eastAsia"/>
                <w:lang w:val="en-US" w:eastAsia="zh-CN"/>
              </w:rPr>
              <w:t>2</w:t>
            </w:r>
            <w:r>
              <w:rPr>
                <w:rFonts w:hint="default"/>
              </w:rPr>
              <w:t>00</w:t>
            </w:r>
            <w:r>
              <w:rPr>
                <w:rFonts w:hint="eastAsia"/>
                <w:lang w:eastAsia="zh-CN"/>
              </w:rPr>
              <w:t>m³</w:t>
            </w:r>
            <w:r>
              <w:rPr>
                <w:rFonts w:hint="default"/>
              </w:rPr>
              <w:t>）</w:t>
            </w:r>
          </w:p>
          <w:p>
            <w:pPr>
              <w:pStyle w:val="17"/>
              <w:bidi w:val="0"/>
              <w:rPr>
                <w:rFonts w:hint="default" w:eastAsia="宋体"/>
                <w:lang w:val="en-US" w:eastAsia="zh-CN"/>
              </w:rPr>
            </w:pPr>
            <w:r>
              <w:rPr>
                <w:rFonts w:hint="eastAsia"/>
                <w:lang w:val="en-US" w:eastAsia="zh-CN"/>
              </w:rPr>
              <w:t>地埋式污水处理设施（1套，50m³/h）</w:t>
            </w:r>
          </w:p>
        </w:tc>
        <w:tc>
          <w:tcPr>
            <w:tcW w:w="1147" w:type="dxa"/>
            <w:tcBorders>
              <w:tl2br w:val="nil"/>
              <w:tr2bl w:val="nil"/>
            </w:tcBorders>
            <w:vAlign w:val="center"/>
          </w:tcPr>
          <w:p>
            <w:pPr>
              <w:pStyle w:val="17"/>
              <w:bidi w:val="0"/>
              <w:rPr>
                <w:rFonts w:hint="default"/>
              </w:rPr>
            </w:pPr>
            <w:r>
              <w:rPr>
                <w:rFonts w:hint="default"/>
              </w:rPr>
              <w:t>/</w:t>
            </w:r>
          </w:p>
        </w:tc>
        <w:tc>
          <w:tcPr>
            <w:tcW w:w="2503" w:type="dxa"/>
            <w:tcBorders>
              <w:tl2br w:val="nil"/>
              <w:tr2bl w:val="nil"/>
            </w:tcBorders>
            <w:vAlign w:val="center"/>
          </w:tcPr>
          <w:p>
            <w:pPr>
              <w:pStyle w:val="17"/>
              <w:bidi w:val="0"/>
              <w:rPr>
                <w:rFonts w:hint="default"/>
              </w:rPr>
            </w:pPr>
            <w:r>
              <w:rPr>
                <w:rFonts w:hint="default"/>
              </w:rPr>
              <w:t>循环利用</w:t>
            </w:r>
          </w:p>
        </w:tc>
        <w:tc>
          <w:tcPr>
            <w:tcW w:w="1161" w:type="dxa"/>
            <w:tcBorders>
              <w:tl2br w:val="nil"/>
              <w:tr2bl w:val="nil"/>
            </w:tcBorders>
            <w:vAlign w:val="center"/>
          </w:tcPr>
          <w:p>
            <w:pPr>
              <w:pStyle w:val="17"/>
              <w:bidi w:val="0"/>
              <w:rPr>
                <w:rFonts w:hint="default"/>
              </w:rPr>
            </w:pPr>
            <w:r>
              <w:rPr>
                <w:rFonts w:hint="eastAsia"/>
                <w:lang w:val="en-US" w:eastAsia="zh-CN"/>
              </w:rPr>
              <w:t>34</w:t>
            </w:r>
            <w:r>
              <w:rPr>
                <w:rFonts w:hint="default"/>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31" w:type="dxa"/>
            <w:vMerge w:val="continue"/>
            <w:tcBorders>
              <w:tl2br w:val="nil"/>
              <w:tr2bl w:val="nil"/>
            </w:tcBorders>
            <w:vAlign w:val="center"/>
          </w:tcPr>
          <w:p>
            <w:pPr>
              <w:pStyle w:val="17"/>
              <w:bidi w:val="0"/>
              <w:rPr>
                <w:rFonts w:hint="default"/>
              </w:rPr>
            </w:pPr>
          </w:p>
        </w:tc>
        <w:tc>
          <w:tcPr>
            <w:tcW w:w="1176" w:type="dxa"/>
            <w:gridSpan w:val="2"/>
            <w:tcBorders>
              <w:tl2br w:val="nil"/>
              <w:tr2bl w:val="nil"/>
            </w:tcBorders>
            <w:vAlign w:val="center"/>
          </w:tcPr>
          <w:p>
            <w:pPr>
              <w:pStyle w:val="17"/>
              <w:bidi w:val="0"/>
              <w:rPr>
                <w:rFonts w:hint="default"/>
              </w:rPr>
            </w:pPr>
            <w:r>
              <w:rPr>
                <w:rFonts w:hint="default"/>
              </w:rPr>
              <w:t>生活污水</w:t>
            </w:r>
          </w:p>
        </w:tc>
        <w:tc>
          <w:tcPr>
            <w:tcW w:w="2553" w:type="dxa"/>
            <w:tcBorders>
              <w:tl2br w:val="nil"/>
              <w:tr2bl w:val="nil"/>
            </w:tcBorders>
            <w:vAlign w:val="center"/>
          </w:tcPr>
          <w:p>
            <w:pPr>
              <w:pStyle w:val="17"/>
              <w:bidi w:val="0"/>
              <w:rPr>
                <w:rFonts w:hint="default"/>
              </w:rPr>
            </w:pPr>
            <w:r>
              <w:rPr>
                <w:rFonts w:hint="default"/>
              </w:rPr>
              <w:t>隔油池（</w:t>
            </w:r>
            <w:r>
              <w:rPr>
                <w:rFonts w:hint="default"/>
                <w:lang w:val="en-US" w:eastAsia="zh-CN"/>
              </w:rPr>
              <w:t>0.5</w:t>
            </w:r>
            <w:r>
              <w:rPr>
                <w:rFonts w:hint="eastAsia"/>
                <w:lang w:eastAsia="zh-CN"/>
              </w:rPr>
              <w:t>m³</w:t>
            </w:r>
            <w:r>
              <w:rPr>
                <w:rFonts w:hint="default"/>
              </w:rPr>
              <w:t>）</w:t>
            </w:r>
          </w:p>
          <w:p>
            <w:pPr>
              <w:pStyle w:val="17"/>
              <w:bidi w:val="0"/>
              <w:rPr>
                <w:rFonts w:hint="eastAsia"/>
                <w:lang w:val="en-US" w:eastAsia="zh-CN"/>
              </w:rPr>
            </w:pPr>
            <w:r>
              <w:rPr>
                <w:rFonts w:hint="eastAsia"/>
                <w:lang w:val="en-US" w:eastAsia="zh-CN"/>
              </w:rPr>
              <w:t>化粪池（玻璃钢防渗）</w:t>
            </w:r>
          </w:p>
        </w:tc>
        <w:tc>
          <w:tcPr>
            <w:tcW w:w="1147" w:type="dxa"/>
            <w:tcBorders>
              <w:tl2br w:val="nil"/>
              <w:tr2bl w:val="nil"/>
            </w:tcBorders>
            <w:vAlign w:val="center"/>
          </w:tcPr>
          <w:p>
            <w:pPr>
              <w:pStyle w:val="17"/>
              <w:bidi w:val="0"/>
              <w:rPr>
                <w:rFonts w:hint="default"/>
              </w:rPr>
            </w:pPr>
            <w:r>
              <w:rPr>
                <w:rFonts w:hint="default"/>
              </w:rPr>
              <w:t>/</w:t>
            </w:r>
          </w:p>
        </w:tc>
        <w:tc>
          <w:tcPr>
            <w:tcW w:w="2503" w:type="dxa"/>
            <w:tcBorders>
              <w:tl2br w:val="nil"/>
              <w:tr2bl w:val="nil"/>
            </w:tcBorders>
            <w:vAlign w:val="center"/>
          </w:tcPr>
          <w:p>
            <w:pPr>
              <w:pStyle w:val="17"/>
              <w:bidi w:val="0"/>
              <w:rPr>
                <w:rFonts w:hint="default"/>
              </w:rPr>
            </w:pPr>
            <w:r>
              <w:rPr>
                <w:rFonts w:hint="default"/>
              </w:rPr>
              <w:t>统一收集后污水处理一体化设备处理后用于厂区绿化，餐饮废水经隔油池</w:t>
            </w:r>
            <w:r>
              <w:rPr>
                <w:rFonts w:hint="eastAsia"/>
                <w:lang w:val="en-US" w:eastAsia="zh-CN"/>
              </w:rPr>
              <w:t>隔油后通过化粪池预</w:t>
            </w:r>
            <w:r>
              <w:rPr>
                <w:rFonts w:hint="default"/>
              </w:rPr>
              <w:t>处理后与生活污水一同处理。</w:t>
            </w:r>
          </w:p>
        </w:tc>
        <w:tc>
          <w:tcPr>
            <w:tcW w:w="1161" w:type="dxa"/>
            <w:tcBorders>
              <w:tl2br w:val="nil"/>
              <w:tr2bl w:val="nil"/>
            </w:tcBorders>
            <w:vAlign w:val="center"/>
          </w:tcPr>
          <w:p>
            <w:pPr>
              <w:pStyle w:val="17"/>
              <w:bidi w:val="0"/>
              <w:rPr>
                <w:rFonts w:hint="default"/>
              </w:rPr>
            </w:pPr>
            <w:r>
              <w:rPr>
                <w:rFonts w:hint="eastAsia"/>
                <w:lang w:val="en-US" w:eastAsia="zh-CN"/>
              </w:rPr>
              <w:t>1</w:t>
            </w:r>
            <w:r>
              <w:rPr>
                <w:rFonts w:hint="default"/>
                <w:lang w:val="en-US" w:eastAsia="zh-CN"/>
              </w:rPr>
              <w:t>.5</w:t>
            </w:r>
            <w:r>
              <w:rPr>
                <w:rFonts w:hint="default"/>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31" w:type="dxa"/>
            <w:tcBorders>
              <w:tl2br w:val="nil"/>
              <w:tr2bl w:val="nil"/>
            </w:tcBorders>
            <w:vAlign w:val="center"/>
          </w:tcPr>
          <w:p>
            <w:pPr>
              <w:pStyle w:val="17"/>
              <w:bidi w:val="0"/>
              <w:rPr>
                <w:rFonts w:hint="default"/>
              </w:rPr>
            </w:pPr>
            <w:r>
              <w:rPr>
                <w:rFonts w:hint="default"/>
              </w:rPr>
              <w:t>噪声</w:t>
            </w:r>
          </w:p>
        </w:tc>
        <w:tc>
          <w:tcPr>
            <w:tcW w:w="1176" w:type="dxa"/>
            <w:gridSpan w:val="2"/>
            <w:tcBorders>
              <w:tl2br w:val="nil"/>
              <w:tr2bl w:val="nil"/>
            </w:tcBorders>
            <w:vAlign w:val="center"/>
          </w:tcPr>
          <w:p>
            <w:pPr>
              <w:pStyle w:val="17"/>
              <w:bidi w:val="0"/>
              <w:rPr>
                <w:rFonts w:hint="default"/>
              </w:rPr>
            </w:pPr>
            <w:r>
              <w:rPr>
                <w:rFonts w:hint="default"/>
              </w:rPr>
              <w:t>机械噪声</w:t>
            </w:r>
          </w:p>
        </w:tc>
        <w:tc>
          <w:tcPr>
            <w:tcW w:w="2553" w:type="dxa"/>
            <w:tcBorders>
              <w:tl2br w:val="nil"/>
              <w:tr2bl w:val="nil"/>
            </w:tcBorders>
            <w:vAlign w:val="center"/>
          </w:tcPr>
          <w:p>
            <w:pPr>
              <w:pStyle w:val="17"/>
              <w:bidi w:val="0"/>
              <w:rPr>
                <w:rFonts w:hint="default"/>
              </w:rPr>
            </w:pPr>
            <w:r>
              <w:rPr>
                <w:rFonts w:hint="default"/>
              </w:rPr>
              <w:t>安装减振基础、减振垫、消声器等</w:t>
            </w:r>
          </w:p>
        </w:tc>
        <w:tc>
          <w:tcPr>
            <w:tcW w:w="1147" w:type="dxa"/>
            <w:tcBorders>
              <w:tl2br w:val="nil"/>
              <w:tr2bl w:val="nil"/>
            </w:tcBorders>
            <w:vAlign w:val="center"/>
          </w:tcPr>
          <w:p>
            <w:pPr>
              <w:pStyle w:val="17"/>
              <w:bidi w:val="0"/>
              <w:rPr>
                <w:rFonts w:hint="default"/>
              </w:rPr>
            </w:pPr>
            <w:r>
              <w:rPr>
                <w:rFonts w:hint="default"/>
              </w:rPr>
              <w:t>降噪效果20dB(A)</w:t>
            </w:r>
          </w:p>
        </w:tc>
        <w:tc>
          <w:tcPr>
            <w:tcW w:w="2503" w:type="dxa"/>
            <w:tcBorders>
              <w:tl2br w:val="nil"/>
              <w:tr2bl w:val="nil"/>
            </w:tcBorders>
            <w:vAlign w:val="center"/>
          </w:tcPr>
          <w:p>
            <w:pPr>
              <w:pStyle w:val="17"/>
              <w:bidi w:val="0"/>
              <w:rPr>
                <w:rFonts w:hint="default"/>
              </w:rPr>
            </w:pPr>
            <w:r>
              <w:rPr>
                <w:rFonts w:hint="default"/>
              </w:rPr>
              <w:t>《工业企业厂界环境噪声排放标准》（GB12348-2008）中</w:t>
            </w:r>
            <w:r>
              <w:rPr>
                <w:rFonts w:hint="eastAsia"/>
                <w:lang w:val="en-US" w:eastAsia="zh-CN"/>
              </w:rPr>
              <w:t>2</w:t>
            </w:r>
            <w:r>
              <w:rPr>
                <w:rFonts w:hint="default"/>
              </w:rPr>
              <w:t>类区标准</w:t>
            </w:r>
          </w:p>
        </w:tc>
        <w:tc>
          <w:tcPr>
            <w:tcW w:w="1161" w:type="dxa"/>
            <w:tcBorders>
              <w:tl2br w:val="nil"/>
              <w:tr2bl w:val="nil"/>
            </w:tcBorders>
            <w:vAlign w:val="center"/>
          </w:tcPr>
          <w:p>
            <w:pPr>
              <w:pStyle w:val="17"/>
              <w:bidi w:val="0"/>
              <w:rPr>
                <w:rFonts w:hint="default"/>
              </w:rPr>
            </w:pPr>
            <w:r>
              <w:rPr>
                <w:rFonts w:hint="default"/>
              </w:rPr>
              <w:t>6万元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31" w:type="dxa"/>
            <w:vMerge w:val="restart"/>
            <w:tcBorders>
              <w:tl2br w:val="nil"/>
              <w:tr2bl w:val="nil"/>
            </w:tcBorders>
            <w:vAlign w:val="center"/>
          </w:tcPr>
          <w:p>
            <w:pPr>
              <w:pStyle w:val="17"/>
              <w:bidi w:val="0"/>
              <w:rPr>
                <w:rFonts w:hint="default"/>
              </w:rPr>
            </w:pPr>
            <w:r>
              <w:rPr>
                <w:rFonts w:hint="default"/>
              </w:rPr>
              <w:t>固废</w:t>
            </w:r>
          </w:p>
        </w:tc>
        <w:tc>
          <w:tcPr>
            <w:tcW w:w="1176" w:type="dxa"/>
            <w:gridSpan w:val="2"/>
            <w:tcBorders>
              <w:tl2br w:val="nil"/>
              <w:tr2bl w:val="nil"/>
            </w:tcBorders>
            <w:vAlign w:val="center"/>
          </w:tcPr>
          <w:p>
            <w:pPr>
              <w:pStyle w:val="17"/>
              <w:bidi w:val="0"/>
              <w:rPr>
                <w:rFonts w:hint="default"/>
              </w:rPr>
            </w:pPr>
            <w:r>
              <w:rPr>
                <w:rFonts w:hint="default"/>
              </w:rPr>
              <w:t>一般生产固废</w:t>
            </w:r>
          </w:p>
        </w:tc>
        <w:tc>
          <w:tcPr>
            <w:tcW w:w="2553" w:type="dxa"/>
            <w:tcBorders>
              <w:tl2br w:val="nil"/>
              <w:tr2bl w:val="nil"/>
            </w:tcBorders>
            <w:vAlign w:val="center"/>
          </w:tcPr>
          <w:p>
            <w:pPr>
              <w:pStyle w:val="17"/>
              <w:bidi w:val="0"/>
              <w:rPr>
                <w:rFonts w:hint="default"/>
              </w:rPr>
            </w:pPr>
            <w:r>
              <w:rPr>
                <w:rFonts w:hint="default"/>
              </w:rPr>
              <w:t>分拣废物统一收集至项目区垃圾箱内，由环卫部门清运；污泥干化填埋；不合格产品运至厂房重新造粒；废过滤网采用专用容器妥善贮存，由厂家回收。</w:t>
            </w:r>
          </w:p>
        </w:tc>
        <w:tc>
          <w:tcPr>
            <w:tcW w:w="1147" w:type="dxa"/>
            <w:tcBorders>
              <w:tl2br w:val="nil"/>
              <w:tr2bl w:val="nil"/>
            </w:tcBorders>
            <w:vAlign w:val="center"/>
          </w:tcPr>
          <w:p>
            <w:pPr>
              <w:pStyle w:val="17"/>
              <w:bidi w:val="0"/>
              <w:rPr>
                <w:rFonts w:hint="default"/>
              </w:rPr>
            </w:pPr>
            <w:r>
              <w:rPr>
                <w:rFonts w:hint="default"/>
              </w:rPr>
              <w:t>/</w:t>
            </w:r>
          </w:p>
        </w:tc>
        <w:tc>
          <w:tcPr>
            <w:tcW w:w="2503" w:type="dxa"/>
            <w:tcBorders>
              <w:tl2br w:val="nil"/>
              <w:tr2bl w:val="nil"/>
            </w:tcBorders>
            <w:vAlign w:val="center"/>
          </w:tcPr>
          <w:p>
            <w:pPr>
              <w:pStyle w:val="17"/>
              <w:bidi w:val="0"/>
              <w:rPr>
                <w:rFonts w:hint="default"/>
              </w:rPr>
            </w:pPr>
            <w:r>
              <w:rPr>
                <w:rFonts w:hint="default"/>
              </w:rPr>
              <w:t>合理处理</w:t>
            </w:r>
          </w:p>
        </w:tc>
        <w:tc>
          <w:tcPr>
            <w:tcW w:w="1161" w:type="dxa"/>
            <w:vMerge w:val="restart"/>
            <w:tcBorders>
              <w:tl2br w:val="nil"/>
              <w:tr2bl w:val="nil"/>
            </w:tcBorders>
            <w:vAlign w:val="center"/>
          </w:tcPr>
          <w:p>
            <w:pPr>
              <w:pStyle w:val="17"/>
              <w:bidi w:val="0"/>
              <w:rPr>
                <w:rFonts w:hint="default"/>
              </w:rPr>
            </w:pPr>
            <w:r>
              <w:rPr>
                <w:rFonts w:hint="eastAsia"/>
                <w:lang w:val="en-US" w:eastAsia="zh-CN"/>
              </w:rPr>
              <w:t>3</w:t>
            </w:r>
            <w:r>
              <w:rPr>
                <w:rFonts w:hint="default"/>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31" w:type="dxa"/>
            <w:vMerge w:val="continue"/>
            <w:tcBorders>
              <w:tl2br w:val="nil"/>
              <w:tr2bl w:val="nil"/>
            </w:tcBorders>
            <w:vAlign w:val="center"/>
          </w:tcPr>
          <w:p>
            <w:pPr>
              <w:pStyle w:val="17"/>
              <w:bidi w:val="0"/>
              <w:rPr>
                <w:rFonts w:hint="default"/>
              </w:rPr>
            </w:pPr>
          </w:p>
        </w:tc>
        <w:tc>
          <w:tcPr>
            <w:tcW w:w="1176" w:type="dxa"/>
            <w:gridSpan w:val="2"/>
            <w:tcBorders>
              <w:tl2br w:val="nil"/>
              <w:tr2bl w:val="nil"/>
            </w:tcBorders>
            <w:vAlign w:val="center"/>
          </w:tcPr>
          <w:p>
            <w:pPr>
              <w:pStyle w:val="17"/>
              <w:bidi w:val="0"/>
              <w:rPr>
                <w:rFonts w:hint="default"/>
              </w:rPr>
            </w:pPr>
            <w:r>
              <w:rPr>
                <w:rFonts w:hint="default"/>
              </w:rPr>
              <w:t>生活垃圾</w:t>
            </w:r>
          </w:p>
        </w:tc>
        <w:tc>
          <w:tcPr>
            <w:tcW w:w="2553" w:type="dxa"/>
            <w:tcBorders>
              <w:tl2br w:val="nil"/>
              <w:tr2bl w:val="nil"/>
            </w:tcBorders>
            <w:vAlign w:val="center"/>
          </w:tcPr>
          <w:p>
            <w:pPr>
              <w:pStyle w:val="17"/>
              <w:bidi w:val="0"/>
              <w:rPr>
                <w:rFonts w:hint="default"/>
              </w:rPr>
            </w:pPr>
            <w:r>
              <w:rPr>
                <w:rFonts w:hint="default"/>
              </w:rPr>
              <w:t>经垃圾箱收集后由环卫部门统一清运</w:t>
            </w:r>
          </w:p>
        </w:tc>
        <w:tc>
          <w:tcPr>
            <w:tcW w:w="1147" w:type="dxa"/>
            <w:tcBorders>
              <w:tl2br w:val="nil"/>
              <w:tr2bl w:val="nil"/>
            </w:tcBorders>
            <w:vAlign w:val="center"/>
          </w:tcPr>
          <w:p>
            <w:pPr>
              <w:pStyle w:val="17"/>
              <w:bidi w:val="0"/>
              <w:rPr>
                <w:rFonts w:hint="default"/>
              </w:rPr>
            </w:pPr>
            <w:r>
              <w:rPr>
                <w:rFonts w:hint="default"/>
              </w:rPr>
              <w:t>/</w:t>
            </w:r>
          </w:p>
        </w:tc>
        <w:tc>
          <w:tcPr>
            <w:tcW w:w="2503" w:type="dxa"/>
            <w:tcBorders>
              <w:tl2br w:val="nil"/>
              <w:tr2bl w:val="nil"/>
            </w:tcBorders>
            <w:vAlign w:val="center"/>
          </w:tcPr>
          <w:p>
            <w:pPr>
              <w:pStyle w:val="17"/>
              <w:bidi w:val="0"/>
              <w:rPr>
                <w:rFonts w:hint="default"/>
              </w:rPr>
            </w:pPr>
            <w:r>
              <w:rPr>
                <w:rFonts w:hint="default"/>
              </w:rPr>
              <w:t>合理处理</w:t>
            </w:r>
          </w:p>
        </w:tc>
        <w:tc>
          <w:tcPr>
            <w:tcW w:w="1161"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31" w:type="dxa"/>
            <w:vMerge w:val="continue"/>
            <w:tcBorders>
              <w:tl2br w:val="nil"/>
              <w:tr2bl w:val="nil"/>
            </w:tcBorders>
            <w:vAlign w:val="center"/>
          </w:tcPr>
          <w:p>
            <w:pPr>
              <w:pStyle w:val="17"/>
              <w:bidi w:val="0"/>
              <w:rPr>
                <w:rFonts w:hint="default"/>
              </w:rPr>
            </w:pPr>
          </w:p>
        </w:tc>
        <w:tc>
          <w:tcPr>
            <w:tcW w:w="1176" w:type="dxa"/>
            <w:gridSpan w:val="2"/>
            <w:vMerge w:val="restart"/>
            <w:tcBorders>
              <w:tl2br w:val="nil"/>
              <w:tr2bl w:val="nil"/>
            </w:tcBorders>
            <w:vAlign w:val="center"/>
          </w:tcPr>
          <w:p>
            <w:pPr>
              <w:pStyle w:val="17"/>
              <w:bidi w:val="0"/>
              <w:rPr>
                <w:rFonts w:hint="default" w:eastAsia="宋体"/>
                <w:lang w:val="en-US" w:eastAsia="zh-CN"/>
              </w:rPr>
            </w:pPr>
            <w:r>
              <w:rPr>
                <w:rFonts w:hint="eastAsia"/>
                <w:lang w:val="en-US" w:eastAsia="zh-CN"/>
              </w:rPr>
              <w:t>危险废物</w:t>
            </w:r>
          </w:p>
        </w:tc>
        <w:tc>
          <w:tcPr>
            <w:tcW w:w="2553" w:type="dxa"/>
            <w:tcBorders>
              <w:tl2br w:val="nil"/>
              <w:tr2bl w:val="nil"/>
            </w:tcBorders>
            <w:vAlign w:val="center"/>
          </w:tcPr>
          <w:p>
            <w:pPr>
              <w:pStyle w:val="17"/>
              <w:bidi w:val="0"/>
              <w:rPr>
                <w:rFonts w:hint="default" w:eastAsia="宋体"/>
                <w:lang w:val="en-US" w:eastAsia="zh-CN"/>
              </w:rPr>
            </w:pPr>
            <w:r>
              <w:rPr>
                <w:rFonts w:hint="eastAsia"/>
                <w:lang w:val="en-US" w:eastAsia="zh-CN"/>
              </w:rPr>
              <w:t>暂存在危险废物暂存间，定期交由具有资质的危险废物处置单位处置</w:t>
            </w:r>
          </w:p>
        </w:tc>
        <w:tc>
          <w:tcPr>
            <w:tcW w:w="1147" w:type="dxa"/>
            <w:tcBorders>
              <w:tl2br w:val="nil"/>
              <w:tr2bl w:val="nil"/>
            </w:tcBorders>
            <w:vAlign w:val="center"/>
          </w:tcPr>
          <w:p>
            <w:pPr>
              <w:pStyle w:val="17"/>
              <w:bidi w:val="0"/>
              <w:ind w:firstLine="0" w:firstLineChars="0"/>
              <w:rPr>
                <w:rFonts w:hint="default"/>
              </w:rPr>
            </w:pPr>
            <w:r>
              <w:rPr>
                <w:rFonts w:hint="default"/>
              </w:rPr>
              <w:t>/</w:t>
            </w:r>
          </w:p>
        </w:tc>
        <w:tc>
          <w:tcPr>
            <w:tcW w:w="2503" w:type="dxa"/>
            <w:tcBorders>
              <w:tl2br w:val="nil"/>
              <w:tr2bl w:val="nil"/>
            </w:tcBorders>
            <w:vAlign w:val="center"/>
          </w:tcPr>
          <w:p>
            <w:pPr>
              <w:pStyle w:val="17"/>
              <w:bidi w:val="0"/>
              <w:ind w:firstLine="0" w:firstLineChars="0"/>
              <w:rPr>
                <w:rFonts w:hint="default"/>
              </w:rPr>
            </w:pPr>
            <w:r>
              <w:rPr>
                <w:rFonts w:hint="default"/>
              </w:rPr>
              <w:t>合理处理</w:t>
            </w:r>
          </w:p>
        </w:tc>
        <w:tc>
          <w:tcPr>
            <w:tcW w:w="1161"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31" w:type="dxa"/>
            <w:vMerge w:val="continue"/>
            <w:tcBorders>
              <w:tl2br w:val="nil"/>
              <w:tr2bl w:val="nil"/>
            </w:tcBorders>
            <w:vAlign w:val="center"/>
          </w:tcPr>
          <w:p>
            <w:pPr>
              <w:pStyle w:val="17"/>
              <w:bidi w:val="0"/>
              <w:rPr>
                <w:rFonts w:hint="default"/>
              </w:rPr>
            </w:pPr>
          </w:p>
        </w:tc>
        <w:tc>
          <w:tcPr>
            <w:tcW w:w="1176" w:type="dxa"/>
            <w:gridSpan w:val="2"/>
            <w:vMerge w:val="continue"/>
            <w:tcBorders>
              <w:tl2br w:val="nil"/>
              <w:tr2bl w:val="nil"/>
            </w:tcBorders>
            <w:vAlign w:val="center"/>
          </w:tcPr>
          <w:p>
            <w:pPr>
              <w:pStyle w:val="17"/>
              <w:bidi w:val="0"/>
              <w:rPr>
                <w:rFonts w:hint="default"/>
              </w:rPr>
            </w:pPr>
          </w:p>
        </w:tc>
        <w:tc>
          <w:tcPr>
            <w:tcW w:w="2553" w:type="dxa"/>
            <w:tcBorders>
              <w:tl2br w:val="nil"/>
              <w:tr2bl w:val="nil"/>
            </w:tcBorders>
            <w:vAlign w:val="center"/>
          </w:tcPr>
          <w:p>
            <w:pPr>
              <w:pStyle w:val="17"/>
              <w:bidi w:val="0"/>
              <w:rPr>
                <w:rFonts w:hint="default" w:eastAsia="宋体"/>
                <w:lang w:val="en-US" w:eastAsia="zh-CN"/>
              </w:rPr>
            </w:pPr>
            <w:r>
              <w:rPr>
                <w:rFonts w:hint="eastAsia"/>
                <w:lang w:val="en-US" w:eastAsia="zh-CN"/>
              </w:rPr>
              <w:t>废活性炭、废机油暂存在危险废物暂存间，定期交由具有资质的危险废物处置单位处置</w:t>
            </w:r>
          </w:p>
        </w:tc>
        <w:tc>
          <w:tcPr>
            <w:tcW w:w="1147" w:type="dxa"/>
            <w:tcBorders>
              <w:tl2br w:val="nil"/>
              <w:tr2bl w:val="nil"/>
            </w:tcBorders>
            <w:vAlign w:val="center"/>
          </w:tcPr>
          <w:p>
            <w:pPr>
              <w:pStyle w:val="17"/>
              <w:bidi w:val="0"/>
              <w:ind w:firstLine="0" w:firstLineChars="0"/>
              <w:rPr>
                <w:rFonts w:hint="default"/>
              </w:rPr>
            </w:pPr>
            <w:r>
              <w:rPr>
                <w:rFonts w:hint="default"/>
              </w:rPr>
              <w:t>/</w:t>
            </w:r>
          </w:p>
        </w:tc>
        <w:tc>
          <w:tcPr>
            <w:tcW w:w="2503" w:type="dxa"/>
            <w:tcBorders>
              <w:tl2br w:val="nil"/>
              <w:tr2bl w:val="nil"/>
            </w:tcBorders>
            <w:vAlign w:val="center"/>
          </w:tcPr>
          <w:p>
            <w:pPr>
              <w:pStyle w:val="17"/>
              <w:bidi w:val="0"/>
              <w:ind w:firstLine="0" w:firstLineChars="0"/>
              <w:rPr>
                <w:rFonts w:hint="default"/>
              </w:rPr>
            </w:pPr>
            <w:r>
              <w:rPr>
                <w:rFonts w:hint="default"/>
              </w:rPr>
              <w:t>合理处理</w:t>
            </w:r>
          </w:p>
        </w:tc>
        <w:tc>
          <w:tcPr>
            <w:tcW w:w="1161" w:type="dxa"/>
            <w:vMerge w:val="continue"/>
            <w:tcBorders>
              <w:tl2br w:val="nil"/>
              <w:tr2bl w:val="nil"/>
            </w:tcBorders>
            <w:vAlign w:val="center"/>
          </w:tcPr>
          <w:p>
            <w:pPr>
              <w:pStyle w:val="17"/>
              <w:bidi w:val="0"/>
              <w:rPr>
                <w:rFonts w:hint="default"/>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707" w:type="dxa"/>
            <w:gridSpan w:val="3"/>
            <w:tcBorders>
              <w:tl2br w:val="nil"/>
              <w:tr2bl w:val="nil"/>
            </w:tcBorders>
            <w:vAlign w:val="center"/>
          </w:tcPr>
          <w:p>
            <w:pPr>
              <w:pStyle w:val="17"/>
              <w:bidi w:val="0"/>
              <w:rPr>
                <w:rFonts w:hint="default"/>
              </w:rPr>
            </w:pPr>
            <w:r>
              <w:rPr>
                <w:rFonts w:hint="default"/>
              </w:rPr>
              <w:t>地下水污染防治</w:t>
            </w:r>
          </w:p>
        </w:tc>
        <w:tc>
          <w:tcPr>
            <w:tcW w:w="2553" w:type="dxa"/>
            <w:tcBorders>
              <w:tl2br w:val="nil"/>
              <w:tr2bl w:val="nil"/>
            </w:tcBorders>
            <w:vAlign w:val="center"/>
          </w:tcPr>
          <w:p>
            <w:pPr>
              <w:pStyle w:val="17"/>
              <w:bidi w:val="0"/>
              <w:rPr>
                <w:rFonts w:hint="default"/>
              </w:rPr>
            </w:pPr>
            <w:r>
              <w:rPr>
                <w:rFonts w:hint="default"/>
              </w:rPr>
              <w:t>分区防渗</w:t>
            </w:r>
          </w:p>
        </w:tc>
        <w:tc>
          <w:tcPr>
            <w:tcW w:w="1147" w:type="dxa"/>
            <w:tcBorders>
              <w:tl2br w:val="nil"/>
              <w:tr2bl w:val="nil"/>
            </w:tcBorders>
            <w:vAlign w:val="center"/>
          </w:tcPr>
          <w:p>
            <w:pPr>
              <w:pStyle w:val="17"/>
              <w:bidi w:val="0"/>
              <w:rPr>
                <w:rFonts w:hint="default"/>
              </w:rPr>
            </w:pPr>
            <w:r>
              <w:rPr>
                <w:rFonts w:hint="default"/>
              </w:rPr>
              <w:t>/</w:t>
            </w:r>
          </w:p>
        </w:tc>
        <w:tc>
          <w:tcPr>
            <w:tcW w:w="2503" w:type="dxa"/>
            <w:tcBorders>
              <w:tl2br w:val="nil"/>
              <w:tr2bl w:val="nil"/>
            </w:tcBorders>
            <w:vAlign w:val="center"/>
          </w:tcPr>
          <w:p>
            <w:pPr>
              <w:pStyle w:val="17"/>
              <w:bidi w:val="0"/>
              <w:rPr>
                <w:rFonts w:hint="default"/>
              </w:rPr>
            </w:pPr>
            <w:r>
              <w:rPr>
                <w:rFonts w:hint="default"/>
              </w:rPr>
              <w:t>按要求实施</w:t>
            </w:r>
          </w:p>
        </w:tc>
        <w:tc>
          <w:tcPr>
            <w:tcW w:w="1161" w:type="dxa"/>
            <w:tcBorders>
              <w:tl2br w:val="nil"/>
              <w:tr2bl w:val="nil"/>
            </w:tcBorders>
            <w:vAlign w:val="center"/>
          </w:tcPr>
          <w:p>
            <w:pPr>
              <w:pStyle w:val="17"/>
              <w:bidi w:val="0"/>
              <w:rPr>
                <w:rFonts w:hint="default"/>
              </w:rPr>
            </w:pPr>
            <w:r>
              <w:rPr>
                <w:rFonts w:hint="default"/>
              </w:rPr>
              <w:t>4万元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707" w:type="dxa"/>
            <w:gridSpan w:val="3"/>
            <w:tcBorders>
              <w:tl2br w:val="nil"/>
              <w:tr2bl w:val="nil"/>
            </w:tcBorders>
            <w:vAlign w:val="center"/>
          </w:tcPr>
          <w:p>
            <w:pPr>
              <w:pStyle w:val="17"/>
              <w:bidi w:val="0"/>
              <w:rPr>
                <w:rFonts w:hint="default"/>
              </w:rPr>
            </w:pPr>
            <w:r>
              <w:rPr>
                <w:rFonts w:hint="default"/>
              </w:rPr>
              <w:t>绿化</w:t>
            </w:r>
          </w:p>
        </w:tc>
        <w:tc>
          <w:tcPr>
            <w:tcW w:w="2553" w:type="dxa"/>
            <w:tcBorders>
              <w:tl2br w:val="nil"/>
              <w:tr2bl w:val="nil"/>
            </w:tcBorders>
            <w:vAlign w:val="center"/>
          </w:tcPr>
          <w:p>
            <w:pPr>
              <w:pStyle w:val="17"/>
              <w:bidi w:val="0"/>
              <w:rPr>
                <w:rFonts w:hint="eastAsia"/>
                <w:lang w:eastAsia="zh-CN"/>
              </w:rPr>
            </w:pPr>
            <w:r>
              <w:rPr>
                <w:rFonts w:hint="default"/>
              </w:rPr>
              <w:t>种植树木、草坪等，绿化面积为</w:t>
            </w:r>
            <w:r>
              <w:rPr>
                <w:rFonts w:hint="eastAsia"/>
                <w:lang w:val="en-US" w:eastAsia="zh-CN"/>
              </w:rPr>
              <w:t>1324.35</w:t>
            </w:r>
            <w:r>
              <w:rPr>
                <w:rFonts w:hint="eastAsia"/>
                <w:lang w:eastAsia="zh-CN"/>
              </w:rPr>
              <w:t>m²</w:t>
            </w:r>
          </w:p>
        </w:tc>
        <w:tc>
          <w:tcPr>
            <w:tcW w:w="1147" w:type="dxa"/>
            <w:tcBorders>
              <w:tl2br w:val="nil"/>
              <w:tr2bl w:val="nil"/>
            </w:tcBorders>
            <w:vAlign w:val="center"/>
          </w:tcPr>
          <w:p>
            <w:pPr>
              <w:pStyle w:val="17"/>
              <w:bidi w:val="0"/>
              <w:rPr>
                <w:rFonts w:hint="default"/>
              </w:rPr>
            </w:pPr>
            <w:r>
              <w:rPr>
                <w:rFonts w:hint="default"/>
              </w:rPr>
              <w:t>/</w:t>
            </w:r>
          </w:p>
        </w:tc>
        <w:tc>
          <w:tcPr>
            <w:tcW w:w="2503" w:type="dxa"/>
            <w:tcBorders>
              <w:tl2br w:val="nil"/>
              <w:tr2bl w:val="nil"/>
            </w:tcBorders>
            <w:vAlign w:val="center"/>
          </w:tcPr>
          <w:p>
            <w:pPr>
              <w:pStyle w:val="17"/>
              <w:bidi w:val="0"/>
              <w:rPr>
                <w:rFonts w:hint="default"/>
              </w:rPr>
            </w:pPr>
            <w:r>
              <w:rPr>
                <w:rFonts w:hint="default"/>
              </w:rPr>
              <w:t>按要求实施</w:t>
            </w:r>
          </w:p>
        </w:tc>
        <w:tc>
          <w:tcPr>
            <w:tcW w:w="1161" w:type="dxa"/>
            <w:tcBorders>
              <w:tl2br w:val="nil"/>
              <w:tr2bl w:val="nil"/>
            </w:tcBorders>
            <w:vAlign w:val="center"/>
          </w:tcPr>
          <w:p>
            <w:pPr>
              <w:pStyle w:val="17"/>
              <w:bidi w:val="0"/>
              <w:rPr>
                <w:rFonts w:hint="default"/>
              </w:rPr>
            </w:pPr>
            <w:r>
              <w:rPr>
                <w:rFonts w:hint="default"/>
              </w:rPr>
              <w:t>20万元</w:t>
            </w:r>
          </w:p>
        </w:tc>
      </w:tr>
    </w:tbl>
    <w:p>
      <w:pPr>
        <w:pStyle w:val="4"/>
        <w:bidi w:val="0"/>
        <w:rPr>
          <w:rFonts w:hint="default"/>
        </w:rPr>
      </w:pPr>
      <w:bookmarkStart w:id="430" w:name="_Toc1268"/>
      <w:bookmarkStart w:id="431" w:name="_Toc3107"/>
      <w:bookmarkStart w:id="432" w:name="_Toc11290"/>
      <w:bookmarkStart w:id="433" w:name="_Toc370052934"/>
      <w:bookmarkStart w:id="434" w:name="_Toc304233997"/>
      <w:r>
        <w:rPr>
          <w:rFonts w:hint="default"/>
        </w:rPr>
        <w:t>9.</w:t>
      </w:r>
      <w:r>
        <w:rPr>
          <w:rFonts w:hint="default"/>
          <w:lang w:val="en-US" w:eastAsia="zh-CN"/>
        </w:rPr>
        <w:t>5</w:t>
      </w:r>
      <w:r>
        <w:rPr>
          <w:rFonts w:hint="eastAsia"/>
          <w:lang w:val="en-US" w:eastAsia="zh-CN"/>
        </w:rPr>
        <w:t>、</w:t>
      </w:r>
      <w:r>
        <w:rPr>
          <w:rFonts w:hint="default"/>
        </w:rPr>
        <w:t>总量控制</w:t>
      </w:r>
      <w:bookmarkEnd w:id="430"/>
      <w:bookmarkEnd w:id="431"/>
      <w:bookmarkEnd w:id="432"/>
    </w:p>
    <w:bookmarkEnd w:id="433"/>
    <w:bookmarkEnd w:id="434"/>
    <w:p>
      <w:pPr>
        <w:pStyle w:val="5"/>
        <w:bidi w:val="0"/>
        <w:rPr>
          <w:rFonts w:hint="default"/>
        </w:rPr>
      </w:pPr>
      <w:bookmarkStart w:id="435" w:name="_Toc375585901"/>
      <w:bookmarkStart w:id="436" w:name="_Toc428807986"/>
      <w:bookmarkStart w:id="437" w:name="_Toc394331614"/>
      <w:bookmarkStart w:id="438" w:name="_Toc356066563"/>
      <w:bookmarkStart w:id="439" w:name="_Toc414534082"/>
      <w:bookmarkStart w:id="440" w:name="_Toc385933445"/>
      <w:bookmarkStart w:id="441" w:name="_Toc382817759"/>
      <w:bookmarkStart w:id="442" w:name="_Toc362346339"/>
      <w:r>
        <w:rPr>
          <w:rFonts w:hint="default"/>
        </w:rPr>
        <w:t>9.</w:t>
      </w:r>
      <w:r>
        <w:rPr>
          <w:rFonts w:hint="default"/>
          <w:lang w:val="en-US" w:eastAsia="zh-CN"/>
        </w:rPr>
        <w:t>5</w:t>
      </w:r>
      <w:r>
        <w:rPr>
          <w:rFonts w:hint="default"/>
        </w:rPr>
        <w:t>.1</w:t>
      </w:r>
      <w:r>
        <w:rPr>
          <w:rFonts w:hint="eastAsia"/>
          <w:lang w:eastAsia="zh-CN"/>
        </w:rPr>
        <w:t>、</w:t>
      </w:r>
      <w:r>
        <w:rPr>
          <w:rFonts w:hint="default"/>
        </w:rPr>
        <w:t>总量控制基本原则</w:t>
      </w:r>
      <w:bookmarkEnd w:id="435"/>
      <w:bookmarkEnd w:id="436"/>
      <w:bookmarkEnd w:id="437"/>
      <w:bookmarkEnd w:id="438"/>
      <w:bookmarkEnd w:id="439"/>
      <w:bookmarkEnd w:id="440"/>
      <w:bookmarkEnd w:id="441"/>
      <w:bookmarkEnd w:id="442"/>
    </w:p>
    <w:p>
      <w:pPr>
        <w:bidi w:val="0"/>
        <w:rPr>
          <w:rFonts w:hint="default"/>
        </w:rPr>
      </w:pPr>
      <w:r>
        <w:rPr>
          <w:rFonts w:hint="default"/>
        </w:rPr>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w:t>
      </w:r>
    </w:p>
    <w:p>
      <w:pPr>
        <w:bidi w:val="0"/>
        <w:rPr>
          <w:rFonts w:hint="default"/>
        </w:rPr>
      </w:pPr>
      <w:r>
        <w:rPr>
          <w:rFonts w:hint="default"/>
        </w:rPr>
        <w:t>根据国家当前的产业政策和环保技术政策，制定本项目污染物总量控制原则和方法，提出污染物总量控制思路：</w:t>
      </w:r>
    </w:p>
    <w:p>
      <w:pPr>
        <w:bidi w:val="0"/>
        <w:rPr>
          <w:rFonts w:hint="default"/>
        </w:rPr>
      </w:pPr>
      <w:r>
        <w:rPr>
          <w:rFonts w:hint="default"/>
        </w:rPr>
        <w:t>第一：以国家产业政策为指导，分析产品方向的合理性和规模效益水平；</w:t>
      </w:r>
    </w:p>
    <w:p>
      <w:pPr>
        <w:bidi w:val="0"/>
        <w:rPr>
          <w:rFonts w:hint="default"/>
        </w:rPr>
      </w:pPr>
      <w:r>
        <w:rPr>
          <w:rFonts w:hint="default"/>
        </w:rPr>
        <w:t>第二：采用全方位总量控制思想，提高资源的综合利用率，选用清洁能源，降低能耗水平，实现清洁生产，将污染物尽可能消除在生产过程中；</w:t>
      </w:r>
    </w:p>
    <w:p>
      <w:pPr>
        <w:bidi w:val="0"/>
        <w:rPr>
          <w:rFonts w:hint="default"/>
        </w:rPr>
      </w:pPr>
      <w:r>
        <w:rPr>
          <w:rFonts w:hint="default"/>
        </w:rPr>
        <w:t>第三：强化中、末端控制，降低污染物的排放水平，实现达标排放；</w:t>
      </w:r>
    </w:p>
    <w:p>
      <w:pPr>
        <w:bidi w:val="0"/>
        <w:rPr>
          <w:rFonts w:hint="default"/>
        </w:rPr>
      </w:pPr>
      <w:r>
        <w:rPr>
          <w:rFonts w:hint="default"/>
        </w:rPr>
        <w:t>第四：满足地方环境管理要求，参照区域总量控制规划，使项目造成的环境影响低于项目所在区的环境保护目标控制水平。</w:t>
      </w:r>
    </w:p>
    <w:p>
      <w:pPr>
        <w:pStyle w:val="5"/>
        <w:bidi w:val="0"/>
        <w:rPr>
          <w:rFonts w:hint="default"/>
        </w:rPr>
      </w:pPr>
      <w:bookmarkStart w:id="443" w:name="_Toc356066564"/>
      <w:bookmarkStart w:id="444" w:name="_Toc382817760"/>
      <w:bookmarkStart w:id="445" w:name="_Toc362346340"/>
      <w:bookmarkStart w:id="446" w:name="_Toc414534083"/>
      <w:bookmarkStart w:id="447" w:name="_Toc428807987"/>
      <w:bookmarkStart w:id="448" w:name="_Toc375585902"/>
      <w:bookmarkStart w:id="449" w:name="_Toc394331615"/>
      <w:bookmarkStart w:id="450" w:name="_Toc385933446"/>
      <w:r>
        <w:rPr>
          <w:rFonts w:hint="default"/>
        </w:rPr>
        <w:t>9.</w:t>
      </w:r>
      <w:r>
        <w:rPr>
          <w:rFonts w:hint="default"/>
          <w:lang w:val="en-US" w:eastAsia="zh-CN"/>
        </w:rPr>
        <w:t>5</w:t>
      </w:r>
      <w:r>
        <w:rPr>
          <w:rFonts w:hint="default"/>
        </w:rPr>
        <w:t>.2</w:t>
      </w:r>
      <w:r>
        <w:rPr>
          <w:rFonts w:hint="eastAsia"/>
          <w:lang w:eastAsia="zh-CN"/>
        </w:rPr>
        <w:t>、</w:t>
      </w:r>
      <w:r>
        <w:rPr>
          <w:rFonts w:hint="default"/>
        </w:rPr>
        <w:t>总量控制因子</w:t>
      </w:r>
      <w:bookmarkEnd w:id="443"/>
      <w:bookmarkEnd w:id="444"/>
      <w:bookmarkEnd w:id="445"/>
      <w:bookmarkEnd w:id="446"/>
      <w:bookmarkEnd w:id="447"/>
      <w:bookmarkEnd w:id="448"/>
      <w:bookmarkEnd w:id="449"/>
      <w:bookmarkEnd w:id="450"/>
    </w:p>
    <w:p>
      <w:pPr>
        <w:bidi w:val="0"/>
        <w:rPr>
          <w:rFonts w:hint="default"/>
          <w:color w:val="FF0000"/>
        </w:rPr>
      </w:pPr>
      <w:r>
        <w:rPr>
          <w:rFonts w:hint="default"/>
          <w:color w:val="FF0000"/>
        </w:rPr>
        <w:t>根据新疆环保厅下发的《主要污染物排放总量控制</w:t>
      </w:r>
      <w:r>
        <w:rPr>
          <w:rFonts w:hint="eastAsia"/>
          <w:color w:val="FF0000"/>
          <w:lang w:eastAsia="zh-CN"/>
        </w:rPr>
        <w:t>“</w:t>
      </w:r>
      <w:r>
        <w:rPr>
          <w:rFonts w:hint="default"/>
          <w:color w:val="FF0000"/>
        </w:rPr>
        <w:t>十三五</w:t>
      </w:r>
      <w:r>
        <w:rPr>
          <w:rFonts w:hint="eastAsia"/>
          <w:color w:val="FF0000"/>
          <w:lang w:eastAsia="zh-CN"/>
        </w:rPr>
        <w:t>”</w:t>
      </w:r>
      <w:r>
        <w:rPr>
          <w:rFonts w:hint="default"/>
          <w:color w:val="FF0000"/>
        </w:rPr>
        <w:t>规划编制工作方案》和相关规定，明确规定了要对5种污染物实施总量控制，即COD、氨氮、二氧化硫、氮氧化物和VOCs。</w:t>
      </w:r>
    </w:p>
    <w:p>
      <w:pPr>
        <w:bidi w:val="0"/>
        <w:rPr>
          <w:rFonts w:hint="default"/>
          <w:color w:val="FF0000"/>
          <w:lang w:val="en-US" w:eastAsia="zh-CN"/>
        </w:rPr>
      </w:pPr>
      <w:r>
        <w:rPr>
          <w:rFonts w:hint="eastAsia"/>
          <w:color w:val="FF0000"/>
          <w:lang w:val="en-US" w:eastAsia="zh-CN"/>
        </w:rPr>
        <w:t>本项目采用电采暖，无燃料燃烧废气产生，生产过程中无SO</w:t>
      </w:r>
      <w:r>
        <w:rPr>
          <w:rFonts w:hint="eastAsia"/>
          <w:color w:val="FF0000"/>
          <w:vertAlign w:val="subscript"/>
          <w:lang w:val="en-US" w:eastAsia="zh-CN"/>
        </w:rPr>
        <w:t>2</w:t>
      </w:r>
      <w:r>
        <w:rPr>
          <w:rFonts w:hint="eastAsia"/>
          <w:color w:val="FF0000"/>
          <w:lang w:val="en-US" w:eastAsia="zh-CN"/>
        </w:rPr>
        <w:t>、NO</w:t>
      </w:r>
      <w:r>
        <w:rPr>
          <w:rFonts w:hint="eastAsia"/>
          <w:color w:val="FF0000"/>
          <w:vertAlign w:val="subscript"/>
          <w:lang w:val="en-US" w:eastAsia="zh-CN"/>
        </w:rPr>
        <w:t>X</w:t>
      </w:r>
      <w:r>
        <w:rPr>
          <w:rFonts w:hint="eastAsia"/>
          <w:color w:val="FF0000"/>
          <w:lang w:val="en-US" w:eastAsia="zh-CN"/>
        </w:rPr>
        <w:t>产生和排放，故不考虑SO</w:t>
      </w:r>
      <w:r>
        <w:rPr>
          <w:rFonts w:hint="eastAsia"/>
          <w:color w:val="FF0000"/>
          <w:vertAlign w:val="subscript"/>
          <w:lang w:val="en-US" w:eastAsia="zh-CN"/>
        </w:rPr>
        <w:t>2</w:t>
      </w:r>
      <w:r>
        <w:rPr>
          <w:rFonts w:hint="eastAsia"/>
          <w:color w:val="FF0000"/>
          <w:lang w:val="en-US" w:eastAsia="zh-CN"/>
        </w:rPr>
        <w:t>、NO</w:t>
      </w:r>
      <w:r>
        <w:rPr>
          <w:rFonts w:hint="eastAsia"/>
          <w:color w:val="FF0000"/>
          <w:vertAlign w:val="subscript"/>
          <w:lang w:val="en-US" w:eastAsia="zh-CN"/>
        </w:rPr>
        <w:t>X</w:t>
      </w:r>
      <w:r>
        <w:rPr>
          <w:rFonts w:hint="eastAsia"/>
          <w:color w:val="FF0000"/>
          <w:lang w:val="en-US" w:eastAsia="zh-CN"/>
        </w:rPr>
        <w:t>排放总量。外排生活污水抽运至下游污水处理厂进行统一处理，为避免重复计算，本项目不单独设施废水排放总量。</w:t>
      </w:r>
    </w:p>
    <w:p>
      <w:pPr>
        <w:bidi w:val="0"/>
        <w:rPr>
          <w:rFonts w:hint="default"/>
          <w:color w:val="FF0000"/>
        </w:rPr>
      </w:pPr>
      <w:r>
        <w:rPr>
          <w:rFonts w:hint="eastAsia"/>
          <w:color w:val="FF0000"/>
          <w:lang w:val="en-US" w:eastAsia="zh-CN"/>
        </w:rPr>
        <w:t>综上</w:t>
      </w:r>
      <w:r>
        <w:rPr>
          <w:rFonts w:hint="default"/>
          <w:color w:val="FF0000"/>
        </w:rPr>
        <w:t>根据本项目总量因子排放特点，总量控制因子确定为：</w:t>
      </w:r>
    </w:p>
    <w:p>
      <w:pPr>
        <w:bidi w:val="0"/>
        <w:rPr>
          <w:rFonts w:hint="default"/>
          <w:color w:val="FF0000"/>
          <w:lang w:eastAsia="zh-CN"/>
        </w:rPr>
      </w:pPr>
      <w:r>
        <w:rPr>
          <w:rFonts w:hint="default"/>
          <w:color w:val="FF0000"/>
        </w:rPr>
        <w:t>废气污染物指标（1项）：VOCs</w:t>
      </w:r>
      <w:r>
        <w:rPr>
          <w:rFonts w:hint="default"/>
          <w:color w:val="FF0000"/>
          <w:lang w:eastAsia="zh-CN"/>
        </w:rPr>
        <w:t>（</w:t>
      </w:r>
      <w:r>
        <w:rPr>
          <w:rFonts w:hint="default"/>
          <w:color w:val="FF0000"/>
          <w:lang w:val="en-US" w:eastAsia="zh-CN"/>
        </w:rPr>
        <w:t>非甲烷总烃</w:t>
      </w:r>
      <w:r>
        <w:rPr>
          <w:rFonts w:hint="default"/>
          <w:color w:val="FF0000"/>
          <w:lang w:eastAsia="zh-CN"/>
        </w:rPr>
        <w:t>）</w:t>
      </w:r>
      <w:r>
        <w:rPr>
          <w:rFonts w:hint="default"/>
          <w:color w:val="FF0000"/>
        </w:rPr>
        <w:t>：</w:t>
      </w:r>
      <w:r>
        <w:rPr>
          <w:rFonts w:hint="eastAsia"/>
          <w:color w:val="FF0000"/>
          <w:lang w:val="en-US" w:eastAsia="zh-CN"/>
        </w:rPr>
        <w:t>1.634</w:t>
      </w:r>
      <w:r>
        <w:rPr>
          <w:rFonts w:hint="default"/>
          <w:color w:val="FF0000"/>
        </w:rPr>
        <w:t>t/a</w:t>
      </w:r>
      <w:r>
        <w:rPr>
          <w:rFonts w:hint="default"/>
          <w:color w:val="FF0000"/>
          <w:lang w:eastAsia="zh-CN"/>
        </w:rPr>
        <w:t>。</w:t>
      </w:r>
    </w:p>
    <w:p>
      <w:pPr>
        <w:bidi w:val="0"/>
        <w:rPr>
          <w:rFonts w:hint="default"/>
          <w:color w:val="FF0000"/>
          <w:lang w:val="en-US" w:eastAsia="zh-CN"/>
        </w:rPr>
      </w:pPr>
      <w:r>
        <w:rPr>
          <w:rFonts w:hint="eastAsia"/>
          <w:color w:val="FF0000"/>
          <w:lang w:val="en-US" w:eastAsia="zh-CN"/>
        </w:rPr>
        <w:t>项目位于乌昌石城市群大气联防联控区，其VOCs排放总量实行“倍量替代”原则，本项目总量拟从吉木萨尔县减排项目总量中调剂解决。</w:t>
      </w:r>
    </w:p>
    <w:p>
      <w:pPr>
        <w:bidi w:val="0"/>
        <w:rPr>
          <w:rFonts w:hint="default"/>
          <w:lang w:eastAsia="zh-CN"/>
        </w:rPr>
      </w:pPr>
    </w:p>
    <w:p>
      <w:pPr>
        <w:bidi w:val="0"/>
        <w:rPr>
          <w:rFonts w:hint="default"/>
          <w:lang w:eastAsia="zh-CN"/>
        </w:rPr>
      </w:pPr>
    </w:p>
    <w:p>
      <w:pPr>
        <w:bidi w:val="0"/>
        <w:rPr>
          <w:rFonts w:hint="default"/>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379"/>
    <w:bookmarkEnd w:id="380"/>
    <w:bookmarkEnd w:id="381"/>
    <w:bookmarkEnd w:id="382"/>
    <w:bookmarkEnd w:id="383"/>
    <w:bookmarkEnd w:id="384"/>
    <w:bookmarkEnd w:id="385"/>
    <w:p>
      <w:pPr>
        <w:pStyle w:val="3"/>
        <w:bidi w:val="0"/>
        <w:rPr>
          <w:rFonts w:hint="default"/>
        </w:rPr>
      </w:pPr>
      <w:bookmarkStart w:id="451" w:name="_Toc19123"/>
      <w:bookmarkStart w:id="452" w:name="_Toc402355731"/>
      <w:bookmarkStart w:id="453" w:name="_Toc440032960"/>
      <w:bookmarkStart w:id="454" w:name="_Toc3969"/>
      <w:bookmarkStart w:id="455" w:name="_Toc486850814"/>
      <w:bookmarkStart w:id="456" w:name="_Toc392506271"/>
      <w:bookmarkStart w:id="457" w:name="_Toc21571"/>
      <w:bookmarkStart w:id="458" w:name="_Toc419989163"/>
      <w:bookmarkStart w:id="459" w:name="_Toc6921"/>
      <w:bookmarkStart w:id="460" w:name="_Toc8735_WPSOffice_Level1"/>
      <w:bookmarkStart w:id="461" w:name="_Toc11172"/>
      <w:bookmarkStart w:id="462" w:name="_Toc27301"/>
      <w:bookmarkStart w:id="463" w:name="_Toc14938"/>
      <w:r>
        <w:rPr>
          <w:rFonts w:hint="default"/>
          <w:lang w:val="en-US" w:eastAsia="zh-CN"/>
        </w:rPr>
        <w:t>1</w:t>
      </w:r>
      <w:r>
        <w:rPr>
          <w:rFonts w:hint="default"/>
        </w:rPr>
        <w:t>0</w:t>
      </w:r>
      <w:bookmarkEnd w:id="451"/>
      <w:bookmarkEnd w:id="452"/>
      <w:bookmarkEnd w:id="453"/>
      <w:bookmarkEnd w:id="454"/>
      <w:bookmarkEnd w:id="455"/>
      <w:bookmarkEnd w:id="456"/>
      <w:bookmarkEnd w:id="457"/>
      <w:bookmarkEnd w:id="458"/>
      <w:bookmarkEnd w:id="459"/>
      <w:r>
        <w:rPr>
          <w:rFonts w:hint="default"/>
        </w:rPr>
        <w:t>环境影响评价结论</w:t>
      </w:r>
      <w:bookmarkEnd w:id="460"/>
      <w:bookmarkEnd w:id="461"/>
      <w:bookmarkEnd w:id="462"/>
      <w:bookmarkEnd w:id="463"/>
    </w:p>
    <w:p>
      <w:pPr>
        <w:pStyle w:val="4"/>
        <w:bidi w:val="0"/>
        <w:rPr>
          <w:rFonts w:hint="default"/>
        </w:rPr>
      </w:pPr>
      <w:bookmarkStart w:id="464" w:name="_Toc275162466"/>
      <w:bookmarkStart w:id="465" w:name="_Toc275162295"/>
      <w:bookmarkStart w:id="466" w:name="_Toc229243359"/>
      <w:bookmarkStart w:id="467" w:name="_Toc524431484"/>
      <w:bookmarkStart w:id="468" w:name="_Toc7123_WPSOffice_Level2"/>
      <w:bookmarkStart w:id="469" w:name="_Toc9622"/>
      <w:bookmarkStart w:id="470" w:name="_Toc27077"/>
      <w:bookmarkStart w:id="471" w:name="_Toc25677"/>
      <w:r>
        <w:rPr>
          <w:rFonts w:hint="default"/>
        </w:rPr>
        <w:t>10.1</w:t>
      </w:r>
      <w:bookmarkEnd w:id="464"/>
      <w:bookmarkEnd w:id="465"/>
      <w:bookmarkEnd w:id="466"/>
      <w:r>
        <w:rPr>
          <w:rFonts w:hint="eastAsia"/>
          <w:lang w:eastAsia="zh-CN"/>
        </w:rPr>
        <w:t>、</w:t>
      </w:r>
      <w:r>
        <w:rPr>
          <w:rFonts w:hint="default"/>
        </w:rPr>
        <w:t>建设项目概况</w:t>
      </w:r>
      <w:bookmarkEnd w:id="467"/>
      <w:bookmarkEnd w:id="468"/>
      <w:bookmarkEnd w:id="469"/>
      <w:bookmarkEnd w:id="470"/>
      <w:bookmarkEnd w:id="471"/>
    </w:p>
    <w:p>
      <w:pPr>
        <w:bidi w:val="0"/>
        <w:rPr>
          <w:rFonts w:hint="default"/>
        </w:rPr>
      </w:pPr>
      <w:bookmarkStart w:id="472" w:name="_Toc524431485"/>
      <w:bookmarkStart w:id="473" w:name="_Toc27361_WPSOffice_Level2"/>
      <w:r>
        <w:rPr>
          <w:rFonts w:hint="eastAsia"/>
          <w:lang w:eastAsia="zh-CN"/>
        </w:rPr>
        <w:t>吉木萨尔县二工镇大泉湖村经济合作社</w:t>
      </w:r>
      <w:r>
        <w:rPr>
          <w:rFonts w:hint="default"/>
        </w:rPr>
        <w:t>拟在</w:t>
      </w:r>
      <w:r>
        <w:rPr>
          <w:rFonts w:hint="eastAsia"/>
          <w:lang w:val="en-US" w:eastAsia="zh-CN"/>
        </w:rPr>
        <w:t>吉木萨尔县二工镇内</w:t>
      </w:r>
      <w:r>
        <w:rPr>
          <w:rFonts w:hint="default"/>
        </w:rPr>
        <w:t>投资建设废旧滴灌带回收再生项目。项目区中心地理坐标为：N</w:t>
      </w:r>
      <w:r>
        <w:rPr>
          <w:rFonts w:hint="eastAsia"/>
          <w:lang w:eastAsia="zh-CN"/>
        </w:rPr>
        <w:t>44°0'44.39"</w:t>
      </w:r>
      <w:r>
        <w:rPr>
          <w:rFonts w:hint="default"/>
        </w:rPr>
        <w:t>，E</w:t>
      </w:r>
      <w:r>
        <w:rPr>
          <w:rFonts w:hint="eastAsia"/>
          <w:lang w:eastAsia="zh-CN"/>
        </w:rPr>
        <w:t>89°20'50.28"</w:t>
      </w:r>
      <w:r>
        <w:rPr>
          <w:rFonts w:hint="default"/>
        </w:rPr>
        <w:t>。厂区</w:t>
      </w:r>
      <w:r>
        <w:rPr>
          <w:rFonts w:hint="eastAsia"/>
          <w:lang w:val="en-US" w:eastAsia="zh-CN"/>
        </w:rPr>
        <w:t>北侧、西侧为道路，隔路为未开发利用土地，南侧和东侧均为未开发利用土地</w:t>
      </w:r>
      <w:r>
        <w:rPr>
          <w:rFonts w:hint="default"/>
        </w:rPr>
        <w:t>。项目所在地交通便利，用地外部环境优越，适于本项目的建设。</w:t>
      </w:r>
    </w:p>
    <w:p>
      <w:pPr>
        <w:bidi w:val="0"/>
        <w:rPr>
          <w:rFonts w:hint="default"/>
        </w:rPr>
      </w:pPr>
      <w:r>
        <w:rPr>
          <w:rFonts w:hint="default"/>
        </w:rPr>
        <w:t>本项目主要以回收再生利用废旧滴灌带为主，回收的废旧滴灌带经破碎、清洗、熔融挤出、切粒后获得聚乙烯再生颗粒，聚乙烯再生颗粒进入挤塑车间与购进的PE新料、色母、抗老化剂混合加工制成成品滴灌带、</w:t>
      </w:r>
      <w:r>
        <w:rPr>
          <w:rFonts w:hint="default"/>
          <w:lang w:eastAsia="zh-CN"/>
        </w:rPr>
        <w:t>PE管材</w:t>
      </w:r>
      <w:r>
        <w:rPr>
          <w:rFonts w:hint="default"/>
        </w:rPr>
        <w:t>、地膜，全部外售。项目总体工艺路线可概括为：废旧滴灌带→分拣、清洗、破碎→热熔→聚乙烯再生造粒→注塑定型→滴灌带、</w:t>
      </w:r>
      <w:r>
        <w:rPr>
          <w:rFonts w:hint="default"/>
          <w:lang w:eastAsia="zh-CN"/>
        </w:rPr>
        <w:t>PE管材</w:t>
      </w:r>
      <w:r>
        <w:rPr>
          <w:rFonts w:hint="default"/>
        </w:rPr>
        <w:t>和农用地膜。</w:t>
      </w:r>
    </w:p>
    <w:p>
      <w:pPr>
        <w:bidi w:val="0"/>
        <w:rPr>
          <w:rFonts w:hint="default"/>
        </w:rPr>
      </w:pPr>
      <w:r>
        <w:rPr>
          <w:rFonts w:hint="default"/>
        </w:rPr>
        <w:t>项目总占地面积为</w:t>
      </w:r>
      <w:r>
        <w:rPr>
          <w:rFonts w:hint="eastAsia"/>
          <w:lang w:val="en-US" w:eastAsia="zh-CN"/>
        </w:rPr>
        <w:t>8277.18</w:t>
      </w:r>
      <w:r>
        <w:rPr>
          <w:rFonts w:hint="eastAsia"/>
          <w:lang w:eastAsia="zh-CN"/>
        </w:rPr>
        <w:t>m²</w:t>
      </w:r>
      <w:r>
        <w:rPr>
          <w:rFonts w:hint="default"/>
        </w:rPr>
        <w:t>（约</w:t>
      </w:r>
      <w:r>
        <w:rPr>
          <w:rFonts w:hint="eastAsia"/>
          <w:lang w:val="en-US" w:eastAsia="zh-CN"/>
        </w:rPr>
        <w:t>12.4亩</w:t>
      </w:r>
      <w:r>
        <w:rPr>
          <w:rFonts w:hint="default"/>
        </w:rPr>
        <w:t>），总建筑面积为</w:t>
      </w:r>
      <w:r>
        <w:rPr>
          <w:rFonts w:hint="eastAsia"/>
          <w:lang w:val="en-US" w:eastAsia="zh-CN"/>
        </w:rPr>
        <w:t>1586</w:t>
      </w:r>
      <w:r>
        <w:rPr>
          <w:rFonts w:hint="eastAsia"/>
          <w:lang w:eastAsia="zh-CN"/>
        </w:rPr>
        <w:t>m²</w:t>
      </w:r>
      <w:r>
        <w:rPr>
          <w:rFonts w:hint="default"/>
        </w:rPr>
        <w:t>，建设内容主要为：建设</w:t>
      </w:r>
      <w:r>
        <w:rPr>
          <w:rFonts w:hint="eastAsia"/>
          <w:lang w:val="en-US" w:eastAsia="zh-CN"/>
        </w:rPr>
        <w:t>生产车间和造粒车间</w:t>
      </w:r>
      <w:r>
        <w:rPr>
          <w:rFonts w:hint="default"/>
        </w:rPr>
        <w:t>，</w:t>
      </w:r>
      <w:r>
        <w:rPr>
          <w:rFonts w:hint="eastAsia"/>
          <w:lang w:val="en-US" w:eastAsia="zh-CN"/>
        </w:rPr>
        <w:t>10</w:t>
      </w:r>
      <w:r>
        <w:rPr>
          <w:rFonts w:hint="default"/>
        </w:rPr>
        <w:t>条塑料造粒机组生产线，</w:t>
      </w:r>
      <w:r>
        <w:rPr>
          <w:rFonts w:hint="eastAsia"/>
          <w:lang w:val="en-US" w:eastAsia="zh-CN"/>
        </w:rPr>
        <w:t>10</w:t>
      </w:r>
      <w:r>
        <w:rPr>
          <w:rFonts w:hint="default"/>
        </w:rPr>
        <w:t>条滴灌带及配套设施设备生产线，</w:t>
      </w:r>
      <w:r>
        <w:rPr>
          <w:rFonts w:hint="eastAsia"/>
          <w:lang w:val="en-US" w:eastAsia="zh-CN"/>
        </w:rPr>
        <w:t>2</w:t>
      </w:r>
      <w:r>
        <w:rPr>
          <w:rFonts w:hint="default"/>
        </w:rPr>
        <w:t>条地膜生产线，</w:t>
      </w:r>
      <w:r>
        <w:rPr>
          <w:rFonts w:hint="eastAsia"/>
          <w:lang w:val="en-US" w:eastAsia="zh-CN"/>
        </w:rPr>
        <w:t>2</w:t>
      </w:r>
      <w:r>
        <w:rPr>
          <w:rFonts w:hint="default"/>
        </w:rPr>
        <w:t>条</w:t>
      </w:r>
      <w:r>
        <w:rPr>
          <w:rFonts w:hint="default"/>
          <w:lang w:eastAsia="zh-CN"/>
        </w:rPr>
        <w:t>PE管材</w:t>
      </w:r>
      <w:r>
        <w:rPr>
          <w:rFonts w:hint="default"/>
        </w:rPr>
        <w:t>生产线；</w:t>
      </w:r>
      <w:r>
        <w:rPr>
          <w:rFonts w:hint="eastAsia"/>
          <w:lang w:val="en-US" w:eastAsia="zh-CN"/>
        </w:rPr>
        <w:t>6</w:t>
      </w:r>
      <w:r>
        <w:rPr>
          <w:rFonts w:hint="default"/>
        </w:rPr>
        <w:t>栋原料及产品仓库；办公生活区</w:t>
      </w:r>
      <w:r>
        <w:rPr>
          <w:rFonts w:hint="eastAsia"/>
          <w:lang w:val="en-US" w:eastAsia="zh-CN"/>
        </w:rPr>
        <w:t>1</w:t>
      </w:r>
      <w:r>
        <w:rPr>
          <w:rFonts w:hint="default"/>
        </w:rPr>
        <w:t>栋</w:t>
      </w:r>
      <w:r>
        <w:rPr>
          <w:rFonts w:hint="eastAsia"/>
          <w:lang w:val="en-US" w:eastAsia="zh-CN"/>
        </w:rPr>
        <w:t>1</w:t>
      </w:r>
      <w:r>
        <w:rPr>
          <w:rFonts w:hint="default"/>
        </w:rPr>
        <w:t>层建筑，主要包括办公室和职工宿舍，</w:t>
      </w:r>
      <w:r>
        <w:rPr>
          <w:rFonts w:hint="eastAsia"/>
          <w:lang w:val="en-US" w:eastAsia="zh-CN"/>
        </w:rPr>
        <w:t>厂房均为新建，</w:t>
      </w:r>
      <w:r>
        <w:rPr>
          <w:rFonts w:hint="default"/>
        </w:rPr>
        <w:t>项目建设规模主要为年回收废旧滴灌带</w:t>
      </w:r>
      <w:r>
        <w:rPr>
          <w:rFonts w:hint="eastAsia"/>
          <w:lang w:val="en-US" w:eastAsia="zh-CN"/>
        </w:rPr>
        <w:t>5000</w:t>
      </w:r>
      <w:r>
        <w:rPr>
          <w:rFonts w:hint="default"/>
        </w:rPr>
        <w:t>t，年产滴灌带</w:t>
      </w:r>
      <w:r>
        <w:rPr>
          <w:rFonts w:hint="eastAsia"/>
          <w:lang w:val="en-US" w:eastAsia="zh-CN"/>
        </w:rPr>
        <w:t>5000</w:t>
      </w:r>
      <w:r>
        <w:rPr>
          <w:rFonts w:hint="default"/>
        </w:rPr>
        <w:t>t、地膜</w:t>
      </w:r>
      <w:r>
        <w:rPr>
          <w:rFonts w:hint="eastAsia"/>
          <w:lang w:val="en-US" w:eastAsia="zh-CN"/>
        </w:rPr>
        <w:t>600</w:t>
      </w:r>
      <w:r>
        <w:rPr>
          <w:rFonts w:hint="default"/>
        </w:rPr>
        <w:t>t、</w:t>
      </w:r>
      <w:r>
        <w:rPr>
          <w:rFonts w:hint="default"/>
          <w:lang w:eastAsia="zh-CN"/>
        </w:rPr>
        <w:t>PE管材</w:t>
      </w:r>
      <w:r>
        <w:rPr>
          <w:rFonts w:hint="eastAsia"/>
          <w:lang w:val="en-US" w:eastAsia="zh-CN"/>
        </w:rPr>
        <w:t>500</w:t>
      </w:r>
      <w:r>
        <w:rPr>
          <w:rFonts w:hint="default"/>
        </w:rPr>
        <w:t>t。</w:t>
      </w:r>
    </w:p>
    <w:p>
      <w:pPr>
        <w:pStyle w:val="4"/>
        <w:bidi w:val="0"/>
        <w:rPr>
          <w:rFonts w:hint="default"/>
        </w:rPr>
      </w:pPr>
      <w:bookmarkStart w:id="474" w:name="_Toc28155"/>
      <w:bookmarkStart w:id="475" w:name="_Toc19225"/>
      <w:bookmarkStart w:id="476" w:name="_Toc30824"/>
      <w:r>
        <w:rPr>
          <w:rFonts w:hint="default"/>
        </w:rPr>
        <w:t>10.2</w:t>
      </w:r>
      <w:r>
        <w:rPr>
          <w:rFonts w:hint="eastAsia"/>
          <w:lang w:eastAsia="zh-CN"/>
        </w:rPr>
        <w:t>、</w:t>
      </w:r>
      <w:r>
        <w:rPr>
          <w:rFonts w:hint="default"/>
        </w:rPr>
        <w:t>环境质量现状评价结论</w:t>
      </w:r>
      <w:bookmarkEnd w:id="472"/>
      <w:bookmarkEnd w:id="473"/>
      <w:bookmarkEnd w:id="474"/>
      <w:bookmarkEnd w:id="475"/>
      <w:bookmarkEnd w:id="476"/>
    </w:p>
    <w:p>
      <w:pPr>
        <w:bidi w:val="0"/>
        <w:rPr>
          <w:rFonts w:hint="default"/>
        </w:rPr>
      </w:pPr>
      <w:bookmarkStart w:id="477" w:name="_Toc2812_WPSOffice_Level3"/>
      <w:r>
        <w:rPr>
          <w:rFonts w:hint="default"/>
        </w:rPr>
        <w:t>（1）大气环境质量现状评价结论</w:t>
      </w:r>
      <w:bookmarkEnd w:id="477"/>
    </w:p>
    <w:p>
      <w:pPr>
        <w:bidi w:val="0"/>
        <w:rPr>
          <w:rFonts w:hint="default"/>
        </w:rPr>
      </w:pPr>
      <w:bookmarkStart w:id="478" w:name="_Toc22003_WPSOffice_Level3"/>
      <w:r>
        <w:rPr>
          <w:rFonts w:hint="default"/>
        </w:rPr>
        <w:t>评价结果表明，本项目所在区域基本污染物中</w:t>
      </w:r>
      <w:r>
        <w:rPr>
          <w:rFonts w:hint="eastAsia"/>
          <w:lang w:eastAsia="zh-CN"/>
        </w:rPr>
        <w:t>PM</w:t>
      </w:r>
      <w:r>
        <w:rPr>
          <w:rFonts w:hint="eastAsia"/>
          <w:vertAlign w:val="subscript"/>
          <w:lang w:eastAsia="zh-CN"/>
        </w:rPr>
        <w:t>2</w:t>
      </w:r>
      <w:r>
        <w:rPr>
          <w:rFonts w:hint="default"/>
          <w:vertAlign w:val="subscript"/>
        </w:rPr>
        <w:t>.5</w:t>
      </w:r>
      <w:r>
        <w:rPr>
          <w:rFonts w:hint="default"/>
        </w:rPr>
        <w:t>、PM</w:t>
      </w:r>
      <w:r>
        <w:rPr>
          <w:rFonts w:hint="default"/>
          <w:vertAlign w:val="subscript"/>
        </w:rPr>
        <w:t>10</w:t>
      </w:r>
      <w:r>
        <w:rPr>
          <w:rFonts w:hint="default"/>
        </w:rPr>
        <w:t>超标，其他指标均达标，说明本项目所在区域环境空气浮尘较严重</w:t>
      </w:r>
      <w:r>
        <w:rPr>
          <w:rFonts w:hint="eastAsia"/>
          <w:lang w:eastAsia="zh-CN"/>
        </w:rPr>
        <w:t>，</w:t>
      </w:r>
      <w:r>
        <w:rPr>
          <w:rFonts w:hint="eastAsia"/>
          <w:lang w:val="en-US" w:eastAsia="zh-CN"/>
        </w:rPr>
        <w:t>为环境空气质量不达标区。</w:t>
      </w:r>
      <w:r>
        <w:rPr>
          <w:rFonts w:hint="default"/>
        </w:rPr>
        <w:t>评价区内各监测点环境空气中非甲烷总烃满足《大气污染物综合排放标准详解》推荐限值</w:t>
      </w:r>
      <w:r>
        <w:rPr>
          <w:rFonts w:hint="eastAsia"/>
          <w:lang w:val="en-US" w:eastAsia="zh-CN"/>
        </w:rPr>
        <w:t>。</w:t>
      </w:r>
      <w:r>
        <w:rPr>
          <w:rFonts w:hint="default"/>
        </w:rPr>
        <w:t>。</w:t>
      </w:r>
    </w:p>
    <w:p>
      <w:pPr>
        <w:bidi w:val="0"/>
        <w:rPr>
          <w:rFonts w:hint="default"/>
        </w:rPr>
      </w:pPr>
      <w:r>
        <w:rPr>
          <w:rFonts w:hint="default"/>
        </w:rPr>
        <w:t>（2）水环境质量现状评价结论</w:t>
      </w:r>
      <w:bookmarkEnd w:id="478"/>
    </w:p>
    <w:p>
      <w:pPr>
        <w:bidi w:val="0"/>
        <w:rPr>
          <w:rFonts w:hint="default"/>
        </w:rPr>
      </w:pPr>
      <w:bookmarkStart w:id="479" w:name="_Toc5158_WPSOffice_Level3"/>
      <w:r>
        <w:rPr>
          <w:rFonts w:hint="default"/>
        </w:rPr>
        <w:t>各项满足《地下水质量标准》（GB/T14848-2017）的Ⅲ类标准要求，项目区地下水环境质量较好。</w:t>
      </w:r>
    </w:p>
    <w:p>
      <w:pPr>
        <w:bidi w:val="0"/>
        <w:rPr>
          <w:rFonts w:hint="default"/>
        </w:rPr>
      </w:pPr>
      <w:r>
        <w:rPr>
          <w:rFonts w:hint="default"/>
        </w:rPr>
        <w:t>（3）声环境质量现状评价结论</w:t>
      </w:r>
      <w:bookmarkEnd w:id="479"/>
    </w:p>
    <w:p>
      <w:pPr>
        <w:bidi w:val="0"/>
        <w:rPr>
          <w:rFonts w:hint="default"/>
        </w:rPr>
      </w:pPr>
      <w:r>
        <w:rPr>
          <w:rFonts w:hint="default"/>
        </w:rPr>
        <w:t>项目区厂界噪声值较低，未超过《声环境质量标准》（GB3096-2008）中</w:t>
      </w:r>
      <w:r>
        <w:rPr>
          <w:rFonts w:hint="eastAsia"/>
          <w:lang w:val="en-US" w:eastAsia="zh-CN"/>
        </w:rPr>
        <w:t>2</w:t>
      </w:r>
      <w:r>
        <w:rPr>
          <w:rFonts w:hint="default"/>
        </w:rPr>
        <w:t>类区标准限值。</w:t>
      </w:r>
    </w:p>
    <w:p>
      <w:pPr>
        <w:bidi w:val="0"/>
        <w:rPr>
          <w:rFonts w:hint="eastAsia"/>
          <w:lang w:val="en-US" w:eastAsia="zh-CN"/>
        </w:rPr>
      </w:pPr>
      <w:r>
        <w:rPr>
          <w:rFonts w:hint="eastAsia"/>
          <w:lang w:eastAsia="zh-CN"/>
        </w:rPr>
        <w:t>（</w:t>
      </w:r>
      <w:r>
        <w:rPr>
          <w:rFonts w:hint="eastAsia"/>
          <w:lang w:val="en-US" w:eastAsia="zh-CN"/>
        </w:rPr>
        <w:t>4</w:t>
      </w:r>
      <w:r>
        <w:rPr>
          <w:rFonts w:hint="eastAsia"/>
          <w:lang w:eastAsia="zh-CN"/>
        </w:rPr>
        <w:t>）</w:t>
      </w:r>
      <w:r>
        <w:rPr>
          <w:rFonts w:hint="eastAsia"/>
          <w:lang w:val="en-US" w:eastAsia="zh-CN"/>
        </w:rPr>
        <w:t>土壤环境质量现状评价结论</w:t>
      </w:r>
    </w:p>
    <w:p>
      <w:pPr>
        <w:adjustRightInd w:val="0"/>
        <w:snapToGrid w:val="0"/>
        <w:ind w:firstLine="480"/>
        <w:rPr>
          <w:rFonts w:hint="default"/>
          <w:lang w:val="en-US" w:eastAsia="zh-CN"/>
        </w:rPr>
      </w:pPr>
      <w:r>
        <w:rPr>
          <w:color w:val="000000" w:themeColor="text1"/>
          <w14:textFill>
            <w14:solidFill>
              <w14:schemeClr w14:val="tx1"/>
            </w14:solidFill>
          </w14:textFill>
        </w:rPr>
        <w:t>本项目土壤为</w:t>
      </w:r>
      <w:r>
        <w:rPr>
          <w:color w:val="000000" w:themeColor="text1"/>
          <w:szCs w:val="21"/>
          <w14:textFill>
            <w14:solidFill>
              <w14:schemeClr w14:val="tx1"/>
            </w14:solidFill>
          </w14:textFill>
        </w:rPr>
        <w:t>监测点各监测项目评价指数均小于1，均能满足</w:t>
      </w:r>
      <w:r>
        <w:rPr>
          <w:color w:val="000000" w:themeColor="text1"/>
          <w14:textFill>
            <w14:solidFill>
              <w14:schemeClr w14:val="tx1"/>
            </w14:solidFill>
          </w14:textFill>
        </w:rPr>
        <w:t>《土壤环境质量建设用地土壤污染风险管控标准》（GB36600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2018）标准</w:t>
      </w:r>
      <w:r>
        <w:rPr>
          <w:color w:val="000000" w:themeColor="text1"/>
          <w:szCs w:val="21"/>
          <w14:textFill>
            <w14:solidFill>
              <w14:schemeClr w14:val="tx1"/>
            </w14:solidFill>
          </w14:textFill>
        </w:rPr>
        <w:t>要求。</w:t>
      </w:r>
    </w:p>
    <w:p>
      <w:pPr>
        <w:pStyle w:val="4"/>
        <w:bidi w:val="0"/>
        <w:rPr>
          <w:rFonts w:hint="default"/>
        </w:rPr>
      </w:pPr>
      <w:bookmarkStart w:id="480" w:name="_Toc8165_WPSOffice_Level2"/>
      <w:bookmarkStart w:id="481" w:name="_Toc21073"/>
      <w:bookmarkStart w:id="482" w:name="_Toc26385"/>
      <w:bookmarkStart w:id="483" w:name="_Toc524431486"/>
      <w:bookmarkStart w:id="484" w:name="_Toc5132"/>
      <w:r>
        <w:rPr>
          <w:rFonts w:hint="default"/>
        </w:rPr>
        <w:t>10.3</w:t>
      </w:r>
      <w:r>
        <w:rPr>
          <w:rFonts w:hint="eastAsia"/>
          <w:lang w:eastAsia="zh-CN"/>
        </w:rPr>
        <w:t>、</w:t>
      </w:r>
      <w:r>
        <w:rPr>
          <w:rFonts w:hint="default"/>
        </w:rPr>
        <w:t>环境影响分析结论</w:t>
      </w:r>
      <w:bookmarkEnd w:id="480"/>
      <w:bookmarkEnd w:id="481"/>
      <w:bookmarkEnd w:id="482"/>
      <w:bookmarkEnd w:id="483"/>
      <w:bookmarkEnd w:id="484"/>
    </w:p>
    <w:p>
      <w:pPr>
        <w:pStyle w:val="5"/>
        <w:bidi w:val="0"/>
        <w:rPr>
          <w:rFonts w:hint="default"/>
        </w:rPr>
      </w:pPr>
      <w:bookmarkStart w:id="485" w:name="_Toc29212"/>
      <w:bookmarkStart w:id="486" w:name="_Toc14263_WPSOffice_Level3"/>
      <w:r>
        <w:rPr>
          <w:rFonts w:hint="default"/>
        </w:rPr>
        <w:t>10.3.1</w:t>
      </w:r>
      <w:r>
        <w:rPr>
          <w:rFonts w:hint="eastAsia"/>
          <w:lang w:eastAsia="zh-CN"/>
        </w:rPr>
        <w:t>、</w:t>
      </w:r>
      <w:r>
        <w:rPr>
          <w:rFonts w:hint="default"/>
        </w:rPr>
        <w:t>施工期环境影响分析结论</w:t>
      </w:r>
      <w:bookmarkEnd w:id="485"/>
      <w:bookmarkEnd w:id="486"/>
    </w:p>
    <w:p>
      <w:pPr>
        <w:bidi w:val="0"/>
        <w:rPr>
          <w:rFonts w:hint="default"/>
        </w:rPr>
      </w:pPr>
      <w:r>
        <w:rPr>
          <w:rFonts w:hint="default"/>
        </w:rPr>
        <w:t>施工期对周围环境的影响主要表现在扬尘、施工废水、噪声及固体废物等方面。本项目施工工程量较小，施工周期短，只要建设单位和施工单位认真做好施工组织工作，文明施工，并按环评要求采取相应的环保措施，则工程施工不会对环境产生明显不利影响。工程建设完成后，除永久占地为持续影响外，其余影响均属短期的、可恢复和局部的环境影响，随着施工活动的结束而消失。</w:t>
      </w:r>
    </w:p>
    <w:p>
      <w:pPr>
        <w:pStyle w:val="5"/>
        <w:bidi w:val="0"/>
        <w:rPr>
          <w:rFonts w:hint="default"/>
        </w:rPr>
      </w:pPr>
      <w:bookmarkStart w:id="487" w:name="_Toc23136"/>
      <w:r>
        <w:rPr>
          <w:rFonts w:hint="default"/>
        </w:rPr>
        <w:t>10.3.2</w:t>
      </w:r>
      <w:r>
        <w:rPr>
          <w:rFonts w:hint="eastAsia"/>
          <w:lang w:eastAsia="zh-CN"/>
        </w:rPr>
        <w:t>、</w:t>
      </w:r>
      <w:r>
        <w:rPr>
          <w:rFonts w:hint="default"/>
        </w:rPr>
        <w:t>运营期环境影响分析结论</w:t>
      </w:r>
      <w:bookmarkEnd w:id="487"/>
    </w:p>
    <w:p>
      <w:pPr>
        <w:bidi w:val="0"/>
        <w:rPr>
          <w:rFonts w:hint="default"/>
        </w:rPr>
      </w:pPr>
      <w:r>
        <w:rPr>
          <w:rFonts w:hint="default"/>
        </w:rPr>
        <w:t>（1）大气环境影响分析结论</w:t>
      </w:r>
    </w:p>
    <w:p>
      <w:pPr>
        <w:bidi w:val="0"/>
        <w:rPr>
          <w:rFonts w:hint="default"/>
        </w:rPr>
      </w:pPr>
      <w:r>
        <w:rPr>
          <w:rFonts w:hint="default"/>
        </w:rPr>
        <w:t>正常工况下，本项目各污染物的最大落地浓度均较低，对外环境的贡献浓度均较小，对敏感点影响不明显。</w:t>
      </w:r>
    </w:p>
    <w:p>
      <w:pPr>
        <w:bidi w:val="0"/>
        <w:rPr>
          <w:rFonts w:hint="default"/>
        </w:rPr>
      </w:pPr>
      <w:r>
        <w:rPr>
          <w:rFonts w:hint="default"/>
        </w:rPr>
        <w:t>非正常工况与正常工况相比，各污染物的最大落地浓度明显增加，对环境的不良影响大大增加。因此一旦废气处理设施出现故障时，必须马上停产维修，排障后方可恢复生产。</w:t>
      </w:r>
    </w:p>
    <w:p>
      <w:pPr>
        <w:bidi w:val="0"/>
        <w:rPr>
          <w:rFonts w:hint="default"/>
        </w:rPr>
      </w:pPr>
      <w:r>
        <w:rPr>
          <w:rFonts w:hint="default"/>
        </w:rPr>
        <w:t>（2）水环境影响分析结论</w:t>
      </w:r>
    </w:p>
    <w:p>
      <w:pPr>
        <w:bidi w:val="0"/>
        <w:rPr>
          <w:rFonts w:hint="default"/>
        </w:rPr>
      </w:pPr>
      <w:r>
        <w:rPr>
          <w:rFonts w:hint="default"/>
        </w:rPr>
        <w:t>本项目运营期产生的废水包括清洗废水和生活污水。清洗废水经沉降池沉淀</w:t>
      </w:r>
      <w:r>
        <w:rPr>
          <w:rFonts w:hint="default"/>
          <w:lang w:val="en-US" w:eastAsia="zh-CN"/>
        </w:rPr>
        <w:t>过滤</w:t>
      </w:r>
      <w:r>
        <w:rPr>
          <w:rFonts w:hint="default"/>
        </w:rPr>
        <w:t>处理后</w:t>
      </w:r>
      <w:r>
        <w:rPr>
          <w:rFonts w:hint="default"/>
          <w:lang w:eastAsia="zh-CN"/>
        </w:rPr>
        <w:t>，</w:t>
      </w:r>
      <w:r>
        <w:rPr>
          <w:rFonts w:hint="default"/>
        </w:rPr>
        <w:t>回用于原料清洗和喷淋工序，不外排；生活污水统一收集经</w:t>
      </w:r>
      <w:r>
        <w:rPr>
          <w:rFonts w:hint="eastAsia"/>
          <w:lang w:val="en-US" w:eastAsia="zh-CN"/>
        </w:rPr>
        <w:t>化粪池预处理后抽运至吉木萨尔县二工镇污水处理厂进行后续处理</w:t>
      </w:r>
      <w:r>
        <w:rPr>
          <w:rFonts w:hint="default"/>
        </w:rPr>
        <w:t>，餐饮废水经隔油池</w:t>
      </w:r>
      <w:r>
        <w:rPr>
          <w:rFonts w:hint="eastAsia"/>
          <w:lang w:val="en-US" w:eastAsia="zh-CN"/>
        </w:rPr>
        <w:t>隔油</w:t>
      </w:r>
      <w:r>
        <w:rPr>
          <w:rFonts w:hint="default"/>
        </w:rPr>
        <w:t>处理后与生活污水一同</w:t>
      </w:r>
      <w:r>
        <w:rPr>
          <w:rFonts w:hint="eastAsia"/>
          <w:lang w:val="en-US" w:eastAsia="zh-CN"/>
        </w:rPr>
        <w:t>处理</w:t>
      </w:r>
      <w:r>
        <w:rPr>
          <w:rFonts w:hint="default"/>
        </w:rPr>
        <w:t>。</w:t>
      </w:r>
    </w:p>
    <w:p>
      <w:pPr>
        <w:bidi w:val="0"/>
        <w:rPr>
          <w:rFonts w:hint="default"/>
        </w:rPr>
      </w:pPr>
      <w:r>
        <w:rPr>
          <w:rFonts w:hint="default"/>
        </w:rPr>
        <w:t>本项目废水处理措施得当，对区域水环境影响很小。</w:t>
      </w:r>
    </w:p>
    <w:p>
      <w:pPr>
        <w:bidi w:val="0"/>
        <w:rPr>
          <w:rFonts w:hint="default"/>
        </w:rPr>
      </w:pPr>
      <w:r>
        <w:rPr>
          <w:rFonts w:hint="default"/>
        </w:rPr>
        <w:t>（3）声环境影响分析结论</w:t>
      </w:r>
    </w:p>
    <w:p>
      <w:pPr>
        <w:bidi w:val="0"/>
        <w:rPr>
          <w:rFonts w:hint="default"/>
        </w:rPr>
      </w:pPr>
      <w:r>
        <w:rPr>
          <w:rFonts w:hint="default"/>
        </w:rPr>
        <w:t>本项目设备噪声在经减振、消声、隔声和自然衰减、绿化后，到达厂界时，已减至较低水平，能够满足《工业企业厂界环境噪声排放标准》（GB12348-2008）中的</w:t>
      </w:r>
      <w:r>
        <w:rPr>
          <w:rFonts w:hint="eastAsia"/>
          <w:lang w:val="en-US" w:eastAsia="zh-CN"/>
        </w:rPr>
        <w:t>2</w:t>
      </w:r>
      <w:r>
        <w:rPr>
          <w:rFonts w:hint="default"/>
        </w:rPr>
        <w:t>类区标准要求，对声环境影响较小。</w:t>
      </w:r>
    </w:p>
    <w:p>
      <w:pPr>
        <w:bidi w:val="0"/>
        <w:rPr>
          <w:rFonts w:hint="default"/>
        </w:rPr>
      </w:pPr>
      <w:r>
        <w:rPr>
          <w:rFonts w:hint="default"/>
        </w:rPr>
        <w:t>（4）固体废物环境影响分析结论</w:t>
      </w:r>
    </w:p>
    <w:p>
      <w:pPr>
        <w:bidi w:val="0"/>
        <w:rPr>
          <w:rFonts w:hint="default"/>
        </w:rPr>
      </w:pPr>
      <w:r>
        <w:rPr>
          <w:rFonts w:hint="default"/>
        </w:rPr>
        <w:t>本项目运营期产生的固体废物包括废塑料分拣工序产生的分拣废物，挤塑车间产生的不合格产品，沉降池污泥，以及工作人员产生的生活垃圾等。</w:t>
      </w:r>
    </w:p>
    <w:p>
      <w:pPr>
        <w:bidi w:val="0"/>
        <w:rPr>
          <w:rFonts w:hint="default"/>
        </w:rPr>
      </w:pPr>
      <w:r>
        <w:rPr>
          <w:rFonts w:hint="default"/>
        </w:rPr>
        <w:t>分拣废物一般不具有回收利用价值或回收利用价值较低，可委托环卫部门清运至</w:t>
      </w:r>
      <w:r>
        <w:rPr>
          <w:rFonts w:hint="eastAsia"/>
          <w:lang w:eastAsia="zh-CN"/>
        </w:rPr>
        <w:t>吉木萨尔县</w:t>
      </w:r>
      <w:r>
        <w:rPr>
          <w:rFonts w:hint="default"/>
          <w:lang w:eastAsia="zh-CN"/>
        </w:rPr>
        <w:t>垃圾</w:t>
      </w:r>
      <w:r>
        <w:rPr>
          <w:rFonts w:hint="eastAsia"/>
          <w:lang w:eastAsia="zh-CN"/>
        </w:rPr>
        <w:t>填埋场</w:t>
      </w:r>
      <w:r>
        <w:rPr>
          <w:rFonts w:hint="default"/>
        </w:rPr>
        <w:t>填埋处置；沉降池污泥干化填埋，</w:t>
      </w:r>
      <w:r>
        <w:rPr>
          <w:rFonts w:hint="default"/>
          <w:lang w:val="en-US" w:eastAsia="zh-CN"/>
        </w:rPr>
        <w:t>亦送至</w:t>
      </w:r>
      <w:r>
        <w:rPr>
          <w:rFonts w:hint="eastAsia"/>
          <w:lang w:eastAsia="zh-CN"/>
        </w:rPr>
        <w:t>吉木萨尔县</w:t>
      </w:r>
      <w:r>
        <w:rPr>
          <w:rFonts w:hint="default"/>
          <w:lang w:eastAsia="zh-CN"/>
        </w:rPr>
        <w:t>垃圾填埋场</w:t>
      </w:r>
      <w:r>
        <w:rPr>
          <w:rFonts w:hint="default"/>
        </w:rPr>
        <w:t>；不合格产品可送至造粒车间重新造粒，不外排；本项目废过滤网每季度更换一次，废过滤网为不锈钢材质，杂质主要为沙粒、木屑等，属于I类一般工业固体废物，采用专用容器妥善贮存，由厂家回收。</w:t>
      </w:r>
    </w:p>
    <w:p>
      <w:pPr>
        <w:bidi w:val="0"/>
        <w:rPr>
          <w:rFonts w:hint="default"/>
        </w:rPr>
      </w:pPr>
      <w:r>
        <w:rPr>
          <w:rFonts w:hint="default"/>
        </w:rPr>
        <w:t>生活垃圾经垃圾箱收集后由环卫部门统一清运至</w:t>
      </w:r>
      <w:r>
        <w:rPr>
          <w:rFonts w:hint="eastAsia"/>
          <w:lang w:eastAsia="zh-CN"/>
        </w:rPr>
        <w:t>吉木萨尔县</w:t>
      </w:r>
      <w:r>
        <w:rPr>
          <w:rFonts w:hint="default"/>
          <w:lang w:eastAsia="zh-CN"/>
        </w:rPr>
        <w:t>垃圾</w:t>
      </w:r>
      <w:r>
        <w:rPr>
          <w:rFonts w:hint="eastAsia"/>
          <w:lang w:eastAsia="zh-CN"/>
        </w:rPr>
        <w:t>填埋场</w:t>
      </w:r>
      <w:r>
        <w:rPr>
          <w:rFonts w:hint="default"/>
        </w:rPr>
        <w:t>填埋处置。</w:t>
      </w:r>
    </w:p>
    <w:p>
      <w:pPr>
        <w:bidi w:val="0"/>
        <w:rPr>
          <w:rFonts w:hint="default"/>
        </w:rPr>
      </w:pPr>
      <w:r>
        <w:rPr>
          <w:rFonts w:hint="default"/>
        </w:rPr>
        <w:t>本项目运营期产生的固体废物处置率达100%，对环境影响较小。</w:t>
      </w:r>
    </w:p>
    <w:p>
      <w:pPr>
        <w:pStyle w:val="4"/>
        <w:bidi w:val="0"/>
        <w:rPr>
          <w:rFonts w:hint="default"/>
        </w:rPr>
      </w:pPr>
      <w:bookmarkStart w:id="488" w:name="_Toc456651325"/>
      <w:bookmarkStart w:id="489" w:name="_Toc524431487"/>
      <w:bookmarkStart w:id="490" w:name="_Toc12589"/>
      <w:bookmarkStart w:id="491" w:name="_Toc21058_WPSOffice_Level2"/>
      <w:bookmarkStart w:id="492" w:name="_Toc14330"/>
      <w:bookmarkStart w:id="493" w:name="_Toc21163"/>
      <w:bookmarkStart w:id="494" w:name="_Toc479687867"/>
      <w:r>
        <w:rPr>
          <w:rFonts w:hint="default"/>
        </w:rPr>
        <w:t>10.4</w:t>
      </w:r>
      <w:r>
        <w:rPr>
          <w:rFonts w:hint="eastAsia"/>
          <w:lang w:eastAsia="zh-CN"/>
        </w:rPr>
        <w:t>、</w:t>
      </w:r>
      <w:r>
        <w:rPr>
          <w:rFonts w:hint="default"/>
        </w:rPr>
        <w:t>污染防治措施可行性分析结论</w:t>
      </w:r>
      <w:bookmarkEnd w:id="488"/>
      <w:bookmarkEnd w:id="489"/>
      <w:bookmarkEnd w:id="490"/>
      <w:bookmarkEnd w:id="491"/>
      <w:bookmarkEnd w:id="492"/>
      <w:bookmarkEnd w:id="493"/>
      <w:bookmarkEnd w:id="494"/>
    </w:p>
    <w:p>
      <w:pPr>
        <w:pStyle w:val="5"/>
        <w:bidi w:val="0"/>
        <w:rPr>
          <w:rFonts w:hint="default"/>
        </w:rPr>
      </w:pPr>
      <w:bookmarkStart w:id="495" w:name="_Toc27960"/>
      <w:bookmarkStart w:id="496" w:name="_Toc16444_WPSOffice_Level3"/>
      <w:r>
        <w:rPr>
          <w:rFonts w:hint="default"/>
        </w:rPr>
        <w:t>10.4.1</w:t>
      </w:r>
      <w:r>
        <w:rPr>
          <w:rFonts w:hint="eastAsia"/>
          <w:lang w:eastAsia="zh-CN"/>
        </w:rPr>
        <w:t>、</w:t>
      </w:r>
      <w:r>
        <w:rPr>
          <w:rFonts w:hint="default"/>
        </w:rPr>
        <w:t>施工期污染防治措施可行性分析结论</w:t>
      </w:r>
      <w:bookmarkEnd w:id="495"/>
      <w:bookmarkEnd w:id="496"/>
    </w:p>
    <w:p>
      <w:pPr>
        <w:bidi w:val="0"/>
        <w:rPr>
          <w:rFonts w:hint="default"/>
        </w:rPr>
      </w:pPr>
      <w:r>
        <w:rPr>
          <w:rFonts w:hint="default"/>
        </w:rPr>
        <w:t>施工期主要污染为扬尘、施工废水、机械噪声以及建筑垃圾等。扬尘防治主要采取设置施工围挡、保持施工场地整洁、洒水、限制车辆行驶速度、及时清理建筑垃圾等措施；施工废水采用隔油沉降池处理后用作施工场地降尘用水，生活污水采用</w:t>
      </w:r>
      <w:r>
        <w:rPr>
          <w:rFonts w:hint="eastAsia"/>
          <w:lang w:val="en-US" w:eastAsia="zh-CN"/>
        </w:rPr>
        <w:t>排入管网汇集至下游污水处理厂处理</w:t>
      </w:r>
      <w:r>
        <w:rPr>
          <w:rFonts w:hint="default"/>
        </w:rPr>
        <w:t>；施工期噪声防治主要采取选用低噪声机械设备、修建临时隔声棚、禁止现场搅拌混凝土、合理安排施工时间、加强施工管理等措施；建筑垃圾照2005年建设部139号令《城市建筑垃圾管理规定》，向城市市容卫生管理部门申报，妥善弃置消纳，生活垃圾集中收集后由环卫部门统一清运至生活垃圾填埋场填埋处置。</w:t>
      </w:r>
    </w:p>
    <w:p>
      <w:pPr>
        <w:bidi w:val="0"/>
        <w:rPr>
          <w:rFonts w:hint="default"/>
        </w:rPr>
      </w:pPr>
      <w:r>
        <w:rPr>
          <w:rFonts w:hint="default"/>
        </w:rPr>
        <w:t>本项目施工期拟采取的污染防治措施较易实现，效果良好，从技术、经济方面来讲均是可行的。</w:t>
      </w:r>
    </w:p>
    <w:p>
      <w:pPr>
        <w:pStyle w:val="5"/>
        <w:bidi w:val="0"/>
        <w:rPr>
          <w:rFonts w:hint="default"/>
        </w:rPr>
      </w:pPr>
      <w:bookmarkStart w:id="497" w:name="_Toc3895"/>
      <w:r>
        <w:rPr>
          <w:rFonts w:hint="default"/>
        </w:rPr>
        <w:t>10.4.2</w:t>
      </w:r>
      <w:r>
        <w:rPr>
          <w:rFonts w:hint="eastAsia"/>
          <w:lang w:eastAsia="zh-CN"/>
        </w:rPr>
        <w:t>、</w:t>
      </w:r>
      <w:r>
        <w:rPr>
          <w:rFonts w:hint="default"/>
        </w:rPr>
        <w:t>运营期污染防治措施可行性分析结论</w:t>
      </w:r>
      <w:bookmarkEnd w:id="497"/>
    </w:p>
    <w:p>
      <w:pPr>
        <w:bidi w:val="0"/>
        <w:rPr>
          <w:rFonts w:hint="default"/>
        </w:rPr>
      </w:pPr>
      <w:r>
        <w:rPr>
          <w:rFonts w:hint="default"/>
        </w:rPr>
        <w:t>（1）大气污染防治措施可行性分析结论</w:t>
      </w:r>
    </w:p>
    <w:p>
      <w:pPr>
        <w:bidi w:val="0"/>
        <w:rPr>
          <w:rFonts w:hint="default"/>
        </w:rPr>
      </w:pPr>
      <w:r>
        <w:rPr>
          <w:rFonts w:hint="default"/>
        </w:rPr>
        <w:t>1）有组织废气</w:t>
      </w:r>
    </w:p>
    <w:p>
      <w:pPr>
        <w:bidi w:val="0"/>
        <w:rPr>
          <w:rFonts w:hint="default"/>
        </w:rPr>
      </w:pPr>
      <w:r>
        <w:rPr>
          <w:rFonts w:hint="default"/>
        </w:rPr>
        <w:t>非甲烷总烃拟采用等离子光氧一体机</w:t>
      </w:r>
      <w:r>
        <w:rPr>
          <w:rFonts w:hint="eastAsia"/>
          <w:lang w:val="en-US" w:eastAsia="zh-CN"/>
        </w:rPr>
        <w:t>+活性炭吸附</w:t>
      </w:r>
      <w:r>
        <w:rPr>
          <w:rFonts w:hint="default"/>
        </w:rPr>
        <w:t>法进行处理。本项目建设单位拟在造粒机及挤出机上方设集气罩，同时配套安装等离子光氧一体机</w:t>
      </w:r>
      <w:r>
        <w:rPr>
          <w:rFonts w:hint="eastAsia"/>
          <w:lang w:val="en-US" w:eastAsia="zh-CN"/>
        </w:rPr>
        <w:t>+活性炭吸附</w:t>
      </w:r>
      <w:r>
        <w:rPr>
          <w:rFonts w:hint="default"/>
        </w:rPr>
        <w:t>处理设备，废气经集气罩收集后引入等离子光氧一体机</w:t>
      </w:r>
      <w:r>
        <w:rPr>
          <w:rFonts w:hint="eastAsia"/>
          <w:lang w:val="en-US" w:eastAsia="zh-CN"/>
        </w:rPr>
        <w:t>+活性炭吸附</w:t>
      </w:r>
      <w:r>
        <w:rPr>
          <w:rFonts w:hint="default"/>
        </w:rPr>
        <w:t>处理设备进行处理，最终通过</w:t>
      </w:r>
      <w:r>
        <w:rPr>
          <w:rFonts w:hint="eastAsia"/>
          <w:lang w:val="en-US" w:eastAsia="zh-CN"/>
        </w:rPr>
        <w:t>15m高</w:t>
      </w:r>
      <w:r>
        <w:rPr>
          <w:rFonts w:hint="default"/>
        </w:rPr>
        <w:t>排气筒排放。有组织排放的非甲烷总烃可满足《合成树脂工业污染物排放标准》（GB31572-2015）表</w:t>
      </w:r>
      <w:r>
        <w:rPr>
          <w:rFonts w:hint="eastAsia"/>
          <w:lang w:val="en-US" w:eastAsia="zh-CN"/>
        </w:rPr>
        <w:t>5</w:t>
      </w:r>
      <w:r>
        <w:rPr>
          <w:rFonts w:hint="default"/>
        </w:rPr>
        <w:t>中非甲烷总烃</w:t>
      </w:r>
      <w:r>
        <w:rPr>
          <w:rFonts w:hint="eastAsia"/>
          <w:lang w:val="en-US" w:eastAsia="zh-CN"/>
        </w:rPr>
        <w:t>特别</w:t>
      </w:r>
      <w:r>
        <w:rPr>
          <w:rFonts w:hint="default"/>
        </w:rPr>
        <w:t>排放限值（</w:t>
      </w:r>
      <w:r>
        <w:rPr>
          <w:rFonts w:hint="eastAsia"/>
          <w:lang w:val="en-US" w:eastAsia="zh-CN"/>
        </w:rPr>
        <w:t>60</w:t>
      </w:r>
      <w:r>
        <w:rPr>
          <w:rFonts w:hint="default"/>
        </w:rPr>
        <w:t>mg/</w:t>
      </w:r>
      <w:r>
        <w:rPr>
          <w:rFonts w:hint="eastAsia"/>
          <w:lang w:eastAsia="zh-CN"/>
        </w:rPr>
        <w:t>m³</w:t>
      </w:r>
      <w:r>
        <w:rPr>
          <w:rFonts w:hint="default"/>
        </w:rPr>
        <w:t>）要求，对大气环境影响较小。</w:t>
      </w:r>
    </w:p>
    <w:p>
      <w:pPr>
        <w:bidi w:val="0"/>
        <w:rPr>
          <w:rFonts w:hint="default"/>
        </w:rPr>
      </w:pPr>
      <w:r>
        <w:rPr>
          <w:rFonts w:hint="default"/>
        </w:rPr>
        <w:t>2）无组织废气</w:t>
      </w:r>
    </w:p>
    <w:p>
      <w:pPr>
        <w:bidi w:val="0"/>
        <w:rPr>
          <w:rFonts w:hint="default"/>
        </w:rPr>
      </w:pPr>
      <w:r>
        <w:rPr>
          <w:rFonts w:hint="default"/>
        </w:rPr>
        <w:t>①非甲烷总烃</w:t>
      </w:r>
    </w:p>
    <w:p>
      <w:pPr>
        <w:bidi w:val="0"/>
        <w:rPr>
          <w:rFonts w:hint="default"/>
        </w:rPr>
      </w:pPr>
      <w:r>
        <w:rPr>
          <w:rFonts w:hint="default"/>
        </w:rPr>
        <w:t>环评建议建设单位在厂房</w:t>
      </w:r>
      <w:r>
        <w:rPr>
          <w:rFonts w:hint="eastAsia"/>
          <w:lang w:val="en-US" w:eastAsia="zh-CN"/>
        </w:rPr>
        <w:t>是适当位置</w:t>
      </w:r>
      <w:r>
        <w:rPr>
          <w:rFonts w:hint="default"/>
        </w:rPr>
        <w:t>安装排风扇，加强车间通风，使车间残留的非甲烷总烃在排风扇的作用下，迅速散至车间外，减轻其</w:t>
      </w:r>
      <w:r>
        <w:rPr>
          <w:rFonts w:hint="eastAsia"/>
          <w:lang w:val="en-US" w:eastAsia="zh-CN"/>
        </w:rPr>
        <w:t>对厂房内环境的</w:t>
      </w:r>
      <w:r>
        <w:rPr>
          <w:rFonts w:hint="default"/>
        </w:rPr>
        <w:t>影响。根据预测结果，无组织排放的非甲烷总烃能够满足《合成树脂工业污染物排放标准》（GB31572-2015）表9中企业边界非甲烷总烃浓度限值（4.0mg/</w:t>
      </w:r>
      <w:r>
        <w:rPr>
          <w:rFonts w:hint="eastAsia"/>
          <w:lang w:eastAsia="zh-CN"/>
        </w:rPr>
        <w:t>m³</w:t>
      </w:r>
      <w:r>
        <w:rPr>
          <w:rFonts w:hint="default"/>
        </w:rPr>
        <w:t>）要求。</w:t>
      </w:r>
    </w:p>
    <w:p>
      <w:pPr>
        <w:bidi w:val="0"/>
        <w:rPr>
          <w:rFonts w:hint="default"/>
        </w:rPr>
      </w:pPr>
      <w:r>
        <w:rPr>
          <w:rFonts w:hint="default"/>
        </w:rPr>
        <w:t>②粉尘</w:t>
      </w:r>
    </w:p>
    <w:p>
      <w:pPr>
        <w:bidi w:val="0"/>
        <w:rPr>
          <w:rFonts w:hint="default"/>
        </w:rPr>
      </w:pPr>
      <w:r>
        <w:rPr>
          <w:rFonts w:hint="default"/>
        </w:rPr>
        <w:t>本项目破碎机顶部设置雾化喷嘴，破碎的同时进行喷淋降尘，可有效减少破碎粉尘的产生。根据预测结果，无组织排放的粉尘能够满足《合成树脂工业污染物排放标准》（GB31572-2015）表9中企业边界颗粒物浓度限值（1.0mg/</w:t>
      </w:r>
      <w:r>
        <w:rPr>
          <w:rFonts w:hint="eastAsia"/>
          <w:lang w:eastAsia="zh-CN"/>
        </w:rPr>
        <w:t>m³</w:t>
      </w:r>
      <w:r>
        <w:rPr>
          <w:rFonts w:hint="default"/>
        </w:rPr>
        <w:t>）要求。</w:t>
      </w:r>
    </w:p>
    <w:p>
      <w:pPr>
        <w:bidi w:val="0"/>
        <w:rPr>
          <w:rFonts w:hint="default"/>
        </w:rPr>
      </w:pPr>
      <w:r>
        <w:rPr>
          <w:rFonts w:hint="default"/>
        </w:rPr>
        <w:t>③油烟废气</w:t>
      </w:r>
    </w:p>
    <w:p>
      <w:pPr>
        <w:bidi w:val="0"/>
        <w:rPr>
          <w:rFonts w:hint="default"/>
        </w:rPr>
      </w:pPr>
      <w:r>
        <w:rPr>
          <w:rFonts w:hint="default"/>
        </w:rPr>
        <w:t>本项目拟安装油烟净化设备为职工食堂</w:t>
      </w:r>
      <w:r>
        <w:rPr>
          <w:rFonts w:hint="eastAsia"/>
          <w:lang w:val="en-US" w:eastAsia="zh-CN"/>
        </w:rPr>
        <w:t>餐饮</w:t>
      </w:r>
      <w:r>
        <w:rPr>
          <w:rFonts w:hint="default"/>
        </w:rPr>
        <w:t>油烟进行处理，处理效率可达60%以上，经处理后油烟排放浓度低于2mg/</w:t>
      </w:r>
      <w:r>
        <w:rPr>
          <w:rFonts w:hint="eastAsia"/>
          <w:lang w:eastAsia="zh-CN"/>
        </w:rPr>
        <w:t>m³</w:t>
      </w:r>
      <w:r>
        <w:rPr>
          <w:rFonts w:hint="default"/>
        </w:rPr>
        <w:t>，满足《饮食业油烟排放标准（试行）》（GB18483-2001）中油烟最高允许排放浓度限值要求，对环境影响较小。</w:t>
      </w:r>
    </w:p>
    <w:p>
      <w:pPr>
        <w:bidi w:val="0"/>
        <w:rPr>
          <w:rFonts w:hint="default"/>
        </w:rPr>
      </w:pPr>
      <w:r>
        <w:rPr>
          <w:rFonts w:hint="default"/>
        </w:rPr>
        <w:t>本项目运营期废气采用上述治理措施处理后，完全可以保证各污染物的达标排放，在经济、技术上均是可行的。</w:t>
      </w:r>
    </w:p>
    <w:p>
      <w:pPr>
        <w:bidi w:val="0"/>
        <w:rPr>
          <w:rFonts w:hint="default"/>
        </w:rPr>
      </w:pPr>
      <w:r>
        <w:rPr>
          <w:rFonts w:hint="default"/>
        </w:rPr>
        <w:t>（2）水污染防治措施可行性分析结论</w:t>
      </w:r>
    </w:p>
    <w:p>
      <w:pPr>
        <w:bidi w:val="0"/>
        <w:rPr>
          <w:rFonts w:hint="default"/>
        </w:rPr>
      </w:pPr>
      <w:r>
        <w:rPr>
          <w:rFonts w:hint="default"/>
        </w:rPr>
        <w:t>本项目运营期产生的废水包括清洗废水和生活污水。清洗废水中主要污染物为SS，清洗工序配套设置有沉降池，清洗废水</w:t>
      </w:r>
      <w:r>
        <w:rPr>
          <w:rFonts w:hint="eastAsia"/>
          <w:lang w:val="en-US" w:eastAsia="zh-CN"/>
        </w:rPr>
        <w:t>经沉淀池沉降后通过设施的地埋式污水处理设施处置达到企业要求的回用标准</w:t>
      </w:r>
      <w:r>
        <w:rPr>
          <w:rFonts w:hint="default"/>
          <w:lang w:val="en-US"/>
        </w:rPr>
        <w:t>，</w:t>
      </w:r>
      <w:r>
        <w:rPr>
          <w:rFonts w:hint="default"/>
        </w:rPr>
        <w:t>回用于原料清洗和喷淋工序，不外排；生活污水中不含有毒有害物质，主要污染物为COD</w:t>
      </w:r>
      <w:r>
        <w:rPr>
          <w:rFonts w:hint="default"/>
          <w:vertAlign w:val="subscript"/>
        </w:rPr>
        <w:t>Cr</w:t>
      </w:r>
      <w:r>
        <w:rPr>
          <w:rFonts w:hint="default"/>
        </w:rPr>
        <w:t>、BOD</w:t>
      </w:r>
      <w:r>
        <w:rPr>
          <w:rFonts w:hint="default"/>
          <w:vertAlign w:val="subscript"/>
        </w:rPr>
        <w:t>5</w:t>
      </w:r>
      <w:r>
        <w:rPr>
          <w:rFonts w:hint="default"/>
        </w:rPr>
        <w:t>、SS、NH</w:t>
      </w:r>
      <w:r>
        <w:rPr>
          <w:rFonts w:hint="default"/>
          <w:vertAlign w:val="subscript"/>
        </w:rPr>
        <w:t>3</w:t>
      </w:r>
      <w:r>
        <w:rPr>
          <w:rFonts w:hint="default"/>
        </w:rPr>
        <w:t>-N等，餐饮废水经隔油池处理后与生活污水一同</w:t>
      </w:r>
      <w:r>
        <w:rPr>
          <w:rFonts w:hint="eastAsia"/>
          <w:lang w:val="en-US" w:eastAsia="zh-CN"/>
        </w:rPr>
        <w:t>经化粪池预处理后抽运至二工镇污水处理厂进行后续处理</w:t>
      </w:r>
      <w:r>
        <w:rPr>
          <w:rFonts w:hint="default"/>
        </w:rPr>
        <w:t>。不会对环境造成污染。</w:t>
      </w:r>
    </w:p>
    <w:p>
      <w:pPr>
        <w:bidi w:val="0"/>
        <w:rPr>
          <w:rFonts w:hint="default"/>
        </w:rPr>
      </w:pPr>
      <w:r>
        <w:rPr>
          <w:rFonts w:hint="default"/>
        </w:rPr>
        <w:t>本项目废水的治理措施成熟、可靠，简单、有效，投资较低，从经济、技术上来讲均是可行的。</w:t>
      </w:r>
    </w:p>
    <w:p>
      <w:pPr>
        <w:bidi w:val="0"/>
        <w:rPr>
          <w:rFonts w:hint="default"/>
        </w:rPr>
      </w:pPr>
      <w:r>
        <w:rPr>
          <w:rFonts w:hint="default"/>
        </w:rPr>
        <w:t>（3）噪声防治措施可行性分析结论</w:t>
      </w:r>
    </w:p>
    <w:p>
      <w:pPr>
        <w:bidi w:val="0"/>
        <w:rPr>
          <w:rFonts w:hint="default"/>
        </w:rPr>
      </w:pPr>
      <w:r>
        <w:rPr>
          <w:rFonts w:hint="default"/>
        </w:rPr>
        <w:t>本项目拟采取的隔声、减振、消声、绿化等降噪措施均为较成熟的噪声控制措施，从技术角度上讲，完全可以满足噪声防治的需要，使厂界噪声满足《工业企业厂界环境噪声排放标准》（GB12348-2008）中的</w:t>
      </w:r>
      <w:r>
        <w:rPr>
          <w:rFonts w:hint="eastAsia"/>
          <w:lang w:val="en-US" w:eastAsia="zh-CN"/>
        </w:rPr>
        <w:t>2</w:t>
      </w:r>
      <w:r>
        <w:rPr>
          <w:rFonts w:hint="default"/>
        </w:rPr>
        <w:t>类区标准；从经济角度而言，其投资也较少，在可承受范围内。因此，本项目拟采取的噪声防治措施可行。</w:t>
      </w:r>
    </w:p>
    <w:p>
      <w:pPr>
        <w:bidi w:val="0"/>
        <w:rPr>
          <w:rFonts w:hint="default"/>
        </w:rPr>
      </w:pPr>
      <w:r>
        <w:rPr>
          <w:rFonts w:hint="default"/>
        </w:rPr>
        <w:t>（4）固废防治措施可行性分析</w:t>
      </w:r>
    </w:p>
    <w:p>
      <w:pPr>
        <w:bidi w:val="0"/>
        <w:rPr>
          <w:rFonts w:hint="default"/>
        </w:rPr>
      </w:pPr>
      <w:r>
        <w:rPr>
          <w:rFonts w:hint="default"/>
        </w:rPr>
        <w:t>生产固废中的分拣废物、不合格产品、沉降池污泥</w:t>
      </w:r>
      <w:r>
        <w:rPr>
          <w:rFonts w:hint="eastAsia"/>
          <w:lang w:eastAsia="zh-CN"/>
        </w:rPr>
        <w:t>、</w:t>
      </w:r>
      <w:r>
        <w:rPr>
          <w:rFonts w:hint="eastAsia"/>
          <w:lang w:val="en-US" w:eastAsia="zh-CN"/>
        </w:rPr>
        <w:t>污水处理站污泥</w:t>
      </w:r>
      <w:r>
        <w:rPr>
          <w:rFonts w:hint="default"/>
        </w:rPr>
        <w:t>均不属于危险废物。本项目拟在原材料仓库内设固废暂存区，分拣废物可暂存于该区域，定期委托环卫部门清运至</w:t>
      </w:r>
      <w:r>
        <w:rPr>
          <w:rFonts w:hint="eastAsia"/>
          <w:lang w:eastAsia="zh-CN"/>
        </w:rPr>
        <w:t>吉木萨尔县</w:t>
      </w:r>
      <w:r>
        <w:rPr>
          <w:rFonts w:hint="default"/>
          <w:lang w:eastAsia="zh-CN"/>
        </w:rPr>
        <w:t>垃圾</w:t>
      </w:r>
      <w:r>
        <w:rPr>
          <w:rFonts w:hint="eastAsia"/>
          <w:lang w:eastAsia="zh-CN"/>
        </w:rPr>
        <w:t>填埋场</w:t>
      </w:r>
      <w:r>
        <w:rPr>
          <w:rFonts w:hint="default"/>
        </w:rPr>
        <w:t>填埋处置；本项目废过滤网每季度更换一次，废过滤网为不锈钢材质，杂质主要为沙粒、木屑等，属于I类一般工业固体废物，采用专用容器妥善贮存，由厂家回收。沉降池污泥干化填埋，</w:t>
      </w:r>
      <w:r>
        <w:rPr>
          <w:rFonts w:hint="default"/>
          <w:lang w:val="en-US" w:eastAsia="zh-CN"/>
        </w:rPr>
        <w:t>亦送至</w:t>
      </w:r>
      <w:r>
        <w:rPr>
          <w:rFonts w:hint="eastAsia"/>
          <w:lang w:eastAsia="zh-CN"/>
        </w:rPr>
        <w:t>吉木萨尔县</w:t>
      </w:r>
      <w:r>
        <w:rPr>
          <w:rFonts w:hint="default"/>
          <w:lang w:eastAsia="zh-CN"/>
        </w:rPr>
        <w:t>垃圾填埋场</w:t>
      </w:r>
      <w:r>
        <w:rPr>
          <w:rFonts w:hint="default"/>
        </w:rPr>
        <w:t>填埋处置；不合格产品一经产生即运至造粒车间重新造粒。</w:t>
      </w:r>
    </w:p>
    <w:p>
      <w:pPr>
        <w:bidi w:val="0"/>
        <w:rPr>
          <w:rFonts w:hint="default"/>
        </w:rPr>
      </w:pPr>
      <w:r>
        <w:rPr>
          <w:rFonts w:hint="default"/>
        </w:rPr>
        <w:t>生活垃圾经垃圾箱</w:t>
      </w:r>
      <w:r>
        <w:rPr>
          <w:rFonts w:hint="eastAsia"/>
          <w:lang w:val="en-US" w:eastAsia="zh-CN"/>
        </w:rPr>
        <w:t>分类</w:t>
      </w:r>
      <w:r>
        <w:rPr>
          <w:rFonts w:hint="default"/>
        </w:rPr>
        <w:t>收集后由环卫部门统一清运至</w:t>
      </w:r>
      <w:r>
        <w:rPr>
          <w:rFonts w:hint="eastAsia"/>
          <w:lang w:eastAsia="zh-CN"/>
        </w:rPr>
        <w:t>吉木萨尔县</w:t>
      </w:r>
      <w:r>
        <w:rPr>
          <w:rFonts w:hint="default"/>
          <w:lang w:eastAsia="zh-CN"/>
        </w:rPr>
        <w:t>垃圾</w:t>
      </w:r>
      <w:r>
        <w:rPr>
          <w:rFonts w:hint="default"/>
        </w:rPr>
        <w:t>填埋</w:t>
      </w:r>
      <w:r>
        <w:rPr>
          <w:rFonts w:hint="default"/>
          <w:lang w:val="en-US" w:eastAsia="zh-CN"/>
        </w:rPr>
        <w:t>场</w:t>
      </w:r>
      <w:r>
        <w:rPr>
          <w:rFonts w:hint="default"/>
        </w:rPr>
        <w:t>填埋处置。</w:t>
      </w:r>
    </w:p>
    <w:p>
      <w:pPr>
        <w:bidi w:val="0"/>
        <w:rPr>
          <w:rFonts w:hint="default" w:eastAsia="宋体"/>
          <w:color w:val="0000FF"/>
          <w:lang w:val="en-US" w:eastAsia="zh-CN"/>
        </w:rPr>
      </w:pPr>
      <w:r>
        <w:rPr>
          <w:rFonts w:hint="eastAsia"/>
          <w:color w:val="0000FF"/>
          <w:lang w:val="en-US" w:eastAsia="zh-CN"/>
        </w:rPr>
        <w:t>等离子光氧一体机更换的废灯管为危险废物，</w:t>
      </w:r>
      <w:r>
        <w:rPr>
          <w:rFonts w:hint="eastAsia"/>
          <w:lang w:val="en-US" w:eastAsia="zh-CN"/>
        </w:rPr>
        <w:t>暂存在危险废物暂存间，定期交由具有资质的危险废物处置单位处置</w:t>
      </w:r>
      <w:r>
        <w:rPr>
          <w:rFonts w:hint="eastAsia"/>
          <w:color w:val="0000FF"/>
          <w:lang w:val="en-US" w:eastAsia="zh-CN"/>
        </w:rPr>
        <w:t>。设备维养护产生的废机油、活性炭吸附装置更换的废活性炭均为危险废物，暂存在危险废物暂存间内，定期交由具有相应处理资质的单位处置。</w:t>
      </w:r>
    </w:p>
    <w:p>
      <w:pPr>
        <w:bidi w:val="0"/>
        <w:rPr>
          <w:rFonts w:hint="default"/>
        </w:rPr>
      </w:pPr>
      <w:r>
        <w:rPr>
          <w:rFonts w:hint="default"/>
        </w:rPr>
        <w:t>本项目运营期拟采取的固体废物处置措施合理可行，生产固废和生活垃圾处置率可达100%，处置费用较低，因此本项目固废处置措施从技术、经济上来讲是可行的。</w:t>
      </w:r>
    </w:p>
    <w:p>
      <w:pPr>
        <w:pStyle w:val="4"/>
        <w:bidi w:val="0"/>
        <w:rPr>
          <w:rFonts w:hint="default"/>
        </w:rPr>
      </w:pPr>
      <w:bookmarkStart w:id="498" w:name="_Toc8313"/>
      <w:bookmarkStart w:id="499" w:name="_Toc23741"/>
      <w:bookmarkStart w:id="500" w:name="_Toc25522"/>
      <w:bookmarkStart w:id="501" w:name="_Toc24354_WPSOffice_Level2"/>
      <w:bookmarkStart w:id="502" w:name="_Toc524431488"/>
      <w:bookmarkStart w:id="503" w:name="_Toc479687868"/>
      <w:r>
        <w:rPr>
          <w:rFonts w:hint="default"/>
        </w:rPr>
        <w:t>10.5</w:t>
      </w:r>
      <w:r>
        <w:rPr>
          <w:rFonts w:hint="eastAsia"/>
          <w:lang w:eastAsia="zh-CN"/>
        </w:rPr>
        <w:t>、</w:t>
      </w:r>
      <w:r>
        <w:rPr>
          <w:rFonts w:hint="default"/>
        </w:rPr>
        <w:t>环境风险评价结论</w:t>
      </w:r>
      <w:bookmarkEnd w:id="498"/>
      <w:bookmarkEnd w:id="499"/>
      <w:bookmarkEnd w:id="500"/>
      <w:bookmarkEnd w:id="501"/>
      <w:bookmarkEnd w:id="502"/>
      <w:bookmarkEnd w:id="503"/>
    </w:p>
    <w:p>
      <w:pPr>
        <w:bidi w:val="0"/>
        <w:rPr>
          <w:rFonts w:hint="default"/>
        </w:rPr>
      </w:pPr>
      <w:r>
        <w:rPr>
          <w:rFonts w:hint="default"/>
        </w:rPr>
        <w:t>根据分析结果，本项目运营过程中主要的环境风险为火灾，但不存在重大危险源，风险评价工作等级确定为</w:t>
      </w:r>
      <w:r>
        <w:rPr>
          <w:rFonts w:hint="default"/>
          <w:lang w:val="en-US" w:eastAsia="zh-CN"/>
        </w:rPr>
        <w:t>简单评价</w:t>
      </w:r>
      <w:r>
        <w:rPr>
          <w:rFonts w:hint="default"/>
        </w:rPr>
        <w:t>。建设单位在建设</w:t>
      </w:r>
      <w:r>
        <w:rPr>
          <w:rFonts w:hint="eastAsia"/>
          <w:lang w:eastAsia="zh-CN"/>
        </w:rPr>
        <w:t>、</w:t>
      </w:r>
      <w:r>
        <w:rPr>
          <w:rFonts w:hint="eastAsia"/>
          <w:lang w:val="en-US" w:eastAsia="zh-CN"/>
        </w:rPr>
        <w:t>运行</w:t>
      </w:r>
      <w:r>
        <w:rPr>
          <w:rFonts w:hint="default"/>
        </w:rPr>
        <w:t>过程中应落实本项目提出的风险防范措施，并根据今后实际生产情况结合本报告中提出的事故应急预案，制定更详实的应急预案，确保防范措施的运行。在落实风险防范措施、做好应急预案的前提下，本项目的风险处于可接受水平。</w:t>
      </w:r>
    </w:p>
    <w:p>
      <w:pPr>
        <w:pStyle w:val="4"/>
        <w:bidi w:val="0"/>
        <w:rPr>
          <w:rFonts w:hint="default"/>
        </w:rPr>
      </w:pPr>
      <w:bookmarkStart w:id="504" w:name="_Toc18119"/>
      <w:bookmarkStart w:id="505" w:name="_Toc479687869"/>
      <w:bookmarkStart w:id="506" w:name="_Toc456651324"/>
      <w:bookmarkStart w:id="507" w:name="_Toc524431489"/>
      <w:bookmarkStart w:id="508" w:name="_Toc7529"/>
      <w:bookmarkStart w:id="509" w:name="_Toc25186"/>
      <w:bookmarkStart w:id="510" w:name="_Toc17420_WPSOffice_Level2"/>
      <w:r>
        <w:rPr>
          <w:rFonts w:hint="default"/>
        </w:rPr>
        <w:t>10.6</w:t>
      </w:r>
      <w:r>
        <w:rPr>
          <w:rFonts w:hint="eastAsia"/>
          <w:lang w:eastAsia="zh-CN"/>
        </w:rPr>
        <w:t>、</w:t>
      </w:r>
      <w:r>
        <w:rPr>
          <w:rFonts w:hint="default"/>
        </w:rPr>
        <w:t>清洁生产分析结论</w:t>
      </w:r>
      <w:bookmarkEnd w:id="504"/>
      <w:bookmarkEnd w:id="505"/>
      <w:bookmarkEnd w:id="506"/>
      <w:bookmarkEnd w:id="507"/>
      <w:bookmarkEnd w:id="508"/>
      <w:bookmarkEnd w:id="509"/>
      <w:bookmarkEnd w:id="510"/>
    </w:p>
    <w:p>
      <w:pPr>
        <w:bidi w:val="0"/>
        <w:rPr>
          <w:rFonts w:hint="default"/>
        </w:rPr>
      </w:pPr>
      <w:r>
        <w:rPr>
          <w:rFonts w:hint="default"/>
        </w:rPr>
        <w:t>本项目采取了先进、成熟的工艺技术和生产设备，从原材料和能源的使用开始，直至产品的应用，均符合清洁生产的要求，从源头控制了污染。从清洁生产各项指标比较分析可知，本项目清洁生产水平达到国内先进水平。</w:t>
      </w:r>
    </w:p>
    <w:p>
      <w:pPr>
        <w:pStyle w:val="4"/>
        <w:bidi w:val="0"/>
        <w:rPr>
          <w:rFonts w:hint="default"/>
        </w:rPr>
      </w:pPr>
      <w:bookmarkStart w:id="511" w:name="_Toc11834"/>
      <w:bookmarkStart w:id="512" w:name="_Toc26954"/>
      <w:bookmarkStart w:id="513" w:name="_Toc13770"/>
      <w:bookmarkStart w:id="514" w:name="_Toc19550_WPSOffice_Level2"/>
      <w:bookmarkStart w:id="515" w:name="_Toc524431490"/>
      <w:r>
        <w:rPr>
          <w:rFonts w:hint="default"/>
        </w:rPr>
        <w:t>10.7</w:t>
      </w:r>
      <w:r>
        <w:rPr>
          <w:rFonts w:hint="eastAsia"/>
          <w:lang w:eastAsia="zh-CN"/>
        </w:rPr>
        <w:t>、</w:t>
      </w:r>
      <w:r>
        <w:rPr>
          <w:rFonts w:hint="default"/>
        </w:rPr>
        <w:t>选址合理性分析结论</w:t>
      </w:r>
      <w:bookmarkEnd w:id="511"/>
      <w:bookmarkEnd w:id="512"/>
      <w:bookmarkEnd w:id="513"/>
      <w:bookmarkEnd w:id="514"/>
      <w:bookmarkEnd w:id="515"/>
    </w:p>
    <w:p>
      <w:pPr>
        <w:bidi w:val="0"/>
        <w:rPr>
          <w:rFonts w:hint="default"/>
        </w:rPr>
      </w:pPr>
      <w:r>
        <w:rPr>
          <w:rFonts w:hint="default"/>
        </w:rPr>
        <w:t>从土地利用、环境功能区划、区域环境敏感因素、环境容量、基础设施条件等角度衡量，本项目厂址选择是可行的。</w:t>
      </w:r>
    </w:p>
    <w:p>
      <w:pPr>
        <w:pStyle w:val="4"/>
        <w:bidi w:val="0"/>
        <w:rPr>
          <w:rFonts w:hint="default"/>
        </w:rPr>
      </w:pPr>
      <w:bookmarkStart w:id="516" w:name="_Toc9631"/>
      <w:bookmarkStart w:id="517" w:name="_Toc9275"/>
      <w:bookmarkStart w:id="518" w:name="_Toc18282"/>
      <w:bookmarkStart w:id="519" w:name="_Toc16681_WPSOffice_Level2"/>
      <w:bookmarkStart w:id="520" w:name="_Toc524431491"/>
      <w:r>
        <w:rPr>
          <w:rFonts w:hint="default"/>
        </w:rPr>
        <w:t>10.8</w:t>
      </w:r>
      <w:r>
        <w:rPr>
          <w:rFonts w:hint="eastAsia"/>
          <w:lang w:eastAsia="zh-CN"/>
        </w:rPr>
        <w:t>、</w:t>
      </w:r>
      <w:r>
        <w:rPr>
          <w:rFonts w:hint="default"/>
        </w:rPr>
        <w:t>公众参与分析结论</w:t>
      </w:r>
      <w:bookmarkEnd w:id="516"/>
      <w:bookmarkEnd w:id="517"/>
      <w:bookmarkEnd w:id="518"/>
      <w:bookmarkEnd w:id="519"/>
      <w:bookmarkEnd w:id="520"/>
    </w:p>
    <w:p>
      <w:pPr>
        <w:bidi w:val="0"/>
        <w:rPr>
          <w:rFonts w:hint="default"/>
        </w:rPr>
      </w:pPr>
      <w:r>
        <w:rPr>
          <w:rFonts w:hint="default"/>
        </w:rPr>
        <w:t>项目以按照公参办法履行了相关公式及意见调查，公众参与调查结果显示，大部分被调查者都认为本项目的建设能够促进当地经济发展，为当地居民提供一定数量的就业岗位，具有较好的经济效益和社会效益，基本上都支持本项目的建设。公众对本项目建设的认同程度较高。</w:t>
      </w:r>
    </w:p>
    <w:p>
      <w:pPr>
        <w:bidi w:val="0"/>
        <w:rPr>
          <w:rFonts w:hint="default"/>
        </w:rPr>
      </w:pPr>
      <w:r>
        <w:rPr>
          <w:rFonts w:hint="default"/>
        </w:rPr>
        <w:t>通过本次环评公众参与调查，我们认为公众对环境保护的积极参与性都很高，这说明随着社会的进步，公众的环境意识正在逐步的增强，绝大多数被调查人员对本项目的建设表示支持，同时非常关注本地区环境现状，以及本项目所带来的环境问题，本项目建设运营过程中将严格按照环评要求做好环境保护工作，使项目的环境负效应降到最低程度。</w:t>
      </w:r>
    </w:p>
    <w:p>
      <w:pPr>
        <w:pStyle w:val="4"/>
        <w:bidi w:val="0"/>
        <w:rPr>
          <w:rFonts w:hint="default"/>
        </w:rPr>
      </w:pPr>
      <w:bookmarkStart w:id="521" w:name="_Toc6312"/>
      <w:bookmarkStart w:id="522" w:name="_Toc24758_WPSOffice_Level2"/>
      <w:bookmarkStart w:id="523" w:name="_Toc9737"/>
      <w:bookmarkStart w:id="524" w:name="_Toc524431492"/>
      <w:bookmarkStart w:id="525" w:name="_Toc16454"/>
      <w:r>
        <w:rPr>
          <w:rFonts w:hint="default"/>
        </w:rPr>
        <w:t>10.9</w:t>
      </w:r>
      <w:r>
        <w:rPr>
          <w:rFonts w:hint="eastAsia"/>
          <w:lang w:eastAsia="zh-CN"/>
        </w:rPr>
        <w:t>、</w:t>
      </w:r>
      <w:r>
        <w:rPr>
          <w:rFonts w:hint="default"/>
        </w:rPr>
        <w:t>环评总结论</w:t>
      </w:r>
      <w:bookmarkEnd w:id="521"/>
      <w:bookmarkEnd w:id="522"/>
      <w:bookmarkEnd w:id="523"/>
      <w:bookmarkEnd w:id="524"/>
      <w:bookmarkEnd w:id="525"/>
    </w:p>
    <w:p>
      <w:pPr>
        <w:bidi w:val="0"/>
        <w:rPr>
          <w:rFonts w:hint="default"/>
        </w:rPr>
      </w:pPr>
      <w:r>
        <w:rPr>
          <w:rFonts w:hint="default"/>
        </w:rPr>
        <w:t>本项目符合规划，厂址选择合理、符合产业政策；生产工艺和装备先进成熟；各项污染物能够达标排放；环境风险水平在可接受的程度内；通过公众参与分析，当地群众支持该项目建设。但考虑项目在建设过程中的不确定因素，项目建设过程中须认真落实环境保护</w:t>
      </w:r>
      <w:r>
        <w:rPr>
          <w:rFonts w:hint="eastAsia"/>
          <w:lang w:eastAsia="zh-CN"/>
        </w:rPr>
        <w:t>“</w:t>
      </w:r>
      <w:r>
        <w:rPr>
          <w:rFonts w:hint="default"/>
        </w:rPr>
        <w:t>三同时</w:t>
      </w:r>
      <w:r>
        <w:rPr>
          <w:rFonts w:hint="eastAsia"/>
          <w:lang w:eastAsia="zh-CN"/>
        </w:rPr>
        <w:t>”</w:t>
      </w:r>
      <w:r>
        <w:rPr>
          <w:rFonts w:hint="default"/>
        </w:rPr>
        <w:t>，严格落实设计和环评报告提出的污染防治措施和环境保护措施，并加强环保设施的运行维护和管理，保证各种环保设施的正常运行和污染物长期稳定达标排放。在落实并保证以上条件实施的前提下，从环保角度分析，该项目建设是可行的。</w:t>
      </w:r>
    </w:p>
    <w:p>
      <w:pPr>
        <w:pStyle w:val="4"/>
        <w:bidi w:val="0"/>
        <w:rPr>
          <w:rFonts w:hint="default"/>
        </w:rPr>
      </w:pPr>
      <w:bookmarkStart w:id="526" w:name="_Toc275187941"/>
      <w:bookmarkStart w:id="527" w:name="_Toc21168_WPSOffice_Level2"/>
      <w:bookmarkStart w:id="528" w:name="_Toc12141"/>
      <w:bookmarkStart w:id="529" w:name="_Toc275162306"/>
      <w:bookmarkStart w:id="530" w:name="_Toc275162467"/>
      <w:bookmarkStart w:id="531" w:name="_Toc524431493"/>
      <w:bookmarkStart w:id="532" w:name="_Toc13795"/>
      <w:bookmarkStart w:id="533" w:name="_Toc7586"/>
      <w:r>
        <w:rPr>
          <w:rFonts w:hint="default"/>
        </w:rPr>
        <w:t>10.10</w:t>
      </w:r>
      <w:r>
        <w:rPr>
          <w:rFonts w:hint="eastAsia"/>
          <w:lang w:eastAsia="zh-CN"/>
        </w:rPr>
        <w:t>、</w:t>
      </w:r>
      <w:r>
        <w:rPr>
          <w:rFonts w:hint="default"/>
        </w:rPr>
        <w:t>要求及建议</w:t>
      </w:r>
      <w:bookmarkEnd w:id="526"/>
      <w:bookmarkEnd w:id="527"/>
      <w:bookmarkEnd w:id="528"/>
      <w:bookmarkEnd w:id="529"/>
      <w:bookmarkEnd w:id="530"/>
      <w:bookmarkEnd w:id="531"/>
      <w:bookmarkEnd w:id="532"/>
      <w:bookmarkEnd w:id="533"/>
    </w:p>
    <w:p>
      <w:pPr>
        <w:bidi w:val="0"/>
        <w:rPr>
          <w:rFonts w:hint="default"/>
        </w:rPr>
      </w:pPr>
      <w:r>
        <w:rPr>
          <w:rFonts w:hint="default"/>
        </w:rPr>
        <w:t>（1）确保落实各项环保措施，加强环境管理，以保证污染防治达到预期效果。</w:t>
      </w:r>
    </w:p>
    <w:p>
      <w:pPr>
        <w:bidi w:val="0"/>
        <w:rPr>
          <w:rFonts w:hint="default"/>
        </w:rPr>
      </w:pPr>
      <w:r>
        <w:rPr>
          <w:rFonts w:hint="default"/>
        </w:rPr>
        <w:t>（</w:t>
      </w:r>
      <w:r>
        <w:rPr>
          <w:rFonts w:hint="default"/>
          <w:lang w:val="en-US" w:eastAsia="zh-CN"/>
        </w:rPr>
        <w:t>2</w:t>
      </w:r>
      <w:r>
        <w:rPr>
          <w:rFonts w:hint="default"/>
        </w:rPr>
        <w:t>）应保持良好的通风环境，以便操作工人有良好的工作环境，发给作业人员适用、有效的防护用品，如面罩、手套、工作服等。</w:t>
      </w:r>
    </w:p>
    <w:p>
      <w:pPr>
        <w:bidi w:val="0"/>
        <w:rPr>
          <w:rFonts w:hint="default"/>
        </w:rPr>
      </w:pPr>
      <w:r>
        <w:rPr>
          <w:rFonts w:hint="default"/>
        </w:rPr>
        <w:t>（</w:t>
      </w:r>
      <w:r>
        <w:rPr>
          <w:rFonts w:hint="default"/>
          <w:lang w:val="en-US" w:eastAsia="zh-CN"/>
        </w:rPr>
        <w:t>3</w:t>
      </w:r>
      <w:r>
        <w:rPr>
          <w:rFonts w:hint="default"/>
        </w:rPr>
        <w:t>）加强管理，强化企业职工自身的环保意识和事故风险意识。</w:t>
      </w:r>
    </w:p>
    <w:p>
      <w:pPr>
        <w:bidi w:val="0"/>
        <w:rPr>
          <w:rFonts w:hint="default"/>
        </w:rPr>
      </w:pPr>
      <w:r>
        <w:rPr>
          <w:rFonts w:hint="default"/>
        </w:rPr>
        <w:t>（</w:t>
      </w:r>
      <w:r>
        <w:rPr>
          <w:rFonts w:hint="default"/>
          <w:lang w:val="en-US" w:eastAsia="zh-CN"/>
        </w:rPr>
        <w:t>4</w:t>
      </w:r>
      <w:r>
        <w:rPr>
          <w:rFonts w:hint="default"/>
        </w:rPr>
        <w:t>）各种</w:t>
      </w:r>
      <w:r>
        <w:rPr>
          <w:rFonts w:hint="eastAsia"/>
          <w:lang w:eastAsia="zh-CN"/>
        </w:rPr>
        <w:t>固体废物</w:t>
      </w:r>
      <w:r>
        <w:rPr>
          <w:rFonts w:hint="default"/>
        </w:rPr>
        <w:t>要分类收集储存，及时清运处理。</w:t>
      </w:r>
    </w:p>
    <w:p>
      <w:pPr>
        <w:bidi w:val="0"/>
        <w:rPr>
          <w:rFonts w:hint="default"/>
        </w:rPr>
      </w:pPr>
      <w:r>
        <w:rPr>
          <w:rFonts w:hint="default"/>
        </w:rPr>
        <w:t>（</w:t>
      </w:r>
      <w:r>
        <w:rPr>
          <w:rFonts w:hint="default"/>
          <w:lang w:val="en-US" w:eastAsia="zh-CN"/>
        </w:rPr>
        <w:t>5</w:t>
      </w:r>
      <w:r>
        <w:rPr>
          <w:rFonts w:hint="default"/>
        </w:rPr>
        <w:t>）加强设备维护和保养，确保各项环保设施的正常运转。</w:t>
      </w:r>
    </w:p>
    <w:p>
      <w:pPr>
        <w:bidi w:val="0"/>
        <w:rPr>
          <w:rFonts w:hint="default"/>
        </w:rPr>
      </w:pPr>
      <w:r>
        <w:rPr>
          <w:rFonts w:hint="default"/>
        </w:rPr>
        <w:t>（</w:t>
      </w:r>
      <w:r>
        <w:rPr>
          <w:rFonts w:hint="default"/>
          <w:lang w:val="en-US" w:eastAsia="zh-CN"/>
        </w:rPr>
        <w:t>6</w:t>
      </w:r>
      <w:r>
        <w:rPr>
          <w:rFonts w:hint="default"/>
          <w:lang w:val="en-US"/>
        </w:rPr>
        <w:t>）</w:t>
      </w:r>
      <w:r>
        <w:rPr>
          <w:rFonts w:hint="default"/>
        </w:rPr>
        <w:t>加强厂区绿化工作，种植绿化林带。</w:t>
      </w:r>
    </w:p>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5"/>
      </w:rPr>
    </w:pPr>
    <w:r>
      <w:fldChar w:fldCharType="begin"/>
    </w:r>
    <w:r>
      <w:rPr>
        <w:rStyle w:val="15"/>
      </w:rPr>
      <w:instrText xml:space="preserve">PAGE  </w:instrText>
    </w:r>
    <w: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XXVII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kuwAXAgAAFQ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CqS7ABcCAAAVBAAADgAAAAAA&#10;AAABACAAAAAfAQAAZHJzL2Uyb0RvYy54bWxQSwUGAAAAAAYABgBZAQAAqA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XXVII</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LXXVI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LXXVI</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CLVI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5QQ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y5QQ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CLVI</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auto"/>
      <w:ind w:firstLine="0"/>
      <w:jc w:val="center"/>
      <w:rPr>
        <w:b/>
        <w:bCs/>
        <w:sz w:val="22"/>
        <w:szCs w:val="21"/>
      </w:rPr>
    </w:pPr>
    <w:r>
      <w:rPr>
        <w:rFonts w:hint="eastAsia"/>
        <w:b/>
        <w:bCs/>
        <w:sz w:val="22"/>
        <w:szCs w:val="21"/>
        <w:lang w:eastAsia="zh-CN"/>
      </w:rPr>
      <w:t>吉木萨尔县天雨滴灌带地膜加工建设项目</w:t>
    </w:r>
    <w:r>
      <w:rPr>
        <w:rFonts w:hint="eastAsia"/>
        <w:b/>
        <w:bCs/>
        <w:sz w:val="22"/>
        <w:szCs w:val="21"/>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auto"/>
      <w:ind w:firstLine="0"/>
      <w:jc w:val="center"/>
      <w:rPr>
        <w:b/>
        <w:bCs/>
        <w:sz w:val="22"/>
        <w:szCs w:val="21"/>
      </w:rPr>
    </w:pPr>
    <w:r>
      <w:rPr>
        <w:rFonts w:hint="eastAsia"/>
        <w:b/>
        <w:bCs/>
        <w:sz w:val="22"/>
        <w:szCs w:val="21"/>
        <w:lang w:eastAsia="zh-CN"/>
      </w:rPr>
      <w:t>吉木萨尔县天雨滴灌带地膜加工建设项目</w:t>
    </w:r>
    <w:r>
      <w:rPr>
        <w:rFonts w:hint="eastAsia"/>
        <w:b/>
        <w:bCs/>
        <w:sz w:val="22"/>
        <w:szCs w:val="21"/>
      </w:rPr>
      <w:t>环境影响报告书</w:t>
    </w:r>
  </w:p>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auto"/>
      <w:ind w:firstLine="0"/>
      <w:jc w:val="center"/>
      <w:rPr>
        <w:b/>
        <w:bCs/>
        <w:sz w:val="22"/>
        <w:szCs w:val="21"/>
      </w:rPr>
    </w:pPr>
  </w:p>
  <w:p>
    <w:pPr>
      <w:pBdr>
        <w:bottom w:val="single" w:color="auto" w:sz="4" w:space="0"/>
      </w:pBdr>
      <w:spacing w:line="240" w:lineRule="auto"/>
      <w:ind w:firstLine="0"/>
      <w:jc w:val="center"/>
    </w:pPr>
    <w:r>
      <w:rPr>
        <w:rFonts w:hint="eastAsia"/>
        <w:b/>
        <w:bCs/>
        <w:sz w:val="22"/>
        <w:szCs w:val="21"/>
        <w:lang w:eastAsia="zh-CN"/>
      </w:rPr>
      <w:t>吉木萨尔县天雨滴灌带地膜加工建设项目</w:t>
    </w:r>
    <w:r>
      <w:rPr>
        <w:rFonts w:hint="eastAsia"/>
        <w:b/>
        <w:bCs/>
        <w:sz w:val="22"/>
        <w:szCs w:val="21"/>
      </w:rPr>
      <w:t>环境影响报告书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9041B3"/>
    <w:rsid w:val="000061A2"/>
    <w:rsid w:val="000409E3"/>
    <w:rsid w:val="00060288"/>
    <w:rsid w:val="0006146B"/>
    <w:rsid w:val="000644EE"/>
    <w:rsid w:val="0007477B"/>
    <w:rsid w:val="0008011F"/>
    <w:rsid w:val="00095164"/>
    <w:rsid w:val="00097150"/>
    <w:rsid w:val="000A3C63"/>
    <w:rsid w:val="000B363F"/>
    <w:rsid w:val="000C3311"/>
    <w:rsid w:val="000C419B"/>
    <w:rsid w:val="00116A7C"/>
    <w:rsid w:val="00127032"/>
    <w:rsid w:val="0014689B"/>
    <w:rsid w:val="00154539"/>
    <w:rsid w:val="00163938"/>
    <w:rsid w:val="00171142"/>
    <w:rsid w:val="00197702"/>
    <w:rsid w:val="001A46D4"/>
    <w:rsid w:val="001C18E1"/>
    <w:rsid w:val="001E7CD4"/>
    <w:rsid w:val="002163DF"/>
    <w:rsid w:val="0023110F"/>
    <w:rsid w:val="00237C87"/>
    <w:rsid w:val="00240ED9"/>
    <w:rsid w:val="00250EBC"/>
    <w:rsid w:val="002533E3"/>
    <w:rsid w:val="00254207"/>
    <w:rsid w:val="002645C6"/>
    <w:rsid w:val="00276DF1"/>
    <w:rsid w:val="002B2EBC"/>
    <w:rsid w:val="002C06DE"/>
    <w:rsid w:val="002E193F"/>
    <w:rsid w:val="002F008F"/>
    <w:rsid w:val="00312DCF"/>
    <w:rsid w:val="00340BCF"/>
    <w:rsid w:val="003851AA"/>
    <w:rsid w:val="0039560D"/>
    <w:rsid w:val="003A0066"/>
    <w:rsid w:val="003A327C"/>
    <w:rsid w:val="003C4AAD"/>
    <w:rsid w:val="003C593F"/>
    <w:rsid w:val="003D1C3A"/>
    <w:rsid w:val="003E320B"/>
    <w:rsid w:val="003F7E82"/>
    <w:rsid w:val="00426B44"/>
    <w:rsid w:val="004275B6"/>
    <w:rsid w:val="004335E6"/>
    <w:rsid w:val="00441F00"/>
    <w:rsid w:val="00466371"/>
    <w:rsid w:val="00471F34"/>
    <w:rsid w:val="00494929"/>
    <w:rsid w:val="004970FC"/>
    <w:rsid w:val="004A3ABB"/>
    <w:rsid w:val="004C3144"/>
    <w:rsid w:val="004C4231"/>
    <w:rsid w:val="004C4B4C"/>
    <w:rsid w:val="004C4F31"/>
    <w:rsid w:val="004E1B75"/>
    <w:rsid w:val="00500E55"/>
    <w:rsid w:val="0058319A"/>
    <w:rsid w:val="00586D21"/>
    <w:rsid w:val="00591D3B"/>
    <w:rsid w:val="005D0C79"/>
    <w:rsid w:val="005D3896"/>
    <w:rsid w:val="00600BC1"/>
    <w:rsid w:val="00630FED"/>
    <w:rsid w:val="00670B19"/>
    <w:rsid w:val="00680F49"/>
    <w:rsid w:val="00682E3E"/>
    <w:rsid w:val="00695ADE"/>
    <w:rsid w:val="006B1674"/>
    <w:rsid w:val="0071246F"/>
    <w:rsid w:val="00716AE6"/>
    <w:rsid w:val="00720D8E"/>
    <w:rsid w:val="00746A91"/>
    <w:rsid w:val="00773F30"/>
    <w:rsid w:val="007809F2"/>
    <w:rsid w:val="007A0BFE"/>
    <w:rsid w:val="007A3129"/>
    <w:rsid w:val="007D374A"/>
    <w:rsid w:val="00833EE1"/>
    <w:rsid w:val="008416EB"/>
    <w:rsid w:val="008722AA"/>
    <w:rsid w:val="00883C40"/>
    <w:rsid w:val="008C7A7E"/>
    <w:rsid w:val="00902263"/>
    <w:rsid w:val="0090398D"/>
    <w:rsid w:val="009131AB"/>
    <w:rsid w:val="00913412"/>
    <w:rsid w:val="00917073"/>
    <w:rsid w:val="00923707"/>
    <w:rsid w:val="009251EA"/>
    <w:rsid w:val="009362D8"/>
    <w:rsid w:val="00954300"/>
    <w:rsid w:val="00967559"/>
    <w:rsid w:val="009868B7"/>
    <w:rsid w:val="00996128"/>
    <w:rsid w:val="00997C56"/>
    <w:rsid w:val="009B4280"/>
    <w:rsid w:val="009C6CC9"/>
    <w:rsid w:val="00A60391"/>
    <w:rsid w:val="00A66423"/>
    <w:rsid w:val="00A81066"/>
    <w:rsid w:val="00A930D8"/>
    <w:rsid w:val="00AB3221"/>
    <w:rsid w:val="00AD7F23"/>
    <w:rsid w:val="00AF300E"/>
    <w:rsid w:val="00B037F6"/>
    <w:rsid w:val="00B12941"/>
    <w:rsid w:val="00B31DB9"/>
    <w:rsid w:val="00B348F4"/>
    <w:rsid w:val="00B358D9"/>
    <w:rsid w:val="00B40164"/>
    <w:rsid w:val="00B456B2"/>
    <w:rsid w:val="00B53101"/>
    <w:rsid w:val="00B61510"/>
    <w:rsid w:val="00B733F1"/>
    <w:rsid w:val="00B74820"/>
    <w:rsid w:val="00B96F56"/>
    <w:rsid w:val="00BD4A0A"/>
    <w:rsid w:val="00BE5526"/>
    <w:rsid w:val="00C11A30"/>
    <w:rsid w:val="00C76734"/>
    <w:rsid w:val="00C9018C"/>
    <w:rsid w:val="00CB77D6"/>
    <w:rsid w:val="00CD450A"/>
    <w:rsid w:val="00CF397F"/>
    <w:rsid w:val="00CF71B8"/>
    <w:rsid w:val="00D232BC"/>
    <w:rsid w:val="00D44C71"/>
    <w:rsid w:val="00D52170"/>
    <w:rsid w:val="00D85BFF"/>
    <w:rsid w:val="00DE0028"/>
    <w:rsid w:val="00DF26AA"/>
    <w:rsid w:val="00E014B0"/>
    <w:rsid w:val="00E041F7"/>
    <w:rsid w:val="00E15C3E"/>
    <w:rsid w:val="00E25F22"/>
    <w:rsid w:val="00E37B85"/>
    <w:rsid w:val="00E42DB0"/>
    <w:rsid w:val="00E46B13"/>
    <w:rsid w:val="00E65128"/>
    <w:rsid w:val="00E82844"/>
    <w:rsid w:val="00ED372F"/>
    <w:rsid w:val="00ED4D72"/>
    <w:rsid w:val="00EE02CC"/>
    <w:rsid w:val="00EE2529"/>
    <w:rsid w:val="00EF756E"/>
    <w:rsid w:val="00F04F94"/>
    <w:rsid w:val="00F14B75"/>
    <w:rsid w:val="00F15948"/>
    <w:rsid w:val="00F23ADE"/>
    <w:rsid w:val="00F24C97"/>
    <w:rsid w:val="00F407F3"/>
    <w:rsid w:val="00F447AB"/>
    <w:rsid w:val="00F50C45"/>
    <w:rsid w:val="00F535CC"/>
    <w:rsid w:val="00F6208C"/>
    <w:rsid w:val="00F750C1"/>
    <w:rsid w:val="00F938F9"/>
    <w:rsid w:val="00FA618D"/>
    <w:rsid w:val="00FB02A8"/>
    <w:rsid w:val="00FD4278"/>
    <w:rsid w:val="00FD4C24"/>
    <w:rsid w:val="010E0326"/>
    <w:rsid w:val="011908BF"/>
    <w:rsid w:val="01593BD0"/>
    <w:rsid w:val="0163699C"/>
    <w:rsid w:val="01720793"/>
    <w:rsid w:val="018A333B"/>
    <w:rsid w:val="01960DF9"/>
    <w:rsid w:val="01A62EC0"/>
    <w:rsid w:val="01A914DB"/>
    <w:rsid w:val="01BC04A0"/>
    <w:rsid w:val="01EC6FF8"/>
    <w:rsid w:val="020647F0"/>
    <w:rsid w:val="025272F3"/>
    <w:rsid w:val="02610F5B"/>
    <w:rsid w:val="02672EB8"/>
    <w:rsid w:val="02680FD3"/>
    <w:rsid w:val="026917A4"/>
    <w:rsid w:val="026C06DA"/>
    <w:rsid w:val="026D7EBF"/>
    <w:rsid w:val="028C4E4D"/>
    <w:rsid w:val="02A6493C"/>
    <w:rsid w:val="02EC6CCF"/>
    <w:rsid w:val="02F23E4F"/>
    <w:rsid w:val="02F81F18"/>
    <w:rsid w:val="03132AB4"/>
    <w:rsid w:val="031B57C4"/>
    <w:rsid w:val="031F32E6"/>
    <w:rsid w:val="033D4BDF"/>
    <w:rsid w:val="035F14BF"/>
    <w:rsid w:val="03607308"/>
    <w:rsid w:val="036A3A74"/>
    <w:rsid w:val="037C6601"/>
    <w:rsid w:val="038E45AE"/>
    <w:rsid w:val="038E5F04"/>
    <w:rsid w:val="03993A1E"/>
    <w:rsid w:val="03AF56CD"/>
    <w:rsid w:val="03B52F69"/>
    <w:rsid w:val="03C20471"/>
    <w:rsid w:val="03EB1FC7"/>
    <w:rsid w:val="03FA0D97"/>
    <w:rsid w:val="04040C28"/>
    <w:rsid w:val="041F2067"/>
    <w:rsid w:val="042C042B"/>
    <w:rsid w:val="042C6006"/>
    <w:rsid w:val="043727CA"/>
    <w:rsid w:val="04381E0D"/>
    <w:rsid w:val="043D3615"/>
    <w:rsid w:val="044006D3"/>
    <w:rsid w:val="044F1587"/>
    <w:rsid w:val="04AC3DE5"/>
    <w:rsid w:val="04BB5E89"/>
    <w:rsid w:val="04C1390E"/>
    <w:rsid w:val="04D429B0"/>
    <w:rsid w:val="05121511"/>
    <w:rsid w:val="05181A3D"/>
    <w:rsid w:val="05787BFA"/>
    <w:rsid w:val="05F8766D"/>
    <w:rsid w:val="060269ED"/>
    <w:rsid w:val="06200DBF"/>
    <w:rsid w:val="06206119"/>
    <w:rsid w:val="063021B9"/>
    <w:rsid w:val="06507110"/>
    <w:rsid w:val="06663F3B"/>
    <w:rsid w:val="066D7B8E"/>
    <w:rsid w:val="066F12EF"/>
    <w:rsid w:val="06741EE0"/>
    <w:rsid w:val="068202DC"/>
    <w:rsid w:val="06847A5F"/>
    <w:rsid w:val="06B37EF5"/>
    <w:rsid w:val="06EC6DC0"/>
    <w:rsid w:val="07334218"/>
    <w:rsid w:val="073D0ACB"/>
    <w:rsid w:val="07540102"/>
    <w:rsid w:val="07666EDF"/>
    <w:rsid w:val="07684383"/>
    <w:rsid w:val="07686647"/>
    <w:rsid w:val="0772643D"/>
    <w:rsid w:val="07BB61AE"/>
    <w:rsid w:val="08222A39"/>
    <w:rsid w:val="082F3321"/>
    <w:rsid w:val="08356C0A"/>
    <w:rsid w:val="08481B5F"/>
    <w:rsid w:val="08496D40"/>
    <w:rsid w:val="08587227"/>
    <w:rsid w:val="085A05F7"/>
    <w:rsid w:val="0887182A"/>
    <w:rsid w:val="08A106D5"/>
    <w:rsid w:val="08A33D5A"/>
    <w:rsid w:val="08B8316D"/>
    <w:rsid w:val="08BF3167"/>
    <w:rsid w:val="08E02521"/>
    <w:rsid w:val="08E93323"/>
    <w:rsid w:val="08F56497"/>
    <w:rsid w:val="09050665"/>
    <w:rsid w:val="091A4704"/>
    <w:rsid w:val="092F78A5"/>
    <w:rsid w:val="0936333A"/>
    <w:rsid w:val="093B4D95"/>
    <w:rsid w:val="093C6A70"/>
    <w:rsid w:val="09491E79"/>
    <w:rsid w:val="09596075"/>
    <w:rsid w:val="096A0FDD"/>
    <w:rsid w:val="097537DF"/>
    <w:rsid w:val="097E0EDE"/>
    <w:rsid w:val="09937482"/>
    <w:rsid w:val="099A5FD3"/>
    <w:rsid w:val="09A9227B"/>
    <w:rsid w:val="09B607C8"/>
    <w:rsid w:val="09E80DB0"/>
    <w:rsid w:val="09F83093"/>
    <w:rsid w:val="09FC2B67"/>
    <w:rsid w:val="09FF3C88"/>
    <w:rsid w:val="0A02132A"/>
    <w:rsid w:val="0A153F8C"/>
    <w:rsid w:val="0A2A0C67"/>
    <w:rsid w:val="0A46189E"/>
    <w:rsid w:val="0A5C1C4F"/>
    <w:rsid w:val="0A683938"/>
    <w:rsid w:val="0A743829"/>
    <w:rsid w:val="0A8003F8"/>
    <w:rsid w:val="0A950233"/>
    <w:rsid w:val="0A96538D"/>
    <w:rsid w:val="0AB60E72"/>
    <w:rsid w:val="0ABB06BD"/>
    <w:rsid w:val="0ABD49B0"/>
    <w:rsid w:val="0AF54ED7"/>
    <w:rsid w:val="0AFE4717"/>
    <w:rsid w:val="0B2758A1"/>
    <w:rsid w:val="0B3B33D9"/>
    <w:rsid w:val="0B3D614F"/>
    <w:rsid w:val="0B4D460A"/>
    <w:rsid w:val="0B592E70"/>
    <w:rsid w:val="0B964B54"/>
    <w:rsid w:val="0BBA5199"/>
    <w:rsid w:val="0BC2326F"/>
    <w:rsid w:val="0BD75BA5"/>
    <w:rsid w:val="0BF547D0"/>
    <w:rsid w:val="0C056F48"/>
    <w:rsid w:val="0C0604DA"/>
    <w:rsid w:val="0C235561"/>
    <w:rsid w:val="0C357E87"/>
    <w:rsid w:val="0C366CFD"/>
    <w:rsid w:val="0C660F77"/>
    <w:rsid w:val="0C853359"/>
    <w:rsid w:val="0C864A21"/>
    <w:rsid w:val="0C9004F4"/>
    <w:rsid w:val="0C917DF2"/>
    <w:rsid w:val="0CA068A0"/>
    <w:rsid w:val="0CA41282"/>
    <w:rsid w:val="0CB71B96"/>
    <w:rsid w:val="0CBB6557"/>
    <w:rsid w:val="0CE36CA8"/>
    <w:rsid w:val="0D0F6E4D"/>
    <w:rsid w:val="0D3C37CE"/>
    <w:rsid w:val="0D83095D"/>
    <w:rsid w:val="0DDA2743"/>
    <w:rsid w:val="0DED6813"/>
    <w:rsid w:val="0E084DB5"/>
    <w:rsid w:val="0E0A62C5"/>
    <w:rsid w:val="0E34578B"/>
    <w:rsid w:val="0E3B5A83"/>
    <w:rsid w:val="0E505DFE"/>
    <w:rsid w:val="0E5424BC"/>
    <w:rsid w:val="0E553D73"/>
    <w:rsid w:val="0E5E2437"/>
    <w:rsid w:val="0E90537E"/>
    <w:rsid w:val="0E9D6AF4"/>
    <w:rsid w:val="0EB97C09"/>
    <w:rsid w:val="0EBE02E3"/>
    <w:rsid w:val="0EC72758"/>
    <w:rsid w:val="0EDD7C6C"/>
    <w:rsid w:val="0EEE13DD"/>
    <w:rsid w:val="0EFF3EB2"/>
    <w:rsid w:val="0F134DFE"/>
    <w:rsid w:val="0F1A0B19"/>
    <w:rsid w:val="0F295DD3"/>
    <w:rsid w:val="0F59050F"/>
    <w:rsid w:val="0F654D42"/>
    <w:rsid w:val="0F66026B"/>
    <w:rsid w:val="0F8C1A76"/>
    <w:rsid w:val="0F9C78F1"/>
    <w:rsid w:val="0F9D76CD"/>
    <w:rsid w:val="0FCF1D08"/>
    <w:rsid w:val="0FD15F9B"/>
    <w:rsid w:val="0FD33A2F"/>
    <w:rsid w:val="0FEA1CE7"/>
    <w:rsid w:val="100D5D09"/>
    <w:rsid w:val="1019271A"/>
    <w:rsid w:val="10257EC5"/>
    <w:rsid w:val="102D4F49"/>
    <w:rsid w:val="104479F0"/>
    <w:rsid w:val="105013AA"/>
    <w:rsid w:val="10913B94"/>
    <w:rsid w:val="10991A46"/>
    <w:rsid w:val="10BC3180"/>
    <w:rsid w:val="11003430"/>
    <w:rsid w:val="11343E50"/>
    <w:rsid w:val="118E39A8"/>
    <w:rsid w:val="119F57A2"/>
    <w:rsid w:val="11A21BA5"/>
    <w:rsid w:val="11B67F48"/>
    <w:rsid w:val="11BA192C"/>
    <w:rsid w:val="11CA75E0"/>
    <w:rsid w:val="11DC196C"/>
    <w:rsid w:val="11DD796C"/>
    <w:rsid w:val="11EC4DED"/>
    <w:rsid w:val="11EE5390"/>
    <w:rsid w:val="12007DBC"/>
    <w:rsid w:val="122E7BF1"/>
    <w:rsid w:val="124F2D4C"/>
    <w:rsid w:val="12630CE6"/>
    <w:rsid w:val="12641FEE"/>
    <w:rsid w:val="12A72B0E"/>
    <w:rsid w:val="12CC1E25"/>
    <w:rsid w:val="12E77E66"/>
    <w:rsid w:val="12FF5171"/>
    <w:rsid w:val="13060D5C"/>
    <w:rsid w:val="131A1FDC"/>
    <w:rsid w:val="13350091"/>
    <w:rsid w:val="13524B96"/>
    <w:rsid w:val="135B0002"/>
    <w:rsid w:val="136E4FC5"/>
    <w:rsid w:val="13762AAC"/>
    <w:rsid w:val="13853287"/>
    <w:rsid w:val="139B7AE0"/>
    <w:rsid w:val="13A930AD"/>
    <w:rsid w:val="13AF634B"/>
    <w:rsid w:val="13B545F2"/>
    <w:rsid w:val="13BB4412"/>
    <w:rsid w:val="13BC7C6C"/>
    <w:rsid w:val="13C40C35"/>
    <w:rsid w:val="13CF6CA6"/>
    <w:rsid w:val="14130621"/>
    <w:rsid w:val="14133263"/>
    <w:rsid w:val="14182C92"/>
    <w:rsid w:val="141A3497"/>
    <w:rsid w:val="142A278A"/>
    <w:rsid w:val="144549A8"/>
    <w:rsid w:val="14703327"/>
    <w:rsid w:val="14794F93"/>
    <w:rsid w:val="147E15AB"/>
    <w:rsid w:val="149A1DF6"/>
    <w:rsid w:val="14C95DAC"/>
    <w:rsid w:val="14E361C6"/>
    <w:rsid w:val="150F1A63"/>
    <w:rsid w:val="152A3732"/>
    <w:rsid w:val="152F41E3"/>
    <w:rsid w:val="15320CB2"/>
    <w:rsid w:val="1539598E"/>
    <w:rsid w:val="15410298"/>
    <w:rsid w:val="157A1B98"/>
    <w:rsid w:val="159B2041"/>
    <w:rsid w:val="15A350B0"/>
    <w:rsid w:val="15C7553D"/>
    <w:rsid w:val="15EA286D"/>
    <w:rsid w:val="15F16CC7"/>
    <w:rsid w:val="15FB74DF"/>
    <w:rsid w:val="160201F3"/>
    <w:rsid w:val="160D7C18"/>
    <w:rsid w:val="16126710"/>
    <w:rsid w:val="1630527E"/>
    <w:rsid w:val="164E5652"/>
    <w:rsid w:val="165E50AF"/>
    <w:rsid w:val="16656672"/>
    <w:rsid w:val="166B6241"/>
    <w:rsid w:val="16730CFA"/>
    <w:rsid w:val="167C10F7"/>
    <w:rsid w:val="169B24EA"/>
    <w:rsid w:val="17380379"/>
    <w:rsid w:val="1757679C"/>
    <w:rsid w:val="175A2DC6"/>
    <w:rsid w:val="175C3066"/>
    <w:rsid w:val="17616DDB"/>
    <w:rsid w:val="17874768"/>
    <w:rsid w:val="17A15B57"/>
    <w:rsid w:val="17A44500"/>
    <w:rsid w:val="17A63271"/>
    <w:rsid w:val="17B67F26"/>
    <w:rsid w:val="17D31161"/>
    <w:rsid w:val="17EC74B1"/>
    <w:rsid w:val="17FF4E97"/>
    <w:rsid w:val="1833479B"/>
    <w:rsid w:val="18425909"/>
    <w:rsid w:val="1848647C"/>
    <w:rsid w:val="18773CA6"/>
    <w:rsid w:val="188D2C7D"/>
    <w:rsid w:val="18950316"/>
    <w:rsid w:val="18AF69EF"/>
    <w:rsid w:val="18BB3F74"/>
    <w:rsid w:val="18C14F1D"/>
    <w:rsid w:val="18E565B5"/>
    <w:rsid w:val="18EF3B8E"/>
    <w:rsid w:val="18F84BD8"/>
    <w:rsid w:val="19086A81"/>
    <w:rsid w:val="19142BE4"/>
    <w:rsid w:val="19180AFB"/>
    <w:rsid w:val="19220DAB"/>
    <w:rsid w:val="19460033"/>
    <w:rsid w:val="19673B7E"/>
    <w:rsid w:val="19697391"/>
    <w:rsid w:val="196E0FDE"/>
    <w:rsid w:val="19950128"/>
    <w:rsid w:val="19980023"/>
    <w:rsid w:val="199E6B15"/>
    <w:rsid w:val="19E86243"/>
    <w:rsid w:val="1A13706A"/>
    <w:rsid w:val="1A3A52A4"/>
    <w:rsid w:val="1A591D16"/>
    <w:rsid w:val="1A6E595A"/>
    <w:rsid w:val="1A7C4021"/>
    <w:rsid w:val="1AAE489D"/>
    <w:rsid w:val="1ABF0201"/>
    <w:rsid w:val="1AD33176"/>
    <w:rsid w:val="1ADC0234"/>
    <w:rsid w:val="1AEA47FD"/>
    <w:rsid w:val="1B092186"/>
    <w:rsid w:val="1B4413BB"/>
    <w:rsid w:val="1B6B62FB"/>
    <w:rsid w:val="1B937E0E"/>
    <w:rsid w:val="1BBD4D2C"/>
    <w:rsid w:val="1BEE4B56"/>
    <w:rsid w:val="1C2869EE"/>
    <w:rsid w:val="1C4D0ECC"/>
    <w:rsid w:val="1C57293A"/>
    <w:rsid w:val="1C74057C"/>
    <w:rsid w:val="1C93611D"/>
    <w:rsid w:val="1C9D331E"/>
    <w:rsid w:val="1CA8361A"/>
    <w:rsid w:val="1CCE3F15"/>
    <w:rsid w:val="1CD16959"/>
    <w:rsid w:val="1CE46D6C"/>
    <w:rsid w:val="1CEC4C54"/>
    <w:rsid w:val="1CF5023C"/>
    <w:rsid w:val="1D195317"/>
    <w:rsid w:val="1D3114AF"/>
    <w:rsid w:val="1D396425"/>
    <w:rsid w:val="1D4D1BC0"/>
    <w:rsid w:val="1D7718F3"/>
    <w:rsid w:val="1D8F73C0"/>
    <w:rsid w:val="1D920B07"/>
    <w:rsid w:val="1D977D15"/>
    <w:rsid w:val="1DAE7D81"/>
    <w:rsid w:val="1DB5193A"/>
    <w:rsid w:val="1DDB6A29"/>
    <w:rsid w:val="1DDF438A"/>
    <w:rsid w:val="1DE72CC6"/>
    <w:rsid w:val="1DE8205A"/>
    <w:rsid w:val="1DE84FA9"/>
    <w:rsid w:val="1DED67EE"/>
    <w:rsid w:val="1E226474"/>
    <w:rsid w:val="1E330E3D"/>
    <w:rsid w:val="1E4C55AC"/>
    <w:rsid w:val="1E4E7954"/>
    <w:rsid w:val="1E797FA8"/>
    <w:rsid w:val="1E9A5702"/>
    <w:rsid w:val="1EAD4C2D"/>
    <w:rsid w:val="1ED051A8"/>
    <w:rsid w:val="1EFA6889"/>
    <w:rsid w:val="1EFB7362"/>
    <w:rsid w:val="1F066DAB"/>
    <w:rsid w:val="1F1B7DF3"/>
    <w:rsid w:val="1F266B23"/>
    <w:rsid w:val="1F27753A"/>
    <w:rsid w:val="1F307378"/>
    <w:rsid w:val="1F5C195F"/>
    <w:rsid w:val="1F607E56"/>
    <w:rsid w:val="1F96008B"/>
    <w:rsid w:val="1FA562F3"/>
    <w:rsid w:val="1FB80710"/>
    <w:rsid w:val="1FB83FC3"/>
    <w:rsid w:val="1FF90C8A"/>
    <w:rsid w:val="200106CC"/>
    <w:rsid w:val="20014C39"/>
    <w:rsid w:val="200319C1"/>
    <w:rsid w:val="200576C8"/>
    <w:rsid w:val="209041B3"/>
    <w:rsid w:val="2093771E"/>
    <w:rsid w:val="209503CC"/>
    <w:rsid w:val="20B93477"/>
    <w:rsid w:val="20C1089B"/>
    <w:rsid w:val="20D258C8"/>
    <w:rsid w:val="215D53DC"/>
    <w:rsid w:val="218A37C4"/>
    <w:rsid w:val="21987264"/>
    <w:rsid w:val="219C05A0"/>
    <w:rsid w:val="21C17E18"/>
    <w:rsid w:val="21CC21AE"/>
    <w:rsid w:val="21DE509A"/>
    <w:rsid w:val="21E24242"/>
    <w:rsid w:val="21F01A7C"/>
    <w:rsid w:val="22074B88"/>
    <w:rsid w:val="220C0D6C"/>
    <w:rsid w:val="221E37E2"/>
    <w:rsid w:val="222708E4"/>
    <w:rsid w:val="222C783B"/>
    <w:rsid w:val="2231503A"/>
    <w:rsid w:val="224717C1"/>
    <w:rsid w:val="226F6803"/>
    <w:rsid w:val="228103C8"/>
    <w:rsid w:val="22881A9A"/>
    <w:rsid w:val="22BE7154"/>
    <w:rsid w:val="22DA2519"/>
    <w:rsid w:val="2309680A"/>
    <w:rsid w:val="23167427"/>
    <w:rsid w:val="23576576"/>
    <w:rsid w:val="235E380A"/>
    <w:rsid w:val="236566F6"/>
    <w:rsid w:val="23670C8B"/>
    <w:rsid w:val="236741BA"/>
    <w:rsid w:val="2388181D"/>
    <w:rsid w:val="239070E1"/>
    <w:rsid w:val="23A46476"/>
    <w:rsid w:val="23A71275"/>
    <w:rsid w:val="23C0040A"/>
    <w:rsid w:val="23ED21F1"/>
    <w:rsid w:val="23F85F43"/>
    <w:rsid w:val="23F94892"/>
    <w:rsid w:val="24066B6E"/>
    <w:rsid w:val="241A1A27"/>
    <w:rsid w:val="24251153"/>
    <w:rsid w:val="24274023"/>
    <w:rsid w:val="24575D51"/>
    <w:rsid w:val="246E2CD1"/>
    <w:rsid w:val="2499408F"/>
    <w:rsid w:val="249E21BB"/>
    <w:rsid w:val="24CB67E8"/>
    <w:rsid w:val="25375DEE"/>
    <w:rsid w:val="25515CAA"/>
    <w:rsid w:val="25677552"/>
    <w:rsid w:val="256F6CDC"/>
    <w:rsid w:val="25BD17A7"/>
    <w:rsid w:val="25C04E17"/>
    <w:rsid w:val="25E06287"/>
    <w:rsid w:val="265E67B7"/>
    <w:rsid w:val="265E7C72"/>
    <w:rsid w:val="26661B54"/>
    <w:rsid w:val="267D625F"/>
    <w:rsid w:val="267F3E53"/>
    <w:rsid w:val="26EC5650"/>
    <w:rsid w:val="272E1303"/>
    <w:rsid w:val="27365ABA"/>
    <w:rsid w:val="274E3165"/>
    <w:rsid w:val="275D148D"/>
    <w:rsid w:val="277248E8"/>
    <w:rsid w:val="27792F9D"/>
    <w:rsid w:val="277E79D7"/>
    <w:rsid w:val="278E582B"/>
    <w:rsid w:val="27BB7A0E"/>
    <w:rsid w:val="27C50B66"/>
    <w:rsid w:val="27CB15AD"/>
    <w:rsid w:val="27E47DB6"/>
    <w:rsid w:val="28214B6C"/>
    <w:rsid w:val="283C5479"/>
    <w:rsid w:val="284944AD"/>
    <w:rsid w:val="28901FFE"/>
    <w:rsid w:val="28A14710"/>
    <w:rsid w:val="28AC60A1"/>
    <w:rsid w:val="28B33306"/>
    <w:rsid w:val="28CB09F6"/>
    <w:rsid w:val="28FD2FBB"/>
    <w:rsid w:val="2901173C"/>
    <w:rsid w:val="29131B18"/>
    <w:rsid w:val="2914304E"/>
    <w:rsid w:val="29207329"/>
    <w:rsid w:val="29263D36"/>
    <w:rsid w:val="292F0627"/>
    <w:rsid w:val="294A1293"/>
    <w:rsid w:val="29701C1F"/>
    <w:rsid w:val="297B600D"/>
    <w:rsid w:val="29851B63"/>
    <w:rsid w:val="299D1D20"/>
    <w:rsid w:val="29AD7747"/>
    <w:rsid w:val="29BD4E02"/>
    <w:rsid w:val="29D309F0"/>
    <w:rsid w:val="2A05500B"/>
    <w:rsid w:val="2A133710"/>
    <w:rsid w:val="2A3A4BBB"/>
    <w:rsid w:val="2A66375F"/>
    <w:rsid w:val="2A7C08B8"/>
    <w:rsid w:val="2A7D22A3"/>
    <w:rsid w:val="2A857D4D"/>
    <w:rsid w:val="2A884ECF"/>
    <w:rsid w:val="2A885C03"/>
    <w:rsid w:val="2A9854BF"/>
    <w:rsid w:val="2ABC6A8C"/>
    <w:rsid w:val="2B0D0002"/>
    <w:rsid w:val="2B546551"/>
    <w:rsid w:val="2B775A6A"/>
    <w:rsid w:val="2B792B0A"/>
    <w:rsid w:val="2B7C2742"/>
    <w:rsid w:val="2B7D2FF5"/>
    <w:rsid w:val="2B970951"/>
    <w:rsid w:val="2BA35998"/>
    <w:rsid w:val="2BA70768"/>
    <w:rsid w:val="2BBC2F17"/>
    <w:rsid w:val="2BD43043"/>
    <w:rsid w:val="2BD83191"/>
    <w:rsid w:val="2C2D3CE3"/>
    <w:rsid w:val="2C414776"/>
    <w:rsid w:val="2C5850ED"/>
    <w:rsid w:val="2C6D671E"/>
    <w:rsid w:val="2C9E5BC0"/>
    <w:rsid w:val="2C9E5F81"/>
    <w:rsid w:val="2CA67250"/>
    <w:rsid w:val="2CEC5E82"/>
    <w:rsid w:val="2CEE6FBD"/>
    <w:rsid w:val="2CEF6B27"/>
    <w:rsid w:val="2CF33329"/>
    <w:rsid w:val="2D28686B"/>
    <w:rsid w:val="2D390A6A"/>
    <w:rsid w:val="2D50057C"/>
    <w:rsid w:val="2D5510E2"/>
    <w:rsid w:val="2D66164F"/>
    <w:rsid w:val="2D6649C0"/>
    <w:rsid w:val="2D6C12F7"/>
    <w:rsid w:val="2D782E37"/>
    <w:rsid w:val="2D936FAF"/>
    <w:rsid w:val="2D9F5198"/>
    <w:rsid w:val="2DC4084C"/>
    <w:rsid w:val="2E2A2338"/>
    <w:rsid w:val="2E473215"/>
    <w:rsid w:val="2E4B6539"/>
    <w:rsid w:val="2E731A20"/>
    <w:rsid w:val="2E860045"/>
    <w:rsid w:val="2EAD32C2"/>
    <w:rsid w:val="2EC8709D"/>
    <w:rsid w:val="2EE20403"/>
    <w:rsid w:val="2EE90409"/>
    <w:rsid w:val="2F2E4A96"/>
    <w:rsid w:val="2F736FFA"/>
    <w:rsid w:val="2F797651"/>
    <w:rsid w:val="2F984913"/>
    <w:rsid w:val="2FA23DE2"/>
    <w:rsid w:val="2FB6227B"/>
    <w:rsid w:val="2FB73B03"/>
    <w:rsid w:val="2FD42BDE"/>
    <w:rsid w:val="2FD53CC2"/>
    <w:rsid w:val="2FE83970"/>
    <w:rsid w:val="30082F13"/>
    <w:rsid w:val="30187E78"/>
    <w:rsid w:val="3039569D"/>
    <w:rsid w:val="304C1950"/>
    <w:rsid w:val="305B2187"/>
    <w:rsid w:val="3062752F"/>
    <w:rsid w:val="30666696"/>
    <w:rsid w:val="306B7796"/>
    <w:rsid w:val="306E5480"/>
    <w:rsid w:val="307D4FD4"/>
    <w:rsid w:val="307F17DE"/>
    <w:rsid w:val="30972CA1"/>
    <w:rsid w:val="30D85807"/>
    <w:rsid w:val="30FF02BA"/>
    <w:rsid w:val="310720F9"/>
    <w:rsid w:val="31140EE8"/>
    <w:rsid w:val="312561D4"/>
    <w:rsid w:val="313B21BE"/>
    <w:rsid w:val="317457A7"/>
    <w:rsid w:val="317A3D32"/>
    <w:rsid w:val="31A60091"/>
    <w:rsid w:val="31C52FCE"/>
    <w:rsid w:val="31E97792"/>
    <w:rsid w:val="320349CD"/>
    <w:rsid w:val="321F65A9"/>
    <w:rsid w:val="32332177"/>
    <w:rsid w:val="325E4A03"/>
    <w:rsid w:val="32882335"/>
    <w:rsid w:val="32994448"/>
    <w:rsid w:val="32C82C62"/>
    <w:rsid w:val="32C96219"/>
    <w:rsid w:val="33063F9B"/>
    <w:rsid w:val="333313FF"/>
    <w:rsid w:val="334169E5"/>
    <w:rsid w:val="334F078A"/>
    <w:rsid w:val="336042B0"/>
    <w:rsid w:val="33632008"/>
    <w:rsid w:val="336C30C8"/>
    <w:rsid w:val="3387177C"/>
    <w:rsid w:val="339110DF"/>
    <w:rsid w:val="339B497C"/>
    <w:rsid w:val="3424239A"/>
    <w:rsid w:val="34244052"/>
    <w:rsid w:val="34252F1C"/>
    <w:rsid w:val="342642D0"/>
    <w:rsid w:val="3429398E"/>
    <w:rsid w:val="347117C6"/>
    <w:rsid w:val="347E0A23"/>
    <w:rsid w:val="34BC6080"/>
    <w:rsid w:val="34BC77D8"/>
    <w:rsid w:val="35684672"/>
    <w:rsid w:val="35695634"/>
    <w:rsid w:val="35697A9A"/>
    <w:rsid w:val="35784CEF"/>
    <w:rsid w:val="358D5918"/>
    <w:rsid w:val="35B82B8F"/>
    <w:rsid w:val="35BA614E"/>
    <w:rsid w:val="35C417E3"/>
    <w:rsid w:val="35C61721"/>
    <w:rsid w:val="35FA7532"/>
    <w:rsid w:val="35FB0953"/>
    <w:rsid w:val="36045ADC"/>
    <w:rsid w:val="36090903"/>
    <w:rsid w:val="360B7942"/>
    <w:rsid w:val="36297034"/>
    <w:rsid w:val="362D5826"/>
    <w:rsid w:val="36313762"/>
    <w:rsid w:val="36354C9B"/>
    <w:rsid w:val="365431FC"/>
    <w:rsid w:val="3659307A"/>
    <w:rsid w:val="369A5CB6"/>
    <w:rsid w:val="369C23DA"/>
    <w:rsid w:val="36AB1D84"/>
    <w:rsid w:val="36D36042"/>
    <w:rsid w:val="36F94D81"/>
    <w:rsid w:val="370C1FE0"/>
    <w:rsid w:val="371327A8"/>
    <w:rsid w:val="37521A3C"/>
    <w:rsid w:val="37783236"/>
    <w:rsid w:val="378B15E0"/>
    <w:rsid w:val="378B1982"/>
    <w:rsid w:val="37B94C09"/>
    <w:rsid w:val="381C6870"/>
    <w:rsid w:val="382A1343"/>
    <w:rsid w:val="382C7626"/>
    <w:rsid w:val="385669D0"/>
    <w:rsid w:val="38674BEE"/>
    <w:rsid w:val="387441D6"/>
    <w:rsid w:val="387E432E"/>
    <w:rsid w:val="3893481A"/>
    <w:rsid w:val="38A920B7"/>
    <w:rsid w:val="38E23CFA"/>
    <w:rsid w:val="38F63533"/>
    <w:rsid w:val="39050715"/>
    <w:rsid w:val="39093194"/>
    <w:rsid w:val="390963B4"/>
    <w:rsid w:val="39146782"/>
    <w:rsid w:val="3928051F"/>
    <w:rsid w:val="39411A41"/>
    <w:rsid w:val="39545C45"/>
    <w:rsid w:val="39772677"/>
    <w:rsid w:val="39961011"/>
    <w:rsid w:val="399E595A"/>
    <w:rsid w:val="39BC1498"/>
    <w:rsid w:val="39BF76FC"/>
    <w:rsid w:val="39C56C1A"/>
    <w:rsid w:val="39C77088"/>
    <w:rsid w:val="39D019A3"/>
    <w:rsid w:val="39E42E36"/>
    <w:rsid w:val="39E969E6"/>
    <w:rsid w:val="3A183250"/>
    <w:rsid w:val="3A192CD1"/>
    <w:rsid w:val="3A235868"/>
    <w:rsid w:val="3A5931F6"/>
    <w:rsid w:val="3A5C29A8"/>
    <w:rsid w:val="3A9459B6"/>
    <w:rsid w:val="3AC93AF4"/>
    <w:rsid w:val="3AD934ED"/>
    <w:rsid w:val="3B104E14"/>
    <w:rsid w:val="3B382646"/>
    <w:rsid w:val="3B55422E"/>
    <w:rsid w:val="3B5F0102"/>
    <w:rsid w:val="3B6A442F"/>
    <w:rsid w:val="3B77104C"/>
    <w:rsid w:val="3B7C5F6A"/>
    <w:rsid w:val="3B9A717A"/>
    <w:rsid w:val="3BA07138"/>
    <w:rsid w:val="3BA540AE"/>
    <w:rsid w:val="3BAB52E7"/>
    <w:rsid w:val="3BBA2A84"/>
    <w:rsid w:val="3BBF2389"/>
    <w:rsid w:val="3BDF6711"/>
    <w:rsid w:val="3BE601E0"/>
    <w:rsid w:val="3C073A32"/>
    <w:rsid w:val="3C0A7E2B"/>
    <w:rsid w:val="3C167652"/>
    <w:rsid w:val="3C3E5DD4"/>
    <w:rsid w:val="3C493CC6"/>
    <w:rsid w:val="3C9D33B3"/>
    <w:rsid w:val="3CA5781A"/>
    <w:rsid w:val="3CB1098C"/>
    <w:rsid w:val="3CBD16E1"/>
    <w:rsid w:val="3CBE74C6"/>
    <w:rsid w:val="3CC000E8"/>
    <w:rsid w:val="3CE335F8"/>
    <w:rsid w:val="3CE812BB"/>
    <w:rsid w:val="3CF61487"/>
    <w:rsid w:val="3CFD56A7"/>
    <w:rsid w:val="3D0A55B9"/>
    <w:rsid w:val="3D10179E"/>
    <w:rsid w:val="3D236C08"/>
    <w:rsid w:val="3D353DA8"/>
    <w:rsid w:val="3D526A3A"/>
    <w:rsid w:val="3D847AE5"/>
    <w:rsid w:val="3D8821E9"/>
    <w:rsid w:val="3D984879"/>
    <w:rsid w:val="3D9A44BD"/>
    <w:rsid w:val="3DDC124D"/>
    <w:rsid w:val="3DDF46D9"/>
    <w:rsid w:val="3DFA64E2"/>
    <w:rsid w:val="3E263DB9"/>
    <w:rsid w:val="3E264502"/>
    <w:rsid w:val="3E3B0C68"/>
    <w:rsid w:val="3E67221C"/>
    <w:rsid w:val="3E8771A5"/>
    <w:rsid w:val="3E98274A"/>
    <w:rsid w:val="3EAD09C6"/>
    <w:rsid w:val="3EB4730F"/>
    <w:rsid w:val="3EBB656E"/>
    <w:rsid w:val="3ECA6C31"/>
    <w:rsid w:val="3F0B18E5"/>
    <w:rsid w:val="3F286238"/>
    <w:rsid w:val="3F496B7E"/>
    <w:rsid w:val="3F4C13E9"/>
    <w:rsid w:val="3F4C7328"/>
    <w:rsid w:val="3F560341"/>
    <w:rsid w:val="3F5D2774"/>
    <w:rsid w:val="3F5D2A02"/>
    <w:rsid w:val="3F675E7C"/>
    <w:rsid w:val="3F6B62D2"/>
    <w:rsid w:val="3F9C1DE0"/>
    <w:rsid w:val="3FA347A7"/>
    <w:rsid w:val="3FA50368"/>
    <w:rsid w:val="3FA65C8C"/>
    <w:rsid w:val="3FAC38E2"/>
    <w:rsid w:val="3FAD05FB"/>
    <w:rsid w:val="3FD932B1"/>
    <w:rsid w:val="3FD95FFF"/>
    <w:rsid w:val="3FDF2F10"/>
    <w:rsid w:val="3FE86B89"/>
    <w:rsid w:val="3FF2751C"/>
    <w:rsid w:val="40292DC0"/>
    <w:rsid w:val="404461F4"/>
    <w:rsid w:val="40670046"/>
    <w:rsid w:val="406A409B"/>
    <w:rsid w:val="40850188"/>
    <w:rsid w:val="409203AE"/>
    <w:rsid w:val="40A50F64"/>
    <w:rsid w:val="40B51BFA"/>
    <w:rsid w:val="40B52DF8"/>
    <w:rsid w:val="40C77BD8"/>
    <w:rsid w:val="40DF28C2"/>
    <w:rsid w:val="40FC1128"/>
    <w:rsid w:val="41065347"/>
    <w:rsid w:val="410F62E0"/>
    <w:rsid w:val="41531337"/>
    <w:rsid w:val="415B7786"/>
    <w:rsid w:val="415C39F3"/>
    <w:rsid w:val="416C6B70"/>
    <w:rsid w:val="418175CE"/>
    <w:rsid w:val="419653A1"/>
    <w:rsid w:val="41984A46"/>
    <w:rsid w:val="41BF7B10"/>
    <w:rsid w:val="41D267D3"/>
    <w:rsid w:val="41EA43E1"/>
    <w:rsid w:val="42067FFF"/>
    <w:rsid w:val="422C6AD7"/>
    <w:rsid w:val="424B3D97"/>
    <w:rsid w:val="42543110"/>
    <w:rsid w:val="42703BE7"/>
    <w:rsid w:val="42706542"/>
    <w:rsid w:val="42726FFB"/>
    <w:rsid w:val="427C307B"/>
    <w:rsid w:val="42865A3B"/>
    <w:rsid w:val="428C101B"/>
    <w:rsid w:val="42A0467A"/>
    <w:rsid w:val="42DC2341"/>
    <w:rsid w:val="430427D4"/>
    <w:rsid w:val="43312160"/>
    <w:rsid w:val="43367BE6"/>
    <w:rsid w:val="43564E4E"/>
    <w:rsid w:val="43671888"/>
    <w:rsid w:val="436907E1"/>
    <w:rsid w:val="437D146E"/>
    <w:rsid w:val="43AB4E31"/>
    <w:rsid w:val="43D61F10"/>
    <w:rsid w:val="43DE36C0"/>
    <w:rsid w:val="43DE4BF9"/>
    <w:rsid w:val="43FE1452"/>
    <w:rsid w:val="440F1C65"/>
    <w:rsid w:val="440F2962"/>
    <w:rsid w:val="44117B07"/>
    <w:rsid w:val="446106C4"/>
    <w:rsid w:val="447608E5"/>
    <w:rsid w:val="447D1C98"/>
    <w:rsid w:val="44A345B4"/>
    <w:rsid w:val="44CF36BE"/>
    <w:rsid w:val="44ED26FB"/>
    <w:rsid w:val="45001F3C"/>
    <w:rsid w:val="45203033"/>
    <w:rsid w:val="45295770"/>
    <w:rsid w:val="4539007C"/>
    <w:rsid w:val="453A7C78"/>
    <w:rsid w:val="45493B13"/>
    <w:rsid w:val="454D565B"/>
    <w:rsid w:val="454F25A0"/>
    <w:rsid w:val="4561005C"/>
    <w:rsid w:val="457A48D8"/>
    <w:rsid w:val="4595700D"/>
    <w:rsid w:val="45A05D7A"/>
    <w:rsid w:val="45B552C6"/>
    <w:rsid w:val="45C368BC"/>
    <w:rsid w:val="45D03454"/>
    <w:rsid w:val="45FD0A4B"/>
    <w:rsid w:val="461E2DD6"/>
    <w:rsid w:val="46311090"/>
    <w:rsid w:val="463334BC"/>
    <w:rsid w:val="46392922"/>
    <w:rsid w:val="466144BB"/>
    <w:rsid w:val="46713078"/>
    <w:rsid w:val="467A15B6"/>
    <w:rsid w:val="468C4C9B"/>
    <w:rsid w:val="468E6B68"/>
    <w:rsid w:val="46B1480E"/>
    <w:rsid w:val="46DA5488"/>
    <w:rsid w:val="46DD0540"/>
    <w:rsid w:val="46DF1916"/>
    <w:rsid w:val="46EF2720"/>
    <w:rsid w:val="470D1AEB"/>
    <w:rsid w:val="47433DAC"/>
    <w:rsid w:val="47570FDA"/>
    <w:rsid w:val="47752A8B"/>
    <w:rsid w:val="477B5352"/>
    <w:rsid w:val="477D7826"/>
    <w:rsid w:val="47A01762"/>
    <w:rsid w:val="47A15C93"/>
    <w:rsid w:val="47C33752"/>
    <w:rsid w:val="47E15939"/>
    <w:rsid w:val="47E9371B"/>
    <w:rsid w:val="48186ECF"/>
    <w:rsid w:val="482E7864"/>
    <w:rsid w:val="48301419"/>
    <w:rsid w:val="484C03B4"/>
    <w:rsid w:val="484D4F35"/>
    <w:rsid w:val="486B55C5"/>
    <w:rsid w:val="486E14C7"/>
    <w:rsid w:val="487C79D7"/>
    <w:rsid w:val="488337CB"/>
    <w:rsid w:val="488F2D6D"/>
    <w:rsid w:val="489A52FC"/>
    <w:rsid w:val="489F0D0A"/>
    <w:rsid w:val="48CA0DCA"/>
    <w:rsid w:val="48CF109E"/>
    <w:rsid w:val="48D24182"/>
    <w:rsid w:val="48DF5E4C"/>
    <w:rsid w:val="49111ECB"/>
    <w:rsid w:val="49177B2D"/>
    <w:rsid w:val="4919440F"/>
    <w:rsid w:val="491D1B4D"/>
    <w:rsid w:val="49281D18"/>
    <w:rsid w:val="49987CFB"/>
    <w:rsid w:val="49A97BA2"/>
    <w:rsid w:val="49EB4594"/>
    <w:rsid w:val="49FE43F9"/>
    <w:rsid w:val="4A2A1478"/>
    <w:rsid w:val="4A505B6D"/>
    <w:rsid w:val="4A517906"/>
    <w:rsid w:val="4A796E28"/>
    <w:rsid w:val="4A8A1284"/>
    <w:rsid w:val="4A914B1A"/>
    <w:rsid w:val="4A9161BA"/>
    <w:rsid w:val="4AB45FFD"/>
    <w:rsid w:val="4ADE3964"/>
    <w:rsid w:val="4AF21E3A"/>
    <w:rsid w:val="4B0B172D"/>
    <w:rsid w:val="4B1429EA"/>
    <w:rsid w:val="4B1F4E1C"/>
    <w:rsid w:val="4B2072F9"/>
    <w:rsid w:val="4B425A1B"/>
    <w:rsid w:val="4B484DE6"/>
    <w:rsid w:val="4B5E18E2"/>
    <w:rsid w:val="4B7056C5"/>
    <w:rsid w:val="4B8C770E"/>
    <w:rsid w:val="4BA9345C"/>
    <w:rsid w:val="4BB84E4D"/>
    <w:rsid w:val="4BD00C87"/>
    <w:rsid w:val="4BDA58B2"/>
    <w:rsid w:val="4BDC0E69"/>
    <w:rsid w:val="4C2A4E32"/>
    <w:rsid w:val="4C412E19"/>
    <w:rsid w:val="4C4D3E2B"/>
    <w:rsid w:val="4C536989"/>
    <w:rsid w:val="4CAF2581"/>
    <w:rsid w:val="4CD1709F"/>
    <w:rsid w:val="4D1421D6"/>
    <w:rsid w:val="4D162DB1"/>
    <w:rsid w:val="4D6A6F77"/>
    <w:rsid w:val="4D7B1B53"/>
    <w:rsid w:val="4D807D94"/>
    <w:rsid w:val="4D9B0B02"/>
    <w:rsid w:val="4D9B65F7"/>
    <w:rsid w:val="4D9D6E69"/>
    <w:rsid w:val="4DA957D9"/>
    <w:rsid w:val="4DAA78BD"/>
    <w:rsid w:val="4DB942B7"/>
    <w:rsid w:val="4DCD65C7"/>
    <w:rsid w:val="4DF31262"/>
    <w:rsid w:val="4E1037BA"/>
    <w:rsid w:val="4E3B5B91"/>
    <w:rsid w:val="4E731D29"/>
    <w:rsid w:val="4E905956"/>
    <w:rsid w:val="4E9B5D2C"/>
    <w:rsid w:val="4EAE2766"/>
    <w:rsid w:val="4EBD52A6"/>
    <w:rsid w:val="4ECC0284"/>
    <w:rsid w:val="4ED402B4"/>
    <w:rsid w:val="4F0603F3"/>
    <w:rsid w:val="4F100494"/>
    <w:rsid w:val="4F1204FF"/>
    <w:rsid w:val="4F1767FD"/>
    <w:rsid w:val="4F2B5038"/>
    <w:rsid w:val="4F4407A3"/>
    <w:rsid w:val="4F522714"/>
    <w:rsid w:val="4F6E311E"/>
    <w:rsid w:val="4F77531B"/>
    <w:rsid w:val="4F842D8F"/>
    <w:rsid w:val="4F962009"/>
    <w:rsid w:val="4FAD7442"/>
    <w:rsid w:val="4FB427DA"/>
    <w:rsid w:val="4FC21DFD"/>
    <w:rsid w:val="4FCE5361"/>
    <w:rsid w:val="4FFC04D3"/>
    <w:rsid w:val="50065D34"/>
    <w:rsid w:val="50571A81"/>
    <w:rsid w:val="50611FB5"/>
    <w:rsid w:val="507C3466"/>
    <w:rsid w:val="509238BC"/>
    <w:rsid w:val="50AB4D7A"/>
    <w:rsid w:val="50BE7016"/>
    <w:rsid w:val="50CA15D2"/>
    <w:rsid w:val="50E15A83"/>
    <w:rsid w:val="50F6398C"/>
    <w:rsid w:val="510569F5"/>
    <w:rsid w:val="51185AF2"/>
    <w:rsid w:val="51200327"/>
    <w:rsid w:val="512E38AE"/>
    <w:rsid w:val="514B15B7"/>
    <w:rsid w:val="515B341A"/>
    <w:rsid w:val="518614C8"/>
    <w:rsid w:val="51A0286C"/>
    <w:rsid w:val="51AD3FFD"/>
    <w:rsid w:val="51D92A43"/>
    <w:rsid w:val="51FA4139"/>
    <w:rsid w:val="52020741"/>
    <w:rsid w:val="520D18CB"/>
    <w:rsid w:val="523069E0"/>
    <w:rsid w:val="52631E11"/>
    <w:rsid w:val="526C0E27"/>
    <w:rsid w:val="52C635E5"/>
    <w:rsid w:val="52FB13FC"/>
    <w:rsid w:val="531A5AD9"/>
    <w:rsid w:val="531B484A"/>
    <w:rsid w:val="534E0773"/>
    <w:rsid w:val="53684701"/>
    <w:rsid w:val="53732593"/>
    <w:rsid w:val="537704C7"/>
    <w:rsid w:val="5386259F"/>
    <w:rsid w:val="5386507D"/>
    <w:rsid w:val="538E4FF8"/>
    <w:rsid w:val="539841C8"/>
    <w:rsid w:val="53BA072D"/>
    <w:rsid w:val="53CF561D"/>
    <w:rsid w:val="53F3696E"/>
    <w:rsid w:val="54015159"/>
    <w:rsid w:val="5401602F"/>
    <w:rsid w:val="540E39DE"/>
    <w:rsid w:val="54177995"/>
    <w:rsid w:val="541E536A"/>
    <w:rsid w:val="54405DDC"/>
    <w:rsid w:val="545A235E"/>
    <w:rsid w:val="546C76B5"/>
    <w:rsid w:val="548B182D"/>
    <w:rsid w:val="54A803EF"/>
    <w:rsid w:val="54A918EB"/>
    <w:rsid w:val="54F3720B"/>
    <w:rsid w:val="54FF6AEC"/>
    <w:rsid w:val="550153C1"/>
    <w:rsid w:val="55045AE8"/>
    <w:rsid w:val="55870093"/>
    <w:rsid w:val="55C0149B"/>
    <w:rsid w:val="562D42E9"/>
    <w:rsid w:val="5696324D"/>
    <w:rsid w:val="569C682D"/>
    <w:rsid w:val="56A31F6D"/>
    <w:rsid w:val="56AD48BB"/>
    <w:rsid w:val="56B64A1B"/>
    <w:rsid w:val="571773A0"/>
    <w:rsid w:val="572F4FDF"/>
    <w:rsid w:val="573B3BD6"/>
    <w:rsid w:val="574548C8"/>
    <w:rsid w:val="577D1EE2"/>
    <w:rsid w:val="577F2C9D"/>
    <w:rsid w:val="578E7252"/>
    <w:rsid w:val="5791029F"/>
    <w:rsid w:val="57BD134B"/>
    <w:rsid w:val="581300E5"/>
    <w:rsid w:val="58320476"/>
    <w:rsid w:val="58406D7A"/>
    <w:rsid w:val="587921C8"/>
    <w:rsid w:val="58A332C3"/>
    <w:rsid w:val="58A54B3E"/>
    <w:rsid w:val="58A643BD"/>
    <w:rsid w:val="58DD1F31"/>
    <w:rsid w:val="58E66829"/>
    <w:rsid w:val="59253840"/>
    <w:rsid w:val="59346AE1"/>
    <w:rsid w:val="594D6E7D"/>
    <w:rsid w:val="596E2336"/>
    <w:rsid w:val="596F12EC"/>
    <w:rsid w:val="59793DB4"/>
    <w:rsid w:val="59AB0123"/>
    <w:rsid w:val="59C6212F"/>
    <w:rsid w:val="59CF44B4"/>
    <w:rsid w:val="59DD1037"/>
    <w:rsid w:val="59E13041"/>
    <w:rsid w:val="5A121CCA"/>
    <w:rsid w:val="5A16578B"/>
    <w:rsid w:val="5A9D195C"/>
    <w:rsid w:val="5A9F7B59"/>
    <w:rsid w:val="5AAA177C"/>
    <w:rsid w:val="5AB40FD2"/>
    <w:rsid w:val="5AB92FD8"/>
    <w:rsid w:val="5AC06321"/>
    <w:rsid w:val="5AC07449"/>
    <w:rsid w:val="5AE3450F"/>
    <w:rsid w:val="5AFA52F0"/>
    <w:rsid w:val="5AFC61D5"/>
    <w:rsid w:val="5B0C3B54"/>
    <w:rsid w:val="5B215DC3"/>
    <w:rsid w:val="5B267AD7"/>
    <w:rsid w:val="5B450D16"/>
    <w:rsid w:val="5B4E464D"/>
    <w:rsid w:val="5B942090"/>
    <w:rsid w:val="5BCE7311"/>
    <w:rsid w:val="5BDC7125"/>
    <w:rsid w:val="5C712C36"/>
    <w:rsid w:val="5C8C4B1E"/>
    <w:rsid w:val="5CAA592C"/>
    <w:rsid w:val="5CAC24D2"/>
    <w:rsid w:val="5CC301D3"/>
    <w:rsid w:val="5CE00CAC"/>
    <w:rsid w:val="5CF35043"/>
    <w:rsid w:val="5D0F09FB"/>
    <w:rsid w:val="5D206CD8"/>
    <w:rsid w:val="5D2171A0"/>
    <w:rsid w:val="5D233759"/>
    <w:rsid w:val="5D511E2C"/>
    <w:rsid w:val="5D587D9A"/>
    <w:rsid w:val="5DAA1C8E"/>
    <w:rsid w:val="5DDC27E3"/>
    <w:rsid w:val="5E056EE4"/>
    <w:rsid w:val="5E0F5C1A"/>
    <w:rsid w:val="5E185D75"/>
    <w:rsid w:val="5E1F31D1"/>
    <w:rsid w:val="5E2C38F8"/>
    <w:rsid w:val="5E452416"/>
    <w:rsid w:val="5E866458"/>
    <w:rsid w:val="5E960A07"/>
    <w:rsid w:val="5EA1146A"/>
    <w:rsid w:val="5EB33290"/>
    <w:rsid w:val="5EB37053"/>
    <w:rsid w:val="5EC16E4E"/>
    <w:rsid w:val="5ED13B90"/>
    <w:rsid w:val="5EE34319"/>
    <w:rsid w:val="5F0018A7"/>
    <w:rsid w:val="5F294D24"/>
    <w:rsid w:val="5F2F449B"/>
    <w:rsid w:val="5F6B0F1D"/>
    <w:rsid w:val="5FBA3381"/>
    <w:rsid w:val="600C2AB9"/>
    <w:rsid w:val="600D5E7B"/>
    <w:rsid w:val="604E3319"/>
    <w:rsid w:val="608B6B0B"/>
    <w:rsid w:val="60935B66"/>
    <w:rsid w:val="60990BC9"/>
    <w:rsid w:val="609D7FDF"/>
    <w:rsid w:val="60A70F52"/>
    <w:rsid w:val="60BB053E"/>
    <w:rsid w:val="60BC57C1"/>
    <w:rsid w:val="60E14738"/>
    <w:rsid w:val="60F83F73"/>
    <w:rsid w:val="610A4B07"/>
    <w:rsid w:val="613A1651"/>
    <w:rsid w:val="614342F6"/>
    <w:rsid w:val="61522253"/>
    <w:rsid w:val="61756248"/>
    <w:rsid w:val="61D36445"/>
    <w:rsid w:val="61E14597"/>
    <w:rsid w:val="61EB26CA"/>
    <w:rsid w:val="61F33583"/>
    <w:rsid w:val="621041BF"/>
    <w:rsid w:val="625420CB"/>
    <w:rsid w:val="62913BA6"/>
    <w:rsid w:val="6295264D"/>
    <w:rsid w:val="62A12316"/>
    <w:rsid w:val="62A766A6"/>
    <w:rsid w:val="62BF6C33"/>
    <w:rsid w:val="62D269A0"/>
    <w:rsid w:val="62E82551"/>
    <w:rsid w:val="62EC56F8"/>
    <w:rsid w:val="62EC6362"/>
    <w:rsid w:val="62FA02BB"/>
    <w:rsid w:val="63007C94"/>
    <w:rsid w:val="6334379C"/>
    <w:rsid w:val="6342681D"/>
    <w:rsid w:val="634D0FD1"/>
    <w:rsid w:val="635F0692"/>
    <w:rsid w:val="63662726"/>
    <w:rsid w:val="6369267F"/>
    <w:rsid w:val="63741F69"/>
    <w:rsid w:val="63804AA2"/>
    <w:rsid w:val="6382537B"/>
    <w:rsid w:val="63860AFA"/>
    <w:rsid w:val="63AA229B"/>
    <w:rsid w:val="63C20A37"/>
    <w:rsid w:val="63D443B8"/>
    <w:rsid w:val="63EB1D9A"/>
    <w:rsid w:val="6400304E"/>
    <w:rsid w:val="642D2D91"/>
    <w:rsid w:val="643A3AD5"/>
    <w:rsid w:val="64432730"/>
    <w:rsid w:val="644D62FF"/>
    <w:rsid w:val="647225D5"/>
    <w:rsid w:val="647C75BB"/>
    <w:rsid w:val="647D0C65"/>
    <w:rsid w:val="648D5D1F"/>
    <w:rsid w:val="64B87A50"/>
    <w:rsid w:val="64BD16ED"/>
    <w:rsid w:val="64C244CA"/>
    <w:rsid w:val="64FF5EA3"/>
    <w:rsid w:val="65390B3A"/>
    <w:rsid w:val="653F00CF"/>
    <w:rsid w:val="657104E0"/>
    <w:rsid w:val="65A36D4D"/>
    <w:rsid w:val="65B66BE6"/>
    <w:rsid w:val="65CB344D"/>
    <w:rsid w:val="65D15811"/>
    <w:rsid w:val="65E11854"/>
    <w:rsid w:val="65F04A08"/>
    <w:rsid w:val="6605655C"/>
    <w:rsid w:val="660F7090"/>
    <w:rsid w:val="66147044"/>
    <w:rsid w:val="66361C52"/>
    <w:rsid w:val="66656BD1"/>
    <w:rsid w:val="666A0207"/>
    <w:rsid w:val="667E059B"/>
    <w:rsid w:val="668970F3"/>
    <w:rsid w:val="669879B5"/>
    <w:rsid w:val="66B04990"/>
    <w:rsid w:val="66B23F5C"/>
    <w:rsid w:val="66EC595F"/>
    <w:rsid w:val="671467F3"/>
    <w:rsid w:val="673D7D87"/>
    <w:rsid w:val="676040B9"/>
    <w:rsid w:val="67607F90"/>
    <w:rsid w:val="676F6163"/>
    <w:rsid w:val="6788633C"/>
    <w:rsid w:val="67993F4B"/>
    <w:rsid w:val="67A807A8"/>
    <w:rsid w:val="67AA6130"/>
    <w:rsid w:val="67B26BDB"/>
    <w:rsid w:val="67D9382F"/>
    <w:rsid w:val="67E3713C"/>
    <w:rsid w:val="67E45958"/>
    <w:rsid w:val="685E1765"/>
    <w:rsid w:val="68615A7A"/>
    <w:rsid w:val="68734645"/>
    <w:rsid w:val="688D1241"/>
    <w:rsid w:val="68BF491B"/>
    <w:rsid w:val="68CB4269"/>
    <w:rsid w:val="68CB66D1"/>
    <w:rsid w:val="68E85205"/>
    <w:rsid w:val="68EA1878"/>
    <w:rsid w:val="68F8055D"/>
    <w:rsid w:val="68FC59F5"/>
    <w:rsid w:val="6920034B"/>
    <w:rsid w:val="69281300"/>
    <w:rsid w:val="69330BF1"/>
    <w:rsid w:val="69393298"/>
    <w:rsid w:val="69420075"/>
    <w:rsid w:val="695028A2"/>
    <w:rsid w:val="6952797C"/>
    <w:rsid w:val="695F310B"/>
    <w:rsid w:val="69C91D60"/>
    <w:rsid w:val="69CC017F"/>
    <w:rsid w:val="69EC7941"/>
    <w:rsid w:val="69EE6020"/>
    <w:rsid w:val="6A005DA4"/>
    <w:rsid w:val="6A196E6F"/>
    <w:rsid w:val="6A3E4F6F"/>
    <w:rsid w:val="6A3E6968"/>
    <w:rsid w:val="6A431162"/>
    <w:rsid w:val="6A56706E"/>
    <w:rsid w:val="6A9A475E"/>
    <w:rsid w:val="6AB50409"/>
    <w:rsid w:val="6ABD4DFF"/>
    <w:rsid w:val="6AE45E7C"/>
    <w:rsid w:val="6AE51870"/>
    <w:rsid w:val="6AF0487C"/>
    <w:rsid w:val="6AF2106E"/>
    <w:rsid w:val="6B05372B"/>
    <w:rsid w:val="6B177CA7"/>
    <w:rsid w:val="6B2B37C9"/>
    <w:rsid w:val="6B477728"/>
    <w:rsid w:val="6B56342B"/>
    <w:rsid w:val="6B5B7DEF"/>
    <w:rsid w:val="6B8B4E6F"/>
    <w:rsid w:val="6BA16A99"/>
    <w:rsid w:val="6BCD008F"/>
    <w:rsid w:val="6BD75022"/>
    <w:rsid w:val="6BE13F4A"/>
    <w:rsid w:val="6C0915A9"/>
    <w:rsid w:val="6C272AE4"/>
    <w:rsid w:val="6C3B636F"/>
    <w:rsid w:val="6C4B7C94"/>
    <w:rsid w:val="6C616928"/>
    <w:rsid w:val="6C6D78DE"/>
    <w:rsid w:val="6C8F3888"/>
    <w:rsid w:val="6C9A5530"/>
    <w:rsid w:val="6CBB03E5"/>
    <w:rsid w:val="6CC65A21"/>
    <w:rsid w:val="6CDF03DD"/>
    <w:rsid w:val="6CEB5F5A"/>
    <w:rsid w:val="6CFD31CB"/>
    <w:rsid w:val="6D1228AE"/>
    <w:rsid w:val="6D3154E5"/>
    <w:rsid w:val="6D3317C2"/>
    <w:rsid w:val="6D6E1A2E"/>
    <w:rsid w:val="6DB24438"/>
    <w:rsid w:val="6DC060B4"/>
    <w:rsid w:val="6DE950E5"/>
    <w:rsid w:val="6DEB1429"/>
    <w:rsid w:val="6DEF0909"/>
    <w:rsid w:val="6E393928"/>
    <w:rsid w:val="6E3F7A82"/>
    <w:rsid w:val="6E577757"/>
    <w:rsid w:val="6E72725D"/>
    <w:rsid w:val="6E730D27"/>
    <w:rsid w:val="6E780906"/>
    <w:rsid w:val="6EF76E5B"/>
    <w:rsid w:val="6F52527D"/>
    <w:rsid w:val="6F7B2EEB"/>
    <w:rsid w:val="6F8F378F"/>
    <w:rsid w:val="6F961FA8"/>
    <w:rsid w:val="6F972A8E"/>
    <w:rsid w:val="6FA750BF"/>
    <w:rsid w:val="6FE545BA"/>
    <w:rsid w:val="6FF00F71"/>
    <w:rsid w:val="6FFB03A5"/>
    <w:rsid w:val="6FFD5193"/>
    <w:rsid w:val="703A7925"/>
    <w:rsid w:val="70465BCB"/>
    <w:rsid w:val="707258E0"/>
    <w:rsid w:val="70795171"/>
    <w:rsid w:val="70C855C2"/>
    <w:rsid w:val="70D80688"/>
    <w:rsid w:val="70E17BD4"/>
    <w:rsid w:val="71133EC4"/>
    <w:rsid w:val="71141FB9"/>
    <w:rsid w:val="713D3C4F"/>
    <w:rsid w:val="71551A0B"/>
    <w:rsid w:val="71A73CE3"/>
    <w:rsid w:val="71B4236E"/>
    <w:rsid w:val="71DA3339"/>
    <w:rsid w:val="71F318C6"/>
    <w:rsid w:val="71F32021"/>
    <w:rsid w:val="727A67CC"/>
    <w:rsid w:val="727B45E4"/>
    <w:rsid w:val="727B5031"/>
    <w:rsid w:val="729C73FC"/>
    <w:rsid w:val="72B36920"/>
    <w:rsid w:val="72B76B3E"/>
    <w:rsid w:val="72B96753"/>
    <w:rsid w:val="72C02B72"/>
    <w:rsid w:val="72CC3A1B"/>
    <w:rsid w:val="72DD3393"/>
    <w:rsid w:val="72F1001A"/>
    <w:rsid w:val="72F37FA0"/>
    <w:rsid w:val="732359A5"/>
    <w:rsid w:val="73356CDC"/>
    <w:rsid w:val="73390007"/>
    <w:rsid w:val="735126A8"/>
    <w:rsid w:val="7374311D"/>
    <w:rsid w:val="737716F6"/>
    <w:rsid w:val="73884B63"/>
    <w:rsid w:val="739E6F8A"/>
    <w:rsid w:val="73B04C5B"/>
    <w:rsid w:val="73BB5810"/>
    <w:rsid w:val="73DE2B09"/>
    <w:rsid w:val="73E4176B"/>
    <w:rsid w:val="7402345B"/>
    <w:rsid w:val="74293838"/>
    <w:rsid w:val="743B1908"/>
    <w:rsid w:val="744147FF"/>
    <w:rsid w:val="7481077A"/>
    <w:rsid w:val="748D11CC"/>
    <w:rsid w:val="74A050B2"/>
    <w:rsid w:val="74BA1F64"/>
    <w:rsid w:val="74F61C3A"/>
    <w:rsid w:val="750B727E"/>
    <w:rsid w:val="75186AD6"/>
    <w:rsid w:val="751E41FE"/>
    <w:rsid w:val="75581C2E"/>
    <w:rsid w:val="75596F90"/>
    <w:rsid w:val="756572F9"/>
    <w:rsid w:val="757C315D"/>
    <w:rsid w:val="759B7F69"/>
    <w:rsid w:val="75C2102C"/>
    <w:rsid w:val="75C90B65"/>
    <w:rsid w:val="76225805"/>
    <w:rsid w:val="7635391C"/>
    <w:rsid w:val="76392AD6"/>
    <w:rsid w:val="76420CEE"/>
    <w:rsid w:val="76732BB0"/>
    <w:rsid w:val="768D1C83"/>
    <w:rsid w:val="76B6351A"/>
    <w:rsid w:val="76C14642"/>
    <w:rsid w:val="76EA1A96"/>
    <w:rsid w:val="76F40E69"/>
    <w:rsid w:val="76FF7E0D"/>
    <w:rsid w:val="77275CBD"/>
    <w:rsid w:val="772C0700"/>
    <w:rsid w:val="77710AEB"/>
    <w:rsid w:val="777D6590"/>
    <w:rsid w:val="77A125D5"/>
    <w:rsid w:val="77A25F32"/>
    <w:rsid w:val="77CD4829"/>
    <w:rsid w:val="77F00246"/>
    <w:rsid w:val="781D4D67"/>
    <w:rsid w:val="7824653E"/>
    <w:rsid w:val="785675F3"/>
    <w:rsid w:val="787F5784"/>
    <w:rsid w:val="78850458"/>
    <w:rsid w:val="78945585"/>
    <w:rsid w:val="789E3977"/>
    <w:rsid w:val="78AF4066"/>
    <w:rsid w:val="78D953F1"/>
    <w:rsid w:val="78E12EE9"/>
    <w:rsid w:val="78EC7610"/>
    <w:rsid w:val="78FA518D"/>
    <w:rsid w:val="79236DE2"/>
    <w:rsid w:val="79272E10"/>
    <w:rsid w:val="792B7933"/>
    <w:rsid w:val="792F0FAE"/>
    <w:rsid w:val="793D6371"/>
    <w:rsid w:val="79433811"/>
    <w:rsid w:val="79841BDE"/>
    <w:rsid w:val="798C6A47"/>
    <w:rsid w:val="798D0640"/>
    <w:rsid w:val="79AD34A1"/>
    <w:rsid w:val="79B85170"/>
    <w:rsid w:val="79DC3E94"/>
    <w:rsid w:val="79E9152C"/>
    <w:rsid w:val="79F125BB"/>
    <w:rsid w:val="79F66099"/>
    <w:rsid w:val="7A08205A"/>
    <w:rsid w:val="7A097E21"/>
    <w:rsid w:val="7A5549C7"/>
    <w:rsid w:val="7A7422A2"/>
    <w:rsid w:val="7A8447BA"/>
    <w:rsid w:val="7A93320F"/>
    <w:rsid w:val="7A942B4F"/>
    <w:rsid w:val="7AA61C98"/>
    <w:rsid w:val="7AAD6884"/>
    <w:rsid w:val="7AC141F3"/>
    <w:rsid w:val="7ACB4E23"/>
    <w:rsid w:val="7AD46613"/>
    <w:rsid w:val="7AF25000"/>
    <w:rsid w:val="7B0C7913"/>
    <w:rsid w:val="7B2A14DE"/>
    <w:rsid w:val="7B597F81"/>
    <w:rsid w:val="7B7338DE"/>
    <w:rsid w:val="7BC13749"/>
    <w:rsid w:val="7BE57A81"/>
    <w:rsid w:val="7BE96ECA"/>
    <w:rsid w:val="7BF734F4"/>
    <w:rsid w:val="7C012EEE"/>
    <w:rsid w:val="7C075C2D"/>
    <w:rsid w:val="7C184C9C"/>
    <w:rsid w:val="7C275CB5"/>
    <w:rsid w:val="7C6A5906"/>
    <w:rsid w:val="7CAF1BA1"/>
    <w:rsid w:val="7CBC6C4E"/>
    <w:rsid w:val="7CEB5F4D"/>
    <w:rsid w:val="7D080E35"/>
    <w:rsid w:val="7D1534D5"/>
    <w:rsid w:val="7D250BAC"/>
    <w:rsid w:val="7D330268"/>
    <w:rsid w:val="7D63636F"/>
    <w:rsid w:val="7D9A34D4"/>
    <w:rsid w:val="7DAB19DC"/>
    <w:rsid w:val="7DB16097"/>
    <w:rsid w:val="7DBC1F35"/>
    <w:rsid w:val="7DBD551D"/>
    <w:rsid w:val="7DC40DBA"/>
    <w:rsid w:val="7E2D48EC"/>
    <w:rsid w:val="7E526BEF"/>
    <w:rsid w:val="7E5A5BD0"/>
    <w:rsid w:val="7E6E000A"/>
    <w:rsid w:val="7E7E7E10"/>
    <w:rsid w:val="7EB20054"/>
    <w:rsid w:val="7EFE1610"/>
    <w:rsid w:val="7F155566"/>
    <w:rsid w:val="7F1F6EE0"/>
    <w:rsid w:val="7F305F9A"/>
    <w:rsid w:val="7F3D1698"/>
    <w:rsid w:val="7F443226"/>
    <w:rsid w:val="7F9910B2"/>
    <w:rsid w:val="7FAD369F"/>
    <w:rsid w:val="7FBC35ED"/>
    <w:rsid w:val="7FC14D6C"/>
    <w:rsid w:val="7FD86D95"/>
    <w:rsid w:val="7FEA7A5B"/>
    <w:rsid w:val="7FEE1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960" w:firstLineChars="200"/>
      <w:jc w:val="both"/>
    </w:pPr>
    <w:rPr>
      <w:rFonts w:ascii="Times New Roman" w:hAnsi="Times New Roman" w:eastAsia="宋体" w:cs="Times New Roman"/>
      <w:sz w:val="24"/>
      <w:szCs w:val="24"/>
      <w:lang w:val="en-US" w:eastAsia="zh-CN" w:bidi="ar-SA"/>
    </w:rPr>
  </w:style>
  <w:style w:type="paragraph" w:styleId="3">
    <w:name w:val="heading 1"/>
    <w:basedOn w:val="1"/>
    <w:next w:val="1"/>
    <w:link w:val="24"/>
    <w:qFormat/>
    <w:uiPriority w:val="0"/>
    <w:pPr>
      <w:spacing w:before="0" w:beforeAutospacing="0" w:after="0" w:afterAutospacing="0"/>
      <w:ind w:firstLine="0" w:firstLineChars="0"/>
      <w:jc w:val="center"/>
      <w:outlineLvl w:val="0"/>
    </w:pPr>
    <w:rPr>
      <w:rFonts w:hint="eastAsia" w:ascii="Times New Roman" w:hAnsi="Times New Roman" w:eastAsia="宋体" w:cs="宋体"/>
      <w:b/>
      <w:bCs/>
      <w:kern w:val="44"/>
      <w:sz w:val="44"/>
      <w:szCs w:val="44"/>
      <w:lang w:bidi="ar"/>
    </w:rPr>
  </w:style>
  <w:style w:type="paragraph" w:styleId="4">
    <w:name w:val="heading 2"/>
    <w:basedOn w:val="1"/>
    <w:next w:val="1"/>
    <w:link w:val="18"/>
    <w:qFormat/>
    <w:uiPriority w:val="0"/>
    <w:pPr>
      <w:keepNext/>
      <w:keepLines/>
      <w:ind w:left="0" w:firstLine="0" w:firstLineChars="0"/>
      <w:jc w:val="left"/>
      <w:outlineLvl w:val="1"/>
    </w:pPr>
    <w:rPr>
      <w:rFonts w:ascii="Times New Roman" w:hAnsi="Times New Roman" w:eastAsia="宋体"/>
      <w:b/>
      <w:bCs/>
      <w:sz w:val="30"/>
      <w:szCs w:val="30"/>
    </w:rPr>
  </w:style>
  <w:style w:type="paragraph" w:styleId="5">
    <w:name w:val="heading 3"/>
    <w:basedOn w:val="1"/>
    <w:next w:val="1"/>
    <w:link w:val="19"/>
    <w:qFormat/>
    <w:uiPriority w:val="0"/>
    <w:pPr>
      <w:keepNext/>
      <w:keepLines/>
      <w:ind w:firstLine="0" w:firstLineChars="0"/>
      <w:jc w:val="left"/>
      <w:outlineLvl w:val="2"/>
    </w:pPr>
    <w:rPr>
      <w:rFonts w:ascii="Times New Roman" w:hAnsi="Times New Roman" w:eastAsia="宋体"/>
      <w:b/>
      <w:bCs/>
      <w:sz w:val="28"/>
      <w:szCs w:val="28"/>
    </w:rPr>
  </w:style>
  <w:style w:type="paragraph" w:styleId="6">
    <w:name w:val="heading 4"/>
    <w:basedOn w:val="1"/>
    <w:next w:val="1"/>
    <w:link w:val="20"/>
    <w:qFormat/>
    <w:uiPriority w:val="0"/>
    <w:pPr>
      <w:ind w:firstLine="883" w:firstLineChars="200"/>
      <w:jc w:val="left"/>
      <w:outlineLvl w:val="3"/>
    </w:pPr>
    <w:rPr>
      <w:b/>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表格内"/>
    <w:basedOn w:val="1"/>
    <w:qFormat/>
    <w:uiPriority w:val="0"/>
    <w:pPr>
      <w:widowControl/>
      <w:adjustRightInd w:val="0"/>
      <w:snapToGrid w:val="0"/>
      <w:spacing w:after="200" w:line="360" w:lineRule="exact"/>
      <w:jc w:val="center"/>
    </w:pPr>
    <w:rPr>
      <w:rFonts w:eastAsia="微软雅黑"/>
      <w:snapToGrid w:val="0"/>
      <w:kern w:val="0"/>
      <w:sz w:val="22"/>
      <w:szCs w:val="21"/>
    </w:rPr>
  </w:style>
  <w:style w:type="paragraph" w:styleId="7">
    <w:name w:val="footer"/>
    <w:basedOn w:val="1"/>
    <w:link w:val="31"/>
    <w:qFormat/>
    <w:uiPriority w:val="99"/>
    <w:pPr>
      <w:tabs>
        <w:tab w:val="center" w:pos="4153"/>
        <w:tab w:val="right" w:pos="8306"/>
      </w:tabs>
      <w:snapToGrid w:val="0"/>
      <w:jc w:val="left"/>
    </w:pPr>
    <w:rPr>
      <w:rFonts w:ascii="Times New Roman"/>
      <w:sz w:val="18"/>
      <w:szCs w:val="18"/>
    </w:rPr>
  </w:style>
  <w:style w:type="paragraph" w:styleId="8">
    <w:name w:val="header"/>
    <w:basedOn w:val="1"/>
    <w:link w:val="23"/>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qFormat/>
    <w:uiPriority w:val="0"/>
    <w:rPr>
      <w:b/>
      <w:bCs/>
    </w:rPr>
  </w:style>
  <w:style w:type="paragraph" w:styleId="10">
    <w:name w:val="toc 2"/>
    <w:basedOn w:val="1"/>
    <w:next w:val="1"/>
    <w:qFormat/>
    <w:uiPriority w:val="0"/>
    <w:pPr>
      <w:ind w:left="420" w:leftChars="200"/>
    </w:pPr>
  </w:style>
  <w:style w:type="paragraph" w:styleId="11">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13">
    <w:name w:val="Table Grid"/>
    <w:basedOn w:val="12"/>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5">
    <w:name w:val="page number"/>
    <w:basedOn w:val="14"/>
    <w:qFormat/>
    <w:uiPriority w:val="0"/>
  </w:style>
  <w:style w:type="character" w:styleId="16">
    <w:name w:val="Hyperlink"/>
    <w:basedOn w:val="14"/>
    <w:qFormat/>
    <w:uiPriority w:val="99"/>
    <w:rPr>
      <w:rFonts w:cs="Times New Roman"/>
      <w:color w:val="338DE6"/>
      <w:u w:val="none"/>
    </w:rPr>
  </w:style>
  <w:style w:type="paragraph" w:customStyle="1" w:styleId="17">
    <w:name w:val="表格"/>
    <w:basedOn w:val="1"/>
    <w:next w:val="1"/>
    <w:link w:val="21"/>
    <w:qFormat/>
    <w:uiPriority w:val="0"/>
    <w:pPr>
      <w:snapToGrid/>
      <w:spacing w:line="240" w:lineRule="auto"/>
      <w:ind w:firstLine="0" w:firstLineChars="0"/>
      <w:jc w:val="center"/>
    </w:pPr>
    <w:rPr>
      <w:sz w:val="21"/>
      <w:szCs w:val="21"/>
    </w:rPr>
  </w:style>
  <w:style w:type="character" w:customStyle="1" w:styleId="18">
    <w:name w:val="标题 2 Char"/>
    <w:link w:val="4"/>
    <w:qFormat/>
    <w:uiPriority w:val="0"/>
    <w:rPr>
      <w:rFonts w:ascii="Times New Roman" w:hAnsi="Times New Roman" w:eastAsia="宋体"/>
      <w:b/>
      <w:bCs/>
      <w:sz w:val="30"/>
      <w:szCs w:val="30"/>
    </w:rPr>
  </w:style>
  <w:style w:type="character" w:customStyle="1" w:styleId="19">
    <w:name w:val="标题 3 Char"/>
    <w:link w:val="5"/>
    <w:qFormat/>
    <w:uiPriority w:val="0"/>
    <w:rPr>
      <w:rFonts w:ascii="Times New Roman" w:hAnsi="Times New Roman" w:eastAsia="宋体"/>
      <w:b/>
      <w:bCs/>
      <w:sz w:val="28"/>
      <w:szCs w:val="28"/>
    </w:rPr>
  </w:style>
  <w:style w:type="character" w:customStyle="1" w:styleId="20">
    <w:name w:val="标题 4 Char"/>
    <w:link w:val="6"/>
    <w:qFormat/>
    <w:uiPriority w:val="0"/>
    <w:rPr>
      <w:rFonts w:ascii="Times New Roman" w:hAnsi="Times New Roman" w:eastAsia="宋体"/>
      <w:b/>
      <w:sz w:val="24"/>
    </w:rPr>
  </w:style>
  <w:style w:type="character" w:customStyle="1" w:styleId="21">
    <w:name w:val="表格 Char"/>
    <w:basedOn w:val="14"/>
    <w:link w:val="17"/>
    <w:qFormat/>
    <w:uiPriority w:val="0"/>
    <w:rPr>
      <w:rFonts w:ascii="宋体" w:hAnsi="宋体" w:eastAsia="宋体" w:cs="宋体"/>
      <w:sz w:val="21"/>
      <w:szCs w:val="21"/>
    </w:rPr>
  </w:style>
  <w:style w:type="table" w:customStyle="1" w:styleId="22">
    <w:name w:val="报告表格样式"/>
    <w:basedOn w:val="12"/>
    <w:qFormat/>
    <w:uiPriority w:val="99"/>
    <w:rPr>
      <w:kern w:val="2"/>
      <w:sz w:val="21"/>
      <w:szCs w:val="22"/>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style>
  <w:style w:type="character" w:customStyle="1" w:styleId="23">
    <w:name w:val="页眉 Char"/>
    <w:basedOn w:val="14"/>
    <w:link w:val="8"/>
    <w:qFormat/>
    <w:uiPriority w:val="99"/>
    <w:rPr>
      <w:rFonts w:ascii="宋体" w:hAnsi="Times New Roman"/>
      <w:sz w:val="18"/>
      <w:szCs w:val="18"/>
    </w:rPr>
  </w:style>
  <w:style w:type="character" w:customStyle="1" w:styleId="24">
    <w:name w:val="标题 1 Char"/>
    <w:link w:val="3"/>
    <w:qFormat/>
    <w:uiPriority w:val="0"/>
    <w:rPr>
      <w:rFonts w:ascii="Times New Roman" w:hAnsi="Times New Roman" w:eastAsia="宋体"/>
      <w:b/>
      <w:bCs/>
      <w:kern w:val="44"/>
      <w:sz w:val="44"/>
      <w:szCs w:val="44"/>
      <w:lang w:val="en-US" w:eastAsia="zh-CN" w:bidi="ar-SA"/>
    </w:rPr>
  </w:style>
  <w:style w:type="paragraph" w:customStyle="1" w:styleId="25">
    <w:name w:val="样式1"/>
    <w:link w:val="27"/>
    <w:qFormat/>
    <w:uiPriority w:val="0"/>
    <w:pPr>
      <w:pageBreakBefore/>
      <w:spacing w:line="360" w:lineRule="auto"/>
      <w:ind w:firstLine="0"/>
      <w:jc w:val="both"/>
    </w:pPr>
    <w:rPr>
      <w:rFonts w:ascii="Times New Roman" w:hAnsi="Times New Roman" w:eastAsia="宋体" w:cs="Times New Roman"/>
    </w:rPr>
  </w:style>
  <w:style w:type="paragraph" w:customStyle="1" w:styleId="26">
    <w:name w:val="样式2"/>
    <w:link w:val="29"/>
    <w:qFormat/>
    <w:uiPriority w:val="0"/>
    <w:rPr>
      <w:rFonts w:ascii="Times New Roman" w:hAnsi="Times New Roman" w:eastAsia="宋体" w:cs="Times New Roman"/>
    </w:rPr>
  </w:style>
  <w:style w:type="character" w:customStyle="1" w:styleId="27">
    <w:name w:val="样式1 Char"/>
    <w:link w:val="25"/>
    <w:qFormat/>
    <w:uiPriority w:val="0"/>
  </w:style>
  <w:style w:type="paragraph" w:customStyle="1" w:styleId="28">
    <w:name w:val="样式3"/>
    <w:link w:val="30"/>
    <w:qFormat/>
    <w:uiPriority w:val="0"/>
    <w:pPr>
      <w:spacing w:line="360" w:lineRule="auto"/>
    </w:pPr>
    <w:rPr>
      <w:rFonts w:ascii="Times New Roman" w:hAnsi="Times New Roman" w:eastAsia="宋体" w:cs="Times New Roman"/>
      <w:snapToGrid w:val="0"/>
    </w:rPr>
  </w:style>
  <w:style w:type="character" w:customStyle="1" w:styleId="29">
    <w:name w:val="样式2 Char"/>
    <w:link w:val="26"/>
    <w:qFormat/>
    <w:uiPriority w:val="0"/>
  </w:style>
  <w:style w:type="character" w:customStyle="1" w:styleId="30">
    <w:name w:val="样式3 Char"/>
    <w:link w:val="28"/>
    <w:qFormat/>
    <w:uiPriority w:val="0"/>
    <w:rPr>
      <w:snapToGrid w:val="0"/>
    </w:rPr>
  </w:style>
  <w:style w:type="character" w:customStyle="1" w:styleId="31">
    <w:name w:val="页脚 Char"/>
    <w:basedOn w:val="14"/>
    <w:link w:val="7"/>
    <w:qFormat/>
    <w:uiPriority w:val="99"/>
    <w:rPr>
      <w:sz w:val="18"/>
      <w:szCs w:val="18"/>
    </w:rPr>
  </w:style>
  <w:style w:type="paragraph" w:customStyle="1" w:styleId="32">
    <w:name w:val="表"/>
    <w:basedOn w:val="1"/>
    <w:qFormat/>
    <w:uiPriority w:val="0"/>
    <w:pPr>
      <w:spacing w:line="240" w:lineRule="auto"/>
      <w:ind w:firstLine="0" w:firstLineChars="0"/>
      <w:jc w:val="center"/>
    </w:pPr>
    <w:rPr>
      <w:kern w:val="0"/>
      <w:sz w:val="21"/>
      <w:szCs w:val="21"/>
    </w:rPr>
  </w:style>
  <w:style w:type="table" w:customStyle="1" w:styleId="33">
    <w:name w:val="TableGrid"/>
    <w:basedOn w:val="12"/>
    <w:qFormat/>
    <w:uiPriority w:val="0"/>
    <w:rPr>
      <w:rFonts w:hint="eastAsia" w:ascii="等线" w:hAnsi="等线" w:eastAsia="等线" w:cs="等线"/>
      <w:kern w:val="2"/>
      <w:sz w:val="21"/>
      <w:szCs w:val="22"/>
    </w:rPr>
    <w:tblPr>
      <w:tblLayout w:type="fixed"/>
      <w:tblCellMar>
        <w:left w:w="0" w:type="dxa"/>
        <w:right w:w="0" w:type="dxa"/>
      </w:tblCellMar>
    </w:tblPr>
  </w:style>
  <w:style w:type="paragraph" w:customStyle="1" w:styleId="34">
    <w:name w:val="正本文字"/>
    <w:basedOn w:val="1"/>
    <w:qFormat/>
    <w:uiPriority w:val="0"/>
    <w:pPr>
      <w:adjustRightInd w:val="0"/>
      <w:snapToGrid w:val="0"/>
      <w:spacing w:line="360" w:lineRule="auto"/>
      <w:ind w:firstLine="480" w:firstLineChars="200"/>
      <w:jc w:val="left"/>
    </w:pPr>
    <w:rPr>
      <w:rFonts w:ascii="Times New Roman" w:hAnsi="Times New Roman"/>
      <w:kern w:val="18"/>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customXml" Target="../customXml/item1.xml"/><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3.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jpeg"/><Relationship Id="rId53" Type="http://schemas.openxmlformats.org/officeDocument/2006/relationships/image" Target="media/image28.wmf"/><Relationship Id="rId52" Type="http://schemas.openxmlformats.org/officeDocument/2006/relationships/oleObject" Target="embeddings/oleObject14.bin"/><Relationship Id="rId51" Type="http://schemas.openxmlformats.org/officeDocument/2006/relationships/image" Target="media/image27.wmf"/><Relationship Id="rId50" Type="http://schemas.openxmlformats.org/officeDocument/2006/relationships/image" Target="media/image26.wmf"/><Relationship Id="rId5" Type="http://schemas.openxmlformats.org/officeDocument/2006/relationships/footer" Target="footer2.xml"/><Relationship Id="rId49" Type="http://schemas.openxmlformats.org/officeDocument/2006/relationships/image" Target="media/image25.wmf"/><Relationship Id="rId48" Type="http://schemas.openxmlformats.org/officeDocument/2006/relationships/oleObject" Target="embeddings/oleObject13.bin"/><Relationship Id="rId47" Type="http://schemas.openxmlformats.org/officeDocument/2006/relationships/image" Target="media/image24.wmf"/><Relationship Id="rId46" Type="http://schemas.openxmlformats.org/officeDocument/2006/relationships/image" Target="media/image23.png"/><Relationship Id="rId45" Type="http://schemas.openxmlformats.org/officeDocument/2006/relationships/image" Target="media/image22.wmf"/><Relationship Id="rId44" Type="http://schemas.openxmlformats.org/officeDocument/2006/relationships/oleObject" Target="embeddings/oleObject12.bin"/><Relationship Id="rId43" Type="http://schemas.openxmlformats.org/officeDocument/2006/relationships/image" Target="media/image21.wmf"/><Relationship Id="rId42" Type="http://schemas.openxmlformats.org/officeDocument/2006/relationships/oleObject" Target="embeddings/oleObject11.bin"/><Relationship Id="rId41" Type="http://schemas.openxmlformats.org/officeDocument/2006/relationships/image" Target="media/image20.wmf"/><Relationship Id="rId40" Type="http://schemas.openxmlformats.org/officeDocument/2006/relationships/image" Target="media/image19.wmf"/><Relationship Id="rId4" Type="http://schemas.openxmlformats.org/officeDocument/2006/relationships/footer" Target="footer1.xml"/><Relationship Id="rId39" Type="http://schemas.openxmlformats.org/officeDocument/2006/relationships/image" Target="media/image18.wmf"/><Relationship Id="rId38" Type="http://schemas.openxmlformats.org/officeDocument/2006/relationships/image" Target="media/image17.wmf"/><Relationship Id="rId37" Type="http://schemas.openxmlformats.org/officeDocument/2006/relationships/image" Target="media/image16.png"/><Relationship Id="rId36" Type="http://schemas.openxmlformats.org/officeDocument/2006/relationships/image" Target="media/image15.wmf"/><Relationship Id="rId35" Type="http://schemas.openxmlformats.org/officeDocument/2006/relationships/oleObject" Target="embeddings/oleObject10.bin"/><Relationship Id="rId34" Type="http://schemas.openxmlformats.org/officeDocument/2006/relationships/image" Target="media/image14.wmf"/><Relationship Id="rId33" Type="http://schemas.openxmlformats.org/officeDocument/2006/relationships/image" Target="media/image13.png"/><Relationship Id="rId32" Type="http://schemas.openxmlformats.org/officeDocument/2006/relationships/image" Target="media/image12.wmf"/><Relationship Id="rId31" Type="http://schemas.openxmlformats.org/officeDocument/2006/relationships/oleObject" Target="embeddings/oleObject9.bin"/><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11.wmf"/><Relationship Id="rId28" Type="http://schemas.openxmlformats.org/officeDocument/2006/relationships/oleObject" Target="embeddings/oleObject7.bin"/><Relationship Id="rId27" Type="http://schemas.openxmlformats.org/officeDocument/2006/relationships/image" Target="media/image10.wmf"/><Relationship Id="rId26" Type="http://schemas.openxmlformats.org/officeDocument/2006/relationships/oleObject" Target="embeddings/oleObject6.bin"/><Relationship Id="rId25" Type="http://schemas.openxmlformats.org/officeDocument/2006/relationships/image" Target="media/image9.wmf"/><Relationship Id="rId24" Type="http://schemas.openxmlformats.org/officeDocument/2006/relationships/oleObject" Target="embeddings/oleObject5.bin"/><Relationship Id="rId23" Type="http://schemas.openxmlformats.org/officeDocument/2006/relationships/image" Target="media/image8.wmf"/><Relationship Id="rId22" Type="http://schemas.openxmlformats.org/officeDocument/2006/relationships/oleObject" Target="embeddings/oleObject4.bin"/><Relationship Id="rId21" Type="http://schemas.openxmlformats.org/officeDocument/2006/relationships/image" Target="media/image7.wmf"/><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5.wmf"/><Relationship Id="rId17" Type="http://schemas.openxmlformats.org/officeDocument/2006/relationships/oleObject" Target="embeddings/oleObject2.bin"/><Relationship Id="rId16" Type="http://schemas.openxmlformats.org/officeDocument/2006/relationships/image" Target="media/image4.wmf"/><Relationship Id="rId15" Type="http://schemas.openxmlformats.org/officeDocument/2006/relationships/oleObject" Target="embeddings/oleObject1.bin"/><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AECF90-6BF9-4BEE-8483-03F4ED4BB192}">
  <ds:schemaRefs/>
</ds:datastoreItem>
</file>

<file path=docProps/app.xml><?xml version="1.0" encoding="utf-8"?>
<Properties xmlns="http://schemas.openxmlformats.org/officeDocument/2006/extended-properties" xmlns:vt="http://schemas.openxmlformats.org/officeDocument/2006/docPropsVTypes">
  <Template>Normal</Template>
  <Pages>164</Pages>
  <Words>19755</Words>
  <Characters>112610</Characters>
  <Lines>938</Lines>
  <Paragraphs>264</Paragraphs>
  <TotalTime>8</TotalTime>
  <ScaleCrop>false</ScaleCrop>
  <LinksUpToDate>false</LinksUpToDate>
  <CharactersWithSpaces>132101</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2019-11-23T19:43:00Z</dcterms:created>
  <dc:creator>xjliangz</dc:creator>
  <cp:lastModifiedBy>mhh</cp:lastModifiedBy>
  <dcterms:modified xsi:type="dcterms:W3CDTF">2022-04-27T06:18:30Z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E863E4AB18274B8AB8660C4CA275749A</vt:lpwstr>
  </property>
</Properties>
</file>