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新疆昌吉职业技术学院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新疆昌吉职业技术学院单位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单位预算公开表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一、单位收支总体情况表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二、单位收入总体情况表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三、单位支出总体情况表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2022年单位预算情况说明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420" w:firstLineChars="200"/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新疆昌吉职业技术学院单位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新疆昌吉职业技术学院是2001年6月经新疆维吾尔自治区人民政府批准，国家教育部备案的一所以工科为主的全日制公办高等职业技术学院。2013年，自治区人民政府将昌吉州卫生学校、昌吉市中等职业技术学校与昌吉职业技术学院整合，组建了新的昌吉职业技术学院，形成规模更大、专业门类更加齐全的中高职教一体化发展的院校。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  <w:t>新疆昌吉职业技术学院是2001年6月经新疆维吾尔自治区人民政府批准，国家教育部备案的一所以工科为主的全日制公办高等职业技术学院。2013年，昌吉州党委、政府将昌吉州卫生学校、昌吉市中等职业技术学校与昌吉职业技术学院整合，组建了新的昌吉职业技术学院，形成中高职一体化协调发展、以服务二三产业为主的综合性普通高等职业院校。学院履行高等职业专科学历教育，中等职业学历教育，继续教育，初中高级技师学制培训及职业技能短期培训，职业资格鉴定、相关科学研究、学术交流等职责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学院先后被评为全国职业教育先进单位、国家首批高技能人才培训基地、自治区首批高职高专示范校：荣获自治区开发建设新疆奖状，成为自治区首批优质高职院校建设单位。2020年</w:t>
      </w:r>
      <w:r>
        <w:rPr>
          <w:rFonts w:hint="eastAsia" w:ascii="仿宋" w:hAnsi="仿宋" w:eastAsia="仿宋" w:cs="仿宋"/>
          <w:sz w:val="32"/>
          <w:szCs w:val="32"/>
        </w:rPr>
        <w:t>入选教育部第一批示范性职业教育集团（联盟）培育单位。</w:t>
      </w:r>
      <w:r>
        <w:rPr>
          <w:rFonts w:hint="eastAsia" w:ascii="仿宋_GB2312" w:hAnsi="仿宋" w:eastAsia="仿宋_GB2312"/>
          <w:sz w:val="32"/>
          <w:szCs w:val="32"/>
        </w:rPr>
        <w:t>承担高等专科学历教育、中等学历教育、相关科学研究、继续教育、专业培训、学士交流；高、中级技术工人培训、职业技能培训。组织协调、管理农业广播电视学校各县（市）分校的农牧民培训工作和农村基层干部学历教育工作；负责全州农牧民科级教育培训项目的组织实施。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新疆</w:t>
      </w:r>
      <w:r>
        <w:rPr>
          <w:rFonts w:hint="eastAsia" w:ascii="仿宋" w:hAnsi="仿宋" w:eastAsia="仿宋" w:cs="仿宋"/>
          <w:kern w:val="0"/>
          <w:sz w:val="32"/>
          <w:szCs w:val="32"/>
        </w:rPr>
        <w:t>昌吉职业技术学院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无下属预算单位，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下设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34个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科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室，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分别是：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党（院）办（外事办）、组织人事处、宣传处、纪检监察室（审计处）、教务处（校企合作处）、学生处、计划财务处（项目办）、保卫处、招生就业处、资产管理处、总务处、科研处、质量控制处、工会、团委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电气工程分院、能源动力分院、建筑工程分院、机械工程分院、经济管理分院、旅游分院、体育艺术分院、继续教育分院、信息科学与工程分院、基础教育分院（医学基础部）、思想政治教育与研究部（大学生心理健康教育与咨询中心）、中等职业教育分院、护理分院、临床与医学技术分院、药学分院、职业教育研究所、图书馆、实训中心（实习工厂）、驾驶培训学校。</w:t>
      </w:r>
    </w:p>
    <w:p>
      <w:pPr>
        <w:widowControl/>
        <w:spacing w:line="54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新疆昌吉职业技术学院编制数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个，实有人数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人。</w:t>
      </w:r>
    </w:p>
    <w:p>
      <w:pPr>
        <w:widowControl/>
        <w:spacing w:line="54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年单位预算公开表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一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>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新疆昌吉职业技术学院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单位：万元                                         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10162.52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10162.52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6040.00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16352.52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150.00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16352.52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16352.52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二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单位收入总体情况表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>单位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：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新疆昌吉职业技术学院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单位：万元                                      </w:t>
      </w:r>
    </w:p>
    <w:tbl>
      <w:tblPr>
        <w:tblW w:w="9741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40"/>
        <w:gridCol w:w="615"/>
        <w:gridCol w:w="1674"/>
        <w:gridCol w:w="1018"/>
        <w:gridCol w:w="1073"/>
        <w:gridCol w:w="486"/>
        <w:gridCol w:w="795"/>
        <w:gridCol w:w="1104"/>
        <w:gridCol w:w="477"/>
        <w:gridCol w:w="408"/>
        <w:gridCol w:w="984"/>
      </w:tblGrid>
      <w:tr>
        <w:trPr>
          <w:trHeight w:val="510" w:hRule="atLeast"/>
        </w:trPr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rPr>
          <w:trHeight w:val="18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16352.52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6040.00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150.00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职业教育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16352.52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6040.00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150.00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高等职业教育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16352.52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6040.00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150.00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16352.52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6040.00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150.00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三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单位支出总体情况表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>单位：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新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疆昌吉职业技术学院</w:t>
      </w:r>
      <w:r>
        <w:rPr>
          <w:rFonts w:hint="eastAsia" w:ascii="仿宋_GB2312" w:hAnsi="宋体" w:eastAsia="仿宋_GB2312"/>
          <w:kern w:val="0"/>
          <w:sz w:val="24"/>
        </w:rPr>
        <w:t xml:space="preserve">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W w:w="9407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17"/>
        <w:gridCol w:w="435"/>
        <w:gridCol w:w="2379"/>
        <w:gridCol w:w="1855"/>
        <w:gridCol w:w="1856"/>
        <w:gridCol w:w="1904"/>
      </w:tblGrid>
      <w:tr>
        <w:trPr>
          <w:trHeight w:val="345" w:hRule="atLeast"/>
        </w:trPr>
        <w:tc>
          <w:tcPr>
            <w:tcW w:w="3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rPr>
          <w:trHeight w:val="480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16352.52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16294.41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58.11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职业教育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16352.52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16294.41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58.11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高等职业教育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16352.52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16294.41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58.11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16352.52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16294.41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58.11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四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</w:t>
      </w:r>
      <w:r>
        <w:rPr>
          <w:rFonts w:hint="eastAsia" w:ascii="仿宋_GB2312" w:hAnsi="宋体" w:eastAsia="仿宋_GB2312"/>
          <w:kern w:val="0"/>
          <w:szCs w:val="21"/>
          <w:highlight w:val="none"/>
        </w:rPr>
        <w:t>单位：</w:t>
      </w:r>
      <w:r>
        <w:rPr>
          <w:rFonts w:hint="eastAsia" w:ascii="仿宋_GB2312" w:hAnsi="宋体" w:eastAsia="仿宋_GB2312"/>
          <w:kern w:val="0"/>
          <w:szCs w:val="21"/>
          <w:highlight w:val="none"/>
          <w:lang w:eastAsia="zh-CN"/>
        </w:rPr>
        <w:t>新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疆昌吉职业技术学院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kern w:val="0"/>
          <w:szCs w:val="21"/>
        </w:rPr>
        <w:t>单位：万元</w:t>
      </w:r>
    </w:p>
    <w:tbl>
      <w:tblPr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046"/>
        <w:gridCol w:w="2448"/>
        <w:gridCol w:w="1122"/>
        <w:gridCol w:w="990"/>
        <w:gridCol w:w="773"/>
        <w:gridCol w:w="1134"/>
      </w:tblGrid>
      <w:tr>
        <w:trPr>
          <w:trHeight w:val="285" w:hRule="atLeast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10162.52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10162.52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10162.52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87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10162.5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10162.52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10162.52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</w:rPr>
        <w:t xml:space="preserve"> 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五</w:t>
      </w:r>
    </w:p>
    <w:p>
      <w:pPr>
        <w:widowControl/>
        <w:jc w:val="center"/>
        <w:textAlignment w:val="bottom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一般公共预算支出情况表</w:t>
      </w:r>
    </w:p>
    <w:p>
      <w:pPr>
        <w:widowControl/>
        <w:jc w:val="left"/>
        <w:textAlignment w:val="bottom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Cs w:val="21"/>
        </w:rPr>
        <w:t>编制</w:t>
      </w:r>
      <w:r>
        <w:rPr>
          <w:rFonts w:hint="eastAsia" w:ascii="仿宋_GB2312" w:hAnsi="宋体" w:eastAsia="仿宋_GB2312"/>
          <w:kern w:val="0"/>
          <w:szCs w:val="21"/>
          <w:highlight w:val="none"/>
        </w:rPr>
        <w:t>单位：</w:t>
      </w:r>
      <w:r>
        <w:rPr>
          <w:rFonts w:hint="eastAsia" w:ascii="仿宋_GB2312" w:hAnsi="宋体" w:eastAsia="仿宋_GB2312"/>
          <w:kern w:val="0"/>
          <w:szCs w:val="21"/>
          <w:highlight w:val="none"/>
          <w:lang w:eastAsia="zh-CN"/>
        </w:rPr>
        <w:t>新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疆昌吉职业技术学院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kern w:val="0"/>
          <w:szCs w:val="21"/>
        </w:rPr>
        <w:t>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1842"/>
        <w:gridCol w:w="1701"/>
      </w:tblGrid>
      <w:tr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职业教育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高等职业教育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六</w:t>
      </w:r>
    </w:p>
    <w:p>
      <w:pPr>
        <w:widowControl/>
        <w:jc w:val="center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一般公共预算基本支出情况表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仿宋_GB2312" w:hAnsi="宋体" w:eastAsia="仿宋_GB2312"/>
          <w:kern w:val="0"/>
          <w:szCs w:val="21"/>
        </w:rPr>
        <w:t>编制</w:t>
      </w:r>
      <w:r>
        <w:rPr>
          <w:rFonts w:hint="eastAsia" w:ascii="仿宋_GB2312" w:hAnsi="宋体" w:eastAsia="仿宋_GB2312"/>
          <w:kern w:val="0"/>
          <w:szCs w:val="21"/>
          <w:highlight w:val="none"/>
        </w:rPr>
        <w:t>单位：</w:t>
      </w:r>
      <w:r>
        <w:rPr>
          <w:rFonts w:hint="eastAsia" w:ascii="仿宋_GB2312" w:hAnsi="宋体" w:eastAsia="仿宋_GB2312"/>
          <w:kern w:val="0"/>
          <w:szCs w:val="21"/>
          <w:highlight w:val="none"/>
          <w:lang w:eastAsia="zh-CN"/>
        </w:rPr>
        <w:t>新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疆昌吉职业技术学院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kern w:val="0"/>
          <w:szCs w:val="21"/>
        </w:rPr>
        <w:t>单位：万元</w:t>
      </w:r>
    </w:p>
    <w:tbl>
      <w:tblPr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1701"/>
        <w:gridCol w:w="1701"/>
      </w:tblGrid>
      <w:tr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8775.97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8775.97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3184.26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3184.26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709.08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709.08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1209.6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1209.6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1032.33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1032.33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516.16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516.16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城镇职工基本医疗保险缴费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925.45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925.45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800.55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14.56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111.36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674.63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674.63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医疗费补助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10162.52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9361.97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800.55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七</w:t>
      </w:r>
    </w:p>
    <w:p>
      <w:pPr>
        <w:widowControl/>
        <w:jc w:val="center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一般公共预算项目支出情况表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仿宋_GB2312" w:hAnsi="宋体" w:eastAsia="仿宋_GB2312"/>
          <w:kern w:val="0"/>
          <w:szCs w:val="21"/>
        </w:rPr>
        <w:t>编制</w:t>
      </w:r>
      <w:r>
        <w:rPr>
          <w:rFonts w:hint="eastAsia" w:ascii="仿宋_GB2312" w:hAnsi="宋体" w:eastAsia="仿宋_GB2312"/>
          <w:kern w:val="0"/>
          <w:szCs w:val="21"/>
          <w:highlight w:val="none"/>
        </w:rPr>
        <w:t>单位：</w:t>
      </w:r>
      <w:r>
        <w:rPr>
          <w:rFonts w:hint="eastAsia" w:ascii="仿宋_GB2312" w:hAnsi="宋体" w:eastAsia="仿宋_GB2312"/>
          <w:kern w:val="0"/>
          <w:szCs w:val="21"/>
          <w:highlight w:val="none"/>
          <w:lang w:eastAsia="zh-CN"/>
        </w:rPr>
        <w:t>新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疆昌吉职业技术学院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kern w:val="0"/>
          <w:szCs w:val="21"/>
        </w:rPr>
        <w:t>单位：万元</w:t>
      </w:r>
    </w:p>
    <w:tbl>
      <w:tblPr>
        <w:tblW w:w="954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65"/>
        <w:gridCol w:w="465"/>
        <w:gridCol w:w="636"/>
        <w:gridCol w:w="1456"/>
        <w:gridCol w:w="750"/>
        <w:gridCol w:w="569"/>
        <w:gridCol w:w="536"/>
        <w:gridCol w:w="652"/>
        <w:gridCol w:w="546"/>
        <w:gridCol w:w="600"/>
        <w:gridCol w:w="690"/>
        <w:gridCol w:w="391"/>
        <w:gridCol w:w="420"/>
        <w:gridCol w:w="420"/>
        <w:gridCol w:w="468"/>
      </w:tblGrid>
      <w:tr>
        <w:trPr>
          <w:trHeight w:val="630" w:hRule="atLeast"/>
        </w:trPr>
        <w:tc>
          <w:tcPr>
            <w:tcW w:w="1406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39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rPr>
          <w:trHeight w:val="1367" w:hRule="atLeast"/>
        </w:trPr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6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7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1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hint="eastAsia" w:ascii="仿宋" w:hAnsi="仿宋" w:eastAsia="仿宋" w:cs="仿宋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" w:hAnsi="仿宋" w:eastAsia="仿宋" w:cs="仿宋"/>
          <w:b/>
          <w:kern w:val="0"/>
          <w:sz w:val="28"/>
          <w:szCs w:val="32"/>
        </w:rPr>
        <w:t>我单位无</w:t>
      </w:r>
      <w:r>
        <w:rPr>
          <w:rFonts w:hint="eastAsia" w:ascii="仿宋" w:hAnsi="仿宋" w:eastAsia="仿宋" w:cs="仿宋"/>
          <w:b/>
          <w:kern w:val="0"/>
          <w:sz w:val="28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b/>
          <w:kern w:val="0"/>
          <w:sz w:val="28"/>
          <w:szCs w:val="32"/>
        </w:rPr>
        <w:t>经费预算，此表为空表</w:t>
      </w:r>
      <w:r>
        <w:rPr>
          <w:rFonts w:hint="eastAsia" w:ascii="仿宋" w:hAnsi="仿宋" w:eastAsia="仿宋" w:cs="仿宋"/>
          <w:b/>
          <w:kern w:val="0"/>
          <w:sz w:val="28"/>
          <w:szCs w:val="32"/>
          <w:lang w:eastAsia="zh-CN"/>
        </w:rPr>
        <w:t>。</w:t>
      </w:r>
    </w:p>
    <w:p>
      <w:pPr>
        <w:widowControl/>
        <w:outlineLvl w:val="1"/>
        <w:rPr>
          <w:rFonts w:hint="eastAsia" w:ascii="仿宋" w:hAnsi="仿宋" w:eastAsia="仿宋" w:cs="仿宋"/>
          <w:b/>
          <w:kern w:val="0"/>
          <w:sz w:val="28"/>
          <w:szCs w:val="32"/>
          <w:lang w:eastAsia="zh-CN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八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新疆昌吉职业技术学院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</w:t>
      </w:r>
    </w:p>
    <w:tbl>
      <w:tblPr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" w:hAnsi="仿宋" w:eastAsia="仿宋" w:cs="仿宋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" w:hAnsi="仿宋" w:eastAsia="仿宋" w:cs="仿宋"/>
          <w:b/>
          <w:kern w:val="0"/>
          <w:sz w:val="28"/>
          <w:szCs w:val="32"/>
        </w:rPr>
        <w:t>我单位无“三公”经费预算，此表为空表</w:t>
      </w:r>
      <w:r>
        <w:rPr>
          <w:rFonts w:hint="eastAsia" w:ascii="仿宋" w:hAnsi="仿宋" w:eastAsia="仿宋" w:cs="仿宋"/>
          <w:b/>
          <w:kern w:val="0"/>
          <w:sz w:val="28"/>
          <w:szCs w:val="32"/>
          <w:lang w:eastAsia="zh-CN"/>
        </w:rPr>
        <w:t>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九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>单位：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新疆昌吉职业技术学院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pPr w:leftFromText="180" w:rightFromText="180" w:vertAnchor="text" w:horzAnchor="page" w:tblpX="1564" w:tblpY="137"/>
        <w:tblOverlap w:val="never"/>
        <w:tblW w:w="9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280" w:lineRule="exact"/>
        <w:outlineLvl w:val="1"/>
        <w:rPr>
          <w:rFonts w:ascii="仿宋" w:hAnsi="仿宋" w:eastAsia="仿宋" w:cs="仿宋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" w:hAnsi="仿宋" w:eastAsia="仿宋" w:cs="仿宋"/>
          <w:b/>
          <w:kern w:val="0"/>
          <w:sz w:val="28"/>
          <w:szCs w:val="32"/>
        </w:rPr>
        <w:t>我单位无政府性基金预算，此表为空表。</w:t>
      </w:r>
    </w:p>
    <w:p>
      <w:pPr>
        <w:widowControl/>
        <w:spacing w:line="280" w:lineRule="exact"/>
        <w:jc w:val="left"/>
        <w:outlineLvl w:val="1"/>
        <w:sectPr>
          <w:footerReference r:id="rId5" w:type="even"/>
          <w:pgSz w:w="11906" w:h="16838"/>
          <w:pgMar w:top="2098" w:right="1418" w:bottom="1928" w:left="1588" w:header="851" w:footer="992" w:gutter="0"/>
          <w:pgNumType w:start="1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2022年单位预算情况说明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2022年所有收入和支出均纳入单位预算管理。收支总预算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16352.52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10162.52万元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 财政专户（教育收费）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、单位其他资金收入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16352.52万元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16352.52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10162.52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1219.14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：人员减少，人员支出下降；规范津补贴，取消伙食补助费预算。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财政专户管理（教育收费）资金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按照全口径预算的原则，将财政专户（教育收费）资金纳入单位预算管理，上年度未纳入。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单位其他资金收入预算150万元，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0.91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按照全口径预算的原则，将单位其他资金纳入单位预算管理，上年未纳入。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16352.52万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C0000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16294.41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4912.75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将财政专户（教育收费）资金及单位其他资金纳入基本支出中，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上年未纳入；增加中职生均公用经费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1961.89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本年中高职生均经费拨款列入基本支出，项目支出减少。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10162.52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10162.52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10162.52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主要用于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中、高职人员经费和公用经费等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开展年度教育教学，校园维修维护安保等支出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10162.52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10162.52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800.86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按照预算编制要求，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就业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支出、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及中专职业教育生均经费预算全部列入基本支出中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中专职业教育及高等职业教育预算生均经费全部列入基本支出中，一般公共预算安排的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项目支出减少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10162.52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教育支出（类）职业教育（款）高等职业教育（项）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:2022年预算数为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10162.52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4619.94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84.89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按照预算编制要求，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就业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支出、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及中专职业教育预算全部列入此功能分类科目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10162.52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9361.97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3184.26万元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709.08万元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265.36万元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1209.6万元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1032.33万元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、职业年金缴费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516.16万元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612.94万元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193.56万元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35.77万元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925.45万元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91.46万元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、离休费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、救医疗费补助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480.28万元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43.41万元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800.55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14.56万元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111.36万元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674.63万元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19" w:firstLineChars="200"/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新疆昌吉职业技术学院2022年未用一般公共预算安排项目支出，一般公共预算项目支出情况表为空表。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我单位是差额拨款预算单位，未安排预算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我单位是差额拨款预算单位，未安排预算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我单位是差额拨款预算单位，未安排预算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我单位是差额拨款预算单位，未安排预算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新疆昌吉职业技术学院202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新疆昌吉职业技术学院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800.55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577.86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259.49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增加中职生均公用经费。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1253.75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524.27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81.78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647.7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2022年度本单位面向中小企业预留政府采购项目预算金额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633.75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190.13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截至2021年底，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新疆昌吉职业技术学院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1.房屋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314187.85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平方米，价值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65152.49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813.7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万元；执法执勤用车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万元；其他车辆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813.7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4343.37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27918.73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台（套）。</w:t>
      </w:r>
    </w:p>
    <w:p>
      <w:pPr>
        <w:numPr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2022年单位预算未安排购置车辆经费，安排购置50万元以上大型设备0台（套），单位价值100万元以上大型设备0台（套）。</w:t>
      </w:r>
    </w:p>
    <w:p>
      <w:pPr>
        <w:numPr>
          <w:ilvl w:val="0"/>
          <w:numId w:val="2"/>
        </w:numPr>
        <w:spacing w:line="560" w:lineRule="exact"/>
        <w:ind w:left="481" w:leftChars="0" w:firstLine="0" w:firstLineChars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，涉及预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58.11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pPr w:leftFromText="180" w:rightFromText="180" w:vertAnchor="text" w:horzAnchor="page" w:tblpX="1384" w:tblpY="449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332"/>
        <w:gridCol w:w="319"/>
        <w:gridCol w:w="907"/>
        <w:gridCol w:w="1504"/>
        <w:gridCol w:w="778"/>
        <w:gridCol w:w="1722"/>
        <w:gridCol w:w="1187"/>
      </w:tblGrid>
      <w:tr>
        <w:trPr>
          <w:trHeight w:val="357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rPr>
          <w:trHeight w:val="282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年）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新疆昌吉职业技术学院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资本性支出（学生课桌椅、办公设备采购）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项目资金（万元）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58.11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58.11</w:t>
            </w: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购置办公桌椅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=120套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购置文件柜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=125个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购置单人床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=125个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购置计算机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=50台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购置打印机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=10台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验收合格率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政府采购完成时限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2022年12月31日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政府采购及时率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购置办公桌椅（万元）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&lt;=166.61万元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购置文件柜（万元）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&lt;=11.25万元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购置单人床（万元）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&lt;=6.25万元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购置计算机（万元）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&lt;=1.5万元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购置打印机（万元）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&lt;=22.5万元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保障学生日常学习生活需求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有效保障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项目实施后持续发挥作用的期限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&gt;=3年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老师满意度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&gt;=90%</w:t>
            </w:r>
          </w:p>
        </w:tc>
      </w:tr>
      <w:tr>
        <w:trPr>
          <w:trHeight w:val="9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&gt;=90%</w:t>
            </w:r>
          </w:p>
        </w:tc>
      </w:tr>
    </w:tbl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新疆昌吉职业技术学院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right"/>
      <w:rPr>
        <w:rFonts w:ascii="宋体" w:hAnsi="宋体"/>
        <w:sz w:val="28"/>
        <w:szCs w:val="28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right"/>
      <w:rPr>
        <w:rFonts w:ascii="宋体" w:hAnsi="宋体"/>
        <w:sz w:val="28"/>
        <w:szCs w:val="28"/>
      </w:rPr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4"/>
      <w:numFmt w:val="chineseCounting"/>
      <w:suff w:val="nothing"/>
      <w:lvlText w:val="（%1）"/>
      <w:lvlJc w:val="left"/>
      <w:pPr>
        <w:ind w:left="481" w:firstLine="0"/>
      </w:pPr>
      <w:rPr>
        <w:rFonts w:hint="eastAsia"/>
      </w:rPr>
    </w:lvl>
  </w:abstractNum>
  <w:abstractNum w:abstractNumId="11">
    <w:nsid w:val="0000000B"/>
    <w:multiLevelType w:val="singleLevel"/>
    <w:tmpl w:val="0000000B"/>
    <w:lvl w:ilvl="0" w:tentative="1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4">
    <w:name w:val="Default Paragraph Font"/>
  </w:style>
  <w:style w:type="character" w:customStyle="1" w:styleId="3">
    <w:name w:val="标题 2 Char"/>
    <w:basedOn w:val="4"/>
    <w:link w:val="2"/>
    <w:semiHidden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5">
    <w:name w:val="annotation text"/>
    <w:basedOn w:val="1"/>
    <w:pPr>
      <w:jc w:val="left"/>
    </w:pPr>
  </w:style>
  <w:style w:type="paragraph" w:styleId="6">
    <w:name w:val="Body Text"/>
    <w:basedOn w:val="1"/>
    <w:link w:val="7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7">
    <w:name w:val="正文文本 Char"/>
    <w:basedOn w:val="4"/>
    <w:link w:val="6"/>
    <w:semiHidden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8">
    <w:name w:val="footer"/>
    <w:basedOn w:val="1"/>
    <w:link w:val="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4"/>
    <w:link w:val="8"/>
    <w:semiHidden/>
    <w:rPr>
      <w:sz w:val="18"/>
      <w:szCs w:val="18"/>
    </w:rPr>
  </w:style>
  <w:style w:type="paragraph" w:styleId="10">
    <w:name w:val="header"/>
    <w:basedOn w:val="1"/>
    <w:link w:val="1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4"/>
    <w:link w:val="10"/>
    <w:semiHidden/>
    <w:rPr>
      <w:sz w:val="18"/>
      <w:szCs w:val="18"/>
    </w:rPr>
  </w:style>
  <w:style w:type="paragraph" w:customStyle="1" w:styleId="12">
    <w:name w:val="f1"/>
    <w:basedOn w:val="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3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24</Pages>
  <Words>1471</Words>
  <Characters>8387</Characters>
  <Lines>69</Lines>
  <Paragraphs>19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2022-02-15T19:16:00Z</dcterms:created>
  <dc:creator>闫超</dc:creator>
  <cp:lastPrinted>2022-04-09T12:46:00Z</cp:lastPrinted>
  <dcterms:modified xsi:type="dcterms:W3CDTF">2022-04-19T18:26:41Z</dcterms:modified>
  <dc:title>西山秋雨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1C5BD23CCCF841DFA6B33C7D6CCDA431</vt:lpwstr>
  </property>
</Properties>
</file>