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hint="eastAsia" w:ascii="方正小标宋_GBK" w:hAnsi="宋体" w:eastAsia="方正小标宋_GBK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昌吉州文化市场综合执法队202</w:t>
      </w:r>
      <w:r>
        <w:rPr>
          <w:rFonts w:hint="eastAsia" w:ascii="方正小标宋_GBK" w:hAnsi="宋体" w:eastAsia="方正小标宋_GBK"/>
          <w:kern w:val="0"/>
          <w:sz w:val="44"/>
          <w:szCs w:val="44"/>
          <w:lang w:val="en-US" w:eastAsia="zh-CN"/>
        </w:rPr>
        <w:t>2年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</w:p>
    <w:p>
      <w:pPr>
        <w:widowControl/>
        <w:spacing w:line="440" w:lineRule="exact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spacing w:line="560" w:lineRule="exact"/>
        <w:jc w:val="center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目 录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 xml:space="preserve">第一部分  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昌吉州文化市场综合执法队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概况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一、主要职能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二、机构设置及人员情况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第二部分  2022年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预算公开表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收支总体情况表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收入总体情况表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支出总体情况表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四、财政拨款收支总体情况表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五、一般公共预算支出情况表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六、一般公共预算基本支出情况表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七、一般公共预算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项目支出情况表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八、一般公共预算“三公”经费支出情况表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九、政府性基金预算支出情况表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第三部分  2022年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预算情况说明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一、关于昌吉州文化市场综合执法队2022年收支预算情况的总体说明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二、关于昌吉州文化市场综合执法队2022年收入预算情况说明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三、关于昌吉州文化市场综合执法队2022年支出预算情况说明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昌吉州文化市场综合执法队2022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年财政拨款收支预算情况的总体说明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五、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昌吉州文化市场综合执法队2022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年一般公共预算当年拨款情况说明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六、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昌吉州文化市场综合执法队2022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年一般公共预算基本支出情况说明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七、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昌吉州文化市场综合执法队2022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年一般公共预算项目支出情况说明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八、关于昌吉州文化市场综合执法队2022年一般公共预算“三公”经费预算情况说明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九、关于昌吉州文化市场综合执法队2022年政府性基金预算拨款情况说明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十、其他重要事项的情况说明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第四部分  名词解释</w:t>
      </w:r>
    </w:p>
    <w:p>
      <w:pPr>
        <w:spacing w:line="600" w:lineRule="exact"/>
        <w:ind w:firstLine="420" w:firstLineChars="200"/>
        <w:sectPr>
          <w:footerReference r:id="rId4" w:type="default"/>
          <w:pgSz w:w="11906" w:h="16838"/>
          <w:pgMar w:top="2098" w:right="1418" w:bottom="1928" w:left="1588" w:header="851" w:footer="992" w:gutter="0"/>
          <w:pgNumType w:fmt="numberInDash"/>
          <w:cols w:space="720" w:num="1"/>
          <w:docGrid w:linePitch="312"/>
        </w:sectPr>
      </w:pPr>
    </w:p>
    <w:p>
      <w:pPr>
        <w:widowControl/>
        <w:spacing w:line="54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第一部分   昌吉州文化市场综合执法队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单位</w:t>
      </w:r>
      <w:r>
        <w:rPr>
          <w:rFonts w:hint="eastAsia" w:ascii="黑体" w:hAnsi="黑体" w:eastAsia="黑体"/>
          <w:kern w:val="0"/>
          <w:sz w:val="32"/>
          <w:szCs w:val="32"/>
        </w:rPr>
        <w:t>概况</w:t>
      </w:r>
    </w:p>
    <w:p>
      <w:pPr>
        <w:widowControl/>
        <w:spacing w:line="540" w:lineRule="exact"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540" w:lineRule="exact"/>
        <w:ind w:firstLine="643" w:firstLineChars="200"/>
        <w:jc w:val="left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一、主要职能</w:t>
      </w:r>
    </w:p>
    <w:p>
      <w:pPr>
        <w:widowControl/>
        <w:spacing w:line="540" w:lineRule="exact"/>
        <w:jc w:val="left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 xml:space="preserve">   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昌吉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州文化市场综合执法队由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昌吉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州文化体育广播电视和旅游局负责管理，并以州文化体育广播电视和旅游局的名义实施执法。统一行使文化、文物、出版、广播电视、电影、旅游市场行政执法职责，承担“扫黄打非”有关工作任务。 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 xml:space="preserve"> </w:t>
      </w:r>
    </w:p>
    <w:p>
      <w:pPr>
        <w:widowControl/>
        <w:spacing w:line="540" w:lineRule="exact"/>
        <w:ind w:firstLine="643" w:firstLineChars="200"/>
        <w:jc w:val="left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二、机构设置及人员情况</w:t>
      </w:r>
    </w:p>
    <w:p>
      <w:pPr>
        <w:widowControl/>
        <w:spacing w:line="54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昌吉州文化市场综合执法队无下属预算单位，下设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个科室，分别是：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文化体育执法科、文物广播电视执法科、新闻出版（版权）执法科、旅游执法科。</w:t>
      </w:r>
    </w:p>
    <w:p>
      <w:pPr>
        <w:widowControl/>
        <w:spacing w:line="54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昌吉州文化市场综合执法队单位编制数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个，实有人数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人，其中：在职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人；退休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人；离休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人。</w:t>
      </w: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both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第二部分  </w:t>
      </w:r>
      <w:r>
        <w:rPr>
          <w:rFonts w:ascii="黑体" w:hAnsi="黑体" w:eastAsia="黑体"/>
          <w:kern w:val="0"/>
          <w:sz w:val="32"/>
          <w:szCs w:val="32"/>
        </w:rPr>
        <w:t>2022</w:t>
      </w:r>
      <w:r>
        <w:rPr>
          <w:rFonts w:hint="eastAsia" w:ascii="黑体" w:hAnsi="黑体" w:eastAsia="黑体"/>
          <w:kern w:val="0"/>
          <w:sz w:val="32"/>
          <w:szCs w:val="32"/>
        </w:rPr>
        <w:t>年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单位</w:t>
      </w:r>
      <w:r>
        <w:rPr>
          <w:rFonts w:hint="eastAsia" w:ascii="黑体" w:hAnsi="黑体" w:eastAsia="黑体"/>
          <w:kern w:val="0"/>
          <w:sz w:val="32"/>
          <w:szCs w:val="32"/>
        </w:rPr>
        <w:t>预算公开表</w:t>
      </w:r>
    </w:p>
    <w:p>
      <w:pPr>
        <w:widowControl/>
        <w:spacing w:line="240" w:lineRule="exact"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表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eastAsia="zh-CN"/>
        </w:rPr>
        <w:t>一</w:t>
      </w:r>
    </w:p>
    <w:p>
      <w:pPr>
        <w:widowControl/>
        <w:spacing w:line="36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收支总体情况表</w:t>
      </w:r>
    </w:p>
    <w:p>
      <w:pPr>
        <w:widowControl/>
        <w:spacing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280" w:lineRule="exac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单位</w:t>
      </w:r>
      <w:r>
        <w:rPr>
          <w:rFonts w:hint="eastAsia" w:ascii="仿宋_GB2312" w:hAnsi="宋体" w:eastAsia="仿宋_GB2312"/>
          <w:kern w:val="0"/>
          <w:sz w:val="24"/>
        </w:rPr>
        <w:t xml:space="preserve">： 昌吉州文化市场综合执法队         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 xml:space="preserve">                 </w:t>
      </w:r>
      <w:r>
        <w:rPr>
          <w:rFonts w:hint="eastAsia" w:ascii="仿宋_GB2312" w:hAnsi="宋体" w:eastAsia="仿宋_GB2312"/>
          <w:kern w:val="0"/>
          <w:sz w:val="24"/>
        </w:rPr>
        <w:t>单位：万元</w:t>
      </w:r>
    </w:p>
    <w:tbl>
      <w:tblPr>
        <w:tblW w:w="866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rPr>
          <w:trHeight w:val="360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246.40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246.40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国有资本经营预算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财政专户（教育收费）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246.40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单位其他资金收入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8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234 抗疫特别国债还本支出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rPr>
          <w:trHeight w:val="36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246.40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246.40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line="280" w:lineRule="exac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表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eastAsia="zh-CN"/>
        </w:rPr>
        <w:t>二</w:t>
      </w:r>
    </w:p>
    <w:p>
      <w:pPr>
        <w:widowControl/>
        <w:spacing w:line="440" w:lineRule="exact"/>
        <w:jc w:val="center"/>
        <w:outlineLvl w:val="1"/>
        <w:rPr>
          <w:rFonts w:ascii="方正小标宋_GBK" w:hAnsi="方正小标宋_GBK" w:eastAsia="方正小标宋_GBK" w:cs="方正小标宋_GBK"/>
          <w:bCs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  <w:lang w:eastAsia="zh-CN"/>
        </w:rPr>
        <w:t>单位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  <w:t>收入总体情况表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单位</w:t>
      </w:r>
      <w:r>
        <w:rPr>
          <w:rFonts w:hint="eastAsia" w:ascii="仿宋_GB2312" w:hAnsi="宋体" w:eastAsia="仿宋_GB2312"/>
          <w:kern w:val="0"/>
          <w:sz w:val="24"/>
        </w:rPr>
        <w:t xml:space="preserve">： 昌吉州文化市场综合执法队                    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 xml:space="preserve">        </w:t>
      </w:r>
      <w:r>
        <w:rPr>
          <w:rFonts w:hint="eastAsia" w:ascii="仿宋_GB2312" w:hAnsi="宋体" w:eastAsia="仿宋_GB2312"/>
          <w:kern w:val="0"/>
          <w:sz w:val="24"/>
        </w:rPr>
        <w:t>单位：万元</w:t>
      </w:r>
    </w:p>
    <w:tbl>
      <w:tblPr>
        <w:tblW w:w="9741" w:type="dxa"/>
        <w:tblInd w:w="-4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422"/>
        <w:gridCol w:w="559"/>
        <w:gridCol w:w="2005"/>
        <w:gridCol w:w="764"/>
        <w:gridCol w:w="845"/>
        <w:gridCol w:w="802"/>
        <w:gridCol w:w="795"/>
        <w:gridCol w:w="735"/>
        <w:gridCol w:w="682"/>
        <w:gridCol w:w="872"/>
        <w:gridCol w:w="684"/>
      </w:tblGrid>
      <w:tr>
        <w:trPr>
          <w:trHeight w:val="510" w:hRule="atLeast"/>
        </w:trPr>
        <w:tc>
          <w:tcPr>
            <w:tcW w:w="1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2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7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8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国有资本经营预算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财政专户（教育收费）</w:t>
            </w:r>
          </w:p>
        </w:tc>
        <w:tc>
          <w:tcPr>
            <w:tcW w:w="6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8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单位其他资金收入</w:t>
            </w:r>
          </w:p>
        </w:tc>
      </w:tr>
      <w:tr>
        <w:trPr>
          <w:trHeight w:val="187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2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rPr>
          <w:trHeight w:val="465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文化旅游体育与传媒支出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246.40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246.40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文化和旅游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246.40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246.40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216.40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216.40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13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文化和旅游市场管理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507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65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0"/>
                <w:szCs w:val="20"/>
              </w:rPr>
              <w:t>合  计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246.40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246.40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spacing w:line="280" w:lineRule="exac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表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eastAsia="zh-CN"/>
        </w:rPr>
        <w:t>三</w:t>
      </w:r>
    </w:p>
    <w:p>
      <w:pPr>
        <w:widowControl/>
        <w:spacing w:line="360" w:lineRule="exact"/>
        <w:jc w:val="center"/>
        <w:outlineLvl w:val="1"/>
        <w:rPr>
          <w:rFonts w:ascii="方正小标宋_GBK" w:hAnsi="方正小标宋_GBK" w:eastAsia="方正小标宋_GBK" w:cs="方正小标宋_GBK"/>
          <w:bCs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  <w:lang w:eastAsia="zh-CN"/>
        </w:rPr>
        <w:t>单位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  <w:t>支出总体情况表</w:t>
      </w:r>
    </w:p>
    <w:p>
      <w:pPr>
        <w:widowControl/>
        <w:spacing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280" w:lineRule="exact"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单位</w:t>
      </w:r>
      <w:r>
        <w:rPr>
          <w:rFonts w:hint="eastAsia" w:ascii="仿宋_GB2312" w:hAnsi="宋体" w:eastAsia="仿宋_GB2312"/>
          <w:kern w:val="0"/>
          <w:sz w:val="24"/>
        </w:rPr>
        <w:t xml:space="preserve">：昌吉州文化市场综合执法队                 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 xml:space="preserve">         </w:t>
      </w:r>
      <w:r>
        <w:rPr>
          <w:rFonts w:hint="eastAsia" w:ascii="仿宋_GB2312" w:hAnsi="宋体" w:eastAsia="仿宋_GB2312"/>
          <w:kern w:val="0"/>
          <w:sz w:val="24"/>
        </w:rPr>
        <w:t xml:space="preserve">  单位：万元</w:t>
      </w:r>
    </w:p>
    <w:tbl>
      <w:tblPr>
        <w:tblW w:w="9420" w:type="dxa"/>
        <w:tblInd w:w="-2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416"/>
        <w:gridCol w:w="399"/>
        <w:gridCol w:w="2571"/>
        <w:gridCol w:w="1833"/>
        <w:gridCol w:w="1834"/>
        <w:gridCol w:w="1881"/>
      </w:tblGrid>
      <w:tr>
        <w:trPr>
          <w:trHeight w:val="345" w:hRule="atLeast"/>
        </w:trPr>
        <w:tc>
          <w:tcPr>
            <w:tcW w:w="38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55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rPr>
          <w:trHeight w:val="480" w:hRule="atLeast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7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8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8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rPr>
          <w:trHeight w:val="270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5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文化旅游体育与传媒支出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246.40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216.40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文化和旅游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246.40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216.40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216.40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216.40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文化和旅游市场管理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246.40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216.40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表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eastAsia="zh-CN"/>
        </w:rPr>
        <w:t>四</w:t>
      </w:r>
    </w:p>
    <w:p>
      <w:pPr>
        <w:widowControl/>
        <w:spacing w:beforeLines="50"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Lines="50" w:line="280" w:lineRule="exact"/>
        <w:outlineLvl w:val="1"/>
        <w:rPr>
          <w:rFonts w:ascii="仿宋_GB2312" w:hAnsi="宋体" w:eastAsia="仿宋_GB2312"/>
          <w:kern w:val="0"/>
          <w:sz w:val="24"/>
          <w:szCs w:val="24"/>
        </w:rPr>
      </w:pPr>
      <w:r>
        <w:rPr>
          <w:rFonts w:hint="eastAsia" w:ascii="仿宋_GB2312" w:hAnsi="宋体" w:eastAsia="仿宋_GB2312"/>
          <w:kern w:val="0"/>
          <w:sz w:val="24"/>
          <w:szCs w:val="24"/>
        </w:rPr>
        <w:t>编制</w:t>
      </w:r>
      <w:r>
        <w:rPr>
          <w:rFonts w:hint="eastAsia" w:ascii="仿宋_GB2312" w:hAnsi="宋体" w:eastAsia="仿宋_GB2312"/>
          <w:kern w:val="0"/>
          <w:sz w:val="24"/>
          <w:szCs w:val="24"/>
          <w:lang w:eastAsia="zh-CN"/>
        </w:rPr>
        <w:t>单位</w:t>
      </w:r>
      <w:r>
        <w:rPr>
          <w:rFonts w:hint="eastAsia" w:ascii="仿宋_GB2312" w:hAnsi="宋体" w:eastAsia="仿宋_GB2312"/>
          <w:kern w:val="0"/>
          <w:sz w:val="24"/>
          <w:szCs w:val="24"/>
        </w:rPr>
        <w:t xml:space="preserve">：昌吉州文化市场综合执法队                       </w:t>
      </w:r>
      <w:r>
        <w:rPr>
          <w:rFonts w:hint="eastAsia" w:ascii="仿宋_GB2312" w:hAnsi="宋体" w:eastAsia="仿宋_GB2312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kern w:val="0"/>
          <w:sz w:val="24"/>
          <w:szCs w:val="24"/>
        </w:rPr>
        <w:t xml:space="preserve">    单位：万元</w:t>
      </w:r>
    </w:p>
    <w:tbl>
      <w:tblPr>
        <w:tblW w:w="9449" w:type="dxa"/>
        <w:tblInd w:w="-2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914"/>
        <w:gridCol w:w="2580"/>
        <w:gridCol w:w="900"/>
        <w:gridCol w:w="851"/>
        <w:gridCol w:w="1134"/>
        <w:gridCol w:w="1134"/>
      </w:tblGrid>
      <w:tr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5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rPr>
          <w:trHeight w:val="365" w:hRule="atLeas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  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 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国有资本经营预算</w:t>
            </w: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246.40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一般公共预算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246.40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政府性基金预算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国有资本经营预算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246.40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246.40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234 抗疫特别国债还本支出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312" w:hRule="exact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246.40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246.40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246.40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320" w:lineRule="exac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表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eastAsia="zh-CN"/>
        </w:rPr>
        <w:t>五</w:t>
      </w: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</w:rPr>
        <w:t>一般公共预算支出情况表</w:t>
      </w:r>
    </w:p>
    <w:p>
      <w:pPr>
        <w:widowControl/>
        <w:spacing w:beforeLines="50" w:line="280" w:lineRule="exact"/>
        <w:outlineLvl w:val="1"/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仿宋_GB2312" w:hAnsi="宋体" w:eastAsia="仿宋_GB2312"/>
          <w:kern w:val="0"/>
          <w:sz w:val="24"/>
          <w:szCs w:val="24"/>
        </w:rPr>
        <w:t>编制</w:t>
      </w:r>
      <w:r>
        <w:rPr>
          <w:rFonts w:hint="eastAsia" w:ascii="仿宋_GB2312" w:hAnsi="宋体" w:eastAsia="仿宋_GB2312"/>
          <w:kern w:val="0"/>
          <w:sz w:val="24"/>
          <w:szCs w:val="24"/>
          <w:lang w:eastAsia="zh-CN"/>
        </w:rPr>
        <w:t>单位</w:t>
      </w:r>
      <w:r>
        <w:rPr>
          <w:rFonts w:hint="eastAsia" w:ascii="仿宋_GB2312" w:hAnsi="宋体" w:eastAsia="仿宋_GB2312"/>
          <w:kern w:val="0"/>
          <w:sz w:val="24"/>
          <w:szCs w:val="24"/>
        </w:rPr>
        <w:t xml:space="preserve">：昌吉州文化市场综合执法队                     </w:t>
      </w:r>
      <w:r>
        <w:rPr>
          <w:rFonts w:hint="eastAsia" w:ascii="仿宋_GB2312" w:hAnsi="宋体" w:eastAsia="仿宋_GB2312"/>
          <w:kern w:val="0"/>
          <w:sz w:val="24"/>
          <w:szCs w:val="24"/>
          <w:lang w:val="en-US" w:eastAsia="zh-CN"/>
        </w:rPr>
        <w:t xml:space="preserve">       </w:t>
      </w:r>
      <w:r>
        <w:rPr>
          <w:rFonts w:hint="eastAsia" w:ascii="仿宋_GB2312" w:hAnsi="宋体" w:eastAsia="仿宋_GB2312"/>
          <w:kern w:val="0"/>
          <w:sz w:val="24"/>
          <w:szCs w:val="24"/>
        </w:rPr>
        <w:t xml:space="preserve">  单位：万元</w:t>
      </w:r>
    </w:p>
    <w:tbl>
      <w:tblPr>
        <w:tblW w:w="9214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417"/>
        <w:gridCol w:w="2510"/>
        <w:gridCol w:w="1684"/>
        <w:gridCol w:w="1842"/>
        <w:gridCol w:w="1701"/>
      </w:tblGrid>
      <w:tr>
        <w:trPr>
          <w:trHeight w:val="405" w:hRule="atLeast"/>
        </w:trPr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   目</w:t>
            </w:r>
          </w:p>
        </w:tc>
        <w:tc>
          <w:tcPr>
            <w:tcW w:w="52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rPr>
          <w:trHeight w:val="465" w:hRule="atLeast"/>
        </w:trPr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8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文化旅游体育与传媒支出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246.40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216.40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文化和旅游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246.40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216.40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216.40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216.40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文化和旅游市场管理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246.40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216.40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表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eastAsia="zh-CN"/>
        </w:rPr>
        <w:t>六</w:t>
      </w:r>
    </w:p>
    <w:p>
      <w:pPr>
        <w:widowControl/>
        <w:jc w:val="both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lang w:val="en-US" w:eastAsia="zh-CN"/>
        </w:rPr>
        <w:t xml:space="preserve">              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</w:rPr>
        <w:t>一般公共预算基本支出情况表</w:t>
      </w:r>
    </w:p>
    <w:p>
      <w:pPr>
        <w:widowControl/>
        <w:spacing w:beforeLines="50" w:line="280" w:lineRule="exact"/>
        <w:outlineLvl w:val="1"/>
        <w:rPr>
          <w:rFonts w:hint="eastAsia" w:ascii="宋体" w:hAnsi="宋体" w:cs="宋体"/>
          <w:color w:val="000000"/>
          <w:kern w:val="0"/>
          <w:sz w:val="20"/>
          <w:szCs w:val="20"/>
          <w:lang w:eastAsia="zh-CN"/>
        </w:rPr>
      </w:pPr>
      <w:r>
        <w:rPr>
          <w:rFonts w:hint="eastAsia" w:ascii="仿宋_GB2312" w:hAnsi="宋体" w:eastAsia="仿宋_GB2312"/>
          <w:kern w:val="0"/>
          <w:sz w:val="24"/>
          <w:szCs w:val="24"/>
        </w:rPr>
        <w:t>编制</w:t>
      </w:r>
      <w:r>
        <w:rPr>
          <w:rFonts w:hint="eastAsia" w:ascii="仿宋_GB2312" w:hAnsi="宋体" w:eastAsia="仿宋_GB2312"/>
          <w:kern w:val="0"/>
          <w:sz w:val="24"/>
          <w:szCs w:val="24"/>
          <w:lang w:eastAsia="zh-CN"/>
        </w:rPr>
        <w:t>单位</w:t>
      </w:r>
      <w:r>
        <w:rPr>
          <w:rFonts w:hint="eastAsia" w:ascii="仿宋_GB2312" w:hAnsi="宋体" w:eastAsia="仿宋_GB2312"/>
          <w:kern w:val="0"/>
          <w:sz w:val="24"/>
          <w:szCs w:val="24"/>
        </w:rPr>
        <w:t xml:space="preserve">：昌吉州文化市场综合执法队                     </w:t>
      </w:r>
      <w:r>
        <w:rPr>
          <w:rFonts w:hint="eastAsia" w:ascii="仿宋_GB2312" w:hAnsi="宋体" w:eastAsia="仿宋_GB2312"/>
          <w:kern w:val="0"/>
          <w:sz w:val="24"/>
          <w:szCs w:val="24"/>
          <w:lang w:val="en-US" w:eastAsia="zh-CN"/>
        </w:rPr>
        <w:t xml:space="preserve">       </w:t>
      </w:r>
      <w:r>
        <w:rPr>
          <w:rFonts w:hint="eastAsia" w:ascii="仿宋_GB2312" w:hAnsi="宋体" w:eastAsia="仿宋_GB2312"/>
          <w:kern w:val="0"/>
          <w:sz w:val="24"/>
          <w:szCs w:val="24"/>
        </w:rPr>
        <w:t xml:space="preserve">  单位：万元</w:t>
      </w:r>
    </w:p>
    <w:tbl>
      <w:tblPr>
        <w:tblW w:w="9420" w:type="dxa"/>
        <w:tblInd w:w="-1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583"/>
        <w:gridCol w:w="3274"/>
        <w:gridCol w:w="1362"/>
        <w:gridCol w:w="1716"/>
        <w:gridCol w:w="1722"/>
      </w:tblGrid>
      <w:tr>
        <w:trPr>
          <w:trHeight w:val="346" w:hRule="atLeast"/>
        </w:trPr>
        <w:tc>
          <w:tcPr>
            <w:tcW w:w="4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rPr>
          <w:trHeight w:val="670" w:hRule="atLeast"/>
        </w:trPr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327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3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合  计</w:t>
            </w:r>
          </w:p>
        </w:tc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rPr>
          <w:trHeight w:val="330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32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355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工资福利支出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196.33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196.33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344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基本工资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65.41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65.41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355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津贴补贴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67.05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67.05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355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奖金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5.34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5.34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372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机关事业单位基本养老保险缴费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21.8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21.8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355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职工基本医疗保险缴费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12.94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12.94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355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公务员医疗补助缴费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4.09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4.09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355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其他社会保障缴费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0.1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0.1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355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19.6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19.6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355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302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商品和服务支出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18.7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18.7</w:t>
            </w:r>
          </w:p>
        </w:tc>
      </w:tr>
      <w:tr>
        <w:trPr>
          <w:trHeight w:val="355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办公费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3.68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3.68</w:t>
            </w:r>
          </w:p>
        </w:tc>
      </w:tr>
      <w:tr>
        <w:trPr>
          <w:trHeight w:val="355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邮电费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0.6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0.6</w:t>
            </w:r>
          </w:p>
        </w:tc>
      </w:tr>
      <w:tr>
        <w:trPr>
          <w:trHeight w:val="355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差旅费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0.5</w:t>
            </w:r>
          </w:p>
        </w:tc>
      </w:tr>
      <w:tr>
        <w:trPr>
          <w:trHeight w:val="355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13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维修(护)费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0.2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0.2</w:t>
            </w:r>
          </w:p>
        </w:tc>
      </w:tr>
      <w:tr>
        <w:trPr>
          <w:trHeight w:val="355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委托业务费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rPr>
          <w:trHeight w:val="355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工会经费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2.57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2.57</w:t>
            </w:r>
          </w:p>
        </w:tc>
      </w:tr>
      <w:tr>
        <w:trPr>
          <w:trHeight w:val="355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29　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福利费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2.31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2.31</w:t>
            </w:r>
          </w:p>
        </w:tc>
      </w:tr>
      <w:tr>
        <w:trPr>
          <w:trHeight w:val="355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公务车运行维护费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4.38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4.38</w:t>
            </w:r>
          </w:p>
        </w:tc>
      </w:tr>
      <w:tr>
        <w:trPr>
          <w:trHeight w:val="355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其他商品和服务支出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1.46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1.46</w:t>
            </w:r>
          </w:p>
        </w:tc>
      </w:tr>
      <w:tr>
        <w:trPr>
          <w:trHeight w:val="355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303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eastAsia="zh-CN"/>
              </w:rPr>
              <w:t>对个人和家庭的补助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1.37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1.37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355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303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离休费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0.10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0.10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355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303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07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医疗费补助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1.10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1.10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355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303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09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奖励金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0.17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0.17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385" w:hRule="atLeast"/>
        </w:trPr>
        <w:tc>
          <w:tcPr>
            <w:tcW w:w="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216.4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197.7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18.7</w:t>
            </w:r>
          </w:p>
        </w:tc>
      </w:tr>
    </w:tbl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表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eastAsia="zh-CN"/>
        </w:rPr>
        <w:t>七</w:t>
      </w:r>
    </w:p>
    <w:p>
      <w:pPr>
        <w:widowControl/>
        <w:jc w:val="center"/>
        <w:textAlignment w:val="bottom"/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</w:rPr>
        <w:t>一般公共预算项目支出情况表</w:t>
      </w: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  <w:r>
        <w:rPr>
          <w:rFonts w:hint="eastAsia" w:ascii="仿宋_GB2312" w:hAnsi="宋体" w:eastAsia="仿宋_GB2312"/>
          <w:kern w:val="0"/>
          <w:sz w:val="24"/>
          <w:szCs w:val="24"/>
        </w:rPr>
        <w:t>编制</w:t>
      </w:r>
      <w:r>
        <w:rPr>
          <w:rFonts w:hint="eastAsia" w:ascii="仿宋_GB2312" w:hAnsi="宋体" w:eastAsia="仿宋_GB2312"/>
          <w:kern w:val="0"/>
          <w:sz w:val="24"/>
          <w:szCs w:val="24"/>
          <w:lang w:eastAsia="zh-CN"/>
        </w:rPr>
        <w:t>单位</w:t>
      </w:r>
      <w:r>
        <w:rPr>
          <w:rFonts w:hint="eastAsia" w:ascii="仿宋_GB2312" w:hAnsi="宋体" w:eastAsia="仿宋_GB2312"/>
          <w:kern w:val="0"/>
          <w:sz w:val="24"/>
          <w:szCs w:val="24"/>
        </w:rPr>
        <w:t xml:space="preserve">：昌吉州文化市场综合执法队                     </w:t>
      </w:r>
      <w:r>
        <w:rPr>
          <w:rFonts w:hint="eastAsia" w:ascii="仿宋_GB2312" w:hAnsi="宋体" w:eastAsia="仿宋_GB2312"/>
          <w:kern w:val="0"/>
          <w:sz w:val="24"/>
          <w:szCs w:val="24"/>
          <w:lang w:val="en-US" w:eastAsia="zh-CN"/>
        </w:rPr>
        <w:t xml:space="preserve">       </w:t>
      </w:r>
      <w:r>
        <w:rPr>
          <w:rFonts w:hint="eastAsia" w:ascii="仿宋_GB2312" w:hAnsi="宋体" w:eastAsia="仿宋_GB2312"/>
          <w:kern w:val="0"/>
          <w:sz w:val="24"/>
          <w:szCs w:val="24"/>
        </w:rPr>
        <w:t xml:space="preserve">  单位：万元</w:t>
      </w:r>
    </w:p>
    <w:tbl>
      <w:tblPr>
        <w:tblW w:w="9540" w:type="dxa"/>
        <w:tblInd w:w="-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422"/>
        <w:gridCol w:w="532"/>
        <w:gridCol w:w="1108"/>
        <w:gridCol w:w="856"/>
        <w:gridCol w:w="736"/>
        <w:gridCol w:w="702"/>
        <w:gridCol w:w="532"/>
        <w:gridCol w:w="644"/>
        <w:gridCol w:w="644"/>
        <w:gridCol w:w="578"/>
        <w:gridCol w:w="418"/>
        <w:gridCol w:w="578"/>
        <w:gridCol w:w="419"/>
        <w:gridCol w:w="419"/>
        <w:gridCol w:w="466"/>
      </w:tblGrid>
      <w:tr>
        <w:trPr>
          <w:trHeight w:val="630" w:hRule="atLeast"/>
        </w:trPr>
        <w:tc>
          <w:tcPr>
            <w:tcW w:w="1440" w:type="dxa"/>
            <w:gridSpan w:val="3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1108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856" w:type="dxa"/>
            <w:vMerge w:val="restart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36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70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44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44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8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19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19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466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rPr>
          <w:trHeight w:val="1367" w:hRule="atLeast"/>
        </w:trPr>
        <w:tc>
          <w:tcPr>
            <w:tcW w:w="48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42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53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110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36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2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8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42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文化旅游体育与传媒支出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44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44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rPr>
          <w:trHeight w:val="585" w:hRule="atLeast"/>
        </w:trPr>
        <w:tc>
          <w:tcPr>
            <w:tcW w:w="48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42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文化和旅游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44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44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rPr>
          <w:trHeight w:val="585" w:hRule="atLeast"/>
        </w:trPr>
        <w:tc>
          <w:tcPr>
            <w:tcW w:w="48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42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文化和旅游市场管理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文化市场管理项目经费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44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44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rPr>
          <w:trHeight w:val="585" w:hRule="atLeast"/>
        </w:trPr>
        <w:tc>
          <w:tcPr>
            <w:tcW w:w="48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2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2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108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3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0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44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44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rPr>
          <w:trHeight w:val="585" w:hRule="atLeast"/>
        </w:trPr>
        <w:tc>
          <w:tcPr>
            <w:tcW w:w="48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2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2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108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3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0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44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44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rPr>
          <w:trHeight w:val="585" w:hRule="atLeast"/>
        </w:trPr>
        <w:tc>
          <w:tcPr>
            <w:tcW w:w="48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2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2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108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3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0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44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44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rPr>
          <w:trHeight w:val="585" w:hRule="atLeast"/>
        </w:trPr>
        <w:tc>
          <w:tcPr>
            <w:tcW w:w="48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2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2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108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3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0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44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44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rPr>
          <w:trHeight w:val="585" w:hRule="atLeast"/>
        </w:trPr>
        <w:tc>
          <w:tcPr>
            <w:tcW w:w="48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2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2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108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3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0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44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44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rPr>
          <w:trHeight w:val="585" w:hRule="atLeast"/>
        </w:trPr>
        <w:tc>
          <w:tcPr>
            <w:tcW w:w="48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2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2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108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3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0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44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44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rPr>
          <w:trHeight w:val="585" w:hRule="atLeast"/>
        </w:trPr>
        <w:tc>
          <w:tcPr>
            <w:tcW w:w="48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2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2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108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3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0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44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44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rPr>
          <w:trHeight w:val="585" w:hRule="atLeast"/>
        </w:trPr>
        <w:tc>
          <w:tcPr>
            <w:tcW w:w="48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2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2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108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3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0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44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44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rPr>
          <w:trHeight w:val="585" w:hRule="atLeast"/>
        </w:trPr>
        <w:tc>
          <w:tcPr>
            <w:tcW w:w="48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2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2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108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3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0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44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44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rPr>
          <w:trHeight w:val="585" w:hRule="atLeast"/>
        </w:trPr>
        <w:tc>
          <w:tcPr>
            <w:tcW w:w="48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2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2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108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3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0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2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44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44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rPr>
          <w:trHeight w:val="585" w:hRule="atLeast"/>
        </w:trPr>
        <w:tc>
          <w:tcPr>
            <w:tcW w:w="486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2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2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108" w:type="dxa"/>
            <w:vAlign w:val="top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Cs w:val="21"/>
              </w:rPr>
              <w:t>合 计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702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44" w:type="dxa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6" w:type="dxa"/>
            <w:vAlign w:val="top"/>
          </w:tcPr>
          <w:p>
            <w:pPr>
              <w:widowControl/>
              <w:jc w:val="righ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表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eastAsia="zh-CN"/>
        </w:rPr>
        <w:t>八</w:t>
      </w:r>
    </w:p>
    <w:p>
      <w:pPr>
        <w:widowControl/>
        <w:jc w:val="center"/>
        <w:outlineLvl w:val="1"/>
        <w:rPr>
          <w:rFonts w:ascii="方正小标宋_GBK" w:hAnsi="方正小标宋_GBK" w:eastAsia="方正小标宋_GBK" w:cs="方正小标宋_GBK"/>
          <w:bCs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2"/>
          <w:szCs w:val="32"/>
        </w:rPr>
        <w:t>一般公共预算“三公”经费支出情况表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单位</w:t>
      </w:r>
      <w:r>
        <w:rPr>
          <w:rFonts w:hint="eastAsia" w:ascii="仿宋_GB2312" w:hAnsi="宋体" w:eastAsia="仿宋_GB2312"/>
          <w:kern w:val="0"/>
          <w:sz w:val="24"/>
        </w:rPr>
        <w:t xml:space="preserve">：昌吉州文化市场综合执法队                   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kern w:val="0"/>
          <w:sz w:val="24"/>
        </w:rPr>
        <w:t xml:space="preserve">   单位：万元</w:t>
      </w:r>
    </w:p>
    <w:tbl>
      <w:tblPr>
        <w:tblW w:w="9240" w:type="dxa"/>
        <w:tblInd w:w="-1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4.38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4.38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4.38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0</w:t>
            </w:r>
          </w:p>
        </w:tc>
      </w:tr>
      <w:tr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</w:p>
    <w:p>
      <w:pPr>
        <w:widowControl/>
        <w:jc w:val="left"/>
        <w:textAlignment w:val="bottom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表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eastAsia="zh-CN"/>
        </w:rPr>
        <w:t>九</w:t>
      </w:r>
    </w:p>
    <w:p>
      <w:pPr>
        <w:widowControl/>
        <w:spacing w:line="360" w:lineRule="exact"/>
        <w:jc w:val="center"/>
        <w:outlineLvl w:val="1"/>
        <w:rPr>
          <w:rFonts w:ascii="方正小标宋_GBK" w:hAnsi="方正小标宋_GBK" w:eastAsia="方正小标宋_GBK" w:cs="方正小标宋_GBK"/>
          <w:bCs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2"/>
          <w:szCs w:val="32"/>
        </w:rPr>
        <w:t>政府性基金预算支出情况表</w:t>
      </w:r>
    </w:p>
    <w:p>
      <w:pPr>
        <w:widowControl/>
        <w:spacing w:line="280" w:lineRule="exac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单位</w:t>
      </w:r>
      <w:r>
        <w:rPr>
          <w:rFonts w:hint="eastAsia" w:ascii="仿宋_GB2312" w:hAnsi="宋体" w:eastAsia="仿宋_GB2312"/>
          <w:kern w:val="0"/>
          <w:sz w:val="24"/>
        </w:rPr>
        <w:t xml:space="preserve">：昌吉州文化市场综合执法队                  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 xml:space="preserve">        </w:t>
      </w:r>
      <w:r>
        <w:rPr>
          <w:rFonts w:hint="eastAsia" w:ascii="仿宋_GB2312" w:hAnsi="宋体" w:eastAsia="仿宋_GB2312"/>
          <w:kern w:val="0"/>
          <w:sz w:val="24"/>
        </w:rPr>
        <w:t xml:space="preserve">   单位：万元</w:t>
      </w:r>
    </w:p>
    <w:tbl>
      <w:tblPr>
        <w:tblW w:w="9214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699"/>
        <w:gridCol w:w="2544"/>
        <w:gridCol w:w="1669"/>
        <w:gridCol w:w="1701"/>
        <w:gridCol w:w="1559"/>
      </w:tblGrid>
      <w:tr>
        <w:trPr>
          <w:trHeight w:val="465" w:hRule="atLeast"/>
        </w:trPr>
        <w:tc>
          <w:tcPr>
            <w:tcW w:w="4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9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rPr>
          <w:trHeight w:val="36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4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6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合 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5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spacing w:line="280" w:lineRule="exac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备注：我单位无政府性基金预算，此表为空表。</w:t>
      </w:r>
    </w:p>
    <w:p>
      <w:pPr>
        <w:widowControl/>
        <w:spacing w:line="280" w:lineRule="exact"/>
        <w:jc w:val="left"/>
        <w:outlineLvl w:val="1"/>
        <w:sectPr>
          <w:footerReference r:id="rId5" w:type="default"/>
          <w:pgSz w:w="11906" w:h="16838"/>
          <w:pgMar w:top="2098" w:right="1531" w:bottom="1984" w:left="1531" w:header="851" w:footer="992" w:gutter="0"/>
          <w:pgNumType w:fmt="numberInDash" w:start="56"/>
          <w:cols w:space="720" w:num="1"/>
          <w:docGrid w:linePitch="312"/>
        </w:sectPr>
      </w:pP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第三部分  2022年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单位</w:t>
      </w:r>
      <w:r>
        <w:rPr>
          <w:rFonts w:hint="eastAsia" w:ascii="黑体" w:hAnsi="黑体" w:eastAsia="黑体"/>
          <w:kern w:val="0"/>
          <w:sz w:val="32"/>
          <w:szCs w:val="32"/>
        </w:rPr>
        <w:t>预算情况说明</w:t>
      </w:r>
    </w:p>
    <w:p>
      <w:pPr>
        <w:spacing w:line="560" w:lineRule="exact"/>
        <w:ind w:firstLine="640" w:firstLineChars="200"/>
        <w:rPr>
          <w:rFonts w:ascii="黑体" w:hAnsi="黑体" w:eastAsia="黑体"/>
          <w:kern w:val="0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一、关于昌吉州文化市场综合执法队2022年收支预算情况的总体说明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按照全口径预算的原则，昌吉州文化市场综合执法队2022年所有收入和支出均纳入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预算管理。收支总预算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246.40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支出预算包括：文化旅游体育与传媒支出。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二、关于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昌吉州文化市场综合执法队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2022年收入预算情况说明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昌吉州文化市场综合执法队收入预算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246.40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246.40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%，比上年预算减少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57.56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18.94%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：在职人员减少4人，人员经费和公用经费等预算安排相应减少；    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三、关于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昌吉州文化市场综合执法队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2022年支出预算情况说明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昌吉州文化市场综合执法队2022年支出预算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246.40万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元，其中：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216.40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87.82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%，比上年预算减少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57.56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21.01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因是：在职人员减少4人，人员经费和公用经费等预算安排相应减少。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12.18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%，比上年预算增加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：该项目为持续性项目，项目支出预算与上年保持一致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四、关于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昌吉州文化市场综合执法队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2022年财政拨款收支预算情况的总体说明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昌吉州文化市场综合执法队2022年财政拨款收支总预算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246.40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16" w:firstLineChars="200"/>
        <w:rPr>
          <w:rFonts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收入全部为一般公共预算拨款，无政府性基金预算拨款和国有资本经营预算。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收入预算包括：一般公共预算拨款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246.40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一般公共预算支出包括：文化旅游体育与传媒支出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246.40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万元，主要用于单位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人员经费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和公用经费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及执法业务经费等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支出。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五、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  <w:t>关于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昌吉州文化市场综合执法队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  <w:t>2022年一般公共预算当年拨款情况说明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（一）一般公共预算当年拨款规模变化情况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昌吉州文化市场综合执法队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2022年一般公共预算拨款合计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246.40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万元，其中：基本支出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216.40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万元，比上年预算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57.56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21.01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因是：在职人员减少4人，人员经费和公用经费预算安排相应减少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万元，比上年预算增加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该项目为持续性项目，项目支出预算与上年保持一致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（二）一般公共预算当年拨款结构情况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文化旅游体育与传媒支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246.40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（三）一般公共预算当年拨款具体使用情况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1.文化旅游体育与传媒支（类）文化和旅游（</w:t>
      </w:r>
      <w:r>
        <w:rPr>
          <w:rFonts w:ascii="仿宋_GB2312" w:hAnsi="宋体" w:eastAsia="仿宋_GB2312" w:cs="宋体"/>
          <w:kern w:val="0"/>
          <w:sz w:val="32"/>
          <w:szCs w:val="32"/>
        </w:rPr>
        <w:t>款）</w:t>
      </w:r>
      <w:r>
        <w:rPr>
          <w:rFonts w:hint="eastAsia" w:ascii="仿宋_GB2312" w:eastAsia="仿宋_GB2312"/>
          <w:sz w:val="32"/>
          <w:szCs w:val="32"/>
        </w:rPr>
        <w:t>行政运行</w:t>
      </w:r>
      <w:r>
        <w:rPr>
          <w:rFonts w:ascii="仿宋_GB2312" w:hAnsi="宋体" w:eastAsia="仿宋_GB2312" w:cs="宋体"/>
          <w:kern w:val="0"/>
          <w:sz w:val="32"/>
          <w:szCs w:val="32"/>
        </w:rPr>
        <w:t>（项）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202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216.40</w:t>
      </w:r>
      <w:r>
        <w:rPr>
          <w:rFonts w:hint="eastAsia" w:ascii="仿宋_GB2312" w:eastAsia="仿宋_GB2312"/>
          <w:sz w:val="32"/>
          <w:szCs w:val="32"/>
          <w:highlight w:val="none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比上年预算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12.05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下降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5.28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%，主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在职人员减少，人员经费和公用经费预算安排相应减少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2.文化旅游体育与传媒支（类）文化和旅游（</w:t>
      </w:r>
      <w:r>
        <w:rPr>
          <w:rFonts w:ascii="仿宋_GB2312" w:hAnsi="宋体" w:eastAsia="仿宋_GB2312" w:cs="宋体"/>
          <w:kern w:val="0"/>
          <w:sz w:val="32"/>
          <w:szCs w:val="32"/>
        </w:rPr>
        <w:t>款）</w:t>
      </w:r>
      <w:r>
        <w:rPr>
          <w:rFonts w:hint="eastAsia" w:ascii="仿宋_GB2312" w:eastAsia="仿宋_GB2312"/>
          <w:sz w:val="32"/>
          <w:szCs w:val="32"/>
        </w:rPr>
        <w:t>文化和旅游市场管理</w:t>
      </w:r>
      <w:r>
        <w:rPr>
          <w:rFonts w:ascii="仿宋_GB2312" w:hAnsi="宋体" w:eastAsia="仿宋_GB2312" w:cs="宋体"/>
          <w:kern w:val="0"/>
          <w:sz w:val="32"/>
          <w:szCs w:val="32"/>
        </w:rPr>
        <w:t>（项）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eastAsia="仿宋_GB2312"/>
          <w:sz w:val="32"/>
          <w:szCs w:val="32"/>
        </w:rPr>
        <w:t>30万元，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比上年预算增加0万元，增长0%，主要原因是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：该项目为持续性项目，项目支出预算与上年保持一致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六、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  <w:t>关于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昌吉州文化市场综合执法队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  <w:t>2022年一般公共预算基本支出情况说明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昌吉州文化市场综合执法队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2022年一般公共预算基本支出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216.40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万元， 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197.7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万元，主要包括：基本工资、津贴补贴、奖金、机关事业单位基本养老保险缴费、职工基本医疗保险缴费、公务员医疗补助缴费、其他社会保障缴费、住房公积金、离休费、医疗费补助、奖励金。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18.70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万元，主要包括：办公费、邮电费、差旅费、维修（护）费、委托业务费、工会经费、福利费、公务用车运行维护费、其他商品和服务支出。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七、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  <w:t>关于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昌吉州文化市场综合执法队</w:t>
      </w: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32"/>
          <w:szCs w:val="32"/>
        </w:rPr>
        <w:t>2022年一般公共预算项目支出情况说明</w:t>
      </w:r>
    </w:p>
    <w:p>
      <w:pPr>
        <w:spacing w:line="560" w:lineRule="exact"/>
        <w:ind w:firstLine="643" w:firstLineChars="200"/>
        <w:rPr>
          <w:rFonts w:ascii="仿宋_GB2312" w:hAnsi="黑体" w:eastAsia="仿宋_GB2312"/>
          <w:b/>
          <w:bCs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项目</w:t>
      </w:r>
      <w:r>
        <w:rPr>
          <w:rFonts w:ascii="仿宋_GB2312" w:hAnsi="黑体" w:eastAsia="仿宋_GB2312"/>
          <w:b/>
          <w:bCs/>
          <w:sz w:val="32"/>
          <w:szCs w:val="32"/>
        </w:rPr>
        <w:t>名称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>：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文化市场管理项目经费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《文化市场管理办法》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完成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文物、出版、广播电视、电影、旅游市场行政执法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工作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责，承担“扫黄打非”有关工作任务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/>
          <w:sz w:val="32"/>
          <w:szCs w:val="32"/>
        </w:rPr>
        <w:t>工作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经费</w:t>
      </w:r>
      <w:r>
        <w:rPr>
          <w:rFonts w:hint="eastAsia" w:ascii="仿宋_GB2312" w:hAnsi="黑体" w:eastAsia="仿宋_GB2312"/>
          <w:sz w:val="32"/>
          <w:szCs w:val="32"/>
        </w:rPr>
        <w:t>30</w:t>
      </w:r>
      <w:r>
        <w:rPr>
          <w:rFonts w:ascii="仿宋_GB2312" w:hAnsi="黑体" w:eastAsia="仿宋_GB2312"/>
          <w:sz w:val="32"/>
          <w:szCs w:val="32"/>
        </w:rPr>
        <w:t>万元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昌吉回族自治州文化市场综合执法队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纳入本年度</w:t>
      </w:r>
      <w:r>
        <w:rPr>
          <w:rFonts w:ascii="仿宋_GB2312" w:hAnsi="黑体" w:eastAsia="仿宋_GB2312"/>
          <w:sz w:val="32"/>
          <w:szCs w:val="32"/>
        </w:rPr>
        <w:t>财政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预算</w:t>
      </w:r>
      <w:r>
        <w:rPr>
          <w:rFonts w:hint="eastAsia" w:ascii="仿宋_GB2312" w:hAnsi="黑体" w:eastAsia="仿宋_GB2312"/>
          <w:sz w:val="32"/>
          <w:szCs w:val="32"/>
        </w:rPr>
        <w:t>30</w:t>
      </w:r>
      <w:r>
        <w:rPr>
          <w:rFonts w:ascii="仿宋_GB2312" w:hAnsi="黑体" w:eastAsia="仿宋_GB2312"/>
          <w:sz w:val="32"/>
          <w:szCs w:val="32"/>
        </w:rPr>
        <w:t>万元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，其中：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文化市场各类执法培训2万元，文化市场各类执法检查、各类执法宣传及法律咨询委托费6.6万元，保障文化市场办公及执法检查正常运转21.4万元。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年1月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1日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-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2022年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12月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31日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八、关于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昌吉州文化市场综合执法队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2022年一般公共预算“三公”经费预算情况说明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昌吉州文化市场综合执法队2022年一般公共预算“三公”经费数为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4.38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万元，公务用车购置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万元，公务用车运行费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4.38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2022年一般公共预算“三公”经费比上年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%，其中：因公出国（境）费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未安排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因公出国（境）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；公务用车购置费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未安排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公务用车购置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；公务用车运行费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4.38万元，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：单位增加车辆编制，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公务用车运行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费用增加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未安排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公务接待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九、关于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昌吉州文化市场综合执法队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2022年政府性基金预算拨款情况说明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昌吉州文化市场综合执法队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2022年没有使用政府性基金预算拨款安排的支出，政府性基金预算支出情况表为空表。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十、其他重要事项的情况说明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（一）机关运行经费情况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昌吉州文化市场综合执法队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机关运行经费财政拨款预算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18.70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万元，比上年预算减少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5.09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21.39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%。主要原因是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在职人员减少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4人，机关运行经费减少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（二）政府采购情况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昌吉州文化市场综合执法队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政府采购预算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36.36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万元，其中：政府采购货物预算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8.26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万元，政府采购工程预算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万元，政府采购服务预算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28.10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</w:rPr>
        <w:t>2022年度本部门面向中小企业预留政府采购项目预算金额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36.36</w:t>
      </w:r>
      <w:r>
        <w:rPr>
          <w:rFonts w:hint="eastAsia" w:ascii="仿宋_GB2312" w:hAnsi="仿宋_GB2312" w:eastAsia="仿宋_GB2312" w:cs="仿宋_GB2312"/>
          <w:sz w:val="32"/>
        </w:rPr>
        <w:t>万元，其中：面向小微企业预留政府采购项目预算金额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36.35</w:t>
      </w:r>
      <w:r>
        <w:rPr>
          <w:rFonts w:hint="eastAsia" w:ascii="仿宋_GB2312" w:hAnsi="仿宋_GB2312" w:eastAsia="仿宋_GB2312" w:cs="仿宋_GB2312"/>
          <w:sz w:val="32"/>
        </w:rPr>
        <w:t>万元。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（三）国有资产占用使用情况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截至2021年底，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昌吉州文化市场综合执法队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及下属各预算单位占用使用国有资产总体情况为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1.房屋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平方米，价值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2.车辆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辆，价值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万元；其中：一般公务用车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辆，价值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万元；执法执勤用车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辆，价值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万元；其他车辆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辆，价值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3.办公家具价值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6.96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4.其他资产价值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9.38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单位价值50万元以上大型设备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台（套），单位价值100万元以上大型设备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台（套）。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预算未安排购置车辆经费，安排购置50万元以上大型设备0台（套），单位价值100万元以上大型设备0台（套）。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（四）预算绩效情况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2022年，本年度预算绩效管理的财政拨款项目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个，涉及预算金额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万元。具体情况见下表（按项目分别填报）：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tbl>
      <w:tblPr>
        <w:tblpPr w:leftFromText="180" w:rightFromText="180" w:vertAnchor="text" w:horzAnchor="page" w:tblpX="1384" w:tblpY="449"/>
        <w:tblOverlap w:val="never"/>
        <w:tblW w:w="89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1"/>
        <w:gridCol w:w="1206"/>
        <w:gridCol w:w="318"/>
        <w:gridCol w:w="906"/>
        <w:gridCol w:w="1476"/>
        <w:gridCol w:w="1039"/>
        <w:gridCol w:w="1481"/>
        <w:gridCol w:w="1183"/>
      </w:tblGrid>
      <w:tr>
        <w:trPr>
          <w:trHeight w:val="327" w:hRule="atLeast"/>
        </w:trPr>
        <w:tc>
          <w:tcPr>
            <w:tcW w:w="898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80" w:lineRule="exact"/>
              <w:jc w:val="center"/>
              <w:textAlignment w:val="bottom"/>
              <w:rPr>
                <w:rFonts w:ascii="仿宋_GB2312" w:hAnsi="宋体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rPr>
          <w:trHeight w:val="327" w:hRule="atLeast"/>
        </w:trPr>
        <w:tc>
          <w:tcPr>
            <w:tcW w:w="898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480" w:lineRule="exact"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（202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年）</w:t>
            </w:r>
          </w:p>
        </w:tc>
      </w:tr>
      <w:tr>
        <w:trPr>
          <w:trHeight w:val="500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39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昌吉州文化市场综合执法队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文化市场管理项目经费</w:t>
            </w:r>
          </w:p>
        </w:tc>
      </w:tr>
      <w:tr>
        <w:trPr>
          <w:trHeight w:val="540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4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</w:tr>
      <w:tr>
        <w:trPr>
          <w:trHeight w:val="652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760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目标1：开展各类文化市场执法检查，净化文化市场。目标2：举办各类文化市场执法培训，提高从业人员执法业务水平。目标3：积极开展文化市场宣传教育，弘扬正能量。</w:t>
            </w:r>
          </w:p>
        </w:tc>
      </w:tr>
      <w:tr>
        <w:trPr>
          <w:trHeight w:val="480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rPr>
          <w:trHeight w:val="440" w:hRule="atLeast"/>
        </w:trPr>
        <w:tc>
          <w:tcPr>
            <w:tcW w:w="13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开展文化市场各类执法检查及宣传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&gt;=10次</w:t>
            </w:r>
          </w:p>
        </w:tc>
      </w:tr>
      <w:tr>
        <w:trPr>
          <w:trHeight w:val="440" w:hRule="atLeast"/>
        </w:trPr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开展保障文化市场正常运转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&gt;=12次</w:t>
            </w:r>
          </w:p>
        </w:tc>
      </w:tr>
      <w:tr>
        <w:trPr>
          <w:trHeight w:val="440" w:hRule="atLeast"/>
        </w:trPr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举办全州执法人员培训班数量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&gt;=1次</w:t>
            </w:r>
          </w:p>
        </w:tc>
      </w:tr>
      <w:tr>
        <w:trPr>
          <w:trHeight w:val="440" w:hRule="atLeast"/>
        </w:trPr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开展文化市场各类执法检查完成率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&gt;=95%</w:t>
            </w:r>
          </w:p>
        </w:tc>
      </w:tr>
      <w:tr>
        <w:trPr>
          <w:trHeight w:val="440" w:hRule="atLeast"/>
        </w:trPr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开展文化市场各类执法宣传完成率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&gt;=95%</w:t>
            </w:r>
          </w:p>
        </w:tc>
      </w:tr>
      <w:tr>
        <w:trPr>
          <w:trHeight w:val="440" w:hRule="atLeast"/>
        </w:trPr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开展保障文化市场正常运转完成率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&gt;=95%</w:t>
            </w:r>
          </w:p>
        </w:tc>
      </w:tr>
      <w:tr>
        <w:trPr>
          <w:trHeight w:val="440" w:hRule="atLeast"/>
        </w:trPr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举办全州执法人员培训班完成率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&gt;=95%</w:t>
            </w:r>
          </w:p>
        </w:tc>
      </w:tr>
      <w:tr>
        <w:trPr>
          <w:trHeight w:val="440" w:hRule="atLeast"/>
        </w:trPr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文化市场各类执法检查及各类执法宣传的及时率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=100%</w:t>
            </w:r>
          </w:p>
        </w:tc>
      </w:tr>
      <w:tr>
        <w:trPr>
          <w:trHeight w:val="440" w:hRule="atLeast"/>
        </w:trPr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文化市场培训完成及时率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=100%</w:t>
            </w:r>
          </w:p>
        </w:tc>
      </w:tr>
      <w:tr>
        <w:trPr>
          <w:trHeight w:val="440" w:hRule="atLeast"/>
        </w:trPr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文化市场各类执法培训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&lt;=2万元</w:t>
            </w:r>
          </w:p>
        </w:tc>
      </w:tr>
      <w:tr>
        <w:trPr>
          <w:trHeight w:val="440" w:hRule="atLeast"/>
        </w:trPr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文化市场各类执法检查、各类执法宣传及法律咨询委托费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&lt;=6.6万元</w:t>
            </w:r>
          </w:p>
        </w:tc>
      </w:tr>
      <w:tr>
        <w:trPr>
          <w:trHeight w:val="440" w:hRule="atLeast"/>
        </w:trPr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保障文化市场办公及执法检查正常运转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&lt;=21.4万元</w:t>
            </w:r>
          </w:p>
        </w:tc>
      </w:tr>
      <w:tr>
        <w:trPr>
          <w:trHeight w:val="294" w:hRule="atLeast"/>
        </w:trPr>
        <w:tc>
          <w:tcPr>
            <w:tcW w:w="13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rPr>
          <w:trHeight w:val="440" w:hRule="atLeast"/>
        </w:trPr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文化市场得到有效整治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有一定增强</w:t>
            </w:r>
          </w:p>
        </w:tc>
      </w:tr>
      <w:tr>
        <w:trPr>
          <w:trHeight w:val="440" w:hRule="atLeast"/>
        </w:trPr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rPr>
          <w:trHeight w:val="440" w:hRule="atLeast"/>
        </w:trPr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持续开展文化市场检查，大力整治文化市场，净化市场环境。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持续净化</w:t>
            </w:r>
          </w:p>
        </w:tc>
      </w:tr>
      <w:tr>
        <w:trPr>
          <w:trHeight w:val="440" w:hRule="atLeast"/>
        </w:trPr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rPr>
          <w:trHeight w:val="440" w:hRule="atLeast"/>
        </w:trPr>
        <w:tc>
          <w:tcPr>
            <w:tcW w:w="13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群众满意度（%）</w:t>
            </w: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&gt;=85%</w:t>
            </w:r>
          </w:p>
        </w:tc>
      </w:tr>
      <w:tr>
        <w:trPr>
          <w:trHeight w:val="440" w:hRule="atLeast"/>
        </w:trPr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>
      <w:pPr>
        <w:spacing w:line="60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无其他需要说明的事项。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指由一般公共预算、政府性基金预算、国有资本经营预算安排的财政拨款数。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包括公共财政拨款（补助）资金、专项收入。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三、财政专户管理资金：</w:t>
      </w:r>
      <w:r>
        <w:rPr>
          <w:rFonts w:hint="eastAsia" w:ascii="仿宋_GB2312" w:eastAsia="仿宋_GB2312"/>
          <w:sz w:val="32"/>
          <w:szCs w:val="32"/>
        </w:rPr>
        <w:t>包括专户管理行政事业性收费（主要是教育收费）、其他非税收入。</w:t>
      </w:r>
    </w:p>
    <w:p>
      <w:pPr>
        <w:spacing w:line="560" w:lineRule="exact"/>
        <w:ind w:firstLine="643" w:firstLineChars="200"/>
        <w:rPr>
          <w:rFonts w:ascii="仿宋_GB2312" w:eastAsia="仿宋_GB2312"/>
          <w:spacing w:val="-17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四、其他资金：</w:t>
      </w:r>
      <w:r>
        <w:rPr>
          <w:rFonts w:hint="eastAsia" w:ascii="仿宋_GB2312" w:eastAsia="仿宋_GB2312"/>
          <w:spacing w:val="-17"/>
          <w:sz w:val="32"/>
          <w:szCs w:val="32"/>
        </w:rPr>
        <w:t>包括事业收入、事业经营收入、其他收入等。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五、基本支出：</w:t>
      </w:r>
      <w:r>
        <w:rPr>
          <w:rFonts w:hint="eastAsia" w:ascii="仿宋_GB2312" w:eastAsia="仿宋_GB2312"/>
          <w:sz w:val="32"/>
          <w:szCs w:val="32"/>
        </w:rPr>
        <w:t>包括人员经费、公用经费（定额）。其中，人员经费包括工资福利支出、对个人和家庭的补助。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六、项目支出：</w:t>
      </w:r>
      <w:r>
        <w:rPr>
          <w:rFonts w:hint="eastAsia" w:ascii="仿宋_GB2312" w:eastAsia="仿宋_GB2312"/>
          <w:sz w:val="32"/>
          <w:szCs w:val="32"/>
        </w:rPr>
        <w:t>部门支出预算的组成部分，是自治</w:t>
      </w:r>
      <w:r>
        <w:rPr>
          <w:rFonts w:hint="eastAsia" w:ascii="仿宋_GB2312" w:eastAsia="仿宋_GB2312"/>
          <w:sz w:val="32"/>
          <w:szCs w:val="32"/>
          <w:lang w:eastAsia="zh-CN"/>
        </w:rPr>
        <w:t>州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本级部门为完成其特定的行政任务或事业发展目标，在基本支出预算之外编制的年度项目支出计划。</w:t>
      </w:r>
    </w:p>
    <w:p>
      <w:pPr>
        <w:spacing w:line="560" w:lineRule="exact"/>
        <w:ind w:firstLine="643" w:firstLineChars="200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七、“三公”经费：</w:t>
      </w:r>
      <w:r>
        <w:rPr>
          <w:rFonts w:hint="eastAsia" w:ascii="仿宋_GB2312" w:eastAsia="仿宋_GB2312"/>
          <w:sz w:val="32"/>
          <w:szCs w:val="32"/>
        </w:rPr>
        <w:t>指自治</w:t>
      </w:r>
      <w:r>
        <w:rPr>
          <w:rFonts w:hint="eastAsia" w:ascii="仿宋_GB2312" w:eastAsia="仿宋_GB2312"/>
          <w:sz w:val="32"/>
          <w:szCs w:val="32"/>
          <w:lang w:eastAsia="zh-CN"/>
        </w:rPr>
        <w:t>州</w:t>
      </w:r>
      <w:r>
        <w:rPr>
          <w:rFonts w:hint="eastAsia" w:ascii="仿宋_GB2312" w:eastAsia="仿宋_GB2312"/>
          <w:sz w:val="32"/>
          <w:szCs w:val="32"/>
        </w:rPr>
        <w:t>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</w:t>
      </w:r>
      <w:r>
        <w:rPr>
          <w:rFonts w:hint="eastAsia" w:ascii="仿宋_GB2312" w:eastAsia="仿宋_GB2312"/>
          <w:spacing w:val="-11"/>
          <w:sz w:val="32"/>
          <w:szCs w:val="32"/>
        </w:rPr>
        <w:t>务接待费指单位按规定开支的各类公务接待（含外宾接待）支出。</w:t>
      </w:r>
    </w:p>
    <w:p>
      <w:pPr>
        <w:spacing w:line="560" w:lineRule="exact"/>
        <w:ind w:firstLine="643" w:firstLineChars="200"/>
        <w:rPr>
          <w:rFonts w:ascii="仿宋_GB2312" w:eastAsia="仿宋_GB2312"/>
          <w:spacing w:val="-11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八、机关运行经费：</w:t>
      </w:r>
      <w:r>
        <w:rPr>
          <w:rFonts w:hint="eastAsia" w:ascii="仿宋_GB2312" w:eastAsia="仿宋_GB2312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</w:t>
      </w:r>
      <w:r>
        <w:rPr>
          <w:rFonts w:hint="eastAsia" w:ascii="仿宋_GB2312" w:eastAsia="仿宋_GB2312"/>
          <w:spacing w:val="-11"/>
          <w:sz w:val="32"/>
          <w:szCs w:val="32"/>
        </w:rPr>
        <w:t>取暖费、办公用房物业管理费、公务用车运行维护费及其他费用。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昌吉州文化市场综合执法队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2022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12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9" w:usb3="00000000" w:csb0="0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7"/>
      <w:jc w:val="right"/>
      <w:rPr>
        <w:rFonts w:ascii="宋体" w:hAnsi="宋体"/>
        <w:sz w:val="28"/>
        <w:szCs w:val="28"/>
      </w:rPr>
    </w:pP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7"/>
      <w:jc w:val="right"/>
      <w:rPr>
        <w:rFonts w:ascii="宋体" w:hAnsi="宋体"/>
        <w:sz w:val="28"/>
        <w:szCs w:val="28"/>
      </w:rPr>
    </w:pP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3"/>
    <w:pPr>
      <w:ind w:left="1277"/>
      <w:outlineLvl w:val="1"/>
    </w:pPr>
    <w:rPr>
      <w:rFonts w:ascii="仿宋_GB2312" w:hAnsi="仿宋_GB2312" w:eastAsia="仿宋_GB2312" w:cs="仿宋_GB2312"/>
      <w:b/>
      <w:bCs/>
      <w:sz w:val="32"/>
      <w:szCs w:val="32"/>
      <w:lang w:val="zh-CN" w:bidi="zh-CN"/>
    </w:rPr>
  </w:style>
  <w:style w:type="character" w:default="1" w:styleId="4">
    <w:name w:val="Default Paragraph Font"/>
  </w:style>
  <w:style w:type="character" w:customStyle="1" w:styleId="3">
    <w:name w:val="标题 2 Char"/>
    <w:basedOn w:val="4"/>
    <w:link w:val="2"/>
    <w:semiHidden/>
    <w:rPr>
      <w:rFonts w:ascii="仿宋_GB2312" w:hAnsi="仿宋_GB2312" w:eastAsia="仿宋_GB2312" w:cs="仿宋_GB2312"/>
      <w:b/>
      <w:bCs/>
      <w:sz w:val="32"/>
      <w:szCs w:val="32"/>
      <w:lang w:val="zh-CN" w:bidi="zh-CN"/>
    </w:rPr>
  </w:style>
  <w:style w:type="paragraph" w:styleId="5">
    <w:name w:val="Body Text"/>
    <w:basedOn w:val="1"/>
    <w:link w:val="6"/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character" w:customStyle="1" w:styleId="6">
    <w:name w:val="正文文本 Char"/>
    <w:basedOn w:val="4"/>
    <w:link w:val="5"/>
    <w:semiHidden/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paragraph" w:styleId="7">
    <w:name w:val="footer"/>
    <w:basedOn w:val="1"/>
    <w:link w:val="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页脚 Char"/>
    <w:basedOn w:val="4"/>
    <w:link w:val="7"/>
    <w:semiHidden/>
    <w:rPr>
      <w:sz w:val="18"/>
      <w:szCs w:val="18"/>
    </w:rPr>
  </w:style>
  <w:style w:type="paragraph" w:styleId="9">
    <w:name w:val="header"/>
    <w:basedOn w:val="1"/>
    <w:link w:val="1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4"/>
    <w:link w:val="9"/>
    <w:semiHidden/>
    <w:rPr>
      <w:sz w:val="18"/>
      <w:szCs w:val="18"/>
    </w:rPr>
  </w:style>
  <w:style w:type="paragraph" w:customStyle="1" w:styleId="11">
    <w:name w:val="f1"/>
    <w:basedOn w:val="1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2">
    <w:name w:val="page number"/>
    <w:basedOn w:val="4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22</Pages>
  <Words>6052</Words>
  <Characters>7038</Characters>
  <Lines>69</Lines>
  <Paragraphs>19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2022-02-13T03:16:00Z</dcterms:created>
  <dc:creator>闫超</dc:creator>
  <dcterms:modified xsi:type="dcterms:W3CDTF">2022-04-19T16:43:50Z</dcterms:modified>
  <dc:title>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  <property fmtid="{D5CDD505-2E9C-101B-9397-08002B2CF9AE}" pid="3" name="ICV">
    <vt:lpwstr>AB0CD91E33F844E99CDB19FBD912C214</vt:lpwstr>
  </property>
</Properties>
</file>