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highlight w:val="none"/>
        </w:rPr>
      </w:pPr>
      <w:r>
        <w:rPr>
          <w:rFonts w:hint="eastAsia" w:ascii="黑体" w:hAnsi="黑体" w:eastAsia="黑体"/>
          <w:sz w:val="32"/>
          <w:szCs w:val="32"/>
          <w:highlight w:val="none"/>
        </w:rPr>
        <w:t>附件</w:t>
      </w:r>
      <w:r>
        <w:rPr>
          <w:rFonts w:ascii="黑体" w:hAnsi="黑体" w:eastAsia="黑体"/>
          <w:sz w:val="32"/>
          <w:szCs w:val="32"/>
          <w:highlight w:val="none"/>
        </w:rPr>
        <w:t>3</w:t>
      </w:r>
      <w:r>
        <w:rPr>
          <w:rFonts w:hint="eastAsia" w:ascii="黑体" w:hAnsi="黑体" w:eastAsia="黑体"/>
          <w:sz w:val="32"/>
          <w:szCs w:val="32"/>
          <w:highlight w:val="none"/>
        </w:rPr>
        <w:t>：</w:t>
      </w:r>
    </w:p>
    <w:p>
      <w:pPr>
        <w:widowControl/>
        <w:spacing w:before="100" w:beforeAutospacing="1" w:after="100" w:afterAutospacing="1"/>
        <w:jc w:val="center"/>
        <w:outlineLvl w:val="1"/>
        <w:rPr>
          <w:rFonts w:ascii="方正小标宋_GBK" w:hAnsi="宋体" w:eastAsia="方正小标宋_GBK"/>
          <w:kern w:val="0"/>
          <w:sz w:val="44"/>
          <w:szCs w:val="44"/>
          <w:highlight w:val="none"/>
        </w:rPr>
      </w:pPr>
    </w:p>
    <w:p>
      <w:pPr>
        <w:widowControl/>
        <w:spacing w:before="100" w:beforeAutospacing="1" w:after="100" w:afterAutospacing="1"/>
        <w:jc w:val="center"/>
        <w:outlineLvl w:val="1"/>
        <w:rPr>
          <w:rFonts w:ascii="方正小标宋_GBK" w:hAnsi="宋体" w:eastAsia="方正小标宋_GBK"/>
          <w:kern w:val="0"/>
          <w:sz w:val="44"/>
          <w:szCs w:val="44"/>
          <w:highlight w:val="none"/>
        </w:rPr>
      </w:pPr>
    </w:p>
    <w:p>
      <w:pPr>
        <w:widowControl/>
        <w:spacing w:before="100" w:beforeAutospacing="1" w:after="100" w:afterAutospacing="1"/>
        <w:jc w:val="center"/>
        <w:outlineLvl w:val="1"/>
        <w:rPr>
          <w:rFonts w:hint="eastAsia" w:ascii="方正小标宋_GBK" w:hAnsi="宋体" w:eastAsia="方正小标宋_GBK"/>
          <w:kern w:val="0"/>
          <w:sz w:val="44"/>
          <w:szCs w:val="44"/>
          <w:highlight w:val="none"/>
        </w:rPr>
      </w:pPr>
      <w:r>
        <w:rPr>
          <w:rFonts w:hint="eastAsia" w:ascii="方正小标宋_GBK" w:hAnsi="宋体" w:eastAsia="方正小标宋_GBK"/>
          <w:kern w:val="0"/>
          <w:sz w:val="44"/>
          <w:szCs w:val="44"/>
          <w:highlight w:val="none"/>
        </w:rPr>
        <w:t>昌吉州发展和改革委员会2022年</w:t>
      </w:r>
    </w:p>
    <w:p>
      <w:pPr>
        <w:widowControl/>
        <w:spacing w:before="100" w:beforeAutospacing="1" w:after="100" w:afterAutospacing="1"/>
        <w:jc w:val="center"/>
        <w:outlineLvl w:val="1"/>
        <w:rPr>
          <w:rFonts w:ascii="方正小标宋_GBK" w:hAnsi="宋体" w:eastAsia="方正小标宋_GBK"/>
          <w:kern w:val="0"/>
          <w:sz w:val="44"/>
          <w:szCs w:val="44"/>
          <w:highlight w:val="none"/>
        </w:rPr>
      </w:pPr>
      <w:r>
        <w:rPr>
          <w:rFonts w:hint="eastAsia" w:ascii="方正小标宋_GBK" w:hAnsi="宋体" w:eastAsia="方正小标宋_GBK"/>
          <w:kern w:val="0"/>
          <w:sz w:val="44"/>
          <w:szCs w:val="44"/>
          <w:highlight w:val="none"/>
          <w:lang w:eastAsia="zh-CN"/>
        </w:rPr>
        <w:t>部门</w:t>
      </w:r>
      <w:r>
        <w:rPr>
          <w:rFonts w:hint="eastAsia" w:ascii="方正小标宋_GBK" w:hAnsi="宋体" w:eastAsia="方正小标宋_GBK"/>
          <w:kern w:val="0"/>
          <w:sz w:val="44"/>
          <w:szCs w:val="44"/>
          <w:highlight w:val="none"/>
        </w:rPr>
        <w:t>预算公开</w:t>
      </w:r>
    </w:p>
    <w:p>
      <w:pPr>
        <w:widowControl/>
        <w:spacing w:line="440" w:lineRule="exact"/>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both"/>
        <w:outlineLvl w:val="1"/>
        <w:rPr>
          <w:rFonts w:ascii="黑体" w:hAnsi="黑体" w:eastAsia="黑体"/>
          <w:kern w:val="0"/>
          <w:sz w:val="36"/>
          <w:szCs w:val="32"/>
          <w:highlight w:val="none"/>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目 录</w:t>
      </w:r>
    </w:p>
    <w:p>
      <w:pPr>
        <w:spacing w:line="560" w:lineRule="exact"/>
        <w:ind w:firstLine="643" w:firstLineChars="200"/>
        <w:rPr>
          <w:rFonts w:ascii="仿宋_GB2312" w:hAnsi="仿宋_GB2312" w:eastAsia="仿宋_GB2312" w:cs="仿宋_GB2312"/>
          <w:b/>
          <w:kern w:val="0"/>
          <w:sz w:val="32"/>
          <w:szCs w:val="32"/>
          <w:highlight w:val="none"/>
        </w:rPr>
      </w:pP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第一部分  昌吉州发展和改革委员会概况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一、主要职能</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二、机构设置及人员情况</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第二部分  2022年昌吉州发展和改革委员会预算公开表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一、部门（单位）收支总体情况表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二、部门（单位）收入总体情况表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三、部门（单位）支出总体情况表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四、财政拨款收支总体情况表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五、一般公共预算支出情况表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六、一般公共预算基本支出情况表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七、一般公共预算</w:t>
      </w:r>
      <w:r>
        <w:rPr>
          <w:rFonts w:hint="eastAsia" w:ascii="仿宋_GB2312" w:hAnsi="仿宋_GB2312" w:eastAsia="仿宋_GB2312" w:cs="仿宋_GB2312"/>
          <w:bCs/>
          <w:kern w:val="0"/>
          <w:sz w:val="32"/>
          <w:szCs w:val="32"/>
          <w:highlight w:val="none"/>
        </w:rPr>
        <w:t>项目支出情况表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八、一般公共预算“三公”经费支出情况表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九、政府性基金预算支出情况表</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第三部分  2022年昌吉州发展和改革委员会预算情况说明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一、关于昌吉州发展和改革委员会2022年收支预算情况的总体说明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二、关于昌吉州发展和改革委员会2022年收入预算情况说明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三、关于昌吉州发展和改革委员会2022年支出预算情况说明</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四、关于</w:t>
      </w:r>
      <w:r>
        <w:rPr>
          <w:rFonts w:hint="eastAsia" w:ascii="仿宋_GB2312" w:hAnsi="仿宋_GB2312" w:eastAsia="仿宋_GB2312" w:cs="仿宋_GB2312"/>
          <w:kern w:val="0"/>
          <w:sz w:val="32"/>
          <w:szCs w:val="32"/>
          <w:highlight w:val="none"/>
        </w:rPr>
        <w:t>昌吉州发展和改革委员会2022</w:t>
      </w:r>
      <w:r>
        <w:rPr>
          <w:rFonts w:hint="eastAsia" w:ascii="仿宋_GB2312" w:hAnsi="仿宋_GB2312" w:eastAsia="仿宋_GB2312" w:cs="仿宋_GB2312"/>
          <w:bCs/>
          <w:kern w:val="0"/>
          <w:sz w:val="32"/>
          <w:szCs w:val="32"/>
          <w:highlight w:val="none"/>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五、</w:t>
      </w:r>
      <w:r>
        <w:rPr>
          <w:rFonts w:hint="eastAsia" w:ascii="仿宋_GB2312" w:hAnsi="仿宋_GB2312" w:eastAsia="仿宋_GB2312" w:cs="仿宋_GB2312"/>
          <w:spacing w:val="-6"/>
          <w:kern w:val="0"/>
          <w:sz w:val="32"/>
          <w:szCs w:val="32"/>
          <w:highlight w:val="none"/>
        </w:rPr>
        <w:t>关于</w:t>
      </w:r>
      <w:r>
        <w:rPr>
          <w:rFonts w:hint="eastAsia" w:ascii="仿宋_GB2312" w:hAnsi="仿宋_GB2312" w:eastAsia="仿宋_GB2312" w:cs="仿宋_GB2312"/>
          <w:kern w:val="0"/>
          <w:sz w:val="32"/>
          <w:szCs w:val="32"/>
          <w:highlight w:val="none"/>
        </w:rPr>
        <w:t>昌吉州发展和改革委员会2022</w:t>
      </w:r>
      <w:r>
        <w:rPr>
          <w:rFonts w:hint="eastAsia" w:ascii="仿宋_GB2312" w:hAnsi="仿宋_GB2312" w:eastAsia="仿宋_GB2312" w:cs="仿宋_GB2312"/>
          <w:spacing w:val="-6"/>
          <w:kern w:val="0"/>
          <w:sz w:val="32"/>
          <w:szCs w:val="32"/>
          <w:highlight w:val="none"/>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六、</w:t>
      </w:r>
      <w:r>
        <w:rPr>
          <w:rFonts w:hint="eastAsia" w:ascii="仿宋_GB2312" w:hAnsi="仿宋_GB2312" w:eastAsia="仿宋_GB2312" w:cs="仿宋_GB2312"/>
          <w:spacing w:val="-6"/>
          <w:kern w:val="0"/>
          <w:sz w:val="32"/>
          <w:szCs w:val="32"/>
          <w:highlight w:val="none"/>
        </w:rPr>
        <w:t>关于</w:t>
      </w:r>
      <w:r>
        <w:rPr>
          <w:rFonts w:hint="eastAsia" w:ascii="仿宋_GB2312" w:hAnsi="仿宋_GB2312" w:eastAsia="仿宋_GB2312" w:cs="仿宋_GB2312"/>
          <w:kern w:val="0"/>
          <w:sz w:val="32"/>
          <w:szCs w:val="32"/>
          <w:highlight w:val="none"/>
        </w:rPr>
        <w:t>昌吉州发展和改革委员会2022</w:t>
      </w:r>
      <w:r>
        <w:rPr>
          <w:rFonts w:hint="eastAsia" w:ascii="仿宋_GB2312" w:hAnsi="仿宋_GB2312" w:eastAsia="仿宋_GB2312" w:cs="仿宋_GB2312"/>
          <w:spacing w:val="-6"/>
          <w:kern w:val="0"/>
          <w:sz w:val="32"/>
          <w:szCs w:val="32"/>
          <w:highlight w:val="none"/>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七、</w:t>
      </w:r>
      <w:r>
        <w:rPr>
          <w:rFonts w:hint="eastAsia" w:ascii="仿宋_GB2312" w:hAnsi="仿宋_GB2312" w:eastAsia="仿宋_GB2312" w:cs="仿宋_GB2312"/>
          <w:spacing w:val="-6"/>
          <w:kern w:val="0"/>
          <w:sz w:val="32"/>
          <w:szCs w:val="32"/>
          <w:highlight w:val="none"/>
        </w:rPr>
        <w:t>关于</w:t>
      </w:r>
      <w:r>
        <w:rPr>
          <w:rFonts w:hint="eastAsia" w:ascii="仿宋_GB2312" w:hAnsi="仿宋_GB2312" w:eastAsia="仿宋_GB2312" w:cs="仿宋_GB2312"/>
          <w:kern w:val="0"/>
          <w:sz w:val="32"/>
          <w:szCs w:val="32"/>
          <w:highlight w:val="none"/>
        </w:rPr>
        <w:t>昌吉州发展和改革委员会2022</w:t>
      </w:r>
      <w:r>
        <w:rPr>
          <w:rFonts w:hint="eastAsia" w:ascii="仿宋_GB2312" w:hAnsi="仿宋_GB2312" w:eastAsia="仿宋_GB2312" w:cs="仿宋_GB2312"/>
          <w:spacing w:val="-6"/>
          <w:kern w:val="0"/>
          <w:sz w:val="32"/>
          <w:szCs w:val="32"/>
          <w:highlight w:val="none"/>
        </w:rPr>
        <w:t>年一般公共预算项目支出情况说明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八、关于昌吉州发展和改革委员会2022年一般公共预算“三公”经费预算情况说明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九、关于昌吉州发展和改革委员会2022年政府性基金预算拨款情况说明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十、其他重要事项的情况说明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第四部分  名词解释</w:t>
      </w:r>
    </w:p>
    <w:p>
      <w:pPr>
        <w:spacing w:line="600" w:lineRule="exact"/>
        <w:ind w:firstLine="640" w:firstLineChars="200"/>
        <w:rPr>
          <w:rFonts w:ascii="仿宋_GB2312" w:hAnsi="仿宋_GB2312" w:eastAsia="仿宋_GB2312" w:cs="仿宋_GB2312"/>
          <w:kern w:val="0"/>
          <w:sz w:val="32"/>
          <w:szCs w:val="32"/>
          <w:highlight w:val="none"/>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第一部分  昌吉州发展和改革委员会概况</w:t>
      </w:r>
    </w:p>
    <w:p>
      <w:pPr>
        <w:widowControl/>
        <w:spacing w:line="540" w:lineRule="exact"/>
        <w:jc w:val="center"/>
        <w:outlineLvl w:val="1"/>
        <w:rPr>
          <w:rFonts w:ascii="宋体" w:hAnsi="宋体"/>
          <w:b/>
          <w:kern w:val="0"/>
          <w:sz w:val="32"/>
          <w:szCs w:val="32"/>
          <w:highlight w:val="none"/>
        </w:rPr>
      </w:pPr>
    </w:p>
    <w:p>
      <w:pPr>
        <w:widowControl/>
        <w:spacing w:line="540" w:lineRule="exact"/>
        <w:ind w:firstLine="643" w:firstLineChars="20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一、主要职能</w:t>
      </w:r>
    </w:p>
    <w:p>
      <w:pPr>
        <w:widowControl/>
        <w:spacing w:line="560" w:lineRule="exact"/>
        <w:jc w:val="left"/>
        <w:rPr>
          <w:rFonts w:ascii="仿宋_GB2312" w:hAnsi="黑体" w:eastAsia="仿宋_GB2312" w:cs="宋体"/>
          <w:bCs/>
          <w:kern w:val="0"/>
          <w:sz w:val="32"/>
          <w:szCs w:val="32"/>
          <w:highlight w:val="none"/>
        </w:rPr>
      </w:pPr>
      <w:r>
        <w:rPr>
          <w:rFonts w:hint="eastAsia" w:ascii="黑体" w:hAnsi="黑体" w:eastAsia="黑体" w:cs="宋体"/>
          <w:bCs/>
          <w:kern w:val="0"/>
          <w:sz w:val="32"/>
          <w:szCs w:val="32"/>
          <w:highlight w:val="none"/>
        </w:rPr>
        <w:t xml:space="preserve">   </w:t>
      </w:r>
      <w:r>
        <w:rPr>
          <w:rFonts w:hint="eastAsia" w:ascii="仿宋_GB2312" w:hAnsi="黑体" w:eastAsia="仿宋_GB2312" w:cs="宋体"/>
          <w:bCs/>
          <w:kern w:val="0"/>
          <w:sz w:val="32"/>
          <w:szCs w:val="32"/>
          <w:highlight w:val="none"/>
        </w:rPr>
        <w:t xml:space="preserve"> （一）贯彻执行国家、自治区国民经济和社会发展方针、政策；研究提出自治州国民经济和社会发展战略、中长期规划和年度发展计划，统筹协调自治州经济社会发展，提出国民经济发展、价格总水平调控和优化重大经济结构的目标、政策，提出综合运用各种经济手段和政策的建议；组织研究、协调实施重点专项规划，衔接、平衡各县市（园区）及主要行业的规划；受自治州人民政府委托向自治州人大提交国民经济和社会发展计划的报告。</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二）负责监测宏观经济和社会发展态势，承担预测预警和信息引导的责任。提出促进自治州经济高质量发展的政策建议；研究涉及自治州经济安全及总体产业安全等重要问题并提出政策措施和建议；负责自治州国民经济动员办公室的工作。</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三）汇总分析自治州财政、金融、产业、价格政策等方面的情况和执行效果，提出建议；拟订并组织实施价格政策；制定和调整政府管理的重要商品价格、服务价格和收费标准。发布重大价格信息，规范市场价格行为等。</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四）承担综合协调经济体制改革的责任。研究制定自治州经济体制改革和对外开放的重大问题，组织拟订自治州综合性经济体制改革方案，协调有关专项经济体制改革方案；组织制定区域经济协调发展规划和政策；推进西部大开发战略和重大政策的实施；推进自治州城镇化建设。</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五）承担规划重大建设项目和生产力布局的责任。研究提出自治州全社会固定资产投资总规模和投资方向，规划重点项目和生产力布局；负责自治州重点项目的管理和组织协调；按照管理权限，负责审核上报、审批、核准、备案固定资产投资项目，审查、审批项目初步设计;组织实施自治州固定资产投资项目节能评估审查工作;指导和协调自治州招投标工作，负责重点项目招投标活动有关监督管理工作。</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六）推进产业结构调整和升级。组织拟订自治州综合性产业政策，负责协调第一、二、三产业发展的重大问题，做好与国民经济和社会发展规划、计划的衔接平衡；提出自治州国民经济重要产业的发展战略和规划，组织审核上报、审批专项规划；研究并协调农业和农村经济社会发展的有关重大问题，衔接农村专项规划和政策；拟订并实施以工代赈规划和计划；研究提出能源发展战略、规划；负责权限内自治州能源（电力、油气管道、煤矿）安全的监督管理；组织拟订高技术产业发展、产业技术进步的战略、规划和政策，推动高技术产业化发展；规划、指导服务业的建设与发展。</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七）研究提出自治州利用外资的发展战略、总量平衡和结构优化的目标和政策并监测运行情况；按照管理权限，负责审核上报、审批、核准、备案国外贷款项目、外商直接投资项目和境外投资项目;会同有关部门协调和审查利用重大内外资项目。</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八）承担自治州重要商品的总量平衡和宏观调控的责任。研究提出地方储备粮油和物资储备规划、储备品种目录的建议;负责组织实施粮油、棉花、食糖、食盐等重要商品储备、轮换和投放计划;组织实施地方储备粮油、棉花、食糖、食盐等物资的储备、轮换和日常管理;按要求承担各级救灾物资采购和储备管理工作，落实有关动用计划和指令。承担粮食监测预警和应急责任；负责粮食流通行政管理、行业指导。</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九）负责自治州社会发展与国民经济发展的政策衔接，组织拟订社会发展战略，总体规划和年度计划；参与拟定自治州人口和计划生育、科学技术、教育、文化、卫生、民政等社会事业发展政策，协调自治州社会事业发展的重大问题；研究提出促进就业、调整收入分配、完善社会保障与经济协调发展的措施和建议。</w:t>
      </w:r>
    </w:p>
    <w:p>
      <w:pPr>
        <w:widowControl/>
        <w:spacing w:line="560" w:lineRule="exact"/>
        <w:ind w:firstLine="640" w:firstLineChars="200"/>
        <w:jc w:val="left"/>
        <w:rPr>
          <w:rFonts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十）推进可持续发展战略，负责自治州全社会节能综合协调工作。会同有关部门研究提出自治州生态建设、环境保护规划、资源节约综合利用规划和计划，协调生态建设、环保产业和资源节约综合利用的重大问题。</w:t>
      </w:r>
    </w:p>
    <w:p>
      <w:pPr>
        <w:ind w:firstLine="640" w:firstLineChars="200"/>
        <w:rPr>
          <w:rFonts w:ascii="仿宋_GB2312" w:hAnsi="宋体" w:eastAsia="仿宋_GB2312" w:cs="宋体"/>
          <w:bCs/>
          <w:kern w:val="0"/>
          <w:sz w:val="32"/>
          <w:szCs w:val="32"/>
          <w:highlight w:val="none"/>
        </w:rPr>
      </w:pPr>
      <w:r>
        <w:rPr>
          <w:rFonts w:hint="eastAsia" w:ascii="仿宋_GB2312" w:hAnsi="黑体" w:eastAsia="仿宋_GB2312" w:cs="宋体"/>
          <w:bCs/>
          <w:kern w:val="0"/>
          <w:sz w:val="32"/>
          <w:szCs w:val="32"/>
          <w:highlight w:val="none"/>
        </w:rPr>
        <w:t>（十一）完成自治州党委、自治州人民政府交办的其他任务。</w:t>
      </w:r>
    </w:p>
    <w:p>
      <w:pPr>
        <w:widowControl/>
        <w:spacing w:line="540" w:lineRule="exact"/>
        <w:ind w:firstLine="643" w:firstLineChars="20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二、机构设置及人员情况</w:t>
      </w:r>
    </w:p>
    <w:p>
      <w:pPr>
        <w:widowControl/>
        <w:spacing w:line="56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昌吉州发展和改革委员会</w:t>
      </w:r>
      <w:r>
        <w:rPr>
          <w:rFonts w:hint="eastAsia" w:ascii="仿宋_GB2312" w:hAnsi="黑体" w:eastAsia="仿宋_GB2312" w:cs="宋体"/>
          <w:bCs/>
          <w:kern w:val="0"/>
          <w:sz w:val="32"/>
          <w:szCs w:val="32"/>
          <w:highlight w:val="none"/>
        </w:rPr>
        <w:t>无下属预算单位，下设18个科室，分别是：办公室、组织人事科（法规科）、综合业务科、固定资产投资科、重点项目管理科、工业交通科、能源发展科、服务业发展科、社会发展科、经济贸易科、农业发展科、技术质量科、价格管理科、收费管理科、粮食物资产业科、粮食物资储备科、安全监管科、安全技术培训科</w:t>
      </w:r>
      <w:r>
        <w:rPr>
          <w:rFonts w:hint="eastAsia" w:ascii="仿宋_GB2312" w:hAnsi="宋体" w:eastAsia="仿宋_GB2312" w:cs="宋体"/>
          <w:kern w:val="0"/>
          <w:sz w:val="32"/>
          <w:szCs w:val="32"/>
          <w:highlight w:val="none"/>
        </w:rPr>
        <w:t>。</w:t>
      </w:r>
    </w:p>
    <w:p>
      <w:pPr>
        <w:widowControl/>
        <w:spacing w:line="5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昌吉州发展和改革委员会编制数83个，实有人数174人，其中：在职7</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人，增加1</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人；退休100人，增加4人；离休1人，增加0人。</w:t>
      </w: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pStyle w:val="2"/>
        <w:rPr>
          <w:rFonts w:ascii="仿宋_GB2312" w:hAnsi="宋体" w:eastAsia="仿宋_GB2312" w:cs="宋体"/>
          <w:b/>
          <w:kern w:val="0"/>
          <w:sz w:val="32"/>
          <w:szCs w:val="32"/>
          <w:highlight w:val="none"/>
        </w:rPr>
      </w:pPr>
    </w:p>
    <w:p>
      <w:pPr>
        <w:pStyle w:val="2"/>
        <w:rPr>
          <w:rFonts w:ascii="仿宋_GB2312" w:hAnsi="宋体" w:eastAsia="仿宋_GB2312" w:cs="宋体"/>
          <w:b/>
          <w:kern w:val="0"/>
          <w:sz w:val="32"/>
          <w:szCs w:val="32"/>
          <w:highlight w:val="none"/>
        </w:rPr>
      </w:pPr>
    </w:p>
    <w:p>
      <w:pPr>
        <w:pStyle w:val="2"/>
        <w:rPr>
          <w:rFonts w:ascii="仿宋_GB2312" w:hAnsi="宋体" w:eastAsia="仿宋_GB2312" w:cs="宋体"/>
          <w:b/>
          <w:kern w:val="0"/>
          <w:sz w:val="32"/>
          <w:szCs w:val="32"/>
          <w:highlight w:val="none"/>
        </w:rPr>
      </w:pPr>
    </w:p>
    <w:p>
      <w:pPr>
        <w:widowControl/>
        <w:spacing w:line="440" w:lineRule="exact"/>
        <w:jc w:val="center"/>
        <w:outlineLvl w:val="1"/>
        <w:rPr>
          <w:rFonts w:ascii="仿宋_GB2312" w:hAnsi="宋体" w:eastAsia="仿宋_GB2312" w:cs="宋体"/>
          <w:b/>
          <w:kern w:val="0"/>
          <w:sz w:val="32"/>
          <w:szCs w:val="32"/>
          <w:highlight w:val="none"/>
        </w:rPr>
      </w:pPr>
    </w:p>
    <w:p>
      <w:pPr>
        <w:widowControl/>
        <w:spacing w:line="44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 xml:space="preserve">第二部分  </w:t>
      </w:r>
      <w:r>
        <w:rPr>
          <w:rFonts w:ascii="黑体" w:hAnsi="黑体" w:eastAsia="黑体"/>
          <w:kern w:val="0"/>
          <w:sz w:val="32"/>
          <w:szCs w:val="32"/>
          <w:highlight w:val="none"/>
        </w:rPr>
        <w:t>2022</w:t>
      </w:r>
      <w:r>
        <w:rPr>
          <w:rFonts w:hint="eastAsia" w:ascii="黑体" w:hAnsi="黑体" w:eastAsia="黑体"/>
          <w:kern w:val="0"/>
          <w:sz w:val="32"/>
          <w:szCs w:val="32"/>
          <w:highlight w:val="none"/>
        </w:rPr>
        <w:t>年部门（单位）预算公开表</w:t>
      </w:r>
    </w:p>
    <w:p>
      <w:pPr>
        <w:widowControl/>
        <w:spacing w:line="240" w:lineRule="exact"/>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表1</w:t>
      </w:r>
    </w:p>
    <w:p>
      <w:pPr>
        <w:widowControl/>
        <w:spacing w:line="36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部门（单位）收支总体情况表</w:t>
      </w:r>
    </w:p>
    <w:p>
      <w:pPr>
        <w:widowControl/>
        <w:spacing w:line="280" w:lineRule="exact"/>
        <w:jc w:val="center"/>
        <w:outlineLvl w:val="1"/>
        <w:rPr>
          <w:rFonts w:ascii="仿宋_GB2312" w:hAnsi="宋体" w:eastAsia="仿宋_GB2312"/>
          <w:b/>
          <w:kern w:val="0"/>
          <w:sz w:val="32"/>
          <w:szCs w:val="32"/>
          <w:highlight w:val="none"/>
        </w:rPr>
      </w:pP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编制部门（单位）：昌吉州发展和改革委员会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1915.52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1601.56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1915.52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130.94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85.74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97.28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highlight w:val="none"/>
              </w:rPr>
            </w:pPr>
            <w:r>
              <w:rPr>
                <w:rFonts w:hint="eastAsia" w:ascii="仿宋_GB2312" w:hAnsi="宋体" w:eastAsia="仿宋_GB2312" w:cs="宋体"/>
                <w:color w:val="000000"/>
                <w:kern w:val="0"/>
                <w:sz w:val="18"/>
                <w:szCs w:val="18"/>
                <w:highlight w:val="none"/>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1915.52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1915.52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表2</w:t>
      </w:r>
    </w:p>
    <w:p>
      <w:pPr>
        <w:widowControl/>
        <w:spacing w:line="440" w:lineRule="exact"/>
        <w:jc w:val="center"/>
        <w:outlineLvl w:val="1"/>
        <w:rPr>
          <w:rFonts w:ascii="方正小标宋_GBK" w:hAnsi="方正小标宋_GBK" w:eastAsia="方正小标宋_GBK" w:cs="方正小标宋_GBK"/>
          <w:bCs/>
          <w:kern w:val="0"/>
          <w:sz w:val="36"/>
          <w:szCs w:val="36"/>
          <w:highlight w:val="none"/>
        </w:rPr>
      </w:pPr>
      <w:r>
        <w:rPr>
          <w:rFonts w:hint="eastAsia" w:ascii="方正小标宋_GBK" w:hAnsi="方正小标宋_GBK" w:eastAsia="方正小标宋_GBK" w:cs="方正小标宋_GBK"/>
          <w:bCs/>
          <w:kern w:val="0"/>
          <w:sz w:val="36"/>
          <w:szCs w:val="36"/>
          <w:highlight w:val="none"/>
        </w:rPr>
        <w:t>部门（单位）收入总体情况表</w:t>
      </w:r>
    </w:p>
    <w:p>
      <w:pPr>
        <w:widowControl/>
        <w:jc w:val="center"/>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编制部门（单位）：昌吉州发展和改革委员会                       单位：万元</w:t>
      </w:r>
    </w:p>
    <w:tbl>
      <w:tblPr>
        <w:tblStyle w:val="6"/>
        <w:tblW w:w="9473" w:type="dxa"/>
        <w:tblInd w:w="-450" w:type="dxa"/>
        <w:tblLayout w:type="fixed"/>
        <w:tblCellMar>
          <w:top w:w="0" w:type="dxa"/>
          <w:left w:w="108" w:type="dxa"/>
          <w:bottom w:w="0" w:type="dxa"/>
          <w:right w:w="108" w:type="dxa"/>
        </w:tblCellMar>
      </w:tblPr>
      <w:tblGrid>
        <w:gridCol w:w="558"/>
        <w:gridCol w:w="426"/>
        <w:gridCol w:w="425"/>
        <w:gridCol w:w="1987"/>
        <w:gridCol w:w="1018"/>
        <w:gridCol w:w="1024"/>
        <w:gridCol w:w="690"/>
        <w:gridCol w:w="640"/>
        <w:gridCol w:w="800"/>
        <w:gridCol w:w="555"/>
        <w:gridCol w:w="645"/>
        <w:gridCol w:w="705"/>
      </w:tblGrid>
      <w:tr>
        <w:tblPrEx>
          <w:tblCellMar>
            <w:top w:w="0" w:type="dxa"/>
            <w:left w:w="108" w:type="dxa"/>
            <w:bottom w:w="0" w:type="dxa"/>
            <w:right w:w="108" w:type="dxa"/>
          </w:tblCellMar>
        </w:tblPrEx>
        <w:trPr>
          <w:trHeight w:val="510"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功能分类科目编码</w:t>
            </w:r>
          </w:p>
        </w:tc>
        <w:tc>
          <w:tcPr>
            <w:tcW w:w="19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总  计</w:t>
            </w:r>
          </w:p>
        </w:tc>
        <w:tc>
          <w:tcPr>
            <w:tcW w:w="102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一般公共预算拨款</w:t>
            </w:r>
          </w:p>
        </w:tc>
        <w:tc>
          <w:tcPr>
            <w:tcW w:w="6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政府性基金预算拨款</w:t>
            </w:r>
          </w:p>
        </w:tc>
        <w:tc>
          <w:tcPr>
            <w:tcW w:w="6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国有资本经营预算</w:t>
            </w:r>
          </w:p>
        </w:tc>
        <w:tc>
          <w:tcPr>
            <w:tcW w:w="8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财政专户（教育收费）</w:t>
            </w:r>
          </w:p>
        </w:tc>
        <w:tc>
          <w:tcPr>
            <w:tcW w:w="55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事业收入</w:t>
            </w:r>
          </w:p>
        </w:tc>
        <w:tc>
          <w:tcPr>
            <w:tcW w:w="6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事业单位经营收入</w:t>
            </w:r>
          </w:p>
        </w:tc>
        <w:tc>
          <w:tcPr>
            <w:tcW w:w="70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单位其他资金收入</w:t>
            </w:r>
          </w:p>
        </w:tc>
      </w:tr>
      <w:tr>
        <w:tblPrEx>
          <w:tblCellMar>
            <w:top w:w="0" w:type="dxa"/>
            <w:left w:w="108" w:type="dxa"/>
            <w:bottom w:w="0" w:type="dxa"/>
            <w:right w:w="108" w:type="dxa"/>
          </w:tblCellMar>
        </w:tblPrEx>
        <w:trPr>
          <w:trHeight w:val="1430"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类</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款</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项</w:t>
            </w:r>
          </w:p>
        </w:tc>
        <w:tc>
          <w:tcPr>
            <w:tcW w:w="19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102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8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5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201</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Cs/>
                <w:color w:val="000000"/>
                <w:kern w:val="0"/>
                <w:sz w:val="18"/>
                <w:szCs w:val="18"/>
                <w:highlight w:val="none"/>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Cs/>
                <w:color w:val="000000"/>
                <w:kern w:val="0"/>
                <w:sz w:val="18"/>
                <w:szCs w:val="18"/>
                <w:highlight w:val="none"/>
              </w:rPr>
            </w:pPr>
          </w:p>
        </w:tc>
        <w:tc>
          <w:tcPr>
            <w:tcW w:w="198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一般公共服务支出</w:t>
            </w:r>
          </w:p>
        </w:tc>
        <w:tc>
          <w:tcPr>
            <w:tcW w:w="1018" w:type="dxa"/>
            <w:tcBorders>
              <w:top w:val="nil"/>
              <w:left w:val="nil"/>
              <w:bottom w:val="single" w:color="auto" w:sz="4" w:space="0"/>
              <w:right w:val="single" w:color="auto" w:sz="4" w:space="0"/>
            </w:tcBorders>
            <w:shd w:val="clear" w:color="000000" w:fill="FFFFFF"/>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1601.56</w:t>
            </w:r>
          </w:p>
        </w:tc>
        <w:tc>
          <w:tcPr>
            <w:tcW w:w="1024" w:type="dxa"/>
            <w:tcBorders>
              <w:top w:val="nil"/>
              <w:left w:val="nil"/>
              <w:bottom w:val="single" w:color="auto" w:sz="4" w:space="0"/>
              <w:right w:val="single" w:color="auto" w:sz="4" w:space="0"/>
            </w:tcBorders>
            <w:shd w:val="clear" w:color="000000" w:fill="FFFFFF"/>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1601.56</w:t>
            </w:r>
          </w:p>
        </w:tc>
        <w:tc>
          <w:tcPr>
            <w:tcW w:w="69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201</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04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Cs/>
                <w:color w:val="000000"/>
                <w:kern w:val="0"/>
                <w:sz w:val="18"/>
                <w:szCs w:val="18"/>
                <w:highlight w:val="none"/>
              </w:rPr>
            </w:pPr>
          </w:p>
        </w:tc>
        <w:tc>
          <w:tcPr>
            <w:tcW w:w="198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发展与改革事务</w:t>
            </w:r>
          </w:p>
        </w:tc>
        <w:tc>
          <w:tcPr>
            <w:tcW w:w="1018" w:type="dxa"/>
            <w:tcBorders>
              <w:top w:val="nil"/>
              <w:left w:val="nil"/>
              <w:bottom w:val="single" w:color="auto" w:sz="4" w:space="0"/>
              <w:right w:val="single" w:color="auto" w:sz="4" w:space="0"/>
            </w:tcBorders>
            <w:shd w:val="clear" w:color="000000" w:fill="FFFFFF"/>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1601.56</w:t>
            </w:r>
          </w:p>
        </w:tc>
        <w:tc>
          <w:tcPr>
            <w:tcW w:w="1024" w:type="dxa"/>
            <w:tcBorders>
              <w:top w:val="nil"/>
              <w:left w:val="nil"/>
              <w:bottom w:val="single" w:color="auto" w:sz="4" w:space="0"/>
              <w:right w:val="single" w:color="auto" w:sz="4" w:space="0"/>
            </w:tcBorders>
            <w:shd w:val="clear" w:color="000000" w:fill="FFFFFF"/>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1601.56</w:t>
            </w:r>
          </w:p>
        </w:tc>
        <w:tc>
          <w:tcPr>
            <w:tcW w:w="69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201</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01</w:t>
            </w:r>
          </w:p>
        </w:tc>
        <w:tc>
          <w:tcPr>
            <w:tcW w:w="1987" w:type="dxa"/>
            <w:tcBorders>
              <w:top w:val="nil"/>
              <w:left w:val="nil"/>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行政运行</w:t>
            </w:r>
          </w:p>
        </w:tc>
        <w:tc>
          <w:tcPr>
            <w:tcW w:w="101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953.26</w:t>
            </w:r>
          </w:p>
        </w:tc>
        <w:tc>
          <w:tcPr>
            <w:tcW w:w="102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953.26</w:t>
            </w:r>
          </w:p>
        </w:tc>
        <w:tc>
          <w:tcPr>
            <w:tcW w:w="69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201</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04</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02</w:t>
            </w:r>
          </w:p>
        </w:tc>
        <w:tc>
          <w:tcPr>
            <w:tcW w:w="1987" w:type="dxa"/>
            <w:tcBorders>
              <w:top w:val="nil"/>
              <w:left w:val="nil"/>
              <w:bottom w:val="single" w:color="auto" w:sz="4" w:space="0"/>
              <w:right w:val="single" w:color="auto" w:sz="4" w:space="0"/>
            </w:tcBorders>
          </w:tcPr>
          <w:p>
            <w:pPr>
              <w:widowControl/>
              <w:jc w:val="left"/>
              <w:textAlignment w:val="top"/>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一般行政管理事务</w:t>
            </w:r>
          </w:p>
        </w:tc>
        <w:tc>
          <w:tcPr>
            <w:tcW w:w="1018"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648.30</w:t>
            </w:r>
          </w:p>
        </w:tc>
        <w:tc>
          <w:tcPr>
            <w:tcW w:w="1024"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648.30</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208</w:t>
            </w:r>
          </w:p>
        </w:tc>
        <w:tc>
          <w:tcPr>
            <w:tcW w:w="42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198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社会保障和就业支出</w:t>
            </w:r>
          </w:p>
        </w:tc>
        <w:tc>
          <w:tcPr>
            <w:tcW w:w="1018" w:type="dxa"/>
            <w:tcBorders>
              <w:top w:val="nil"/>
              <w:left w:val="nil"/>
              <w:bottom w:val="single" w:color="auto" w:sz="4" w:space="0"/>
              <w:right w:val="single" w:color="auto" w:sz="4" w:space="0"/>
            </w:tcBorders>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130.94</w:t>
            </w:r>
          </w:p>
        </w:tc>
        <w:tc>
          <w:tcPr>
            <w:tcW w:w="1024" w:type="dxa"/>
            <w:tcBorders>
              <w:top w:val="nil"/>
              <w:left w:val="nil"/>
              <w:bottom w:val="single" w:color="auto" w:sz="4" w:space="0"/>
              <w:right w:val="single" w:color="auto" w:sz="4" w:space="0"/>
            </w:tcBorders>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130.94</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208</w:t>
            </w:r>
          </w:p>
        </w:tc>
        <w:tc>
          <w:tcPr>
            <w:tcW w:w="42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05</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198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行政事业单位养老支出</w:t>
            </w:r>
          </w:p>
        </w:tc>
        <w:tc>
          <w:tcPr>
            <w:tcW w:w="1018" w:type="dxa"/>
            <w:tcBorders>
              <w:top w:val="nil"/>
              <w:left w:val="nil"/>
              <w:bottom w:val="single" w:color="auto" w:sz="4" w:space="0"/>
              <w:right w:val="single" w:color="auto" w:sz="4" w:space="0"/>
            </w:tcBorders>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130.94</w:t>
            </w:r>
          </w:p>
        </w:tc>
        <w:tc>
          <w:tcPr>
            <w:tcW w:w="1024" w:type="dxa"/>
            <w:tcBorders>
              <w:top w:val="nil"/>
              <w:left w:val="nil"/>
              <w:bottom w:val="single" w:color="auto" w:sz="4" w:space="0"/>
              <w:right w:val="single" w:color="auto" w:sz="4" w:space="0"/>
            </w:tcBorders>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130.94</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208</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05</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01</w:t>
            </w:r>
          </w:p>
        </w:tc>
        <w:tc>
          <w:tcPr>
            <w:tcW w:w="1987" w:type="dxa"/>
            <w:tcBorders>
              <w:top w:val="nil"/>
              <w:left w:val="nil"/>
              <w:bottom w:val="single" w:color="auto" w:sz="4" w:space="0"/>
              <w:right w:val="single" w:color="auto" w:sz="4" w:space="0"/>
            </w:tcBorders>
          </w:tcPr>
          <w:p>
            <w:pPr>
              <w:widowControl/>
              <w:jc w:val="left"/>
              <w:textAlignment w:val="top"/>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行政单位离退休</w:t>
            </w:r>
          </w:p>
        </w:tc>
        <w:tc>
          <w:tcPr>
            <w:tcW w:w="1018"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22.54</w:t>
            </w:r>
          </w:p>
        </w:tc>
        <w:tc>
          <w:tcPr>
            <w:tcW w:w="1024"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22.54</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208</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05</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05</w:t>
            </w:r>
          </w:p>
        </w:tc>
        <w:tc>
          <w:tcPr>
            <w:tcW w:w="1987" w:type="dxa"/>
            <w:tcBorders>
              <w:top w:val="nil"/>
              <w:left w:val="nil"/>
              <w:bottom w:val="single" w:color="auto" w:sz="4" w:space="0"/>
              <w:right w:val="single" w:color="auto" w:sz="4" w:space="0"/>
            </w:tcBorders>
          </w:tcPr>
          <w:p>
            <w:pPr>
              <w:widowControl/>
              <w:jc w:val="left"/>
              <w:textAlignment w:val="top"/>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机关事业单位基本养老保险缴费支出</w:t>
            </w:r>
          </w:p>
        </w:tc>
        <w:tc>
          <w:tcPr>
            <w:tcW w:w="1018"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108.40</w:t>
            </w:r>
          </w:p>
        </w:tc>
        <w:tc>
          <w:tcPr>
            <w:tcW w:w="1024"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108.40</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210</w:t>
            </w:r>
          </w:p>
        </w:tc>
        <w:tc>
          <w:tcPr>
            <w:tcW w:w="42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198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卫生健康支出</w:t>
            </w:r>
          </w:p>
        </w:tc>
        <w:tc>
          <w:tcPr>
            <w:tcW w:w="1018" w:type="dxa"/>
            <w:tcBorders>
              <w:top w:val="nil"/>
              <w:left w:val="nil"/>
              <w:bottom w:val="single" w:color="auto" w:sz="4" w:space="0"/>
              <w:right w:val="single" w:color="auto" w:sz="4" w:space="0"/>
            </w:tcBorders>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85.74</w:t>
            </w:r>
          </w:p>
        </w:tc>
        <w:tc>
          <w:tcPr>
            <w:tcW w:w="1024" w:type="dxa"/>
            <w:tcBorders>
              <w:top w:val="nil"/>
              <w:left w:val="nil"/>
              <w:bottom w:val="single" w:color="auto" w:sz="4" w:space="0"/>
              <w:right w:val="single" w:color="auto" w:sz="4" w:space="0"/>
            </w:tcBorders>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85.74</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210</w:t>
            </w:r>
          </w:p>
        </w:tc>
        <w:tc>
          <w:tcPr>
            <w:tcW w:w="42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11</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198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行政事业单位医疗</w:t>
            </w:r>
          </w:p>
        </w:tc>
        <w:tc>
          <w:tcPr>
            <w:tcW w:w="1018" w:type="dxa"/>
            <w:tcBorders>
              <w:top w:val="nil"/>
              <w:left w:val="nil"/>
              <w:bottom w:val="single" w:color="auto" w:sz="4" w:space="0"/>
              <w:right w:val="single" w:color="auto" w:sz="4" w:space="0"/>
            </w:tcBorders>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85.74</w:t>
            </w:r>
          </w:p>
        </w:tc>
        <w:tc>
          <w:tcPr>
            <w:tcW w:w="1024" w:type="dxa"/>
            <w:tcBorders>
              <w:top w:val="nil"/>
              <w:left w:val="nil"/>
              <w:bottom w:val="single" w:color="auto" w:sz="4" w:space="0"/>
              <w:right w:val="single" w:color="auto" w:sz="4" w:space="0"/>
            </w:tcBorders>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85.74</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210</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11</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01</w:t>
            </w:r>
          </w:p>
        </w:tc>
        <w:tc>
          <w:tcPr>
            <w:tcW w:w="1987" w:type="dxa"/>
            <w:tcBorders>
              <w:top w:val="nil"/>
              <w:left w:val="nil"/>
              <w:bottom w:val="single" w:color="auto" w:sz="4" w:space="0"/>
              <w:right w:val="single" w:color="auto" w:sz="4" w:space="0"/>
            </w:tcBorders>
          </w:tcPr>
          <w:p>
            <w:pPr>
              <w:widowControl/>
              <w:jc w:val="left"/>
              <w:textAlignment w:val="top"/>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行政单位医疗</w:t>
            </w:r>
          </w:p>
        </w:tc>
        <w:tc>
          <w:tcPr>
            <w:tcW w:w="1018"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58.64</w:t>
            </w:r>
          </w:p>
        </w:tc>
        <w:tc>
          <w:tcPr>
            <w:tcW w:w="1024"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58.64</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210</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11</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02</w:t>
            </w:r>
          </w:p>
        </w:tc>
        <w:tc>
          <w:tcPr>
            <w:tcW w:w="1987" w:type="dxa"/>
            <w:tcBorders>
              <w:top w:val="nil"/>
              <w:left w:val="nil"/>
              <w:bottom w:val="single" w:color="auto" w:sz="4" w:space="0"/>
              <w:right w:val="single" w:color="auto" w:sz="4" w:space="0"/>
            </w:tcBorders>
          </w:tcPr>
          <w:p>
            <w:pPr>
              <w:widowControl/>
              <w:jc w:val="left"/>
              <w:textAlignment w:val="top"/>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事业单位医疗</w:t>
            </w:r>
          </w:p>
        </w:tc>
        <w:tc>
          <w:tcPr>
            <w:tcW w:w="1018"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5.72</w:t>
            </w:r>
          </w:p>
        </w:tc>
        <w:tc>
          <w:tcPr>
            <w:tcW w:w="1024"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5.72</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210</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11</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03</w:t>
            </w:r>
          </w:p>
        </w:tc>
        <w:tc>
          <w:tcPr>
            <w:tcW w:w="1987" w:type="dxa"/>
            <w:tcBorders>
              <w:top w:val="nil"/>
              <w:left w:val="nil"/>
              <w:bottom w:val="single" w:color="auto" w:sz="4" w:space="0"/>
              <w:right w:val="single" w:color="auto" w:sz="4" w:space="0"/>
            </w:tcBorders>
          </w:tcPr>
          <w:p>
            <w:pPr>
              <w:widowControl/>
              <w:jc w:val="left"/>
              <w:textAlignment w:val="top"/>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公务员医疗补助</w:t>
            </w:r>
          </w:p>
        </w:tc>
        <w:tc>
          <w:tcPr>
            <w:tcW w:w="1018"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20.33</w:t>
            </w:r>
          </w:p>
        </w:tc>
        <w:tc>
          <w:tcPr>
            <w:tcW w:w="1024"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20.33</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210</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11</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99</w:t>
            </w:r>
          </w:p>
        </w:tc>
        <w:tc>
          <w:tcPr>
            <w:tcW w:w="1987" w:type="dxa"/>
            <w:tcBorders>
              <w:top w:val="nil"/>
              <w:left w:val="nil"/>
              <w:bottom w:val="single" w:color="auto" w:sz="4" w:space="0"/>
              <w:right w:val="single" w:color="auto" w:sz="4" w:space="0"/>
            </w:tcBorders>
          </w:tcPr>
          <w:p>
            <w:pPr>
              <w:widowControl/>
              <w:jc w:val="left"/>
              <w:textAlignment w:val="top"/>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其他行政事业单位医疗支出</w:t>
            </w:r>
          </w:p>
        </w:tc>
        <w:tc>
          <w:tcPr>
            <w:tcW w:w="1018"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1.05</w:t>
            </w:r>
          </w:p>
        </w:tc>
        <w:tc>
          <w:tcPr>
            <w:tcW w:w="1024"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1.05</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221</w:t>
            </w:r>
          </w:p>
        </w:tc>
        <w:tc>
          <w:tcPr>
            <w:tcW w:w="42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198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住房保障支出</w:t>
            </w:r>
          </w:p>
        </w:tc>
        <w:tc>
          <w:tcPr>
            <w:tcW w:w="101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02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2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221</w:t>
            </w:r>
          </w:p>
        </w:tc>
        <w:tc>
          <w:tcPr>
            <w:tcW w:w="42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Cs/>
                <w:color w:val="000000"/>
                <w:kern w:val="0"/>
                <w:sz w:val="18"/>
                <w:szCs w:val="18"/>
                <w:highlight w:val="none"/>
                <w:lang w:val="en-US" w:eastAsia="zh-CN"/>
              </w:rPr>
            </w:pPr>
            <w:r>
              <w:rPr>
                <w:rFonts w:hint="eastAsia" w:ascii="仿宋_GB2312" w:hAnsi="宋体" w:eastAsia="仿宋_GB2312" w:cs="宋体"/>
                <w:bCs/>
                <w:color w:val="000000"/>
                <w:kern w:val="0"/>
                <w:sz w:val="18"/>
                <w:szCs w:val="18"/>
                <w:highlight w:val="none"/>
                <w:lang w:val="en-US" w:eastAsia="zh-CN"/>
              </w:rPr>
              <w:t>02</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8"/>
                <w:szCs w:val="18"/>
                <w:highlight w:val="none"/>
              </w:rPr>
            </w:pPr>
          </w:p>
        </w:tc>
        <w:tc>
          <w:tcPr>
            <w:tcW w:w="1987"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住房改革支出</w:t>
            </w:r>
          </w:p>
        </w:tc>
        <w:tc>
          <w:tcPr>
            <w:tcW w:w="101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02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221</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02</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8"/>
                <w:szCs w:val="18"/>
                <w:highlight w:val="none"/>
              </w:rPr>
            </w:pPr>
            <w:r>
              <w:rPr>
                <w:rFonts w:hint="eastAsia" w:ascii="仿宋_GB2312" w:hAnsi="宋体" w:eastAsia="仿宋_GB2312" w:cs="宋体"/>
                <w:bCs/>
                <w:color w:val="000000"/>
                <w:kern w:val="0"/>
                <w:sz w:val="18"/>
                <w:szCs w:val="18"/>
                <w:highlight w:val="none"/>
              </w:rPr>
              <w:t>01</w:t>
            </w:r>
          </w:p>
        </w:tc>
        <w:tc>
          <w:tcPr>
            <w:tcW w:w="1987"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住房公积金</w:t>
            </w:r>
          </w:p>
        </w:tc>
        <w:tc>
          <w:tcPr>
            <w:tcW w:w="1018"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97.28</w:t>
            </w:r>
          </w:p>
        </w:tc>
        <w:tc>
          <w:tcPr>
            <w:tcW w:w="1024"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97.28</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r>
              <w:rPr>
                <w:rFonts w:hint="eastAsia" w:ascii="仿宋_GB2312" w:eastAsia="仿宋_GB2312"/>
                <w:b/>
                <w:bCs/>
                <w:color w:val="000000"/>
                <w:sz w:val="20"/>
                <w:szCs w:val="20"/>
                <w:highlight w:val="none"/>
              </w:rPr>
              <w:t>合  计</w:t>
            </w:r>
            <w:r>
              <w:rPr>
                <w:rFonts w:hint="eastAsia" w:ascii="仿宋_GB2312" w:eastAsia="仿宋_GB2312"/>
                <w:color w:val="000000"/>
                <w:sz w:val="20"/>
                <w:szCs w:val="20"/>
                <w:highlight w:val="none"/>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1915.52</w:t>
            </w:r>
          </w:p>
        </w:tc>
        <w:tc>
          <w:tcPr>
            <w:tcW w:w="102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1915.52</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表3</w:t>
      </w:r>
    </w:p>
    <w:p>
      <w:pPr>
        <w:widowControl/>
        <w:spacing w:line="360" w:lineRule="exact"/>
        <w:jc w:val="center"/>
        <w:outlineLvl w:val="1"/>
        <w:rPr>
          <w:rFonts w:ascii="方正小标宋_GBK" w:hAnsi="方正小标宋_GBK" w:eastAsia="方正小标宋_GBK" w:cs="方正小标宋_GBK"/>
          <w:bCs/>
          <w:kern w:val="0"/>
          <w:sz w:val="36"/>
          <w:szCs w:val="36"/>
          <w:highlight w:val="none"/>
        </w:rPr>
      </w:pPr>
      <w:r>
        <w:rPr>
          <w:rFonts w:hint="eastAsia" w:ascii="方正小标宋_GBK" w:hAnsi="方正小标宋_GBK" w:eastAsia="方正小标宋_GBK" w:cs="方正小标宋_GBK"/>
          <w:bCs/>
          <w:kern w:val="0"/>
          <w:sz w:val="36"/>
          <w:szCs w:val="36"/>
          <w:highlight w:val="none"/>
        </w:rPr>
        <w:t>部门（单位）支出总体情况表</w:t>
      </w:r>
    </w:p>
    <w:p>
      <w:pPr>
        <w:widowControl/>
        <w:spacing w:line="280" w:lineRule="exact"/>
        <w:jc w:val="center"/>
        <w:outlineLvl w:val="1"/>
        <w:rPr>
          <w:rFonts w:ascii="仿宋_GB2312" w:hAnsi="宋体" w:eastAsia="仿宋_GB2312"/>
          <w:b/>
          <w:kern w:val="0"/>
          <w:sz w:val="32"/>
          <w:szCs w:val="32"/>
          <w:highlight w:val="none"/>
        </w:rPr>
      </w:pPr>
    </w:p>
    <w:p>
      <w:pPr>
        <w:widowControl/>
        <w:spacing w:line="280" w:lineRule="exac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编制部门（单位）：昌吉州发展和改革委员会                        单位：万元</w:t>
      </w:r>
    </w:p>
    <w:tbl>
      <w:tblPr>
        <w:tblStyle w:val="6"/>
        <w:tblW w:w="9420" w:type="dxa"/>
        <w:tblInd w:w="-240" w:type="dxa"/>
        <w:tblLayout w:type="fixed"/>
        <w:tblCellMar>
          <w:top w:w="0" w:type="dxa"/>
          <w:left w:w="108" w:type="dxa"/>
          <w:bottom w:w="0" w:type="dxa"/>
          <w:right w:w="108" w:type="dxa"/>
        </w:tblCellMar>
      </w:tblPr>
      <w:tblGrid>
        <w:gridCol w:w="490"/>
        <w:gridCol w:w="425"/>
        <w:gridCol w:w="567"/>
        <w:gridCol w:w="2323"/>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148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功能分类科目编码</w:t>
            </w:r>
          </w:p>
        </w:tc>
        <w:tc>
          <w:tcPr>
            <w:tcW w:w="232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类</w:t>
            </w: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款</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w:t>
            </w:r>
          </w:p>
        </w:tc>
        <w:tc>
          <w:tcPr>
            <w:tcW w:w="232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201</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2323"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一般公共服务支出</w:t>
            </w:r>
          </w:p>
        </w:tc>
        <w:tc>
          <w:tcPr>
            <w:tcW w:w="185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1601.56</w:t>
            </w:r>
          </w:p>
        </w:tc>
        <w:tc>
          <w:tcPr>
            <w:tcW w:w="185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953.26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648.30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201</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04</w:t>
            </w: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2323"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发展与改革事务</w:t>
            </w:r>
          </w:p>
        </w:tc>
        <w:tc>
          <w:tcPr>
            <w:tcW w:w="185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1601.56</w:t>
            </w:r>
          </w:p>
        </w:tc>
        <w:tc>
          <w:tcPr>
            <w:tcW w:w="185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953.26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648.30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201</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04</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01</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行政运行</w:t>
            </w:r>
          </w:p>
        </w:tc>
        <w:tc>
          <w:tcPr>
            <w:tcW w:w="185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953.26</w:t>
            </w:r>
          </w:p>
        </w:tc>
        <w:tc>
          <w:tcPr>
            <w:tcW w:w="185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953.26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201</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04</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02</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一般行政管理事务</w:t>
            </w:r>
          </w:p>
        </w:tc>
        <w:tc>
          <w:tcPr>
            <w:tcW w:w="185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648.30</w:t>
            </w:r>
          </w:p>
        </w:tc>
        <w:tc>
          <w:tcPr>
            <w:tcW w:w="1856" w:type="dxa"/>
            <w:tcBorders>
              <w:top w:val="nil"/>
              <w:left w:val="nil"/>
              <w:bottom w:val="single" w:color="auto" w:sz="4" w:space="0"/>
              <w:right w:val="single" w:color="auto" w:sz="4" w:space="0"/>
            </w:tcBorders>
            <w:vAlign w:val="center"/>
          </w:tcPr>
          <w:p>
            <w:pPr>
              <w:widowControl/>
              <w:wordWrap w:val="0"/>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 xml:space="preserve"> </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648.30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208</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2323"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社会保障和就业支出</w:t>
            </w:r>
          </w:p>
        </w:tc>
        <w:tc>
          <w:tcPr>
            <w:tcW w:w="1855"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130.94</w:t>
            </w:r>
          </w:p>
        </w:tc>
        <w:tc>
          <w:tcPr>
            <w:tcW w:w="1856"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130.94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208</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05</w:t>
            </w: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2323"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行政事业单位养老支出</w:t>
            </w:r>
          </w:p>
        </w:tc>
        <w:tc>
          <w:tcPr>
            <w:tcW w:w="1855"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130.94</w:t>
            </w:r>
          </w:p>
        </w:tc>
        <w:tc>
          <w:tcPr>
            <w:tcW w:w="1856"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130.94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208</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05</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01</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行政单位离退休</w:t>
            </w:r>
          </w:p>
        </w:tc>
        <w:tc>
          <w:tcPr>
            <w:tcW w:w="1855"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22.54</w:t>
            </w:r>
          </w:p>
        </w:tc>
        <w:tc>
          <w:tcPr>
            <w:tcW w:w="1856"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22.54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208</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05</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05</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机关事业单位基本养老保险缴费支出</w:t>
            </w:r>
          </w:p>
        </w:tc>
        <w:tc>
          <w:tcPr>
            <w:tcW w:w="1855"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108.40</w:t>
            </w:r>
          </w:p>
        </w:tc>
        <w:tc>
          <w:tcPr>
            <w:tcW w:w="1856"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108.40</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210</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2323"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卫生健康支出</w:t>
            </w:r>
          </w:p>
        </w:tc>
        <w:tc>
          <w:tcPr>
            <w:tcW w:w="1855"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85.74</w:t>
            </w:r>
          </w:p>
        </w:tc>
        <w:tc>
          <w:tcPr>
            <w:tcW w:w="1856"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85.74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210</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11</w:t>
            </w: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2323"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行政事业单位医疗</w:t>
            </w:r>
          </w:p>
        </w:tc>
        <w:tc>
          <w:tcPr>
            <w:tcW w:w="1855"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85.74</w:t>
            </w:r>
          </w:p>
        </w:tc>
        <w:tc>
          <w:tcPr>
            <w:tcW w:w="1856" w:type="dxa"/>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85.74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210</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11</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01</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行政单位医疗</w:t>
            </w:r>
          </w:p>
        </w:tc>
        <w:tc>
          <w:tcPr>
            <w:tcW w:w="1855"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58.64</w:t>
            </w:r>
          </w:p>
        </w:tc>
        <w:tc>
          <w:tcPr>
            <w:tcW w:w="1856"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58.64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210</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11</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02</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事业单位医疗</w:t>
            </w:r>
          </w:p>
        </w:tc>
        <w:tc>
          <w:tcPr>
            <w:tcW w:w="1855"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5.72</w:t>
            </w:r>
          </w:p>
        </w:tc>
        <w:tc>
          <w:tcPr>
            <w:tcW w:w="1856"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5.72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210</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11</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03</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公务员医疗补助</w:t>
            </w:r>
          </w:p>
        </w:tc>
        <w:tc>
          <w:tcPr>
            <w:tcW w:w="1855"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20.33</w:t>
            </w:r>
          </w:p>
        </w:tc>
        <w:tc>
          <w:tcPr>
            <w:tcW w:w="1856"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20.33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210</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11</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99</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其他行政事业单位医疗支出</w:t>
            </w:r>
          </w:p>
        </w:tc>
        <w:tc>
          <w:tcPr>
            <w:tcW w:w="1855"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1.05</w:t>
            </w:r>
          </w:p>
        </w:tc>
        <w:tc>
          <w:tcPr>
            <w:tcW w:w="1856" w:type="dxa"/>
            <w:tcBorders>
              <w:top w:val="nil"/>
              <w:left w:val="nil"/>
              <w:bottom w:val="single" w:color="auto" w:sz="4" w:space="0"/>
              <w:right w:val="single" w:color="auto" w:sz="4" w:space="0"/>
            </w:tcBorders>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1.05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221</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2323"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住房保障支出</w:t>
            </w:r>
          </w:p>
        </w:tc>
        <w:tc>
          <w:tcPr>
            <w:tcW w:w="18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85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221</w:t>
            </w:r>
          </w:p>
        </w:tc>
        <w:tc>
          <w:tcPr>
            <w:tcW w:w="42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r>
              <w:rPr>
                <w:rFonts w:hint="eastAsia" w:ascii="仿宋_GB2312" w:hAnsi="宋体" w:eastAsia="仿宋_GB2312" w:cs="宋体"/>
                <w:bCs/>
                <w:color w:val="000000"/>
                <w:kern w:val="0"/>
                <w:sz w:val="18"/>
                <w:szCs w:val="18"/>
                <w:highlight w:val="none"/>
                <w:lang w:val="en-US" w:eastAsia="zh-CN"/>
              </w:rPr>
              <w:t>02</w:t>
            </w: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000000"/>
                <w:kern w:val="0"/>
                <w:sz w:val="16"/>
                <w:szCs w:val="16"/>
                <w:highlight w:val="none"/>
              </w:rPr>
            </w:pPr>
          </w:p>
        </w:tc>
        <w:tc>
          <w:tcPr>
            <w:tcW w:w="2323"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仿宋" w:hAnsi="仿宋" w:eastAsia="仿宋" w:cs="仿宋"/>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住房改革支出</w:t>
            </w:r>
          </w:p>
        </w:tc>
        <w:tc>
          <w:tcPr>
            <w:tcW w:w="18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85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80"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221</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02</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sz w:val="16"/>
                <w:szCs w:val="16"/>
                <w:highlight w:val="none"/>
              </w:rPr>
            </w:pPr>
            <w:r>
              <w:rPr>
                <w:rFonts w:hint="eastAsia" w:ascii="仿宋_GB2312" w:hAnsi="宋体" w:eastAsia="仿宋_GB2312" w:cs="宋体"/>
                <w:bCs/>
                <w:color w:val="000000"/>
                <w:kern w:val="0"/>
                <w:sz w:val="16"/>
                <w:szCs w:val="16"/>
                <w:highlight w:val="none"/>
              </w:rPr>
              <w:t>01</w:t>
            </w:r>
          </w:p>
        </w:tc>
        <w:tc>
          <w:tcPr>
            <w:tcW w:w="2323" w:type="dxa"/>
            <w:tcBorders>
              <w:top w:val="nil"/>
              <w:left w:val="nil"/>
              <w:bottom w:val="single" w:color="auto" w:sz="4" w:space="0"/>
              <w:right w:val="single" w:color="auto" w:sz="4" w:space="0"/>
            </w:tcBorders>
          </w:tcPr>
          <w:p>
            <w:pPr>
              <w:widowControl/>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住房公积金</w:t>
            </w:r>
          </w:p>
        </w:tc>
        <w:tc>
          <w:tcPr>
            <w:tcW w:w="185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97.28</w:t>
            </w:r>
          </w:p>
        </w:tc>
        <w:tc>
          <w:tcPr>
            <w:tcW w:w="185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rPr>
              <w:t>97.28</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3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3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3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310"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2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3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highlight w:val="none"/>
              </w:rPr>
            </w:pPr>
          </w:p>
        </w:tc>
        <w:tc>
          <w:tcPr>
            <w:tcW w:w="425" w:type="dxa"/>
            <w:tcBorders>
              <w:top w:val="nil"/>
              <w:left w:val="nil"/>
              <w:bottom w:val="single" w:color="auto" w:sz="4" w:space="0"/>
              <w:right w:val="single" w:color="auto" w:sz="4" w:space="0"/>
            </w:tcBorders>
            <w:vAlign w:val="center"/>
          </w:tcPr>
          <w:p>
            <w:pPr>
              <w:jc w:val="center"/>
              <w:rPr>
                <w:highlight w:val="none"/>
              </w:rPr>
            </w:pPr>
          </w:p>
        </w:tc>
        <w:tc>
          <w:tcPr>
            <w:tcW w:w="567" w:type="dxa"/>
            <w:tcBorders>
              <w:top w:val="nil"/>
              <w:left w:val="nil"/>
              <w:bottom w:val="single" w:color="auto" w:sz="4" w:space="0"/>
              <w:right w:val="single" w:color="auto" w:sz="4" w:space="0"/>
            </w:tcBorders>
            <w:vAlign w:val="center"/>
          </w:tcPr>
          <w:p>
            <w:pPr>
              <w:jc w:val="center"/>
              <w:rPr>
                <w:highlight w:val="none"/>
              </w:rPr>
            </w:pPr>
          </w:p>
        </w:tc>
        <w:tc>
          <w:tcPr>
            <w:tcW w:w="2323" w:type="dxa"/>
            <w:tcBorders>
              <w:top w:val="nil"/>
              <w:left w:val="nil"/>
              <w:bottom w:val="single" w:color="auto" w:sz="4" w:space="0"/>
              <w:right w:val="single" w:color="auto" w:sz="4" w:space="0"/>
            </w:tcBorders>
            <w:vAlign w:val="center"/>
          </w:tcPr>
          <w:p>
            <w:pPr>
              <w:jc w:val="center"/>
              <w:rPr>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42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56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23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highlight w:val="none"/>
              </w:rPr>
            </w:pPr>
            <w:r>
              <w:rPr>
                <w:rFonts w:hint="eastAsia" w:ascii="宋体" w:hAnsi="宋体" w:cs="宋体"/>
                <w:b/>
                <w:bCs/>
                <w:color w:val="000000"/>
                <w:kern w:val="0"/>
                <w:sz w:val="22"/>
                <w:szCs w:val="22"/>
                <w:highlight w:val="none"/>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1915.52</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1267.22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648.30</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表4</w:t>
      </w:r>
    </w:p>
    <w:p>
      <w:pPr>
        <w:widowControl/>
        <w:spacing w:beforeLines="50" w:line="28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财政拨款收支预算总体情况表</w:t>
      </w:r>
    </w:p>
    <w:p>
      <w:pPr>
        <w:widowControl/>
        <w:spacing w:beforeLines="50" w:line="280" w:lineRule="exact"/>
        <w:outlineLvl w:val="1"/>
        <w:rPr>
          <w:rFonts w:ascii="仿宋_GB2312" w:hAnsi="宋体" w:eastAsia="仿宋_GB2312"/>
          <w:kern w:val="0"/>
          <w:szCs w:val="21"/>
          <w:highlight w:val="none"/>
        </w:rPr>
      </w:pPr>
      <w:r>
        <w:rPr>
          <w:rFonts w:hint="eastAsia" w:ascii="仿宋_GB2312" w:hAnsi="宋体" w:eastAsia="仿宋_GB2312"/>
          <w:kern w:val="0"/>
          <w:szCs w:val="21"/>
          <w:highlight w:val="none"/>
        </w:rPr>
        <w:t>编制部门（单位）:昌吉州发展和改革委员会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仿宋_GB2312" w:hAnsi="宋体" w:eastAsia="仿宋_GB2312" w:cs="宋体"/>
                <w:kern w:val="0"/>
                <w:sz w:val="18"/>
                <w:szCs w:val="18"/>
                <w:highlight w:val="none"/>
              </w:rPr>
              <w:t>1915.52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1601.56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1601.56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仿宋_GB2312" w:hAnsi="宋体" w:eastAsia="仿宋_GB2312" w:cs="宋体"/>
                <w:kern w:val="0"/>
                <w:sz w:val="18"/>
                <w:szCs w:val="18"/>
                <w:highlight w:val="none"/>
              </w:rPr>
              <w:t>1915.52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130.94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130.94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85.74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85.74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97.28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97.28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188"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highlight w:val="none"/>
              </w:rPr>
            </w:pPr>
          </w:p>
        </w:tc>
        <w:tc>
          <w:tcPr>
            <w:tcW w:w="914" w:type="dxa"/>
            <w:tcBorders>
              <w:top w:val="nil"/>
              <w:left w:val="nil"/>
              <w:bottom w:val="single" w:color="auto" w:sz="4" w:space="0"/>
              <w:right w:val="single" w:color="auto" w:sz="4" w:space="0"/>
            </w:tcBorders>
            <w:vAlign w:val="center"/>
          </w:tcPr>
          <w:p>
            <w:pPr>
              <w:jc w:val="right"/>
              <w:rPr>
                <w:highlight w:val="none"/>
              </w:rPr>
            </w:pPr>
          </w:p>
        </w:tc>
        <w:tc>
          <w:tcPr>
            <w:tcW w:w="2580" w:type="dxa"/>
            <w:tcBorders>
              <w:top w:val="nil"/>
              <w:left w:val="nil"/>
              <w:bottom w:val="single" w:color="auto" w:sz="4" w:space="0"/>
              <w:right w:val="single" w:color="auto" w:sz="4" w:space="0"/>
            </w:tcBorders>
            <w:vAlign w:val="center"/>
          </w:tcPr>
          <w:p>
            <w:pPr>
              <w:rPr>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highlight w:val="none"/>
              </w:rPr>
            </w:pPr>
          </w:p>
        </w:tc>
        <w:tc>
          <w:tcPr>
            <w:tcW w:w="914" w:type="dxa"/>
            <w:tcBorders>
              <w:top w:val="nil"/>
              <w:left w:val="nil"/>
              <w:bottom w:val="single" w:color="auto" w:sz="4" w:space="0"/>
              <w:right w:val="single" w:color="auto" w:sz="4" w:space="0"/>
            </w:tcBorders>
            <w:vAlign w:val="center"/>
          </w:tcPr>
          <w:p>
            <w:pPr>
              <w:jc w:val="right"/>
              <w:rPr>
                <w:highlight w:val="none"/>
              </w:rPr>
            </w:pPr>
          </w:p>
        </w:tc>
        <w:tc>
          <w:tcPr>
            <w:tcW w:w="2580" w:type="dxa"/>
            <w:tcBorders>
              <w:top w:val="nil"/>
              <w:left w:val="nil"/>
              <w:bottom w:val="single" w:color="auto" w:sz="4" w:space="0"/>
              <w:right w:val="single" w:color="auto" w:sz="4" w:space="0"/>
            </w:tcBorders>
            <w:vAlign w:val="center"/>
          </w:tcPr>
          <w:p>
            <w:pPr>
              <w:rPr>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kern w:val="0"/>
                <w:sz w:val="18"/>
                <w:szCs w:val="18"/>
                <w:highlight w:val="none"/>
              </w:rPr>
              <w:t>1915.52</w:t>
            </w: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1915.52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仿宋_GB2312" w:hAnsi="宋体" w:eastAsia="仿宋_GB2312" w:cs="宋体"/>
                <w:kern w:val="0"/>
                <w:sz w:val="18"/>
                <w:szCs w:val="18"/>
                <w:highlight w:val="none"/>
              </w:rPr>
              <w:t>1915.52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bl>
    <w:p>
      <w:pPr>
        <w:widowControl/>
        <w:spacing w:line="32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r>
        <w:rPr>
          <w:rFonts w:ascii="仿宋_GB2312" w:hAnsi="宋体" w:eastAsia="仿宋_GB2312"/>
          <w:b/>
          <w:kern w:val="0"/>
          <w:sz w:val="28"/>
          <w:szCs w:val="32"/>
          <w:highlight w:val="none"/>
        </w:rPr>
        <w:t xml:space="preserve"> </w:t>
      </w:r>
    </w:p>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表5</w:t>
      </w:r>
    </w:p>
    <w:tbl>
      <w:tblPr>
        <w:tblStyle w:val="6"/>
        <w:tblW w:w="9214" w:type="dxa"/>
        <w:tblInd w:w="-34" w:type="dxa"/>
        <w:tblLayout w:type="fixed"/>
        <w:tblCellMar>
          <w:top w:w="0" w:type="dxa"/>
          <w:left w:w="108" w:type="dxa"/>
          <w:bottom w:w="0" w:type="dxa"/>
          <w:right w:w="108" w:type="dxa"/>
        </w:tblCellMar>
      </w:tblPr>
      <w:tblGrid>
        <w:gridCol w:w="568"/>
        <w:gridCol w:w="492"/>
        <w:gridCol w:w="527"/>
        <w:gridCol w:w="2400"/>
        <w:gridCol w:w="168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vAlign w:val="bottom"/>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编制部门（单位）：昌吉州发展和改革委员会</w:t>
            </w:r>
          </w:p>
          <w:p>
            <w:pPr>
              <w:widowControl/>
              <w:rPr>
                <w:rFonts w:ascii="仿宋_GB2312" w:hAnsi="宋体" w:eastAsia="仿宋_GB2312" w:cs="宋体"/>
                <w:color w:val="000000"/>
                <w:kern w:val="0"/>
                <w:sz w:val="24"/>
                <w:highlight w:val="none"/>
              </w:rPr>
            </w:pP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项   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一般公共预算支出</w:t>
            </w:r>
          </w:p>
        </w:tc>
      </w:tr>
      <w:tr>
        <w:tblPrEx>
          <w:tblCellMar>
            <w:top w:w="0" w:type="dxa"/>
            <w:left w:w="108" w:type="dxa"/>
            <w:bottom w:w="0" w:type="dxa"/>
            <w:right w:w="108" w:type="dxa"/>
          </w:tblCellMar>
        </w:tblPrEx>
        <w:trPr>
          <w:trHeight w:val="465" w:hRule="atLeast"/>
        </w:trPr>
        <w:tc>
          <w:tcPr>
            <w:tcW w:w="158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功能分类科目编码</w:t>
            </w:r>
          </w:p>
        </w:tc>
        <w:tc>
          <w:tcPr>
            <w:tcW w:w="24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5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w:t>
            </w:r>
          </w:p>
        </w:tc>
        <w:tc>
          <w:tcPr>
            <w:tcW w:w="24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b/>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一般公共服务支出</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1601.56</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953.26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648.30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04</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发展与改革事务</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1601.56</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953.26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648.30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04</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01</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行政运行</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953.26</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953.26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04</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02</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一般行政管理事务</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648.30</w:t>
            </w:r>
          </w:p>
        </w:tc>
        <w:tc>
          <w:tcPr>
            <w:tcW w:w="1842" w:type="dxa"/>
            <w:gridSpan w:val="2"/>
            <w:tcBorders>
              <w:top w:val="nil"/>
              <w:left w:val="nil"/>
              <w:bottom w:val="single" w:color="auto" w:sz="4" w:space="0"/>
              <w:right w:val="single" w:color="auto" w:sz="4" w:space="0"/>
            </w:tcBorders>
            <w:vAlign w:val="center"/>
          </w:tcPr>
          <w:p>
            <w:pPr>
              <w:widowControl/>
              <w:wordWrap w:val="0"/>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648.30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社会保障和就业支出</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130.94</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130.94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05</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行政事业单位养老支出</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130.94</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130.94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05</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01</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行政单位离退休</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22.54</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22.54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05</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05</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机关事业单位基本养老保险缴费支出</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108.40</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108.40</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卫生健康支出</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85.74</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85.74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362"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11</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行政事业单位医疗</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85.74</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85.74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11</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01</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行政单位医疗</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58.64</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58.64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11</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02</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事业单位医疗</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5.72</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11</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03</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公务员医疗补助</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20.33</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20.33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11</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99</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其他行政事业单位医疗支出</w:t>
            </w:r>
          </w:p>
        </w:tc>
        <w:tc>
          <w:tcPr>
            <w:tcW w:w="1684" w:type="dxa"/>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1.05</w:t>
            </w:r>
          </w:p>
        </w:tc>
        <w:tc>
          <w:tcPr>
            <w:tcW w:w="1842"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住房保障支出</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8"/>
                <w:szCs w:val="18"/>
                <w:highlight w:val="none"/>
                <w:lang w:val="en-US" w:eastAsia="zh-CN"/>
              </w:rPr>
              <w:t>02</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highlight w:val="none"/>
              </w:rPr>
            </w:pPr>
            <w:r>
              <w:rPr>
                <w:rFonts w:hint="eastAsia" w:ascii="仿宋" w:hAnsi="仿宋" w:eastAsia="仿宋" w:cs="仿宋"/>
                <w:i w:val="0"/>
                <w:color w:val="000000"/>
                <w:kern w:val="0"/>
                <w:sz w:val="20"/>
                <w:szCs w:val="20"/>
                <w:highlight w:val="none"/>
                <w:u w:val="none"/>
                <w:lang w:val="en-US" w:eastAsia="zh-CN" w:bidi="ar"/>
              </w:rPr>
              <w:t>住房改革支出</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7"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221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02</w:t>
            </w: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r>
              <w:rPr>
                <w:rFonts w:hint="eastAsia" w:ascii="仿宋_GB2312" w:hAnsi="宋体" w:eastAsia="仿宋_GB2312" w:cs="宋体"/>
                <w:bCs/>
                <w:color w:val="000000"/>
                <w:kern w:val="0"/>
                <w:sz w:val="16"/>
                <w:szCs w:val="16"/>
                <w:highlight w:val="none"/>
              </w:rPr>
              <w:t>01</w:t>
            </w:r>
          </w:p>
        </w:tc>
        <w:tc>
          <w:tcPr>
            <w:tcW w:w="2400" w:type="dxa"/>
            <w:tcBorders>
              <w:top w:val="nil"/>
              <w:left w:val="nil"/>
              <w:bottom w:val="single" w:color="auto" w:sz="4" w:space="0"/>
              <w:right w:val="single" w:color="auto" w:sz="4" w:space="0"/>
            </w:tcBorders>
            <w:vAlign w:val="top"/>
          </w:tcPr>
          <w:p>
            <w:pPr>
              <w:widowControl/>
              <w:jc w:val="left"/>
              <w:textAlignment w:val="top"/>
              <w:rPr>
                <w:rFonts w:ascii="宋体" w:hAnsi="宋体" w:cs="宋体"/>
                <w:color w:val="000000"/>
                <w:kern w:val="0"/>
                <w:sz w:val="20"/>
                <w:szCs w:val="20"/>
                <w:highlight w:val="none"/>
              </w:rPr>
            </w:pPr>
            <w:r>
              <w:rPr>
                <w:rFonts w:hint="eastAsia" w:ascii="仿宋" w:hAnsi="仿宋" w:eastAsia="仿宋" w:cs="仿宋"/>
                <w:color w:val="000000"/>
                <w:kern w:val="0"/>
                <w:sz w:val="20"/>
                <w:szCs w:val="20"/>
                <w:highlight w:val="none"/>
              </w:rPr>
              <w:t>住房公积金</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97.28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5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  计</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1915.52</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1267.22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648.30</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outlineLvl w:val="1"/>
        <w:rPr>
          <w:rFonts w:ascii="仿宋_GB2312" w:hAnsi="宋体" w:eastAsia="仿宋_GB2312"/>
          <w:b/>
          <w:kern w:val="0"/>
          <w:sz w:val="28"/>
          <w:szCs w:val="32"/>
          <w:highlight w:val="none"/>
        </w:rPr>
      </w:pPr>
    </w:p>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表6</w:t>
      </w:r>
    </w:p>
    <w:tbl>
      <w:tblPr>
        <w:tblStyle w:val="6"/>
        <w:tblW w:w="9051" w:type="dxa"/>
        <w:tblInd w:w="-148" w:type="dxa"/>
        <w:tblLayout w:type="fixed"/>
        <w:tblCellMar>
          <w:top w:w="0" w:type="dxa"/>
          <w:left w:w="108" w:type="dxa"/>
          <w:bottom w:w="0" w:type="dxa"/>
          <w:right w:w="108" w:type="dxa"/>
        </w:tblCellMar>
      </w:tblPr>
      <w:tblGrid>
        <w:gridCol w:w="681"/>
        <w:gridCol w:w="653"/>
        <w:gridCol w:w="2891"/>
        <w:gridCol w:w="995"/>
        <w:gridCol w:w="706"/>
        <w:gridCol w:w="976"/>
        <w:gridCol w:w="649"/>
        <w:gridCol w:w="1500"/>
      </w:tblGrid>
      <w:tr>
        <w:tblPrEx>
          <w:tblCellMar>
            <w:top w:w="0" w:type="dxa"/>
            <w:left w:w="108" w:type="dxa"/>
            <w:bottom w:w="0" w:type="dxa"/>
            <w:right w:w="108" w:type="dxa"/>
          </w:tblCellMar>
        </w:tblPrEx>
        <w:trPr>
          <w:trHeight w:val="375" w:hRule="atLeast"/>
        </w:trPr>
        <w:tc>
          <w:tcPr>
            <w:tcW w:w="9051"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cs="宋体"/>
                <w:color w:val="000000"/>
                <w:kern w:val="0"/>
                <w:sz w:val="24"/>
                <w:highlight w:val="none"/>
                <w:lang w:eastAsia="zh-CN"/>
              </w:rPr>
              <w:t>昌吉州发展和改革委员会</w:t>
            </w: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149" w:type="dxa"/>
            <w:gridSpan w:val="2"/>
            <w:tcBorders>
              <w:top w:val="nil"/>
              <w:left w:val="nil"/>
              <w:bottom w:val="nil"/>
              <w:right w:val="nil"/>
            </w:tcBorders>
            <w:vAlign w:val="center"/>
          </w:tcPr>
          <w:p>
            <w:pPr>
              <w:widowControl/>
              <w:ind w:firstLine="240" w:firstLineChars="1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项目</w:t>
            </w:r>
          </w:p>
        </w:tc>
        <w:tc>
          <w:tcPr>
            <w:tcW w:w="4826"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合  计</w:t>
            </w:r>
          </w:p>
        </w:tc>
        <w:tc>
          <w:tcPr>
            <w:tcW w:w="162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人员经费</w:t>
            </w:r>
          </w:p>
        </w:tc>
        <w:tc>
          <w:tcPr>
            <w:tcW w:w="15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公用经费</w:t>
            </w:r>
          </w:p>
        </w:tc>
      </w:tr>
      <w:tr>
        <w:tblPrEx>
          <w:tblCellMar>
            <w:top w:w="0" w:type="dxa"/>
            <w:left w:w="108" w:type="dxa"/>
            <w:bottom w:w="0" w:type="dxa"/>
            <w:right w:w="108" w:type="dxa"/>
          </w:tblCellMar>
        </w:tblPrEx>
        <w:trPr>
          <w:trHeight w:val="270" w:hRule="atLeast"/>
        </w:trPr>
        <w:tc>
          <w:tcPr>
            <w:tcW w:w="6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65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6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301</w:t>
            </w:r>
          </w:p>
        </w:tc>
        <w:tc>
          <w:tcPr>
            <w:tcW w:w="65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highlight w:val="none"/>
              </w:rPr>
            </w:pPr>
          </w:p>
        </w:tc>
        <w:tc>
          <w:tcPr>
            <w:tcW w:w="2891" w:type="dxa"/>
            <w:tcBorders>
              <w:top w:val="nil"/>
              <w:left w:val="nil"/>
              <w:bottom w:val="single" w:color="auto" w:sz="4" w:space="0"/>
              <w:right w:val="single" w:color="auto" w:sz="4" w:space="0"/>
            </w:tcBorders>
          </w:tcPr>
          <w:p>
            <w:pPr>
              <w:jc w:val="left"/>
              <w:rPr>
                <w:rFonts w:hint="default" w:ascii="Calibri" w:hAnsi="Calibri" w:eastAsia="宋体"/>
                <w:color w:val="000000"/>
                <w:sz w:val="22"/>
                <w:highlight w:val="none"/>
                <w:lang w:val="en-US" w:eastAsia="zh-CN"/>
              </w:rPr>
            </w:pPr>
            <w:r>
              <w:rPr>
                <w:rFonts w:hint="eastAsia" w:ascii="Calibri" w:hAnsi="Calibri" w:eastAsia="宋体"/>
                <w:color w:val="000000"/>
                <w:sz w:val="22"/>
                <w:highlight w:val="none"/>
                <w:lang w:eastAsia="zh-CN"/>
              </w:rPr>
              <w:t>工资福利支出</w:t>
            </w:r>
          </w:p>
        </w:tc>
        <w:tc>
          <w:tcPr>
            <w:tcW w:w="1701" w:type="dxa"/>
            <w:gridSpan w:val="2"/>
            <w:tcBorders>
              <w:top w:val="nil"/>
              <w:left w:val="nil"/>
              <w:bottom w:val="single" w:color="auto" w:sz="4" w:space="0"/>
              <w:right w:val="single" w:color="auto" w:sz="4" w:space="0"/>
            </w:tcBorders>
          </w:tcPr>
          <w:p>
            <w:pPr>
              <w:widowControl/>
              <w:jc w:val="right"/>
              <w:textAlignment w:val="top"/>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985.29</w:t>
            </w:r>
          </w:p>
        </w:tc>
        <w:tc>
          <w:tcPr>
            <w:tcW w:w="1625" w:type="dxa"/>
            <w:gridSpan w:val="2"/>
            <w:tcBorders>
              <w:top w:val="nil"/>
              <w:left w:val="nil"/>
              <w:bottom w:val="single" w:color="auto" w:sz="4" w:space="0"/>
              <w:right w:val="single" w:color="auto" w:sz="4" w:space="0"/>
            </w:tcBorders>
          </w:tcPr>
          <w:p>
            <w:pPr>
              <w:widowControl/>
              <w:jc w:val="right"/>
              <w:textAlignment w:val="top"/>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985.29</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01</w:t>
            </w:r>
          </w:p>
        </w:tc>
        <w:tc>
          <w:tcPr>
            <w:tcW w:w="2891" w:type="dxa"/>
            <w:tcBorders>
              <w:top w:val="nil"/>
              <w:left w:val="nil"/>
              <w:bottom w:val="single" w:color="auto" w:sz="4" w:space="0"/>
              <w:right w:val="single" w:color="auto" w:sz="4" w:space="0"/>
            </w:tcBorders>
          </w:tcPr>
          <w:p>
            <w:pPr>
              <w:jc w:val="left"/>
              <w:rPr>
                <w:rFonts w:ascii="仿宋_GB2312" w:hAnsi="宋体" w:eastAsia="仿宋_GB2312" w:cs="宋体"/>
                <w:color w:val="000000"/>
                <w:kern w:val="0"/>
                <w:sz w:val="20"/>
                <w:szCs w:val="20"/>
                <w:highlight w:val="none"/>
              </w:rPr>
            </w:pPr>
            <w:r>
              <w:rPr>
                <w:rFonts w:hint="eastAsia" w:ascii="Calibri" w:hAnsi="Calibri" w:eastAsia="Calibri"/>
                <w:color w:val="000000"/>
                <w:sz w:val="22"/>
                <w:highlight w:val="none"/>
              </w:rPr>
              <w:t>基本工资</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322.08</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322.08</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02</w:t>
            </w:r>
          </w:p>
        </w:tc>
        <w:tc>
          <w:tcPr>
            <w:tcW w:w="2891" w:type="dxa"/>
            <w:tcBorders>
              <w:top w:val="nil"/>
              <w:left w:val="nil"/>
              <w:bottom w:val="single" w:color="auto" w:sz="4" w:space="0"/>
              <w:right w:val="single" w:color="auto" w:sz="4" w:space="0"/>
            </w:tcBorders>
          </w:tcPr>
          <w:p>
            <w:pPr>
              <w:jc w:val="left"/>
              <w:rPr>
                <w:rFonts w:ascii="仿宋_GB2312" w:hAnsi="宋体" w:eastAsia="仿宋_GB2312" w:cs="宋体"/>
                <w:color w:val="000000"/>
                <w:kern w:val="0"/>
                <w:sz w:val="20"/>
                <w:szCs w:val="20"/>
                <w:highlight w:val="none"/>
              </w:rPr>
            </w:pPr>
            <w:r>
              <w:rPr>
                <w:rFonts w:hint="eastAsia" w:ascii="Calibri" w:hAnsi="Calibri" w:eastAsia="Calibri"/>
                <w:color w:val="000000"/>
                <w:sz w:val="22"/>
                <w:highlight w:val="none"/>
              </w:rPr>
              <w:t>津贴补贴</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311.09</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311.09</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03</w:t>
            </w:r>
          </w:p>
        </w:tc>
        <w:tc>
          <w:tcPr>
            <w:tcW w:w="2891" w:type="dxa"/>
            <w:tcBorders>
              <w:top w:val="nil"/>
              <w:left w:val="nil"/>
              <w:bottom w:val="single" w:color="auto" w:sz="4" w:space="0"/>
              <w:right w:val="single" w:color="auto" w:sz="4" w:space="0"/>
            </w:tcBorders>
          </w:tcPr>
          <w:p>
            <w:pPr>
              <w:jc w:val="left"/>
              <w:rPr>
                <w:rFonts w:ascii="宋体" w:hAnsi="宋体" w:cs="宋体"/>
                <w:color w:val="000000"/>
                <w:kern w:val="0"/>
                <w:sz w:val="20"/>
                <w:szCs w:val="20"/>
                <w:highlight w:val="none"/>
              </w:rPr>
            </w:pPr>
            <w:r>
              <w:rPr>
                <w:rFonts w:hint="eastAsia" w:ascii="Calibri" w:hAnsi="Calibri" w:eastAsia="Calibri"/>
                <w:color w:val="000000"/>
                <w:sz w:val="22"/>
                <w:highlight w:val="none"/>
              </w:rPr>
              <w:t>奖金</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26.31</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26.31</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07</w:t>
            </w:r>
          </w:p>
        </w:tc>
        <w:tc>
          <w:tcPr>
            <w:tcW w:w="2891" w:type="dxa"/>
            <w:tcBorders>
              <w:top w:val="nil"/>
              <w:left w:val="nil"/>
              <w:bottom w:val="single" w:color="auto" w:sz="4" w:space="0"/>
              <w:right w:val="single" w:color="auto" w:sz="4" w:space="0"/>
            </w:tcBorders>
          </w:tcPr>
          <w:p>
            <w:pPr>
              <w:jc w:val="left"/>
              <w:rPr>
                <w:rFonts w:ascii="宋体" w:hAnsi="宋体" w:cs="宋体"/>
                <w:color w:val="000000"/>
                <w:kern w:val="0"/>
                <w:sz w:val="20"/>
                <w:szCs w:val="20"/>
                <w:highlight w:val="none"/>
              </w:rPr>
            </w:pPr>
            <w:r>
              <w:rPr>
                <w:rFonts w:hint="eastAsia" w:ascii="Calibri" w:hAnsi="Calibri" w:eastAsia="Calibri"/>
                <w:color w:val="000000"/>
                <w:sz w:val="22"/>
                <w:highlight w:val="none"/>
              </w:rPr>
              <w:t>绩效工资</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25.43</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25.43</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08</w:t>
            </w:r>
          </w:p>
        </w:tc>
        <w:tc>
          <w:tcPr>
            <w:tcW w:w="2891" w:type="dxa"/>
            <w:tcBorders>
              <w:top w:val="nil"/>
              <w:left w:val="nil"/>
              <w:bottom w:val="single" w:color="auto" w:sz="4" w:space="0"/>
              <w:right w:val="single" w:color="auto" w:sz="4" w:space="0"/>
            </w:tcBorders>
          </w:tcPr>
          <w:p>
            <w:pPr>
              <w:jc w:val="left"/>
              <w:rPr>
                <w:rFonts w:ascii="宋体" w:hAnsi="宋体" w:cs="宋体"/>
                <w:color w:val="000000"/>
                <w:kern w:val="0"/>
                <w:sz w:val="20"/>
                <w:szCs w:val="20"/>
                <w:highlight w:val="none"/>
              </w:rPr>
            </w:pPr>
            <w:r>
              <w:rPr>
                <w:rFonts w:hint="eastAsia" w:ascii="Calibri" w:hAnsi="Calibri" w:eastAsia="Calibri"/>
                <w:color w:val="000000"/>
                <w:sz w:val="22"/>
                <w:highlight w:val="none"/>
              </w:rPr>
              <w:t>机关事业单位基本养老保险缴费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108.40</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108.40</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w:t>
            </w:r>
          </w:p>
        </w:tc>
        <w:tc>
          <w:tcPr>
            <w:tcW w:w="2891" w:type="dxa"/>
            <w:tcBorders>
              <w:top w:val="nil"/>
              <w:left w:val="nil"/>
              <w:bottom w:val="single" w:color="auto" w:sz="4" w:space="0"/>
              <w:right w:val="single" w:color="auto" w:sz="4" w:space="0"/>
            </w:tcBorders>
          </w:tcPr>
          <w:p>
            <w:pPr>
              <w:jc w:val="left"/>
              <w:rPr>
                <w:rFonts w:ascii="宋体" w:hAnsi="宋体" w:cs="宋体"/>
                <w:color w:val="000000"/>
                <w:kern w:val="0"/>
                <w:sz w:val="20"/>
                <w:szCs w:val="20"/>
                <w:highlight w:val="none"/>
              </w:rPr>
            </w:pPr>
            <w:r>
              <w:rPr>
                <w:rFonts w:hint="eastAsia" w:ascii="Calibri" w:hAnsi="Calibri" w:eastAsia="Calibri"/>
                <w:color w:val="000000"/>
                <w:sz w:val="22"/>
                <w:highlight w:val="none"/>
              </w:rPr>
              <w:t>城镇职工基本医疗保险缴费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64.36</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64.36</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2891" w:type="dxa"/>
            <w:tcBorders>
              <w:top w:val="nil"/>
              <w:left w:val="nil"/>
              <w:bottom w:val="single" w:color="auto" w:sz="4" w:space="0"/>
              <w:right w:val="single" w:color="auto" w:sz="4" w:space="0"/>
            </w:tcBorders>
          </w:tcPr>
          <w:p>
            <w:pPr>
              <w:jc w:val="left"/>
              <w:rPr>
                <w:rFonts w:ascii="宋体" w:hAnsi="宋体" w:cs="宋体"/>
                <w:color w:val="000000"/>
                <w:kern w:val="0"/>
                <w:sz w:val="20"/>
                <w:szCs w:val="20"/>
                <w:highlight w:val="none"/>
              </w:rPr>
            </w:pPr>
            <w:r>
              <w:rPr>
                <w:rFonts w:hint="eastAsia" w:ascii="Calibri" w:hAnsi="Calibri" w:eastAsia="Calibri"/>
                <w:color w:val="000000"/>
                <w:sz w:val="22"/>
                <w:highlight w:val="none"/>
              </w:rPr>
              <w:t>公务员医疗补助缴费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20.33</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20.33</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2891" w:type="dxa"/>
            <w:tcBorders>
              <w:top w:val="nil"/>
              <w:left w:val="nil"/>
              <w:bottom w:val="single" w:color="auto" w:sz="4" w:space="0"/>
              <w:right w:val="single" w:color="auto" w:sz="4" w:space="0"/>
            </w:tcBorders>
          </w:tcPr>
          <w:p>
            <w:pPr>
              <w:jc w:val="left"/>
              <w:rPr>
                <w:rFonts w:ascii="宋体" w:hAnsi="宋体" w:cs="宋体"/>
                <w:color w:val="000000"/>
                <w:kern w:val="0"/>
                <w:sz w:val="20"/>
                <w:szCs w:val="20"/>
                <w:highlight w:val="none"/>
              </w:rPr>
            </w:pPr>
            <w:r>
              <w:rPr>
                <w:rFonts w:hint="eastAsia" w:ascii="Calibri" w:hAnsi="Calibri" w:eastAsia="Calibri"/>
                <w:color w:val="000000"/>
                <w:sz w:val="22"/>
                <w:highlight w:val="none"/>
              </w:rPr>
              <w:t>其他社会保障缴费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1.29</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1.29</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2891" w:type="dxa"/>
            <w:tcBorders>
              <w:top w:val="nil"/>
              <w:left w:val="nil"/>
              <w:bottom w:val="single" w:color="auto" w:sz="4" w:space="0"/>
              <w:right w:val="single" w:color="auto" w:sz="4" w:space="0"/>
            </w:tcBorders>
          </w:tcPr>
          <w:p>
            <w:pPr>
              <w:jc w:val="left"/>
              <w:rPr>
                <w:rFonts w:ascii="宋体" w:hAnsi="宋体" w:cs="宋体"/>
                <w:color w:val="000000"/>
                <w:kern w:val="0"/>
                <w:sz w:val="20"/>
                <w:szCs w:val="20"/>
                <w:highlight w:val="none"/>
              </w:rPr>
            </w:pPr>
            <w:r>
              <w:rPr>
                <w:rFonts w:hint="eastAsia" w:ascii="Calibri" w:hAnsi="Calibri" w:eastAsia="Calibri"/>
                <w:color w:val="000000"/>
                <w:sz w:val="22"/>
                <w:highlight w:val="none"/>
              </w:rPr>
              <w:t>住房公积金</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97.28</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97.28</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301</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99</w:t>
            </w:r>
          </w:p>
        </w:tc>
        <w:tc>
          <w:tcPr>
            <w:tcW w:w="2891" w:type="dxa"/>
            <w:tcBorders>
              <w:top w:val="nil"/>
              <w:left w:val="nil"/>
              <w:bottom w:val="single" w:color="auto" w:sz="4" w:space="0"/>
              <w:right w:val="single" w:color="auto" w:sz="4" w:space="0"/>
            </w:tcBorders>
          </w:tcPr>
          <w:p>
            <w:pPr>
              <w:jc w:val="left"/>
              <w:rPr>
                <w:rFonts w:ascii="宋体" w:hAnsi="宋体" w:cs="宋体"/>
                <w:color w:val="000000"/>
                <w:kern w:val="0"/>
                <w:sz w:val="20"/>
                <w:szCs w:val="20"/>
                <w:highlight w:val="none"/>
              </w:rPr>
            </w:pPr>
            <w:r>
              <w:rPr>
                <w:rFonts w:hint="eastAsia" w:ascii="Calibri" w:hAnsi="Calibri" w:eastAsia="Calibri"/>
                <w:color w:val="000000"/>
                <w:sz w:val="22"/>
                <w:highlight w:val="none"/>
              </w:rPr>
              <w:t>其他工资福利支出</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8.72</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8.72</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302</w:t>
            </w:r>
          </w:p>
        </w:tc>
        <w:tc>
          <w:tcPr>
            <w:tcW w:w="6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tcPr>
          <w:p>
            <w:pPr>
              <w:widowControl/>
              <w:jc w:val="left"/>
              <w:textAlignment w:val="top"/>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商品和服务支出</w:t>
            </w:r>
          </w:p>
        </w:tc>
        <w:tc>
          <w:tcPr>
            <w:tcW w:w="1701" w:type="dxa"/>
            <w:gridSpan w:val="2"/>
            <w:tcBorders>
              <w:top w:val="nil"/>
              <w:left w:val="nil"/>
              <w:bottom w:val="single" w:color="auto" w:sz="4" w:space="0"/>
              <w:right w:val="single" w:color="auto" w:sz="4" w:space="0"/>
            </w:tcBorders>
          </w:tcPr>
          <w:p>
            <w:pPr>
              <w:widowControl/>
              <w:jc w:val="right"/>
              <w:textAlignment w:val="top"/>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143.56</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143.56</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01</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办公费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29.58</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29.58</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02</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印刷费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2.00</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2.00</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06</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电费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1.50</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1.50</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07</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邮电费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2.00</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2.00</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08</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取暖费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11.65</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11.65</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差旅费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13.04</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13.04</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15</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会议费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1.00</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1.00</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16</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培训费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5.00</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5.00</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17</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公务接待费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3.79</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3.79</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28</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工会经费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12.77</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12.77</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29</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福利费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11.49</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11.49</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31</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26.00</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26.00</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99</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其他商品和服务支出</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23.74</w:t>
            </w:r>
          </w:p>
        </w:tc>
        <w:tc>
          <w:tcPr>
            <w:tcW w:w="162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23.74</w:t>
            </w: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303</w:t>
            </w:r>
          </w:p>
        </w:tc>
        <w:tc>
          <w:tcPr>
            <w:tcW w:w="6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tcPr>
          <w:p>
            <w:pPr>
              <w:widowControl/>
              <w:jc w:val="left"/>
              <w:textAlignment w:val="top"/>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对个人和家庭的补助支出</w:t>
            </w:r>
          </w:p>
        </w:tc>
        <w:tc>
          <w:tcPr>
            <w:tcW w:w="1701" w:type="dxa"/>
            <w:gridSpan w:val="2"/>
            <w:tcBorders>
              <w:top w:val="nil"/>
              <w:left w:val="nil"/>
              <w:bottom w:val="single" w:color="auto" w:sz="4" w:space="0"/>
              <w:right w:val="single" w:color="auto" w:sz="4" w:space="0"/>
            </w:tcBorders>
          </w:tcPr>
          <w:p>
            <w:pPr>
              <w:widowControl/>
              <w:jc w:val="right"/>
              <w:textAlignment w:val="top"/>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138.37</w:t>
            </w:r>
          </w:p>
        </w:tc>
        <w:tc>
          <w:tcPr>
            <w:tcW w:w="1625" w:type="dxa"/>
            <w:gridSpan w:val="2"/>
            <w:tcBorders>
              <w:top w:val="nil"/>
              <w:left w:val="nil"/>
              <w:bottom w:val="single" w:color="auto" w:sz="4" w:space="0"/>
              <w:right w:val="single" w:color="auto" w:sz="4" w:space="0"/>
            </w:tcBorders>
          </w:tcPr>
          <w:p>
            <w:pPr>
              <w:widowControl/>
              <w:jc w:val="right"/>
              <w:textAlignment w:val="top"/>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138.37</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303</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01</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离休费</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22.54</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22.54</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303</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05</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生活补助</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5.52</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5.52</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303</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07</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医疗费补助</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101.55</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101.55</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303</w:t>
            </w: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09</w:t>
            </w:r>
          </w:p>
        </w:tc>
        <w:tc>
          <w:tcPr>
            <w:tcW w:w="2891" w:type="dxa"/>
            <w:tcBorders>
              <w:top w:val="nil"/>
              <w:left w:val="nil"/>
              <w:bottom w:val="single" w:color="auto" w:sz="4" w:space="0"/>
              <w:right w:val="single" w:color="auto" w:sz="4" w:space="0"/>
            </w:tcBorders>
          </w:tcPr>
          <w:p>
            <w:pPr>
              <w:widowControl/>
              <w:jc w:val="lef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奖励金</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8.76</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8.76</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6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6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  计</w:t>
            </w:r>
          </w:p>
        </w:tc>
        <w:tc>
          <w:tcPr>
            <w:tcW w:w="1701"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1267.22</w:t>
            </w:r>
          </w:p>
        </w:tc>
        <w:tc>
          <w:tcPr>
            <w:tcW w:w="1625" w:type="dxa"/>
            <w:gridSpan w:val="2"/>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1123.66</w:t>
            </w:r>
          </w:p>
        </w:tc>
        <w:tc>
          <w:tcPr>
            <w:tcW w:w="1500" w:type="dxa"/>
            <w:tcBorders>
              <w:top w:val="nil"/>
              <w:left w:val="nil"/>
              <w:bottom w:val="single" w:color="auto" w:sz="4" w:space="0"/>
              <w:right w:val="single" w:color="auto" w:sz="4" w:space="0"/>
            </w:tcBorders>
          </w:tcPr>
          <w:p>
            <w:pPr>
              <w:widowControl/>
              <w:jc w:val="right"/>
              <w:textAlignment w:val="top"/>
              <w:rPr>
                <w:rFonts w:ascii="宋体" w:hAnsi="宋体" w:cs="宋体"/>
                <w:color w:val="000000"/>
                <w:kern w:val="0"/>
                <w:sz w:val="20"/>
                <w:szCs w:val="20"/>
                <w:highlight w:val="none"/>
              </w:rPr>
            </w:pPr>
            <w:r>
              <w:rPr>
                <w:rFonts w:hint="eastAsia" w:ascii="宋体" w:hAnsi="宋体" w:cs="宋体"/>
                <w:color w:val="000000"/>
                <w:kern w:val="0"/>
                <w:sz w:val="22"/>
                <w:szCs w:val="22"/>
                <w:highlight w:val="none"/>
              </w:rPr>
              <w:t>143.56</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表7</w:t>
      </w:r>
    </w:p>
    <w:tbl>
      <w:tblPr>
        <w:tblStyle w:val="6"/>
        <w:tblW w:w="9461" w:type="dxa"/>
        <w:tblInd w:w="-360" w:type="dxa"/>
        <w:tblLayout w:type="fixed"/>
        <w:tblCellMar>
          <w:top w:w="0" w:type="dxa"/>
          <w:left w:w="108" w:type="dxa"/>
          <w:bottom w:w="0" w:type="dxa"/>
          <w:right w:w="108" w:type="dxa"/>
        </w:tblCellMar>
      </w:tblPr>
      <w:tblGrid>
        <w:gridCol w:w="8"/>
        <w:gridCol w:w="480"/>
        <w:gridCol w:w="306"/>
        <w:gridCol w:w="397"/>
        <w:gridCol w:w="851"/>
        <w:gridCol w:w="1456"/>
        <w:gridCol w:w="750"/>
        <w:gridCol w:w="569"/>
        <w:gridCol w:w="636"/>
        <w:gridCol w:w="552"/>
        <w:gridCol w:w="543"/>
        <w:gridCol w:w="487"/>
        <w:gridCol w:w="518"/>
        <w:gridCol w:w="600"/>
        <w:gridCol w:w="435"/>
        <w:gridCol w:w="405"/>
        <w:gridCol w:w="468"/>
      </w:tblGrid>
      <w:tr>
        <w:tblPrEx>
          <w:tblCellMar>
            <w:top w:w="0" w:type="dxa"/>
            <w:left w:w="108" w:type="dxa"/>
            <w:bottom w:w="0" w:type="dxa"/>
            <w:right w:w="108" w:type="dxa"/>
          </w:tblCellMar>
        </w:tblPrEx>
        <w:trPr>
          <w:gridBefore w:val="1"/>
          <w:wBefore w:w="8" w:type="dxa"/>
          <w:trHeight w:val="375" w:hRule="atLeast"/>
        </w:trPr>
        <w:tc>
          <w:tcPr>
            <w:tcW w:w="9453" w:type="dxa"/>
            <w:gridSpan w:val="16"/>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一般公共预算项目支出情况表</w:t>
            </w:r>
          </w:p>
        </w:tc>
      </w:tr>
      <w:tr>
        <w:tblPrEx>
          <w:tblCellMar>
            <w:top w:w="0" w:type="dxa"/>
            <w:left w:w="108" w:type="dxa"/>
            <w:bottom w:w="0" w:type="dxa"/>
            <w:right w:w="108" w:type="dxa"/>
          </w:tblCellMar>
        </w:tblPrEx>
        <w:trPr>
          <w:gridBefore w:val="1"/>
          <w:wBefore w:w="8" w:type="dxa"/>
          <w:trHeight w:val="405" w:hRule="atLeast"/>
        </w:trPr>
        <w:tc>
          <w:tcPr>
            <w:tcW w:w="5445" w:type="dxa"/>
            <w:gridSpan w:val="8"/>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编制部门（单位）：昌吉州发展和改革委员会</w:t>
            </w:r>
          </w:p>
        </w:tc>
        <w:tc>
          <w:tcPr>
            <w:tcW w:w="15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5"/>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 目 编 码</w:t>
            </w:r>
          </w:p>
        </w:tc>
        <w:tc>
          <w:tcPr>
            <w:tcW w:w="851"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456" w:type="dxa"/>
            <w:vMerge w:val="restart"/>
            <w:vAlign w:val="center"/>
          </w:tcPr>
          <w:p>
            <w:pPr>
              <w:jc w:val="center"/>
              <w:rPr>
                <w:rFonts w:ascii="Calibri" w:hAnsi="Calibri"/>
                <w:sz w:val="24"/>
                <w:highlight w:val="none"/>
              </w:rPr>
            </w:pPr>
            <w:r>
              <w:rPr>
                <w:rFonts w:hint="eastAsia" w:ascii="仿宋_GB2312" w:hAnsi="宋体" w:eastAsia="仿宋_GB2312"/>
                <w:b/>
                <w:kern w:val="0"/>
                <w:sz w:val="24"/>
                <w:highlight w:val="none"/>
              </w:rPr>
              <w:t>项目名称</w:t>
            </w:r>
          </w:p>
        </w:tc>
        <w:tc>
          <w:tcPr>
            <w:tcW w:w="75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569"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636"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5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543"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487"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51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60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35"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05"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46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8" w:type="dxa"/>
            <w:gridSpan w:val="2"/>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306"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36"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43"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87"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18"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0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35"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05"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68"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hint="eastAsia" w:ascii="仿宋_GB2312" w:hAnsi="宋体" w:eastAsia="仿宋_GB2312"/>
                <w:kern w:val="0"/>
                <w:sz w:val="18"/>
                <w:szCs w:val="18"/>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hint="eastAsia" w:ascii="仿宋_GB2312" w:hAnsi="宋体" w:eastAsia="仿宋_GB2312"/>
                <w:kern w:val="0"/>
                <w:sz w:val="18"/>
                <w:szCs w:val="18"/>
                <w:highlight w:val="none"/>
              </w:rPr>
            </w:pPr>
          </w:p>
        </w:tc>
        <w:tc>
          <w:tcPr>
            <w:tcW w:w="397" w:type="dxa"/>
          </w:tcPr>
          <w:p>
            <w:pPr>
              <w:widowControl/>
              <w:jc w:val="center"/>
              <w:outlineLvl w:val="1"/>
              <w:rPr>
                <w:rFonts w:hint="eastAsia" w:ascii="仿宋_GB2312" w:hAnsi="宋体" w:eastAsia="仿宋_GB2312"/>
                <w:kern w:val="0"/>
                <w:sz w:val="18"/>
                <w:szCs w:val="18"/>
                <w:highlight w:val="none"/>
              </w:rPr>
            </w:pPr>
          </w:p>
        </w:tc>
        <w:tc>
          <w:tcPr>
            <w:tcW w:w="851" w:type="dxa"/>
            <w:vAlign w:val="top"/>
          </w:tcPr>
          <w:p>
            <w:pPr>
              <w:keepNext w:val="0"/>
              <w:keepLines w:val="0"/>
              <w:widowControl/>
              <w:suppressLineNumbers w:val="0"/>
              <w:jc w:val="left"/>
              <w:textAlignment w:val="top"/>
              <w:rPr>
                <w:rFonts w:hint="eastAsia" w:ascii="仿宋_GB2312" w:hAnsi="宋体" w:eastAsia="仿宋_GB2312"/>
                <w:kern w:val="0"/>
                <w:sz w:val="18"/>
                <w:szCs w:val="18"/>
                <w:highlight w:val="none"/>
              </w:rPr>
            </w:pPr>
            <w:r>
              <w:rPr>
                <w:rFonts w:hint="eastAsia" w:ascii="仿宋" w:hAnsi="仿宋" w:eastAsia="仿宋" w:cs="仿宋"/>
                <w:i w:val="0"/>
                <w:color w:val="000000"/>
                <w:kern w:val="0"/>
                <w:sz w:val="20"/>
                <w:szCs w:val="20"/>
                <w:highlight w:val="none"/>
                <w:u w:val="none"/>
                <w:lang w:val="en-US" w:eastAsia="zh-CN" w:bidi="ar"/>
              </w:rPr>
              <w:t>一般公共服务支出</w:t>
            </w:r>
          </w:p>
        </w:tc>
        <w:tc>
          <w:tcPr>
            <w:tcW w:w="1456" w:type="dxa"/>
          </w:tcPr>
          <w:p>
            <w:pPr>
              <w:widowControl/>
              <w:jc w:val="left"/>
              <w:textAlignment w:val="top"/>
              <w:rPr>
                <w:rFonts w:ascii="Calibri" w:hAnsi="Calibri" w:cs="Calibri"/>
                <w:color w:val="000000"/>
                <w:kern w:val="0"/>
                <w:sz w:val="22"/>
                <w:szCs w:val="22"/>
                <w:highlight w:val="none"/>
              </w:rPr>
            </w:pPr>
          </w:p>
        </w:tc>
        <w:tc>
          <w:tcPr>
            <w:tcW w:w="750" w:type="dxa"/>
          </w:tcPr>
          <w:p>
            <w:pPr>
              <w:widowControl/>
              <w:jc w:val="right"/>
              <w:textAlignment w:val="top"/>
              <w:rPr>
                <w:rFonts w:hint="default" w:ascii="Calibri" w:hAnsi="Calibri" w:eastAsia="宋体" w:cs="Calibri"/>
                <w:color w:val="000000"/>
                <w:kern w:val="0"/>
                <w:sz w:val="22"/>
                <w:szCs w:val="22"/>
                <w:highlight w:val="none"/>
                <w:lang w:val="en-US" w:eastAsia="zh-CN"/>
              </w:rPr>
            </w:pPr>
            <w:r>
              <w:rPr>
                <w:rFonts w:hint="eastAsia" w:ascii="Calibri" w:hAnsi="Calibri" w:cs="Calibri"/>
                <w:color w:val="000000"/>
                <w:kern w:val="0"/>
                <w:sz w:val="22"/>
                <w:szCs w:val="22"/>
                <w:highlight w:val="none"/>
                <w:lang w:val="en-US" w:eastAsia="zh-CN"/>
              </w:rPr>
              <w:t>648.30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Calibri" w:hAnsi="Calibri" w:cs="Calibri"/>
                <w:color w:val="000000"/>
                <w:kern w:val="0"/>
                <w:sz w:val="22"/>
                <w:szCs w:val="22"/>
                <w:highlight w:val="none"/>
              </w:rPr>
            </w:pPr>
            <w:r>
              <w:rPr>
                <w:rFonts w:hint="eastAsia" w:ascii="Calibri" w:hAnsi="Calibri" w:cs="Calibri"/>
                <w:color w:val="000000"/>
                <w:kern w:val="0"/>
                <w:sz w:val="22"/>
                <w:szCs w:val="22"/>
                <w:highlight w:val="none"/>
                <w:lang w:val="en-US" w:eastAsia="zh-CN"/>
              </w:rPr>
              <w:t>648.30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hint="eastAsia" w:ascii="仿宋_GB2312" w:hAnsi="宋体" w:eastAsia="仿宋_GB2312"/>
                <w:kern w:val="0"/>
                <w:sz w:val="18"/>
                <w:szCs w:val="18"/>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01</w:t>
            </w:r>
          </w:p>
        </w:tc>
        <w:tc>
          <w:tcPr>
            <w:tcW w:w="397" w:type="dxa"/>
          </w:tcPr>
          <w:p>
            <w:pPr>
              <w:widowControl/>
              <w:jc w:val="center"/>
              <w:outlineLvl w:val="1"/>
              <w:rPr>
                <w:rFonts w:hint="eastAsia" w:ascii="仿宋_GB2312" w:hAnsi="宋体" w:eastAsia="仿宋_GB2312"/>
                <w:kern w:val="0"/>
                <w:sz w:val="18"/>
                <w:szCs w:val="18"/>
                <w:highlight w:val="none"/>
              </w:rPr>
            </w:pPr>
          </w:p>
        </w:tc>
        <w:tc>
          <w:tcPr>
            <w:tcW w:w="851" w:type="dxa"/>
            <w:vAlign w:val="top"/>
          </w:tcPr>
          <w:p>
            <w:pPr>
              <w:keepNext w:val="0"/>
              <w:keepLines w:val="0"/>
              <w:widowControl/>
              <w:suppressLineNumbers w:val="0"/>
              <w:jc w:val="left"/>
              <w:textAlignment w:val="top"/>
              <w:rPr>
                <w:rFonts w:hint="eastAsia" w:ascii="仿宋_GB2312" w:hAnsi="宋体" w:eastAsia="仿宋_GB2312"/>
                <w:kern w:val="0"/>
                <w:sz w:val="18"/>
                <w:szCs w:val="18"/>
                <w:highlight w:val="none"/>
              </w:rPr>
            </w:pPr>
            <w:r>
              <w:rPr>
                <w:rFonts w:hint="eastAsia" w:ascii="仿宋" w:hAnsi="仿宋" w:eastAsia="仿宋" w:cs="仿宋"/>
                <w:i w:val="0"/>
                <w:color w:val="000000"/>
                <w:kern w:val="0"/>
                <w:sz w:val="20"/>
                <w:szCs w:val="20"/>
                <w:highlight w:val="none"/>
                <w:u w:val="none"/>
                <w:lang w:val="en-US" w:eastAsia="zh-CN" w:bidi="ar"/>
              </w:rPr>
              <w:t>发展与改革事务</w:t>
            </w:r>
          </w:p>
        </w:tc>
        <w:tc>
          <w:tcPr>
            <w:tcW w:w="1456" w:type="dxa"/>
          </w:tcPr>
          <w:p>
            <w:pPr>
              <w:widowControl/>
              <w:jc w:val="left"/>
              <w:textAlignment w:val="top"/>
              <w:rPr>
                <w:rFonts w:ascii="Calibri" w:hAnsi="Calibri" w:cs="Calibri"/>
                <w:color w:val="000000"/>
                <w:kern w:val="0"/>
                <w:sz w:val="22"/>
                <w:szCs w:val="22"/>
                <w:highlight w:val="none"/>
              </w:rPr>
            </w:pPr>
          </w:p>
        </w:tc>
        <w:tc>
          <w:tcPr>
            <w:tcW w:w="750" w:type="dxa"/>
          </w:tcPr>
          <w:p>
            <w:pPr>
              <w:widowControl/>
              <w:jc w:val="right"/>
              <w:textAlignment w:val="top"/>
              <w:rPr>
                <w:rFonts w:ascii="Calibri" w:hAnsi="Calibri" w:cs="Calibri"/>
                <w:color w:val="000000"/>
                <w:kern w:val="0"/>
                <w:sz w:val="22"/>
                <w:szCs w:val="22"/>
                <w:highlight w:val="none"/>
              </w:rPr>
            </w:pPr>
            <w:r>
              <w:rPr>
                <w:rFonts w:hint="eastAsia" w:ascii="Calibri" w:hAnsi="Calibri" w:cs="Calibri"/>
                <w:color w:val="000000"/>
                <w:kern w:val="0"/>
                <w:sz w:val="22"/>
                <w:szCs w:val="22"/>
                <w:highlight w:val="none"/>
                <w:lang w:val="en-US" w:eastAsia="zh-CN"/>
              </w:rPr>
              <w:t>648.30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Calibri" w:hAnsi="Calibri" w:cs="Calibri"/>
                <w:color w:val="000000"/>
                <w:kern w:val="0"/>
                <w:sz w:val="22"/>
                <w:szCs w:val="22"/>
                <w:highlight w:val="none"/>
              </w:rPr>
            </w:pPr>
            <w:r>
              <w:rPr>
                <w:rFonts w:hint="eastAsia" w:ascii="Calibri" w:hAnsi="Calibri" w:cs="Calibri"/>
                <w:color w:val="000000"/>
                <w:kern w:val="0"/>
                <w:sz w:val="22"/>
                <w:szCs w:val="22"/>
                <w:highlight w:val="none"/>
                <w:lang w:val="en-US" w:eastAsia="zh-CN"/>
              </w:rPr>
              <w:t>648.30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兵地融合发展专项经费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30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30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昌吉州1万吨原粮储备经费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165.3</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165.3</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“信用昌吉”专项经费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17</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17</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粮食流通监督检查业务经费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“信用城市”研究工作经费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25</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25</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高质量发展研究经费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20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20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救灾物资储备专项经费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36</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36</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成本监审</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15</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15</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昌吉州1000吨应急成品油储备经费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50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50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粮油质量检测工作经费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100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100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机关运行补助经费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80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80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204</w:t>
            </w:r>
          </w:p>
        </w:tc>
        <w:tc>
          <w:tcPr>
            <w:tcW w:w="306"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01</w:t>
            </w:r>
          </w:p>
        </w:tc>
        <w:tc>
          <w:tcPr>
            <w:tcW w:w="397"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02</w:t>
            </w:r>
          </w:p>
        </w:tc>
        <w:tc>
          <w:tcPr>
            <w:tcW w:w="851"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rPr>
              <w:t>一般行政管理事务</w:t>
            </w:r>
          </w:p>
        </w:tc>
        <w:tc>
          <w:tcPr>
            <w:tcW w:w="1456" w:type="dxa"/>
          </w:tcPr>
          <w:p>
            <w:pPr>
              <w:widowControl/>
              <w:jc w:val="lef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项目工作经费</w:t>
            </w:r>
          </w:p>
        </w:tc>
        <w:tc>
          <w:tcPr>
            <w:tcW w:w="750"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100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textAlignment w:val="top"/>
              <w:rPr>
                <w:rFonts w:ascii="仿宋_GB2312" w:hAnsi="宋体" w:eastAsia="仿宋_GB2312"/>
                <w:kern w:val="0"/>
                <w:sz w:val="32"/>
                <w:szCs w:val="32"/>
                <w:highlight w:val="none"/>
              </w:rPr>
            </w:pPr>
            <w:r>
              <w:rPr>
                <w:rFonts w:ascii="Calibri" w:hAnsi="Calibri" w:cs="Calibri"/>
                <w:color w:val="000000"/>
                <w:kern w:val="0"/>
                <w:sz w:val="22"/>
                <w:szCs w:val="22"/>
                <w:highlight w:val="none"/>
              </w:rPr>
              <w:t>100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8" w:type="dxa"/>
            <w:gridSpan w:val="2"/>
          </w:tcPr>
          <w:p>
            <w:pPr>
              <w:widowControl/>
              <w:jc w:val="center"/>
              <w:outlineLvl w:val="1"/>
              <w:rPr>
                <w:rFonts w:ascii="仿宋_GB2312" w:hAnsi="宋体" w:eastAsia="仿宋_GB2312"/>
                <w:kern w:val="0"/>
                <w:sz w:val="32"/>
                <w:szCs w:val="32"/>
                <w:highlight w:val="none"/>
              </w:rPr>
            </w:pPr>
          </w:p>
        </w:tc>
        <w:tc>
          <w:tcPr>
            <w:tcW w:w="306" w:type="dxa"/>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851" w:type="dxa"/>
          </w:tcPr>
          <w:p>
            <w:pPr>
              <w:widowControl/>
              <w:jc w:val="center"/>
              <w:outlineLvl w:val="1"/>
              <w:rPr>
                <w:rFonts w:ascii="仿宋_GB2312" w:hAnsi="宋体" w:eastAsia="仿宋_GB2312"/>
                <w:kern w:val="0"/>
                <w:sz w:val="32"/>
                <w:szCs w:val="32"/>
                <w:highlight w:val="none"/>
              </w:rPr>
            </w:pPr>
          </w:p>
        </w:tc>
        <w:tc>
          <w:tcPr>
            <w:tcW w:w="1456" w:type="dxa"/>
            <w:vAlign w:val="center"/>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b/>
                <w:bCs/>
                <w:kern w:val="0"/>
                <w:szCs w:val="21"/>
                <w:highlight w:val="none"/>
              </w:rPr>
              <w:t>合 计</w:t>
            </w:r>
          </w:p>
        </w:tc>
        <w:tc>
          <w:tcPr>
            <w:tcW w:w="750" w:type="dxa"/>
            <w:vAlign w:val="center"/>
          </w:tcPr>
          <w:p>
            <w:pPr>
              <w:widowControl/>
              <w:jc w:val="right"/>
              <w:outlineLvl w:val="1"/>
              <w:rPr>
                <w:rFonts w:ascii="仿宋_GB2312" w:hAnsi="宋体" w:eastAsia="仿宋_GB2312"/>
                <w:kern w:val="0"/>
                <w:szCs w:val="21"/>
                <w:highlight w:val="none"/>
              </w:rPr>
            </w:pPr>
            <w:r>
              <w:rPr>
                <w:rFonts w:hint="eastAsia" w:ascii="仿宋_GB2312" w:hAnsi="宋体" w:eastAsia="仿宋_GB2312"/>
                <w:kern w:val="0"/>
                <w:szCs w:val="21"/>
                <w:highlight w:val="none"/>
              </w:rPr>
              <w:t>648.30</w:t>
            </w:r>
          </w:p>
        </w:tc>
        <w:tc>
          <w:tcPr>
            <w:tcW w:w="569" w:type="dxa"/>
          </w:tcPr>
          <w:p>
            <w:pPr>
              <w:widowControl/>
              <w:jc w:val="right"/>
              <w:outlineLvl w:val="1"/>
              <w:rPr>
                <w:rFonts w:ascii="仿宋_GB2312" w:hAnsi="宋体" w:eastAsia="仿宋_GB2312"/>
                <w:kern w:val="0"/>
                <w:sz w:val="32"/>
                <w:szCs w:val="32"/>
                <w:highlight w:val="none"/>
              </w:rPr>
            </w:pPr>
          </w:p>
        </w:tc>
        <w:tc>
          <w:tcPr>
            <w:tcW w:w="636" w:type="dxa"/>
          </w:tcPr>
          <w:p>
            <w:pPr>
              <w:widowControl/>
              <w:jc w:val="right"/>
              <w:outlineLvl w:val="1"/>
              <w:rPr>
                <w:rFonts w:ascii="仿宋_GB2312" w:hAnsi="宋体" w:eastAsia="仿宋_GB2312"/>
                <w:kern w:val="0"/>
                <w:sz w:val="32"/>
                <w:szCs w:val="32"/>
                <w:highlight w:val="none"/>
              </w:rPr>
            </w:pPr>
            <w:r>
              <w:rPr>
                <w:rFonts w:hint="eastAsia" w:ascii="仿宋_GB2312" w:hAnsi="宋体" w:eastAsia="仿宋_GB2312"/>
                <w:kern w:val="0"/>
                <w:szCs w:val="21"/>
                <w:highlight w:val="none"/>
              </w:rPr>
              <w:t>648.30</w:t>
            </w:r>
          </w:p>
        </w:tc>
        <w:tc>
          <w:tcPr>
            <w:tcW w:w="552" w:type="dxa"/>
          </w:tcPr>
          <w:p>
            <w:pPr>
              <w:widowControl/>
              <w:jc w:val="right"/>
              <w:outlineLvl w:val="1"/>
              <w:rPr>
                <w:rFonts w:ascii="仿宋_GB2312" w:hAnsi="宋体" w:eastAsia="仿宋_GB2312"/>
                <w:kern w:val="0"/>
                <w:sz w:val="32"/>
                <w:szCs w:val="32"/>
                <w:highlight w:val="none"/>
              </w:rPr>
            </w:pPr>
          </w:p>
        </w:tc>
        <w:tc>
          <w:tcPr>
            <w:tcW w:w="543" w:type="dxa"/>
          </w:tcPr>
          <w:p>
            <w:pPr>
              <w:widowControl/>
              <w:jc w:val="right"/>
              <w:outlineLvl w:val="1"/>
              <w:rPr>
                <w:rFonts w:ascii="仿宋_GB2312" w:hAnsi="宋体" w:eastAsia="仿宋_GB2312"/>
                <w:kern w:val="0"/>
                <w:sz w:val="32"/>
                <w:szCs w:val="32"/>
                <w:highlight w:val="none"/>
              </w:rPr>
            </w:pPr>
          </w:p>
        </w:tc>
        <w:tc>
          <w:tcPr>
            <w:tcW w:w="487" w:type="dxa"/>
          </w:tcPr>
          <w:p>
            <w:pPr>
              <w:widowControl/>
              <w:jc w:val="right"/>
              <w:outlineLvl w:val="1"/>
              <w:rPr>
                <w:rFonts w:ascii="仿宋_GB2312" w:hAnsi="宋体" w:eastAsia="仿宋_GB2312"/>
                <w:kern w:val="0"/>
                <w:sz w:val="32"/>
                <w:szCs w:val="32"/>
                <w:highlight w:val="none"/>
              </w:rPr>
            </w:pPr>
          </w:p>
        </w:tc>
        <w:tc>
          <w:tcPr>
            <w:tcW w:w="518" w:type="dxa"/>
          </w:tcPr>
          <w:p>
            <w:pPr>
              <w:widowControl/>
              <w:jc w:val="right"/>
              <w:outlineLvl w:val="1"/>
              <w:rPr>
                <w:rFonts w:ascii="仿宋_GB2312" w:hAnsi="宋体" w:eastAsia="仿宋_GB2312"/>
                <w:kern w:val="0"/>
                <w:sz w:val="32"/>
                <w:szCs w:val="32"/>
                <w:highlight w:val="none"/>
              </w:rPr>
            </w:pPr>
          </w:p>
        </w:tc>
        <w:tc>
          <w:tcPr>
            <w:tcW w:w="600" w:type="dxa"/>
          </w:tcPr>
          <w:p>
            <w:pPr>
              <w:widowControl/>
              <w:jc w:val="right"/>
              <w:outlineLvl w:val="1"/>
              <w:rPr>
                <w:rFonts w:ascii="仿宋_GB2312" w:hAnsi="宋体" w:eastAsia="仿宋_GB2312"/>
                <w:kern w:val="0"/>
                <w:sz w:val="32"/>
                <w:szCs w:val="32"/>
                <w:highlight w:val="none"/>
              </w:rPr>
            </w:pPr>
          </w:p>
        </w:tc>
        <w:tc>
          <w:tcPr>
            <w:tcW w:w="435" w:type="dxa"/>
          </w:tcPr>
          <w:p>
            <w:pPr>
              <w:widowControl/>
              <w:jc w:val="right"/>
              <w:outlineLvl w:val="1"/>
              <w:rPr>
                <w:rFonts w:ascii="仿宋_GB2312" w:hAnsi="宋体" w:eastAsia="仿宋_GB2312"/>
                <w:kern w:val="0"/>
                <w:sz w:val="32"/>
                <w:szCs w:val="32"/>
                <w:highlight w:val="none"/>
              </w:rPr>
            </w:pPr>
          </w:p>
        </w:tc>
        <w:tc>
          <w:tcPr>
            <w:tcW w:w="405" w:type="dxa"/>
          </w:tcPr>
          <w:p>
            <w:pPr>
              <w:widowControl/>
              <w:jc w:val="right"/>
              <w:outlineLvl w:val="1"/>
              <w:rPr>
                <w:rFonts w:ascii="仿宋_GB2312" w:hAnsi="宋体" w:eastAsia="仿宋_GB2312"/>
                <w:kern w:val="0"/>
                <w:sz w:val="32"/>
                <w:szCs w:val="32"/>
                <w:highlight w:val="none"/>
              </w:rPr>
            </w:pPr>
          </w:p>
        </w:tc>
        <w:tc>
          <w:tcPr>
            <w:tcW w:w="468" w:type="dxa"/>
          </w:tcPr>
          <w:p>
            <w:pPr>
              <w:widowControl/>
              <w:jc w:val="right"/>
              <w:outlineLvl w:val="1"/>
              <w:rPr>
                <w:rFonts w:ascii="仿宋_GB2312" w:hAnsi="宋体" w:eastAsia="仿宋_GB2312"/>
                <w:kern w:val="0"/>
                <w:sz w:val="32"/>
                <w:szCs w:val="32"/>
                <w:highlight w:val="none"/>
              </w:rPr>
            </w:pP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hint="eastAsia"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表8</w:t>
      </w:r>
    </w:p>
    <w:p>
      <w:pPr>
        <w:widowControl/>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一般公共预算“三公”经费支出情况表</w:t>
      </w:r>
    </w:p>
    <w:p>
      <w:pPr>
        <w:widowControl/>
        <w:jc w:val="center"/>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编制部门（单位）：昌吉州发展和改革委员会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29.79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26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3.79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bl>
    <w:p>
      <w:pPr>
        <w:widowControl/>
        <w:outlineLvl w:val="1"/>
        <w:rPr>
          <w:rFonts w:ascii="仿宋_GB2312" w:hAnsi="宋体" w:eastAsia="仿宋_GB2312"/>
          <w:kern w:val="0"/>
          <w:sz w:val="32"/>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p>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表9</w:t>
      </w:r>
    </w:p>
    <w:p>
      <w:pPr>
        <w:widowControl/>
        <w:spacing w:line="360" w:lineRule="exact"/>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政府性基金预算支出情况表</w:t>
      </w: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编制部门（单位）：昌吉州发展和改革委员会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备注：我单位无政府性基金预算支出，此表为空表。</w:t>
      </w:r>
    </w:p>
    <w:p>
      <w:pPr>
        <w:widowControl/>
        <w:spacing w:line="280" w:lineRule="exact"/>
        <w:jc w:val="left"/>
        <w:outlineLvl w:val="1"/>
        <w:rPr>
          <w:rFonts w:ascii="仿宋_GB2312" w:hAnsi="宋体" w:eastAsia="仿宋_GB2312"/>
          <w:kern w:val="0"/>
          <w:sz w:val="32"/>
          <w:szCs w:val="32"/>
          <w:highlight w:val="none"/>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第三部分  2022年部门（单位）预算情况说明</w:t>
      </w:r>
    </w:p>
    <w:p>
      <w:pPr>
        <w:spacing w:line="560" w:lineRule="exact"/>
        <w:ind w:firstLine="640" w:firstLineChars="200"/>
        <w:rPr>
          <w:rFonts w:ascii="黑体" w:hAnsi="黑体" w:eastAsia="黑体"/>
          <w:kern w:val="0"/>
          <w:sz w:val="32"/>
          <w:szCs w:val="32"/>
          <w:highlight w:val="none"/>
        </w:rPr>
      </w:pPr>
    </w:p>
    <w:p>
      <w:pPr>
        <w:spacing w:line="560" w:lineRule="exact"/>
        <w:ind w:firstLine="643" w:firstLineChars="200"/>
        <w:rPr>
          <w:rFonts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一、关于昌吉州发展和改革委员会2022年收支预算情况的总体说明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按照全口径预算的原则，昌吉州发展和改革委员会2022年所有收入和支出均纳入部门（单位）预算管理。收支总预算1915.52万元。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支出预算包括：一般公共服务支出、社会保障和就业支出、医疗卫生健康支出、住房保障支出等。</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二、关于昌吉州发展和改革委员会2022年收入预算情况说明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昌吉州发展和改革委员会收入预算1915.52万元，其中：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一般公共预算1915.52万元，占100%，比上年预算减少127.08万元，下降6.22%，主要原因是“十四五”规划纲要编制经费、粮油质检提标改造经费、煤矿安全监管等项目资金预算减少。    </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国有资本经营预算未安排。</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三、关于昌吉州发展和改革委员会2022年支出预算情况说明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昌吉州发展和改革委员会2022年支出预算1915.52元，其中：</w:t>
      </w:r>
    </w:p>
    <w:p>
      <w:pPr>
        <w:spacing w:line="560" w:lineRule="exact"/>
        <w:ind w:firstLine="640" w:firstLineChars="200"/>
        <w:rPr>
          <w:rFonts w:ascii="仿宋_GB2312" w:hAnsi="宋体" w:eastAsia="仿宋_GB2312" w:cs="宋体"/>
          <w:b/>
          <w:kern w:val="0"/>
          <w:sz w:val="32"/>
          <w:szCs w:val="32"/>
          <w:highlight w:val="none"/>
        </w:rPr>
      </w:pPr>
      <w:r>
        <w:rPr>
          <w:rFonts w:hint="eastAsia" w:ascii="仿宋_GB2312" w:hAnsi="宋体" w:eastAsia="仿宋_GB2312" w:cs="宋体"/>
          <w:kern w:val="0"/>
          <w:sz w:val="32"/>
          <w:szCs w:val="32"/>
          <w:highlight w:val="none"/>
        </w:rPr>
        <w:t>基本支出1267.22万元，占66.15%，比上年预算增加83.62万元，增长7.06%，主要原因是人员经费和公用经费增加。</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项目支出648.30万元，占33.85%，比上年预算减少210.70万元，下降24.53%，主要原因是“十四五” 规划纲要编制经费、粮油质检提标改造经费、煤矿安全监管等项目资金预算减少。</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四、关于昌吉州发展和改革委员会2022年财政拨款收支预算情况的总体说明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2022年财政拨款收支总预算1915.52万元。</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收入预算包括：一般公共预算拨款1915.52万元。</w:t>
      </w:r>
    </w:p>
    <w:p>
      <w:pPr>
        <w:spacing w:line="560" w:lineRule="exact"/>
        <w:ind w:firstLine="640" w:firstLineChars="200"/>
        <w:rPr>
          <w:rFonts w:ascii="仿宋_GB2312" w:hAnsi="宋体" w:eastAsia="仿宋_GB2312" w:cs="宋体"/>
          <w:spacing w:val="-6"/>
          <w:kern w:val="0"/>
          <w:sz w:val="32"/>
          <w:szCs w:val="32"/>
          <w:highlight w:val="none"/>
        </w:rPr>
      </w:pPr>
      <w:r>
        <w:rPr>
          <w:rFonts w:hint="eastAsia" w:ascii="仿宋_GB2312" w:hAnsi="宋体" w:eastAsia="仿宋_GB2312" w:cs="宋体"/>
          <w:kern w:val="0"/>
          <w:sz w:val="32"/>
          <w:szCs w:val="32"/>
          <w:highlight w:val="none"/>
        </w:rPr>
        <w:t>一般公共预算支出包括：一般公共服务支出1601.56万元，主要用于</w:t>
      </w:r>
      <w:r>
        <w:rPr>
          <w:rFonts w:hint="eastAsia" w:ascii="仿宋_GB2312" w:hAnsi="宋体" w:eastAsia="仿宋_GB2312" w:cs="宋体"/>
          <w:spacing w:val="-6"/>
          <w:kern w:val="0"/>
          <w:sz w:val="32"/>
          <w:szCs w:val="32"/>
          <w:highlight w:val="none"/>
        </w:rPr>
        <w:t>行政单位（包括实行公务员管理的事业单位）的基本支出和项目支出；社会保障和就业支出87.30万元，用于行政事业单位养老方面的支出；生健康支出157.42万元，用于行政事业单位医疗、公务员医疗补助及其他行政事业单位医疗支出；住房保障支出97.28万元，用于职工住房公积金支出</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五、</w:t>
      </w:r>
      <w:r>
        <w:rPr>
          <w:rFonts w:hint="eastAsia" w:ascii="楷体_GB2312" w:hAnsi="楷体_GB2312" w:eastAsia="楷体_GB2312" w:cs="楷体_GB2312"/>
          <w:b/>
          <w:bCs/>
          <w:spacing w:val="-6"/>
          <w:kern w:val="0"/>
          <w:sz w:val="32"/>
          <w:szCs w:val="32"/>
          <w:highlight w:val="none"/>
        </w:rPr>
        <w:t>关于</w:t>
      </w:r>
      <w:r>
        <w:rPr>
          <w:rFonts w:hint="eastAsia" w:ascii="楷体_GB2312" w:hAnsi="楷体_GB2312" w:eastAsia="楷体_GB2312" w:cs="楷体_GB2312"/>
          <w:b/>
          <w:bCs/>
          <w:kern w:val="0"/>
          <w:sz w:val="32"/>
          <w:szCs w:val="32"/>
          <w:highlight w:val="none"/>
        </w:rPr>
        <w:t>昌吉州发展和改革委员会</w:t>
      </w:r>
      <w:r>
        <w:rPr>
          <w:rFonts w:hint="eastAsia" w:ascii="楷体_GB2312" w:hAnsi="楷体_GB2312" w:eastAsia="楷体_GB2312" w:cs="楷体_GB2312"/>
          <w:b/>
          <w:bCs/>
          <w:spacing w:val="-6"/>
          <w:kern w:val="0"/>
          <w:sz w:val="32"/>
          <w:szCs w:val="32"/>
          <w:highlight w:val="none"/>
        </w:rPr>
        <w:t>2022年一般公共预算当年拨款情况说明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（一）一般公共预算当年拨款规模变化情况</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宋体" w:eastAsia="仿宋_GB2312" w:cs="宋体"/>
          <w:kern w:val="0"/>
          <w:sz w:val="32"/>
          <w:szCs w:val="32"/>
          <w:highlight w:val="none"/>
        </w:rPr>
        <w:t>昌吉州发展和改革委员会</w:t>
      </w:r>
      <w:r>
        <w:rPr>
          <w:rFonts w:hint="eastAsia" w:ascii="仿宋_GB2312" w:hAnsi="仿宋_GB2312" w:eastAsia="仿宋_GB2312" w:cs="仿宋_GB2312"/>
          <w:kern w:val="0"/>
          <w:sz w:val="32"/>
          <w:szCs w:val="32"/>
          <w:highlight w:val="none"/>
        </w:rPr>
        <w:t>2022年一般公共预算拨款合计</w:t>
      </w:r>
      <w:r>
        <w:rPr>
          <w:rFonts w:hint="eastAsia" w:ascii="仿宋_GB2312" w:hAnsi="宋体" w:eastAsia="仿宋_GB2312" w:cs="宋体"/>
          <w:kern w:val="0"/>
          <w:sz w:val="32"/>
          <w:szCs w:val="32"/>
          <w:highlight w:val="none"/>
        </w:rPr>
        <w:t>1915.52</w:t>
      </w:r>
      <w:r>
        <w:rPr>
          <w:rFonts w:hint="eastAsia" w:ascii="仿宋_GB2312" w:hAnsi="仿宋_GB2312" w:eastAsia="仿宋_GB2312" w:cs="仿宋_GB2312"/>
          <w:kern w:val="0"/>
          <w:sz w:val="32"/>
          <w:szCs w:val="32"/>
          <w:highlight w:val="none"/>
        </w:rPr>
        <w:t>万元，其中：</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基本支出</w:t>
      </w:r>
      <w:r>
        <w:rPr>
          <w:rFonts w:hint="eastAsia" w:ascii="仿宋_GB2312" w:hAnsi="宋体" w:eastAsia="仿宋_GB2312" w:cs="宋体"/>
          <w:kern w:val="0"/>
          <w:sz w:val="32"/>
          <w:szCs w:val="32"/>
          <w:highlight w:val="none"/>
        </w:rPr>
        <w:t>1267.22</w:t>
      </w:r>
      <w:r>
        <w:rPr>
          <w:rFonts w:hint="eastAsia" w:ascii="仿宋_GB2312" w:hAnsi="仿宋_GB2312" w:eastAsia="仿宋_GB2312" w:cs="仿宋_GB2312"/>
          <w:kern w:val="0"/>
          <w:sz w:val="32"/>
          <w:szCs w:val="32"/>
          <w:highlight w:val="none"/>
        </w:rPr>
        <w:t>万元，比上年预算增加83.62万元，增长7.06%。主要原因是：</w:t>
      </w:r>
      <w:r>
        <w:rPr>
          <w:rFonts w:hint="eastAsia" w:ascii="仿宋_GB2312" w:hAnsi="宋体" w:eastAsia="仿宋_GB2312" w:cs="宋体"/>
          <w:kern w:val="0"/>
          <w:sz w:val="32"/>
          <w:szCs w:val="32"/>
          <w:highlight w:val="none"/>
        </w:rPr>
        <w:t>人员经费和公用经费增加。</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项目支出</w:t>
      </w:r>
      <w:r>
        <w:rPr>
          <w:rFonts w:hint="eastAsia" w:ascii="仿宋_GB2312" w:hAnsi="宋体" w:eastAsia="仿宋_GB2312" w:cs="宋体"/>
          <w:kern w:val="0"/>
          <w:sz w:val="32"/>
          <w:szCs w:val="32"/>
          <w:highlight w:val="none"/>
        </w:rPr>
        <w:t>648.30</w:t>
      </w:r>
      <w:r>
        <w:rPr>
          <w:rFonts w:hint="eastAsia" w:ascii="仿宋_GB2312" w:hAnsi="仿宋_GB2312" w:eastAsia="仿宋_GB2312" w:cs="仿宋_GB2312"/>
          <w:kern w:val="0"/>
          <w:sz w:val="32"/>
          <w:szCs w:val="32"/>
          <w:highlight w:val="none"/>
        </w:rPr>
        <w:t>万元，比上年预算减少</w:t>
      </w:r>
      <w:r>
        <w:rPr>
          <w:rFonts w:hint="eastAsia" w:ascii="仿宋_GB2312" w:hAnsi="宋体" w:eastAsia="仿宋_GB2312" w:cs="宋体"/>
          <w:kern w:val="0"/>
          <w:sz w:val="32"/>
          <w:szCs w:val="32"/>
          <w:highlight w:val="none"/>
        </w:rPr>
        <w:t>210.70</w:t>
      </w:r>
      <w:r>
        <w:rPr>
          <w:rFonts w:hint="eastAsia" w:ascii="仿宋_GB2312" w:hAnsi="仿宋_GB2312" w:eastAsia="仿宋_GB2312" w:cs="仿宋_GB2312"/>
          <w:kern w:val="0"/>
          <w:sz w:val="32"/>
          <w:szCs w:val="32"/>
          <w:highlight w:val="none"/>
        </w:rPr>
        <w:t>万元，增下降24.53%。主要原因是：</w:t>
      </w:r>
      <w:r>
        <w:rPr>
          <w:rFonts w:hint="eastAsia" w:ascii="仿宋_GB2312" w:hAnsi="宋体" w:eastAsia="仿宋_GB2312" w:cs="宋体"/>
          <w:kern w:val="0"/>
          <w:sz w:val="32"/>
          <w:szCs w:val="32"/>
          <w:highlight w:val="none"/>
        </w:rPr>
        <w:t>“十四五” 规划纲要编制经费、粮油质检提标改造经费、煤矿安全监管等项目资金预算减少</w:t>
      </w:r>
      <w:r>
        <w:rPr>
          <w:rFonts w:hint="eastAsia" w:ascii="仿宋_GB2312" w:hAnsi="仿宋_GB2312" w:eastAsia="仿宋_GB2312" w:cs="仿宋_GB2312"/>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（二）一般公共预算当年拨款结构情况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宋体" w:eastAsia="仿宋_GB2312" w:cs="宋体"/>
          <w:kern w:val="0"/>
          <w:sz w:val="32"/>
          <w:szCs w:val="32"/>
          <w:highlight w:val="none"/>
        </w:rPr>
        <w:t>1601.56</w:t>
      </w:r>
      <w:r>
        <w:rPr>
          <w:rFonts w:hint="eastAsia" w:ascii="仿宋_GB2312" w:hAnsi="仿宋_GB2312" w:eastAsia="仿宋_GB2312" w:cs="仿宋_GB2312"/>
          <w:kern w:val="0"/>
          <w:sz w:val="32"/>
          <w:szCs w:val="32"/>
          <w:highlight w:val="none"/>
        </w:rPr>
        <w:t>万元，占</w:t>
      </w:r>
      <w:r>
        <w:rPr>
          <w:rFonts w:hint="eastAsia" w:ascii="仿宋_GB2312" w:hAnsi="宋体" w:eastAsia="仿宋_GB2312" w:cs="宋体"/>
          <w:kern w:val="0"/>
          <w:sz w:val="32"/>
          <w:szCs w:val="32"/>
          <w:highlight w:val="none"/>
        </w:rPr>
        <w:t>83.61</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hint="eastAsia" w:ascii="仿宋_GB2312" w:eastAsia="仿宋_GB2312"/>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宋体" w:eastAsia="仿宋_GB2312" w:cs="宋体"/>
          <w:spacing w:val="-6"/>
          <w:kern w:val="0"/>
          <w:sz w:val="32"/>
          <w:szCs w:val="32"/>
          <w:highlight w:val="none"/>
        </w:rPr>
        <w:t>社会保障和就业</w:t>
      </w:r>
      <w:r>
        <w:rPr>
          <w:rFonts w:hint="eastAsia" w:ascii="仿宋_GB2312" w:eastAsia="仿宋_GB2312"/>
          <w:sz w:val="32"/>
          <w:szCs w:val="32"/>
          <w:highlight w:val="none"/>
        </w:rPr>
        <w:t>支出130.94万元，占6.83%。</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3.卫生健康支出85.74万元，占4.48%。</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eastAsia="仿宋_GB2312"/>
          <w:sz w:val="32"/>
          <w:szCs w:val="32"/>
          <w:highlight w:val="none"/>
        </w:rPr>
        <w:t>住房保障支出97.28万元，占5.08%</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（三）一般公共预算当年拨款具体使用情况</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1.</w:t>
      </w:r>
      <w:r>
        <w:rPr>
          <w:rFonts w:ascii="仿宋_GB2312" w:hAnsi="宋体" w:eastAsia="仿宋_GB2312" w:cs="宋体"/>
          <w:kern w:val="0"/>
          <w:sz w:val="32"/>
          <w:szCs w:val="32"/>
          <w:highlight w:val="none"/>
        </w:rPr>
        <w:t>一般公共服务（类）</w:t>
      </w:r>
      <w:r>
        <w:rPr>
          <w:rFonts w:hint="eastAsia" w:ascii="仿宋_GB2312" w:hAnsi="宋体" w:eastAsia="仿宋_GB2312" w:cs="宋体"/>
          <w:kern w:val="0"/>
          <w:sz w:val="32"/>
          <w:szCs w:val="32"/>
          <w:highlight w:val="none"/>
        </w:rPr>
        <w:t>发展与改革</w:t>
      </w:r>
      <w:r>
        <w:rPr>
          <w:rFonts w:ascii="仿宋_GB2312" w:hAnsi="宋体" w:eastAsia="仿宋_GB2312" w:cs="宋体"/>
          <w:kern w:val="0"/>
          <w:sz w:val="32"/>
          <w:szCs w:val="32"/>
          <w:highlight w:val="none"/>
        </w:rPr>
        <w:t>事务（款）行政运行（项）:</w:t>
      </w:r>
      <w:r>
        <w:rPr>
          <w:rFonts w:hint="eastAsia" w:ascii="仿宋_GB2312" w:hAnsi="宋体" w:eastAsia="仿宋_GB2312" w:cs="宋体"/>
          <w:kern w:val="0"/>
          <w:sz w:val="32"/>
          <w:szCs w:val="32"/>
          <w:highlight w:val="none"/>
        </w:rPr>
        <w:t>2022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rPr>
        <w:t>953.26</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比上年预算数增加14.38万元，</w:t>
      </w:r>
      <w:r>
        <w:rPr>
          <w:rFonts w:hint="eastAsia" w:ascii="仿宋_GB2312" w:hAnsi="仿宋_GB2312" w:eastAsia="仿宋_GB2312" w:cs="仿宋_GB2312"/>
          <w:kern w:val="0"/>
          <w:sz w:val="32"/>
          <w:szCs w:val="32"/>
          <w:highlight w:val="none"/>
        </w:rPr>
        <w:t>增长</w:t>
      </w:r>
      <w:r>
        <w:rPr>
          <w:rFonts w:hint="eastAsia" w:ascii="仿宋_GB2312" w:hAnsi="宋体" w:eastAsia="仿宋_GB2312" w:cs="宋体"/>
          <w:kern w:val="0"/>
          <w:sz w:val="32"/>
          <w:szCs w:val="32"/>
          <w:highlight w:val="none"/>
        </w:rPr>
        <w:t>1.53%，主要原因是：人员经费支出预算增加。</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2.</w:t>
      </w:r>
      <w:r>
        <w:rPr>
          <w:rFonts w:ascii="仿宋_GB2312" w:hAnsi="宋体" w:eastAsia="仿宋_GB2312" w:cs="宋体"/>
          <w:kern w:val="0"/>
          <w:sz w:val="32"/>
          <w:szCs w:val="32"/>
          <w:highlight w:val="none"/>
        </w:rPr>
        <w:t>一般公共服务（类）</w:t>
      </w:r>
      <w:r>
        <w:rPr>
          <w:rFonts w:hint="eastAsia" w:ascii="仿宋_GB2312" w:hAnsi="宋体" w:eastAsia="仿宋_GB2312" w:cs="宋体"/>
          <w:kern w:val="0"/>
          <w:sz w:val="32"/>
          <w:szCs w:val="32"/>
          <w:highlight w:val="none"/>
        </w:rPr>
        <w:t>发展与改革</w:t>
      </w:r>
      <w:r>
        <w:rPr>
          <w:rFonts w:ascii="仿宋_GB2312" w:hAnsi="宋体" w:eastAsia="仿宋_GB2312" w:cs="宋体"/>
          <w:kern w:val="0"/>
          <w:sz w:val="32"/>
          <w:szCs w:val="32"/>
          <w:highlight w:val="none"/>
        </w:rPr>
        <w:t>事务（款）</w:t>
      </w:r>
      <w:r>
        <w:rPr>
          <w:rFonts w:hint="eastAsia" w:ascii="仿宋_GB2312" w:hAnsi="宋体" w:eastAsia="仿宋_GB2312" w:cs="宋体"/>
          <w:kern w:val="0"/>
          <w:sz w:val="32"/>
          <w:szCs w:val="32"/>
          <w:highlight w:val="none"/>
        </w:rPr>
        <w:t>一般行政管理事务</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rPr>
        <w:t>2022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rPr>
        <w:t>648.30</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比上年预算数减少35.70万元，下降5.22%，主要原因是：本年度“十四五” 规划纲要编制经费、粮油质检提标改造经费、煤矿安全监管等项目资金预算减少。</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行政事业单位养老支出（款）行政单位离退休（项）:2022</w:t>
      </w:r>
      <w:r>
        <w:rPr>
          <w:rFonts w:ascii="仿宋_GB2312" w:hAnsi="宋体" w:eastAsia="仿宋_GB2312" w:cs="宋体"/>
          <w:kern w:val="0"/>
          <w:sz w:val="32"/>
          <w:szCs w:val="32"/>
          <w:highlight w:val="none"/>
        </w:rPr>
        <w:t>年预算数为</w:t>
      </w:r>
      <w:r>
        <w:rPr>
          <w:rFonts w:hint="eastAsia" w:ascii="仿宋_GB2312" w:eastAsia="仿宋_GB2312"/>
          <w:sz w:val="32"/>
          <w:szCs w:val="32"/>
          <w:highlight w:val="none"/>
        </w:rPr>
        <w:t>22.54</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比上年预算数增加22.54万元，增加100%，主要原因是：2022年增加了离退休人员经费。</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宋体" w:eastAsia="仿宋_GB2312" w:cs="宋体"/>
          <w:kern w:val="0"/>
          <w:sz w:val="32"/>
          <w:szCs w:val="32"/>
          <w:highlight w:val="none"/>
        </w:rPr>
        <w:t xml:space="preserve"> 社会保障和就业支出（类）行政事业单位养老支出（款）机关事业单位基本养老保险缴费支出（项）：2022年预算数为108.4万元，比上年预算数增加21.10万元，增长24.17%，主要原因是：2022年增加了机关事业单位基本养老保险缴费支出经费预算。</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5.</w:t>
      </w:r>
      <w:r>
        <w:rPr>
          <w:rFonts w:hint="eastAsia" w:ascii="仿宋_GB2312" w:hAnsi="宋体" w:eastAsia="仿宋_GB2312" w:cs="宋体"/>
          <w:kern w:val="0"/>
          <w:sz w:val="32"/>
          <w:szCs w:val="32"/>
          <w:highlight w:val="none"/>
          <w:lang w:val="en-US" w:eastAsia="zh-CN"/>
        </w:rPr>
        <w:t>卫生健康支出（类）卫生健康管理事务（款）行政单位医疗（项）：2022年预算数为58.64万元，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eastAsia="zh-CN"/>
        </w:rPr>
        <w:t>减少</w:t>
      </w:r>
      <w:r>
        <w:rPr>
          <w:rFonts w:hint="eastAsia" w:ascii="仿宋_GB2312" w:hAnsi="宋体" w:eastAsia="仿宋_GB2312" w:cs="宋体"/>
          <w:kern w:val="0"/>
          <w:sz w:val="32"/>
          <w:szCs w:val="32"/>
          <w:highlight w:val="none"/>
          <w:lang w:val="en-US" w:eastAsia="zh-CN"/>
        </w:rPr>
        <w:t>59.93</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下降</w:t>
      </w:r>
      <w:r>
        <w:rPr>
          <w:rFonts w:hint="eastAsia" w:ascii="仿宋_GB2312" w:hAnsi="宋体" w:eastAsia="仿宋_GB2312" w:cs="宋体"/>
          <w:kern w:val="0"/>
          <w:sz w:val="32"/>
          <w:szCs w:val="32"/>
          <w:highlight w:val="none"/>
          <w:lang w:val="en-US" w:eastAsia="zh-CN"/>
        </w:rPr>
        <w:t>50.54</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本年度</w:t>
      </w:r>
      <w:r>
        <w:rPr>
          <w:rFonts w:hint="eastAsia" w:ascii="仿宋_GB2312" w:hAnsi="宋体" w:eastAsia="仿宋_GB2312" w:cs="宋体"/>
          <w:kern w:val="0"/>
          <w:sz w:val="32"/>
          <w:szCs w:val="32"/>
          <w:highlight w:val="none"/>
        </w:rPr>
        <w:t>减少</w:t>
      </w:r>
      <w:r>
        <w:rPr>
          <w:rFonts w:hint="eastAsia" w:ascii="仿宋_GB2312" w:hAnsi="宋体" w:eastAsia="仿宋_GB2312" w:cs="宋体"/>
          <w:kern w:val="0"/>
          <w:sz w:val="32"/>
          <w:szCs w:val="32"/>
          <w:highlight w:val="none"/>
          <w:lang w:eastAsia="zh-CN"/>
        </w:rPr>
        <w:t>行政</w:t>
      </w:r>
      <w:r>
        <w:rPr>
          <w:rFonts w:hint="eastAsia" w:ascii="仿宋_GB2312" w:hAnsi="宋体" w:eastAsia="仿宋_GB2312" w:cs="宋体"/>
          <w:kern w:val="0"/>
          <w:sz w:val="32"/>
          <w:szCs w:val="32"/>
          <w:highlight w:val="none"/>
        </w:rPr>
        <w:t>单位医疗支出经费</w:t>
      </w:r>
      <w:r>
        <w:rPr>
          <w:rFonts w:hint="eastAsia" w:ascii="仿宋_GB2312" w:hAnsi="宋体" w:eastAsia="仿宋_GB2312" w:cs="宋体"/>
          <w:kern w:val="0"/>
          <w:sz w:val="32"/>
          <w:szCs w:val="32"/>
          <w:highlight w:val="none"/>
          <w:lang w:val="en-US" w:eastAsia="zh-CN"/>
        </w:rPr>
        <w:t>。</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宋体" w:eastAsia="仿宋_GB2312" w:cs="宋体"/>
          <w:kern w:val="0"/>
          <w:sz w:val="32"/>
          <w:szCs w:val="32"/>
          <w:highlight w:val="none"/>
          <w:lang w:val="en-US" w:eastAsia="zh-CN"/>
        </w:rPr>
        <w:t>卫生健康支出（类）卫生健康管理事务（款）事业单位医疗（项）：2022年预算数为5.72万元，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5.72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本年度新增事业</w:t>
      </w:r>
      <w:r>
        <w:rPr>
          <w:rFonts w:hint="eastAsia" w:ascii="仿宋_GB2312" w:hAnsi="宋体" w:eastAsia="仿宋_GB2312" w:cs="宋体"/>
          <w:kern w:val="0"/>
          <w:sz w:val="32"/>
          <w:szCs w:val="32"/>
          <w:highlight w:val="none"/>
        </w:rPr>
        <w:t>单位医疗支出</w:t>
      </w:r>
      <w:r>
        <w:rPr>
          <w:rFonts w:hint="eastAsia" w:ascii="仿宋_GB2312" w:hAnsi="宋体" w:eastAsia="仿宋_GB2312" w:cs="宋体"/>
          <w:kern w:val="0"/>
          <w:sz w:val="32"/>
          <w:szCs w:val="32"/>
          <w:highlight w:val="none"/>
          <w:lang w:eastAsia="zh-CN"/>
        </w:rPr>
        <w:t>款项</w:t>
      </w:r>
      <w:r>
        <w:rPr>
          <w:rFonts w:hint="eastAsia" w:ascii="仿宋_GB2312" w:hAnsi="宋体" w:eastAsia="仿宋_GB2312" w:cs="宋体"/>
          <w:kern w:val="0"/>
          <w:sz w:val="32"/>
          <w:szCs w:val="32"/>
          <w:highlight w:val="none"/>
          <w:lang w:val="en-US" w:eastAsia="zh-CN"/>
        </w:rPr>
        <w:t>。</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w:t>
      </w:r>
      <w:r>
        <w:rPr>
          <w:rFonts w:hint="eastAsia" w:ascii="仿宋_GB2312" w:hAnsi="宋体" w:eastAsia="仿宋_GB2312" w:cs="宋体"/>
          <w:kern w:val="0"/>
          <w:sz w:val="32"/>
          <w:szCs w:val="32"/>
          <w:highlight w:val="none"/>
          <w:lang w:val="en-US" w:eastAsia="zh-CN"/>
        </w:rPr>
        <w:t>卫生健康支出（类）卫生健康管理事务（款）公务员医疗补助（项）：2022年预算数为20.33万元，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eastAsia="zh-CN"/>
        </w:rPr>
        <w:t>减少</w:t>
      </w:r>
      <w:r>
        <w:rPr>
          <w:rFonts w:hint="eastAsia" w:ascii="仿宋_GB2312" w:hAnsi="宋体" w:eastAsia="仿宋_GB2312" w:cs="宋体"/>
          <w:kern w:val="0"/>
          <w:sz w:val="32"/>
          <w:szCs w:val="32"/>
          <w:highlight w:val="none"/>
          <w:lang w:val="en-US" w:eastAsia="zh-CN"/>
        </w:rPr>
        <w:t>18.28</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下降</w:t>
      </w:r>
      <w:r>
        <w:rPr>
          <w:rFonts w:hint="eastAsia" w:ascii="仿宋_GB2312" w:hAnsi="宋体" w:eastAsia="仿宋_GB2312" w:cs="宋体"/>
          <w:kern w:val="0"/>
          <w:sz w:val="32"/>
          <w:szCs w:val="32"/>
          <w:highlight w:val="none"/>
          <w:lang w:val="en-US" w:eastAsia="zh-CN"/>
        </w:rPr>
        <w:t>47.35</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本年度</w:t>
      </w:r>
      <w:r>
        <w:rPr>
          <w:rFonts w:hint="eastAsia" w:ascii="仿宋_GB2312" w:hAnsi="宋体" w:eastAsia="仿宋_GB2312" w:cs="宋体"/>
          <w:kern w:val="0"/>
          <w:sz w:val="32"/>
          <w:szCs w:val="32"/>
          <w:highlight w:val="none"/>
        </w:rPr>
        <w:t>减少了公务员医疗补助支出经费</w:t>
      </w:r>
      <w:r>
        <w:rPr>
          <w:rFonts w:hint="eastAsia" w:ascii="仿宋_GB2312" w:hAnsi="宋体" w:eastAsia="仿宋_GB2312" w:cs="宋体"/>
          <w:kern w:val="0"/>
          <w:sz w:val="32"/>
          <w:szCs w:val="32"/>
          <w:highlight w:val="none"/>
          <w:lang w:val="en-US" w:eastAsia="zh-CN"/>
        </w:rPr>
        <w:t>。</w:t>
      </w:r>
    </w:p>
    <w:p>
      <w:pPr>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w:t>
      </w:r>
      <w:r>
        <w:rPr>
          <w:rFonts w:hint="eastAsia" w:ascii="仿宋_GB2312" w:hAnsi="宋体" w:eastAsia="仿宋_GB2312" w:cs="宋体"/>
          <w:kern w:val="0"/>
          <w:sz w:val="32"/>
          <w:szCs w:val="32"/>
          <w:highlight w:val="none"/>
          <w:lang w:val="en-US" w:eastAsia="zh-CN"/>
        </w:rPr>
        <w:t>卫生健康支出（类）卫生健康管理事务（款）其他行政事业单位医疗支出（项）：2022年预算数为1.05万元，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0.81</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增长</w:t>
      </w:r>
      <w:r>
        <w:rPr>
          <w:rFonts w:hint="eastAsia" w:ascii="仿宋_GB2312" w:hAnsi="宋体" w:eastAsia="仿宋_GB2312" w:cs="宋体"/>
          <w:kern w:val="0"/>
          <w:sz w:val="32"/>
          <w:szCs w:val="32"/>
          <w:highlight w:val="none"/>
          <w:lang w:val="en-US" w:eastAsia="zh-CN"/>
        </w:rPr>
        <w:t>337.5</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本年度</w:t>
      </w:r>
      <w:r>
        <w:rPr>
          <w:rFonts w:hint="eastAsia" w:ascii="仿宋_GB2312" w:hAnsi="宋体" w:eastAsia="仿宋_GB2312" w:cs="宋体"/>
          <w:kern w:val="0"/>
          <w:sz w:val="32"/>
          <w:szCs w:val="32"/>
          <w:highlight w:val="none"/>
          <w:lang w:val="en-US" w:eastAsia="zh-CN"/>
        </w:rPr>
        <w:t>其他行政事业单位医疗支出</w:t>
      </w:r>
      <w:r>
        <w:rPr>
          <w:rFonts w:hint="eastAsia" w:ascii="仿宋_GB2312" w:hAnsi="宋体" w:eastAsia="仿宋_GB2312" w:cs="宋体"/>
          <w:kern w:val="0"/>
          <w:sz w:val="32"/>
          <w:szCs w:val="32"/>
          <w:highlight w:val="none"/>
        </w:rPr>
        <w:t>预算分配调整</w:t>
      </w:r>
      <w:r>
        <w:rPr>
          <w:rFonts w:hint="eastAsia" w:ascii="仿宋_GB2312" w:hAnsi="宋体" w:eastAsia="仿宋_GB2312" w:cs="宋体"/>
          <w:kern w:val="0"/>
          <w:sz w:val="32"/>
          <w:szCs w:val="32"/>
          <w:highlight w:val="none"/>
          <w:lang w:val="en-US" w:eastAsia="zh-CN"/>
        </w:rPr>
        <w:t>。</w:t>
      </w:r>
    </w:p>
    <w:p>
      <w:pPr>
        <w:spacing w:line="560" w:lineRule="exact"/>
        <w:ind w:firstLine="640"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lang w:val="en-US" w:eastAsia="zh-CN"/>
        </w:rPr>
        <w:t>9.</w:t>
      </w:r>
      <w:r>
        <w:rPr>
          <w:rFonts w:hint="eastAsia" w:ascii="仿宋_GB2312" w:hAnsi="宋体" w:eastAsia="仿宋_GB2312" w:cs="宋体"/>
          <w:kern w:val="0"/>
          <w:sz w:val="32"/>
          <w:szCs w:val="32"/>
          <w:highlight w:val="none"/>
          <w:lang w:val="en-US" w:eastAsia="zh-CN"/>
        </w:rPr>
        <w:t>住房保障支出（类）住房改革支出（款）住房公积金（项）：2022年预算数为97.28万元，</w:t>
      </w:r>
      <w:r>
        <w:rPr>
          <w:rFonts w:hint="eastAsia" w:ascii="仿宋_GB2312" w:hAnsi="宋体" w:eastAsia="仿宋_GB2312" w:cs="宋体"/>
          <w:kern w:val="0"/>
          <w:sz w:val="32"/>
          <w:szCs w:val="32"/>
          <w:highlight w:val="none"/>
        </w:rPr>
        <w:t>比上年预算数</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97.28</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本年度新增</w:t>
      </w:r>
      <w:r>
        <w:rPr>
          <w:rFonts w:hint="eastAsia" w:ascii="仿宋_GB2312" w:hAnsi="宋体" w:eastAsia="仿宋_GB2312" w:cs="宋体"/>
          <w:kern w:val="0"/>
          <w:sz w:val="32"/>
          <w:szCs w:val="32"/>
          <w:highlight w:val="none"/>
          <w:lang w:val="en-US" w:eastAsia="zh-CN"/>
        </w:rPr>
        <w:t>住房公积金</w:t>
      </w:r>
      <w:r>
        <w:rPr>
          <w:rFonts w:hint="eastAsia" w:ascii="仿宋_GB2312" w:hAnsi="宋体" w:eastAsia="仿宋_GB2312" w:cs="宋体"/>
          <w:kern w:val="0"/>
          <w:sz w:val="32"/>
          <w:szCs w:val="32"/>
          <w:highlight w:val="none"/>
          <w:lang w:eastAsia="zh-CN"/>
        </w:rPr>
        <w:t>款项</w:t>
      </w:r>
      <w:r>
        <w:rPr>
          <w:rFonts w:hint="eastAsia" w:ascii="仿宋_GB2312" w:hAnsi="宋体" w:eastAsia="仿宋_GB2312" w:cs="宋体"/>
          <w:kern w:val="0"/>
          <w:sz w:val="32"/>
          <w:szCs w:val="32"/>
          <w:highlight w:val="none"/>
          <w:lang w:val="en-US" w:eastAsia="zh-CN"/>
        </w:rPr>
        <w:t>。</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六、</w:t>
      </w:r>
      <w:r>
        <w:rPr>
          <w:rFonts w:hint="eastAsia" w:ascii="楷体_GB2312" w:hAnsi="楷体_GB2312" w:eastAsia="楷体_GB2312" w:cs="楷体_GB2312"/>
          <w:b/>
          <w:bCs/>
          <w:spacing w:val="-6"/>
          <w:kern w:val="0"/>
          <w:sz w:val="32"/>
          <w:szCs w:val="32"/>
          <w:highlight w:val="none"/>
        </w:rPr>
        <w:t>关于</w:t>
      </w:r>
      <w:r>
        <w:rPr>
          <w:rFonts w:hint="eastAsia" w:ascii="楷体_GB2312" w:hAnsi="楷体_GB2312" w:eastAsia="楷体_GB2312" w:cs="楷体_GB2312"/>
          <w:b/>
          <w:bCs/>
          <w:spacing w:val="-6"/>
          <w:kern w:val="0"/>
          <w:sz w:val="32"/>
          <w:szCs w:val="32"/>
          <w:highlight w:val="none"/>
          <w:lang w:eastAsia="zh-CN"/>
        </w:rPr>
        <w:t>昌吉州发展和改革委员会</w:t>
      </w:r>
      <w:r>
        <w:rPr>
          <w:rFonts w:hint="eastAsia" w:ascii="楷体_GB2312" w:hAnsi="楷体_GB2312" w:eastAsia="楷体_GB2312" w:cs="楷体_GB2312"/>
          <w:b/>
          <w:bCs/>
          <w:spacing w:val="-6"/>
          <w:kern w:val="0"/>
          <w:sz w:val="32"/>
          <w:szCs w:val="32"/>
          <w:highlight w:val="none"/>
        </w:rPr>
        <w:t>2022年一般公共预算基本支出情况说明</w:t>
      </w:r>
    </w:p>
    <w:p>
      <w:pPr>
        <w:spacing w:line="560" w:lineRule="exact"/>
        <w:ind w:firstLine="640" w:firstLineChars="200"/>
        <w:rPr>
          <w:rFonts w:ascii="仿宋_GB2312" w:hAnsi="宋体" w:eastAsia="仿宋_GB2312" w:cs="宋体"/>
          <w:spacing w:val="-6"/>
          <w:kern w:val="0"/>
          <w:sz w:val="32"/>
          <w:szCs w:val="32"/>
          <w:highlight w:val="none"/>
        </w:rPr>
      </w:pPr>
      <w:r>
        <w:rPr>
          <w:rFonts w:hint="eastAsia" w:ascii="仿宋_GB2312" w:hAnsi="宋体" w:eastAsia="仿宋_GB2312" w:cs="宋体"/>
          <w:kern w:val="0"/>
          <w:sz w:val="32"/>
          <w:szCs w:val="32"/>
          <w:highlight w:val="none"/>
        </w:rPr>
        <w:t>昌吉州发展和改革委员会</w:t>
      </w:r>
      <w:r>
        <w:rPr>
          <w:rFonts w:hint="eastAsia" w:ascii="仿宋_GB2312" w:hAnsi="宋体" w:eastAsia="仿宋_GB2312" w:cs="宋体"/>
          <w:spacing w:val="-6"/>
          <w:kern w:val="0"/>
          <w:sz w:val="32"/>
          <w:szCs w:val="32"/>
          <w:highlight w:val="none"/>
        </w:rPr>
        <w:t>2022年一般公共预算基本支出</w:t>
      </w:r>
      <w:r>
        <w:rPr>
          <w:rFonts w:hint="eastAsia" w:ascii="仿宋_GB2312" w:hAnsi="宋体" w:eastAsia="仿宋_GB2312" w:cs="宋体"/>
          <w:kern w:val="0"/>
          <w:sz w:val="32"/>
          <w:szCs w:val="32"/>
          <w:highlight w:val="none"/>
          <w:lang w:val="en-US" w:eastAsia="zh-CN"/>
        </w:rPr>
        <w:t>1267.22</w:t>
      </w:r>
      <w:r>
        <w:rPr>
          <w:rFonts w:hint="eastAsia" w:ascii="仿宋_GB2312" w:hAnsi="宋体" w:eastAsia="仿宋_GB2312" w:cs="宋体"/>
          <w:spacing w:val="-6"/>
          <w:kern w:val="0"/>
          <w:sz w:val="32"/>
          <w:szCs w:val="32"/>
          <w:highlight w:val="none"/>
        </w:rPr>
        <w:t>万元， 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人员经费</w:t>
      </w:r>
      <w:r>
        <w:rPr>
          <w:rFonts w:hint="eastAsia" w:ascii="仿宋_GB2312" w:hAnsi="宋体" w:eastAsia="仿宋_GB2312" w:cs="宋体"/>
          <w:kern w:val="0"/>
          <w:sz w:val="32"/>
          <w:szCs w:val="32"/>
          <w:highlight w:val="none"/>
          <w:lang w:val="en-US" w:eastAsia="zh-CN"/>
        </w:rPr>
        <w:t>1123.66</w:t>
      </w:r>
      <w:r>
        <w:rPr>
          <w:rFonts w:hint="eastAsia" w:ascii="仿宋_GB2312" w:hAnsi="宋体" w:eastAsia="仿宋_GB2312" w:cs="宋体"/>
          <w:kern w:val="0"/>
          <w:sz w:val="32"/>
          <w:szCs w:val="32"/>
          <w:highlight w:val="none"/>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等。</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公用经费</w:t>
      </w:r>
      <w:r>
        <w:rPr>
          <w:rFonts w:hint="eastAsia" w:ascii="仿宋_GB2312" w:hAnsi="宋体" w:eastAsia="仿宋_GB2312" w:cs="宋体"/>
          <w:kern w:val="0"/>
          <w:sz w:val="32"/>
          <w:szCs w:val="32"/>
          <w:highlight w:val="none"/>
          <w:lang w:val="en-US" w:eastAsia="zh-CN"/>
        </w:rPr>
        <w:t>143.56</w:t>
      </w:r>
      <w:r>
        <w:rPr>
          <w:rFonts w:hint="eastAsia" w:ascii="仿宋_GB2312" w:hAnsi="宋体" w:eastAsia="仿宋_GB2312" w:cs="宋体"/>
          <w:kern w:val="0"/>
          <w:sz w:val="32"/>
          <w:szCs w:val="32"/>
          <w:highlight w:val="none"/>
        </w:rPr>
        <w:t>万元，主要包括：办公费、印刷费、电费、邮电费、取暖费、差旅费、会议费、培训费、公务接待费、工会经费、福利费、公务用车运行维护费、其他商品和服务支出等。</w:t>
      </w:r>
    </w:p>
    <w:p>
      <w:pPr>
        <w:spacing w:line="560" w:lineRule="exact"/>
        <w:ind w:firstLine="643" w:firstLineChars="200"/>
        <w:rPr>
          <w:rFonts w:ascii="仿宋_GB2312" w:hAnsi="黑体" w:eastAsia="仿宋_GB2312"/>
          <w:b/>
          <w:sz w:val="32"/>
          <w:szCs w:val="32"/>
          <w:highlight w:val="none"/>
        </w:rPr>
      </w:pPr>
      <w:r>
        <w:rPr>
          <w:rFonts w:hint="eastAsia" w:ascii="楷体_GB2312" w:hAnsi="楷体_GB2312" w:eastAsia="楷体_GB2312" w:cs="楷体_GB2312"/>
          <w:b/>
          <w:bCs/>
          <w:kern w:val="0"/>
          <w:sz w:val="32"/>
          <w:szCs w:val="32"/>
          <w:highlight w:val="none"/>
        </w:rPr>
        <w:t>七、</w:t>
      </w:r>
      <w:r>
        <w:rPr>
          <w:rFonts w:hint="eastAsia" w:ascii="楷体_GB2312" w:hAnsi="楷体_GB2312" w:eastAsia="楷体_GB2312" w:cs="楷体_GB2312"/>
          <w:b/>
          <w:bCs/>
          <w:spacing w:val="-6"/>
          <w:kern w:val="0"/>
          <w:sz w:val="32"/>
          <w:szCs w:val="32"/>
          <w:highlight w:val="none"/>
        </w:rPr>
        <w:t>关于</w:t>
      </w:r>
      <w:r>
        <w:rPr>
          <w:rFonts w:hint="eastAsia" w:ascii="楷体_GB2312" w:hAnsi="楷体_GB2312" w:eastAsia="楷体_GB2312" w:cs="楷体_GB2312"/>
          <w:b/>
          <w:bCs/>
          <w:spacing w:val="-6"/>
          <w:kern w:val="0"/>
          <w:sz w:val="32"/>
          <w:szCs w:val="32"/>
          <w:highlight w:val="none"/>
          <w:lang w:eastAsia="zh-CN"/>
        </w:rPr>
        <w:t>昌吉州发展和改革委员会</w:t>
      </w:r>
      <w:r>
        <w:rPr>
          <w:rFonts w:hint="eastAsia" w:ascii="楷体_GB2312" w:hAnsi="楷体_GB2312" w:eastAsia="楷体_GB2312" w:cs="楷体_GB2312"/>
          <w:b/>
          <w:bCs/>
          <w:spacing w:val="-6"/>
          <w:kern w:val="0"/>
          <w:sz w:val="32"/>
          <w:szCs w:val="32"/>
          <w:highlight w:val="none"/>
        </w:rPr>
        <w:t>2022年一般公共预算项目支出情况说明</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“信用昌吉”专项经费</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昌吉回族自治州人民政府办公室关于印发《自治州关于加快诚信体系建设在重点领域、重点环节实现重点突破的实施方案（试行）》的通知 （ 昌州政办发〔2019〕53号）</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17万元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“信用昌吉”网站运行维护费</w:t>
      </w:r>
      <w:r>
        <w:rPr>
          <w:rFonts w:hint="eastAsia" w:ascii="仿宋_GB2312" w:hAnsi="宋体" w:eastAsia="仿宋_GB2312" w:cs="宋体"/>
          <w:kern w:val="0"/>
          <w:sz w:val="32"/>
          <w:szCs w:val="32"/>
          <w:highlight w:val="none"/>
          <w:lang w:val="en-US" w:eastAsia="zh-CN"/>
        </w:rPr>
        <w:t>12万元，</w:t>
      </w:r>
      <w:r>
        <w:rPr>
          <w:rFonts w:hint="eastAsia" w:ascii="仿宋_GB2312" w:hAnsi="宋体" w:eastAsia="仿宋_GB2312" w:cs="宋体"/>
          <w:kern w:val="0"/>
          <w:sz w:val="32"/>
          <w:szCs w:val="32"/>
          <w:highlight w:val="none"/>
        </w:rPr>
        <w:t>州社会信用体系办公室业务经费</w:t>
      </w:r>
      <w:r>
        <w:rPr>
          <w:rFonts w:hint="eastAsia" w:ascii="仿宋_GB2312" w:hAnsi="宋体" w:eastAsia="仿宋_GB2312" w:cs="宋体"/>
          <w:kern w:val="0"/>
          <w:sz w:val="32"/>
          <w:szCs w:val="32"/>
          <w:highlight w:val="none"/>
          <w:lang w:val="en-US" w:eastAsia="zh-CN"/>
        </w:rPr>
        <w:t>5万元。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兵地融合发展专项经费</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《昌吉州兵地融合发展专项调查研究制度》</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30万元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numPr>
          <w:ilvl w:val="0"/>
          <w:numId w:val="0"/>
        </w:num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用于调查研究，包括专家评审、调研、课题研究</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会议和办公耗材</w:t>
      </w:r>
      <w:r>
        <w:rPr>
          <w:rFonts w:hint="eastAsia" w:ascii="仿宋_GB2312" w:hAnsi="宋体" w:eastAsia="仿宋_GB2312" w:cs="宋体"/>
          <w:kern w:val="0"/>
          <w:sz w:val="32"/>
          <w:szCs w:val="32"/>
          <w:highlight w:val="none"/>
          <w:lang w:eastAsia="zh-CN"/>
        </w:rPr>
        <w:t>等支出</w:t>
      </w:r>
      <w:r>
        <w:rPr>
          <w:rFonts w:hint="eastAsia" w:ascii="仿宋_GB2312" w:hAnsi="宋体" w:eastAsia="仿宋_GB2312" w:cs="宋体"/>
          <w:kern w:val="0"/>
          <w:sz w:val="32"/>
          <w:szCs w:val="32"/>
          <w:highlight w:val="none"/>
        </w:rPr>
        <w:t>共计30万元</w:t>
      </w:r>
      <w:r>
        <w:rPr>
          <w:rFonts w:hint="eastAsia" w:ascii="仿宋_GB2312" w:hAnsi="宋体" w:eastAsia="仿宋_GB2312" w:cs="宋体"/>
          <w:kern w:val="0"/>
          <w:sz w:val="32"/>
          <w:szCs w:val="32"/>
          <w:highlight w:val="none"/>
          <w:lang w:eastAsia="zh-CN"/>
        </w:rPr>
        <w:t>。</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numPr>
          <w:ilvl w:val="0"/>
          <w:numId w:val="1"/>
        </w:num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昌吉州1万吨原粮储备经费</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《关于加强地方储备粮管理增强区域粮食安全保障能力的实施意见》（新粮粮〔2020〕104号）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《关于安排专项经费的通知》（昌州财经办〔2020〕75号）</w:t>
      </w:r>
      <w:r>
        <w:rPr>
          <w:rFonts w:hint="eastAsia" w:ascii="仿宋_GB2312" w:hAnsi="宋体" w:eastAsia="仿宋_GB2312" w:cs="宋体"/>
          <w:kern w:val="0"/>
          <w:sz w:val="32"/>
          <w:szCs w:val="32"/>
          <w:highlight w:val="none"/>
          <w:lang w:val="en-US" w:eastAsia="zh-CN"/>
        </w:rPr>
        <w:t xml:space="preserve">  </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165.3万元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numPr>
          <w:ilvl w:val="0"/>
          <w:numId w:val="0"/>
        </w:num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一、</w:t>
      </w:r>
      <w:r>
        <w:rPr>
          <w:rFonts w:hint="eastAsia" w:ascii="仿宋_GB2312" w:hAnsi="宋体" w:eastAsia="仿宋_GB2312" w:cs="宋体"/>
          <w:kern w:val="0"/>
          <w:sz w:val="32"/>
          <w:szCs w:val="32"/>
          <w:highlight w:val="none"/>
        </w:rPr>
        <w:t>保管费用：0.06元/公斤，1万吨共计60万元</w:t>
      </w:r>
      <w:r>
        <w:rPr>
          <w:rFonts w:hint="eastAsia" w:ascii="仿宋_GB2312" w:hAnsi="宋体" w:eastAsia="仿宋_GB2312" w:cs="宋体"/>
          <w:kern w:val="0"/>
          <w:sz w:val="32"/>
          <w:szCs w:val="32"/>
          <w:highlight w:val="none"/>
          <w:lang w:eastAsia="zh-CN"/>
        </w:rPr>
        <w:t>；二</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农发行利息补贴费用：按照小麦收购成本价2.6元/公斤，农业发展银行当年储备贷款利率4.05%计算，60*4.05%*1万吨=105.3万元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三.轮换费用补贴标准为0.1元/公斤，1万吨共计100万元。四.非轮换年度共计165.3万元，轮换年度共计265.3万元（备注：利息补贴费用是随农发行当年储备贷款利率的变化而变化的）</w:t>
      </w:r>
      <w:r>
        <w:rPr>
          <w:rFonts w:hint="eastAsia" w:ascii="仿宋_GB2312" w:hAnsi="宋体" w:eastAsia="仿宋_GB2312" w:cs="宋体"/>
          <w:kern w:val="0"/>
          <w:sz w:val="32"/>
          <w:szCs w:val="32"/>
          <w:highlight w:val="none"/>
          <w:lang w:eastAsia="zh-CN"/>
        </w:rPr>
        <w:t>。</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4、</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昌吉州1000吨应急成品油储备经费</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《关于加强地方储备粮管理增强区域粮食安全保障能力的实施意见》（新粮粮〔2020〕104号）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《关于安排专项经费的通知》（昌州财经办〔2020〕75号）</w:t>
      </w:r>
      <w:r>
        <w:rPr>
          <w:rFonts w:hint="eastAsia" w:ascii="仿宋_GB2312" w:hAnsi="宋体" w:eastAsia="仿宋_GB2312" w:cs="宋体"/>
          <w:kern w:val="0"/>
          <w:sz w:val="32"/>
          <w:szCs w:val="32"/>
          <w:highlight w:val="none"/>
          <w:lang w:val="en-US" w:eastAsia="zh-CN"/>
        </w:rPr>
        <w:t xml:space="preserve">  </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50万元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numPr>
          <w:ilvl w:val="0"/>
          <w:numId w:val="0"/>
        </w:num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实行随行就市、动态轮换、推陈出新方式管理，费用实行包干制：0.5元/公斤，1000吨共计50万元。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5、</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成本监审</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《新疆维吾尔自治区定价目录的通知》（新政发〔2019〕49号）</w:t>
      </w:r>
      <w:r>
        <w:rPr>
          <w:rFonts w:hint="eastAsia" w:ascii="仿宋_GB2312" w:hAnsi="宋体" w:eastAsia="仿宋_GB2312" w:cs="宋体"/>
          <w:kern w:val="0"/>
          <w:sz w:val="32"/>
          <w:szCs w:val="32"/>
          <w:highlight w:val="none"/>
          <w:lang w:eastAsia="zh-CN"/>
        </w:rPr>
        <w:t>、《政府制定价格成本监审办法》（国家发改委令8号）第四十四条、《转发国家发改委 市场监管总局关于加强天然气输配价格监管的通知》（新发改能价〔2020〕392号）、《关于持续推进完善国有景区门票价格形成机制的通知》、《自治区定价目录》</w:t>
      </w:r>
      <w:r>
        <w:rPr>
          <w:rFonts w:hint="eastAsia" w:ascii="仿宋_GB2312" w:hAnsi="宋体" w:eastAsia="仿宋_GB2312" w:cs="宋体"/>
          <w:kern w:val="0"/>
          <w:sz w:val="32"/>
          <w:szCs w:val="32"/>
          <w:highlight w:val="none"/>
          <w:lang w:val="en-US" w:eastAsia="zh-CN"/>
        </w:rPr>
        <w:t xml:space="preserve">  </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15万元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用于天燃气企业天然气初装费</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州本级4A级景区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州本级医疗废物处置企业财务数据</w:t>
      </w:r>
      <w:r>
        <w:rPr>
          <w:rFonts w:hint="eastAsia" w:ascii="仿宋_GB2312" w:hAnsi="宋体" w:eastAsia="仿宋_GB2312" w:cs="宋体"/>
          <w:kern w:val="0"/>
          <w:sz w:val="32"/>
          <w:szCs w:val="32"/>
          <w:highlight w:val="none"/>
          <w:lang w:eastAsia="zh-CN"/>
        </w:rPr>
        <w:t>等</w:t>
      </w:r>
      <w:r>
        <w:rPr>
          <w:rFonts w:hint="eastAsia" w:ascii="仿宋_GB2312" w:hAnsi="宋体" w:eastAsia="仿宋_GB2312" w:cs="宋体"/>
          <w:kern w:val="0"/>
          <w:sz w:val="32"/>
          <w:szCs w:val="32"/>
          <w:highlight w:val="none"/>
        </w:rPr>
        <w:t>成本监审</w:t>
      </w:r>
      <w:r>
        <w:rPr>
          <w:rFonts w:hint="eastAsia" w:ascii="仿宋_GB2312" w:hAnsi="宋体" w:eastAsia="仿宋_GB2312" w:cs="宋体"/>
          <w:kern w:val="0"/>
          <w:sz w:val="32"/>
          <w:szCs w:val="32"/>
          <w:highlight w:val="none"/>
          <w:lang w:eastAsia="zh-CN"/>
        </w:rPr>
        <w:t>费用</w:t>
      </w:r>
      <w:r>
        <w:rPr>
          <w:rFonts w:hint="eastAsia" w:ascii="仿宋_GB2312" w:hAnsi="宋体" w:eastAsia="仿宋_GB2312" w:cs="宋体"/>
          <w:kern w:val="0"/>
          <w:sz w:val="32"/>
          <w:szCs w:val="32"/>
          <w:highlight w:val="none"/>
          <w:lang w:val="en-US" w:eastAsia="zh-CN"/>
        </w:rPr>
        <w:t>15万元。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6、</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高质量发展研究经费</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《新疆维吾尔自治区国民经济和社会发展第十四个五年规划和2035年远景目标纲要》和经济社会高质量发展的相关要求</w:t>
      </w:r>
      <w:r>
        <w:rPr>
          <w:rFonts w:hint="eastAsia" w:ascii="仿宋_GB2312" w:hAnsi="宋体" w:eastAsia="仿宋_GB2312" w:cs="宋体"/>
          <w:kern w:val="0"/>
          <w:sz w:val="32"/>
          <w:szCs w:val="32"/>
          <w:highlight w:val="none"/>
          <w:lang w:val="en-US" w:eastAsia="zh-CN"/>
        </w:rPr>
        <w:t xml:space="preserve">  </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用于调查研究的支出，包括专家评审支出2万元、调研租车和差旅支出3万元、咨询服务支出15万元，共计20万元。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numPr>
          <w:ilvl w:val="0"/>
          <w:numId w:val="2"/>
        </w:num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机关运行补助经费</w:t>
      </w:r>
    </w:p>
    <w:p>
      <w:pPr>
        <w:numPr>
          <w:ilvl w:val="0"/>
          <w:numId w:val="0"/>
        </w:num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保障发展工作各项业务正常运行</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促进提高自治州经济和社会发展能力</w:t>
      </w:r>
      <w:r>
        <w:rPr>
          <w:rFonts w:hint="eastAsia" w:ascii="仿宋_GB2312" w:hAnsi="宋体" w:eastAsia="仿宋_GB2312" w:cs="宋体"/>
          <w:kern w:val="0"/>
          <w:sz w:val="32"/>
          <w:szCs w:val="32"/>
          <w:highlight w:val="none"/>
          <w:lang w:eastAsia="zh-CN"/>
        </w:rPr>
        <w:t>的</w:t>
      </w:r>
      <w:r>
        <w:rPr>
          <w:rFonts w:hint="eastAsia" w:ascii="仿宋_GB2312" w:hAnsi="宋体" w:eastAsia="仿宋_GB2312" w:cs="宋体"/>
          <w:kern w:val="0"/>
          <w:sz w:val="32"/>
          <w:szCs w:val="32"/>
          <w:highlight w:val="none"/>
        </w:rPr>
        <w:t>要求</w:t>
      </w:r>
      <w:r>
        <w:rPr>
          <w:rFonts w:hint="eastAsia" w:ascii="仿宋_GB2312" w:hAnsi="宋体" w:eastAsia="仿宋_GB2312" w:cs="宋体"/>
          <w:kern w:val="0"/>
          <w:sz w:val="32"/>
          <w:szCs w:val="32"/>
          <w:highlight w:val="none"/>
          <w:lang w:val="en-US" w:eastAsia="zh-CN"/>
        </w:rPr>
        <w:t xml:space="preserve">  </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80万元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用于</w:t>
      </w:r>
      <w:r>
        <w:rPr>
          <w:rFonts w:hint="eastAsia" w:ascii="仿宋_GB2312" w:hAnsi="宋体" w:eastAsia="仿宋_GB2312" w:cs="宋体"/>
          <w:kern w:val="0"/>
          <w:sz w:val="32"/>
          <w:szCs w:val="32"/>
          <w:highlight w:val="none"/>
          <w:lang w:eastAsia="zh-CN"/>
        </w:rPr>
        <w:t>满足发展</w:t>
      </w:r>
      <w:r>
        <w:rPr>
          <w:rFonts w:hint="eastAsia" w:ascii="仿宋_GB2312" w:hAnsi="宋体" w:eastAsia="仿宋_GB2312" w:cs="宋体"/>
          <w:kern w:val="0"/>
          <w:sz w:val="32"/>
          <w:szCs w:val="32"/>
          <w:highlight w:val="none"/>
        </w:rPr>
        <w:t>工作各项业务</w:t>
      </w:r>
      <w:r>
        <w:rPr>
          <w:rFonts w:hint="eastAsia" w:ascii="仿宋_GB2312" w:hAnsi="宋体" w:eastAsia="仿宋_GB2312" w:cs="宋体"/>
          <w:kern w:val="0"/>
          <w:sz w:val="32"/>
          <w:szCs w:val="32"/>
          <w:highlight w:val="none"/>
          <w:lang w:eastAsia="zh-CN"/>
        </w:rPr>
        <w:t>的</w:t>
      </w:r>
      <w:r>
        <w:rPr>
          <w:rFonts w:hint="eastAsia" w:ascii="仿宋_GB2312" w:hAnsi="宋体" w:eastAsia="仿宋_GB2312" w:cs="宋体"/>
          <w:kern w:val="0"/>
          <w:sz w:val="32"/>
          <w:szCs w:val="32"/>
          <w:highlight w:val="none"/>
        </w:rPr>
        <w:t>正常运行</w:t>
      </w:r>
      <w:r>
        <w:rPr>
          <w:rFonts w:hint="eastAsia" w:ascii="仿宋_GB2312" w:hAnsi="宋体" w:eastAsia="仿宋_GB2312" w:cs="宋体"/>
          <w:kern w:val="0"/>
          <w:sz w:val="32"/>
          <w:szCs w:val="32"/>
          <w:highlight w:val="none"/>
          <w:lang w:eastAsia="zh-CN"/>
        </w:rPr>
        <w:t>，机关运行经费</w:t>
      </w:r>
      <w:r>
        <w:rPr>
          <w:rFonts w:hint="eastAsia" w:ascii="仿宋_GB2312" w:hAnsi="宋体" w:eastAsia="仿宋_GB2312" w:cs="宋体"/>
          <w:kern w:val="0"/>
          <w:sz w:val="32"/>
          <w:szCs w:val="32"/>
          <w:highlight w:val="none"/>
        </w:rPr>
        <w:t>支出共计</w:t>
      </w:r>
      <w:r>
        <w:rPr>
          <w:rFonts w:hint="eastAsia" w:ascii="仿宋_GB2312" w:hAnsi="宋体" w:eastAsia="仿宋_GB2312" w:cs="宋体"/>
          <w:kern w:val="0"/>
          <w:sz w:val="32"/>
          <w:szCs w:val="32"/>
          <w:highlight w:val="none"/>
          <w:lang w:val="en-US" w:eastAsia="zh-CN"/>
        </w:rPr>
        <w:t>80</w:t>
      </w:r>
      <w:r>
        <w:rPr>
          <w:rFonts w:hint="eastAsia" w:ascii="仿宋_GB2312" w:hAnsi="宋体" w:eastAsia="仿宋_GB2312" w:cs="宋体"/>
          <w:kern w:val="0"/>
          <w:sz w:val="32"/>
          <w:szCs w:val="32"/>
          <w:highlight w:val="none"/>
        </w:rPr>
        <w:t>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numPr>
          <w:ilvl w:val="0"/>
          <w:numId w:val="2"/>
        </w:numPr>
        <w:spacing w:line="560" w:lineRule="exact"/>
        <w:ind w:left="0" w:leftChars="0" w:firstLine="640" w:firstLineChars="200"/>
        <w:rPr>
          <w:rFonts w:hint="eastAsia" w:ascii="仿宋_GB2312" w:hAnsi="宋体" w:eastAsia="仿宋_GB2312" w:cs="宋体"/>
          <w:kern w:val="0"/>
          <w:sz w:val="32"/>
          <w:szCs w:val="32"/>
          <w:highlight w:val="none"/>
          <w:lang w:val="en-US" w:eastAsia="zh-CN"/>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救灾物资储备专项经费</w:t>
      </w:r>
    </w:p>
    <w:p>
      <w:pPr>
        <w:numPr>
          <w:ilvl w:val="0"/>
          <w:numId w:val="0"/>
        </w:num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2019年机构改革后，物资储备管理职能由民政局划入发展和改革委员会，由于州本级暂无应急物资储备库。为保证救灾物资安全管理，申请财政专项经费租赁库房存放，购买社会服务进行管理。</w:t>
      </w:r>
      <w:r>
        <w:rPr>
          <w:rFonts w:hint="eastAsia" w:ascii="仿宋_GB2312" w:hAnsi="宋体" w:eastAsia="仿宋_GB2312" w:cs="宋体"/>
          <w:kern w:val="0"/>
          <w:sz w:val="32"/>
          <w:szCs w:val="32"/>
          <w:highlight w:val="none"/>
          <w:lang w:val="en-US" w:eastAsia="zh-CN"/>
        </w:rPr>
        <w:t xml:space="preserve">  </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36万元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签订租库合同年租金12万元，两个库房共计24万元。购买社会服务，使用搬迁公司的车辆、人员进行应急救灾物资的调运，全年费用预计12万元。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numPr>
          <w:ilvl w:val="0"/>
          <w:numId w:val="2"/>
        </w:numPr>
        <w:spacing w:line="560" w:lineRule="exact"/>
        <w:ind w:left="0" w:leftChars="0" w:firstLine="640" w:firstLineChars="200"/>
        <w:rPr>
          <w:rFonts w:hint="eastAsia" w:ascii="仿宋_GB2312" w:hAnsi="宋体" w:eastAsia="仿宋_GB2312" w:cs="宋体"/>
          <w:kern w:val="0"/>
          <w:sz w:val="32"/>
          <w:szCs w:val="32"/>
          <w:highlight w:val="none"/>
          <w:lang w:val="en-US" w:eastAsia="zh-CN"/>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粮食流通监督检查业务经费</w:t>
      </w:r>
    </w:p>
    <w:p>
      <w:pPr>
        <w:numPr>
          <w:ilvl w:val="0"/>
          <w:numId w:val="0"/>
        </w:num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《粮食流通管理条例》</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《关于进一步强化国家政策性粮食日常管理和依法监管有关问题的通知》（国粮执法〔2021〕85号）</w:t>
      </w:r>
      <w:r>
        <w:rPr>
          <w:rFonts w:hint="eastAsia" w:ascii="仿宋_GB2312" w:hAnsi="宋体" w:eastAsia="仿宋_GB2312" w:cs="宋体"/>
          <w:kern w:val="0"/>
          <w:sz w:val="32"/>
          <w:szCs w:val="32"/>
          <w:highlight w:val="none"/>
          <w:lang w:val="en-US" w:eastAsia="zh-CN"/>
        </w:rPr>
        <w:t xml:space="preserve">  </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10万元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一</w:t>
      </w:r>
      <w:r>
        <w:rPr>
          <w:rFonts w:hint="eastAsia" w:ascii="仿宋_GB2312" w:hAnsi="黑体" w:eastAsia="仿宋_GB2312"/>
          <w:sz w:val="32"/>
          <w:szCs w:val="32"/>
          <w:highlight w:val="none"/>
          <w:lang w:val="en-US" w:eastAsia="zh-CN"/>
        </w:rPr>
        <w:t>.</w:t>
      </w:r>
      <w:r>
        <w:rPr>
          <w:rFonts w:hint="eastAsia" w:ascii="仿宋_GB2312" w:hAnsi="宋体" w:eastAsia="仿宋_GB2312" w:cs="宋体"/>
          <w:kern w:val="0"/>
          <w:sz w:val="32"/>
          <w:szCs w:val="32"/>
          <w:highlight w:val="none"/>
        </w:rPr>
        <w:t>每年开展4次安全储粮和安全生产检查，每次</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5</w:t>
      </w:r>
      <w:r>
        <w:rPr>
          <w:rFonts w:hint="eastAsia" w:ascii="仿宋_GB2312" w:hAnsi="宋体" w:eastAsia="仿宋_GB2312" w:cs="宋体"/>
          <w:kern w:val="0"/>
          <w:sz w:val="32"/>
          <w:szCs w:val="32"/>
          <w:highlight w:val="none"/>
          <w:lang w:eastAsia="zh-CN"/>
        </w:rPr>
        <w:t>万</w:t>
      </w:r>
      <w:r>
        <w:rPr>
          <w:rFonts w:hint="eastAsia" w:ascii="仿宋_GB2312" w:hAnsi="宋体" w:eastAsia="仿宋_GB2312" w:cs="宋体"/>
          <w:kern w:val="0"/>
          <w:sz w:val="32"/>
          <w:szCs w:val="32"/>
          <w:highlight w:val="none"/>
        </w:rPr>
        <w:t>元，共计2万元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二.每年开展2次粮食收购、运输活动以及执行国家粮食流通统计制度的情况检查，每次</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5</w:t>
      </w:r>
      <w:r>
        <w:rPr>
          <w:rFonts w:hint="eastAsia" w:ascii="仿宋_GB2312" w:hAnsi="宋体" w:eastAsia="仿宋_GB2312" w:cs="宋体"/>
          <w:kern w:val="0"/>
          <w:sz w:val="32"/>
          <w:szCs w:val="32"/>
          <w:highlight w:val="none"/>
          <w:lang w:eastAsia="zh-CN"/>
        </w:rPr>
        <w:t>万</w:t>
      </w:r>
      <w:r>
        <w:rPr>
          <w:rFonts w:hint="eastAsia" w:ascii="仿宋_GB2312" w:hAnsi="宋体" w:eastAsia="仿宋_GB2312" w:cs="宋体"/>
          <w:kern w:val="0"/>
          <w:sz w:val="32"/>
          <w:szCs w:val="32"/>
          <w:highlight w:val="none"/>
        </w:rPr>
        <w:t>元，共计1万元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三.每年开展1次粮食库存检查，共计1万元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四.每年开展政策性粮食日常巡查12次，每次</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5</w:t>
      </w:r>
      <w:r>
        <w:rPr>
          <w:rFonts w:hint="eastAsia" w:ascii="仿宋_GB2312" w:hAnsi="宋体" w:eastAsia="仿宋_GB2312" w:cs="宋体"/>
          <w:kern w:val="0"/>
          <w:sz w:val="32"/>
          <w:szCs w:val="32"/>
          <w:highlight w:val="none"/>
          <w:lang w:eastAsia="zh-CN"/>
        </w:rPr>
        <w:t>万</w:t>
      </w:r>
      <w:r>
        <w:rPr>
          <w:rFonts w:hint="eastAsia" w:ascii="仿宋_GB2312" w:hAnsi="宋体" w:eastAsia="仿宋_GB2312" w:cs="宋体"/>
          <w:kern w:val="0"/>
          <w:sz w:val="32"/>
          <w:szCs w:val="32"/>
          <w:highlight w:val="none"/>
        </w:rPr>
        <w:t>元，计6万元。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numPr>
          <w:ilvl w:val="0"/>
          <w:numId w:val="2"/>
        </w:numPr>
        <w:spacing w:line="560" w:lineRule="exact"/>
        <w:ind w:left="0" w:leftChars="0" w:firstLine="640" w:firstLineChars="200"/>
        <w:rPr>
          <w:rFonts w:hint="eastAsia" w:ascii="仿宋_GB2312" w:hAnsi="宋体" w:eastAsia="仿宋_GB2312" w:cs="宋体"/>
          <w:kern w:val="0"/>
          <w:sz w:val="32"/>
          <w:szCs w:val="32"/>
          <w:highlight w:val="none"/>
          <w:lang w:val="en-US" w:eastAsia="zh-CN"/>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粮油质量检测工作经费</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《关于开展2020年度自治区粮食安全专员、州（市）长责任制考核工作的通知》(新粮安协调办〔2020〕3号)文件中 第24条考核指标</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100万元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一</w:t>
      </w:r>
      <w:r>
        <w:rPr>
          <w:rFonts w:hint="eastAsia" w:ascii="仿宋_GB2312" w:hAnsi="黑体" w:eastAsia="仿宋_GB2312"/>
          <w:sz w:val="32"/>
          <w:szCs w:val="32"/>
          <w:highlight w:val="none"/>
          <w:lang w:val="en-US" w:eastAsia="zh-CN"/>
        </w:rPr>
        <w:t>.</w:t>
      </w:r>
      <w:r>
        <w:rPr>
          <w:rFonts w:hint="eastAsia" w:ascii="仿宋_GB2312" w:hAnsi="宋体" w:eastAsia="仿宋_GB2312" w:cs="宋体"/>
          <w:kern w:val="0"/>
          <w:sz w:val="32"/>
          <w:szCs w:val="32"/>
          <w:highlight w:val="none"/>
        </w:rPr>
        <w:t>仪器维修保养、仪器检定及仪器耗材更换22万</w:t>
      </w:r>
      <w:r>
        <w:rPr>
          <w:rFonts w:hint="eastAsia" w:ascii="仿宋_GB2312" w:hAnsi="宋体" w:eastAsia="仿宋_GB2312" w:cs="宋体"/>
          <w:kern w:val="0"/>
          <w:sz w:val="32"/>
          <w:szCs w:val="32"/>
          <w:highlight w:val="none"/>
          <w:lang w:eastAsia="zh-CN"/>
        </w:rPr>
        <w:t>元；</w:t>
      </w:r>
      <w:r>
        <w:rPr>
          <w:rFonts w:hint="eastAsia" w:ascii="仿宋_GB2312" w:hAnsi="宋体" w:eastAsia="仿宋_GB2312" w:cs="宋体"/>
          <w:kern w:val="0"/>
          <w:sz w:val="32"/>
          <w:szCs w:val="32"/>
          <w:highlight w:val="none"/>
        </w:rPr>
        <w:t>二.药剂购买、样品运输及废液运输费1万</w:t>
      </w:r>
      <w:r>
        <w:rPr>
          <w:rFonts w:hint="eastAsia" w:ascii="仿宋_GB2312" w:hAnsi="宋体" w:eastAsia="仿宋_GB2312" w:cs="宋体"/>
          <w:kern w:val="0"/>
          <w:sz w:val="32"/>
          <w:szCs w:val="32"/>
          <w:highlight w:val="none"/>
          <w:lang w:eastAsia="zh-CN"/>
        </w:rPr>
        <w:t>元；</w:t>
      </w:r>
      <w:r>
        <w:rPr>
          <w:rFonts w:hint="eastAsia" w:ascii="仿宋_GB2312" w:hAnsi="宋体" w:eastAsia="仿宋_GB2312" w:cs="宋体"/>
          <w:kern w:val="0"/>
          <w:sz w:val="32"/>
          <w:szCs w:val="32"/>
          <w:highlight w:val="none"/>
        </w:rPr>
        <w:t>三.检验费52万元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四.人员费用25万元。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numPr>
          <w:ilvl w:val="0"/>
          <w:numId w:val="2"/>
        </w:numPr>
        <w:spacing w:line="560" w:lineRule="exact"/>
        <w:ind w:left="0" w:leftChars="0" w:firstLine="640" w:firstLineChars="200"/>
        <w:rPr>
          <w:rFonts w:hint="eastAsia" w:ascii="仿宋_GB2312" w:hAnsi="宋体" w:eastAsia="仿宋_GB2312" w:cs="宋体"/>
          <w:kern w:val="0"/>
          <w:sz w:val="32"/>
          <w:szCs w:val="32"/>
          <w:highlight w:val="none"/>
          <w:lang w:val="en-US" w:eastAsia="zh-CN"/>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项目工作经费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lang w:eastAsia="zh-CN"/>
        </w:rPr>
        <w:t>：</w:t>
      </w:r>
      <w:r>
        <w:rPr>
          <w:rFonts w:hint="eastAsia" w:ascii="仿宋_GB2312" w:hAnsi="宋体" w:eastAsia="仿宋_GB2312" w:cs="宋体"/>
          <w:kern w:val="0"/>
          <w:sz w:val="32"/>
          <w:szCs w:val="32"/>
          <w:highlight w:val="none"/>
        </w:rPr>
        <w:t>《政府投资条例》(国务院令第712号）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《中央预算内直接投资项目管理办法》（国家发改委令2014年第7号）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《自治区发展改革委关于印发&lt;新疆维吾尔自治区政府投资项目初步设计管理办法&gt;的通知》(新法规〔2020〕1号）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《自治区发展改革委关于印发&lt;新疆维吾尔自治区政府投资项目竣工验收管理办法&gt;的通知》(新法规〔2020〕2号）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企业投资项目核准和备案管理办法(国家发展改革委 第2号令)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企业投资项目事中事后监管办法（国家发改委令 第14号）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 xml:space="preserve">自治区发展改革委关于印发《新疆维吾尔自治区固定资产投资项目节能审查办法》的通知 </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 xml:space="preserve">                                    固定资产投资项目节能审查办法</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100万元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昌吉州发展和改革委员会</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项目可行性研究报告专家评审、开展绩效指标核验、配合上级单位检查、调研、指导工作等支出</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2022年1月至2022年12月</w:t>
      </w:r>
    </w:p>
    <w:p>
      <w:pPr>
        <w:numPr>
          <w:ilvl w:val="0"/>
          <w:numId w:val="2"/>
        </w:numPr>
        <w:spacing w:line="560" w:lineRule="exact"/>
        <w:ind w:left="0" w:leftChars="0"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项目名称：“信用城市”研究工作经费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设立的政策依据：《国家发展改革委中国人民银行关于同意北京市海淀区等32个城市（城区）创建社会信用体系建设示范城市（城区）工作方案的复函》（发改财金[2016]769号）、昌吉回族自治州人民政府办公室关于印发《自治州关于加快诚信体系建设在重点领域、重点环节实现重点突破的实施方案（试行）》的通知 （ 昌州政办发〔2019〕53号）</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预算安排规模：25万元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项目承担单位：昌吉州发展和改革委员会</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资金分配情况：编制城市信用监测排名方案、录入数据、配备专人负责数据核查、报送信息、配备专人落实监测排名等费用25万元。</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资金执行时间：2022年1月至2022年12月</w:t>
      </w:r>
    </w:p>
    <w:p>
      <w:pPr>
        <w:numPr>
          <w:ilvl w:val="0"/>
          <w:numId w:val="0"/>
        </w:numPr>
        <w:spacing w:line="560" w:lineRule="exact"/>
        <w:ind w:leftChars="200"/>
        <w:rPr>
          <w:rFonts w:hint="default" w:ascii="仿宋_GB2312" w:hAnsi="宋体" w:eastAsia="仿宋_GB2312" w:cs="宋体"/>
          <w:kern w:val="0"/>
          <w:sz w:val="32"/>
          <w:szCs w:val="32"/>
          <w:highlight w:val="none"/>
          <w:lang w:val="en-US" w:eastAsia="zh-CN"/>
        </w:rPr>
      </w:pP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八、关于</w:t>
      </w:r>
      <w:r>
        <w:rPr>
          <w:rFonts w:hint="eastAsia" w:ascii="楷体_GB2312" w:hAnsi="楷体_GB2312" w:eastAsia="楷体_GB2312" w:cs="楷体_GB2312"/>
          <w:b/>
          <w:bCs/>
          <w:kern w:val="0"/>
          <w:sz w:val="32"/>
          <w:szCs w:val="32"/>
          <w:highlight w:val="none"/>
          <w:lang w:eastAsia="zh-CN"/>
        </w:rPr>
        <w:t>昌吉州发展和改革委员会</w:t>
      </w:r>
      <w:r>
        <w:rPr>
          <w:rFonts w:hint="eastAsia" w:ascii="楷体_GB2312" w:hAnsi="楷体_GB2312" w:eastAsia="楷体_GB2312" w:cs="楷体_GB2312"/>
          <w:b/>
          <w:bCs/>
          <w:kern w:val="0"/>
          <w:sz w:val="32"/>
          <w:szCs w:val="32"/>
          <w:highlight w:val="none"/>
        </w:rPr>
        <w:t>2022年一般公共预算“三公”经费预算情况说明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昌吉州发展和改革委员会</w:t>
      </w:r>
      <w:r>
        <w:rPr>
          <w:rFonts w:hint="eastAsia" w:ascii="仿宋_GB2312" w:hAnsi="宋体" w:eastAsia="仿宋_GB2312" w:cs="宋体"/>
          <w:kern w:val="0"/>
          <w:sz w:val="32"/>
          <w:szCs w:val="32"/>
          <w:highlight w:val="none"/>
        </w:rPr>
        <w:t>2022年一般公共预算“三公”经费数为</w:t>
      </w:r>
      <w:r>
        <w:rPr>
          <w:rFonts w:hint="eastAsia" w:ascii="仿宋_GB2312" w:hAnsi="宋体" w:eastAsia="仿宋_GB2312" w:cs="宋体"/>
          <w:kern w:val="0"/>
          <w:sz w:val="32"/>
          <w:szCs w:val="32"/>
          <w:highlight w:val="none"/>
          <w:lang w:val="en-US" w:eastAsia="zh-CN"/>
        </w:rPr>
        <w:t>29.79</w:t>
      </w:r>
      <w:r>
        <w:rPr>
          <w:rFonts w:hint="eastAsia" w:ascii="仿宋_GB2312" w:hAnsi="宋体" w:eastAsia="仿宋_GB2312" w:cs="宋体"/>
          <w:kern w:val="0"/>
          <w:sz w:val="32"/>
          <w:szCs w:val="32"/>
          <w:highlight w:val="none"/>
        </w:rPr>
        <w:t>万元，其中：因公出国（境）费</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万元，公务用车购置</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万元，公务用车运行费</w:t>
      </w:r>
      <w:r>
        <w:rPr>
          <w:rFonts w:hint="eastAsia" w:ascii="仿宋_GB2312" w:hAnsi="宋体" w:eastAsia="仿宋_GB2312" w:cs="宋体"/>
          <w:kern w:val="0"/>
          <w:sz w:val="32"/>
          <w:szCs w:val="32"/>
          <w:highlight w:val="none"/>
          <w:lang w:val="en-US" w:eastAsia="zh-CN"/>
        </w:rPr>
        <w:t>26.00</w:t>
      </w:r>
      <w:r>
        <w:rPr>
          <w:rFonts w:hint="eastAsia" w:ascii="仿宋_GB2312" w:hAnsi="宋体" w:eastAsia="仿宋_GB2312" w:cs="宋体"/>
          <w:kern w:val="0"/>
          <w:sz w:val="32"/>
          <w:szCs w:val="32"/>
          <w:highlight w:val="none"/>
        </w:rPr>
        <w:t>万元，公务接待费</w:t>
      </w:r>
      <w:r>
        <w:rPr>
          <w:rFonts w:hint="eastAsia" w:ascii="仿宋_GB2312" w:hAnsi="宋体" w:eastAsia="仿宋_GB2312" w:cs="宋体"/>
          <w:kern w:val="0"/>
          <w:sz w:val="32"/>
          <w:szCs w:val="32"/>
          <w:highlight w:val="none"/>
          <w:lang w:val="en-US" w:eastAsia="zh-CN"/>
        </w:rPr>
        <w:t>3.79</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2022年一般公共预算“三公”经费比上年</w:t>
      </w:r>
      <w:r>
        <w:rPr>
          <w:rFonts w:hint="eastAsia" w:ascii="仿宋_GB2312" w:hAnsi="宋体" w:eastAsia="仿宋_GB2312" w:cs="宋体"/>
          <w:kern w:val="0"/>
          <w:sz w:val="32"/>
          <w:szCs w:val="32"/>
          <w:highlight w:val="none"/>
          <w:lang w:eastAsia="zh-CN"/>
        </w:rPr>
        <w:t>预算数</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highlight w:val="none"/>
          <w:lang w:val="en-US" w:eastAsia="zh-CN"/>
        </w:rPr>
        <w:t>3.96</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15.33</w:t>
      </w:r>
      <w:r>
        <w:rPr>
          <w:rFonts w:hint="eastAsia" w:ascii="仿宋_GB2312" w:hAnsi="宋体" w:eastAsia="仿宋_GB2312" w:cs="宋体"/>
          <w:kern w:val="0"/>
          <w:sz w:val="32"/>
          <w:szCs w:val="32"/>
          <w:highlight w:val="none"/>
        </w:rPr>
        <w:t>%，其中：因公出国（境）费增加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%，主要原因是未安排预算；公务用车购置费增加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%，主要原因是未安排预算；公务用车运行费增加</w:t>
      </w:r>
      <w:r>
        <w:rPr>
          <w:rFonts w:hint="eastAsia" w:ascii="仿宋_GB2312" w:hAnsi="宋体" w:eastAsia="仿宋_GB2312" w:cs="宋体"/>
          <w:kern w:val="0"/>
          <w:sz w:val="32"/>
          <w:szCs w:val="32"/>
          <w:highlight w:val="none"/>
          <w:lang w:val="en-US" w:eastAsia="zh-CN"/>
        </w:rPr>
        <w:t>3.96</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17.97</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各项安全检查、项目工作调研等业务量增多</w:t>
      </w:r>
      <w:r>
        <w:rPr>
          <w:rFonts w:hint="eastAsia" w:ascii="仿宋_GB2312" w:hAnsi="宋体" w:eastAsia="仿宋_GB2312" w:cs="宋体"/>
          <w:kern w:val="0"/>
          <w:sz w:val="32"/>
          <w:szCs w:val="32"/>
          <w:highlight w:val="none"/>
        </w:rPr>
        <w:t>；公务接待费增加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保持上年预算支出</w:t>
      </w:r>
      <w:r>
        <w:rPr>
          <w:rFonts w:hint="eastAsia" w:ascii="仿宋_GB2312" w:hAnsi="宋体" w:eastAsia="仿宋_GB2312" w:cs="宋体"/>
          <w:kern w:val="0"/>
          <w:sz w:val="32"/>
          <w:szCs w:val="32"/>
          <w:highlight w:val="none"/>
        </w:rPr>
        <w:t>。</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楷体_GB2312" w:hAnsi="楷体_GB2312" w:eastAsia="楷体_GB2312" w:cs="楷体_GB2312"/>
          <w:b/>
          <w:bCs/>
          <w:kern w:val="0"/>
          <w:sz w:val="32"/>
          <w:szCs w:val="32"/>
          <w:highlight w:val="none"/>
        </w:rPr>
        <w:t>九、关于</w:t>
      </w:r>
      <w:r>
        <w:rPr>
          <w:rFonts w:hint="eastAsia" w:ascii="楷体_GB2312" w:hAnsi="楷体_GB2312" w:eastAsia="楷体_GB2312" w:cs="楷体_GB2312"/>
          <w:b/>
          <w:bCs/>
          <w:kern w:val="0"/>
          <w:sz w:val="32"/>
          <w:szCs w:val="32"/>
          <w:highlight w:val="none"/>
          <w:lang w:eastAsia="zh-CN"/>
        </w:rPr>
        <w:t>昌吉州发展和改革委员会</w:t>
      </w:r>
      <w:r>
        <w:rPr>
          <w:rFonts w:hint="eastAsia" w:ascii="楷体_GB2312" w:hAnsi="楷体_GB2312" w:eastAsia="楷体_GB2312" w:cs="楷体_GB2312"/>
          <w:b/>
          <w:bCs/>
          <w:kern w:val="0"/>
          <w:sz w:val="32"/>
          <w:szCs w:val="32"/>
          <w:highlight w:val="none"/>
        </w:rPr>
        <w:t>2022年政府性基金预算拨款情况说明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昌吉州发展和改革委员会</w:t>
      </w:r>
      <w:r>
        <w:rPr>
          <w:rFonts w:hint="eastAsia" w:ascii="仿宋_GB2312" w:hAnsi="仿宋_GB2312" w:eastAsia="仿宋_GB2312" w:cs="仿宋_GB2312"/>
          <w:kern w:val="0"/>
          <w:sz w:val="32"/>
          <w:szCs w:val="32"/>
          <w:highlight w:val="none"/>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十、其他重要事项的情况说明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（一）机关运行经费情况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仿宋_GB2312" w:eastAsia="仿宋_GB2312" w:cs="仿宋_GB2312"/>
          <w:kern w:val="0"/>
          <w:sz w:val="32"/>
          <w:szCs w:val="32"/>
          <w:highlight w:val="none"/>
          <w:lang w:eastAsia="zh-CN"/>
        </w:rPr>
        <w:t>昌吉州发展和改革委员会</w:t>
      </w:r>
      <w:r>
        <w:rPr>
          <w:rFonts w:hint="eastAsia" w:ascii="仿宋_GB2312" w:hAnsi="仿宋_GB2312" w:eastAsia="仿宋_GB2312" w:cs="仿宋_GB2312"/>
          <w:kern w:val="0"/>
          <w:sz w:val="32"/>
          <w:szCs w:val="32"/>
          <w:highlight w:val="none"/>
        </w:rPr>
        <w:t>机关运行经费财政拨款预算</w:t>
      </w:r>
      <w:r>
        <w:rPr>
          <w:rFonts w:hint="eastAsia" w:ascii="仿宋_GB2312" w:hAnsi="仿宋_GB2312" w:eastAsia="仿宋_GB2312" w:cs="仿宋_GB2312"/>
          <w:kern w:val="0"/>
          <w:sz w:val="32"/>
          <w:szCs w:val="32"/>
          <w:highlight w:val="none"/>
          <w:lang w:val="en-US" w:eastAsia="zh-CN"/>
        </w:rPr>
        <w:t>143.56</w:t>
      </w:r>
      <w:r>
        <w:rPr>
          <w:rFonts w:hint="eastAsia" w:ascii="仿宋_GB2312" w:hAnsi="仿宋_GB2312" w:eastAsia="仿宋_GB2312" w:cs="仿宋_GB2312"/>
          <w:kern w:val="0"/>
          <w:sz w:val="32"/>
          <w:szCs w:val="32"/>
          <w:highlight w:val="none"/>
        </w:rPr>
        <w:t>万元，比上年预算</w:t>
      </w:r>
      <w:r>
        <w:rPr>
          <w:rFonts w:hint="eastAsia" w:ascii="仿宋_GB2312" w:hAnsi="仿宋_GB2312" w:eastAsia="仿宋_GB2312" w:cs="仿宋_GB2312"/>
          <w:kern w:val="0"/>
          <w:sz w:val="32"/>
          <w:szCs w:val="32"/>
          <w:highlight w:val="none"/>
          <w:lang w:eastAsia="zh-CN"/>
        </w:rPr>
        <w:t>数</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55.52</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27.89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其他商品和服务支出预算减少</w:t>
      </w:r>
      <w:r>
        <w:rPr>
          <w:rFonts w:hint="eastAsia" w:ascii="仿宋_GB2312" w:hAnsi="仿宋_GB2312" w:eastAsia="仿宋_GB2312" w:cs="仿宋_GB2312"/>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（二）政府采购情况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仿宋_GB2312" w:eastAsia="仿宋_GB2312" w:cs="仿宋_GB2312"/>
          <w:kern w:val="0"/>
          <w:sz w:val="32"/>
          <w:szCs w:val="32"/>
          <w:highlight w:val="none"/>
          <w:lang w:eastAsia="zh-CN"/>
        </w:rPr>
        <w:t>昌吉州发展和改革委员会</w:t>
      </w:r>
      <w:r>
        <w:rPr>
          <w:rFonts w:hint="eastAsia" w:ascii="仿宋_GB2312" w:hAnsi="仿宋_GB2312" w:eastAsia="仿宋_GB2312" w:cs="仿宋_GB2312"/>
          <w:kern w:val="0"/>
          <w:sz w:val="32"/>
          <w:szCs w:val="32"/>
          <w:highlight w:val="none"/>
        </w:rPr>
        <w:t>政府采购预算</w:t>
      </w:r>
      <w:r>
        <w:rPr>
          <w:rFonts w:hint="eastAsia" w:ascii="仿宋_GB2312" w:hAnsi="仿宋_GB2312" w:eastAsia="仿宋_GB2312" w:cs="仿宋_GB2312"/>
          <w:kern w:val="0"/>
          <w:sz w:val="32"/>
          <w:szCs w:val="32"/>
          <w:highlight w:val="none"/>
          <w:lang w:val="en-US" w:eastAsia="zh-CN"/>
        </w:rPr>
        <w:t>729.60</w:t>
      </w:r>
      <w:r>
        <w:rPr>
          <w:rFonts w:hint="eastAsia" w:ascii="仿宋_GB2312" w:hAnsi="仿宋_GB2312" w:eastAsia="仿宋_GB2312" w:cs="仿宋_GB2312"/>
          <w:kern w:val="0"/>
          <w:sz w:val="32"/>
          <w:szCs w:val="32"/>
          <w:highlight w:val="none"/>
        </w:rPr>
        <w:t>万元，其中：政府采购货物预算</w:t>
      </w:r>
      <w:r>
        <w:rPr>
          <w:rFonts w:hint="eastAsia" w:ascii="仿宋_GB2312" w:hAnsi="仿宋_GB2312" w:eastAsia="仿宋_GB2312" w:cs="仿宋_GB2312"/>
          <w:kern w:val="0"/>
          <w:sz w:val="32"/>
          <w:szCs w:val="32"/>
          <w:highlight w:val="none"/>
          <w:lang w:val="en-US" w:eastAsia="zh-CN"/>
        </w:rPr>
        <w:t>207.88</w:t>
      </w:r>
      <w:r>
        <w:rPr>
          <w:rFonts w:hint="eastAsia" w:ascii="仿宋_GB2312" w:hAnsi="仿宋_GB2312" w:eastAsia="仿宋_GB2312" w:cs="仿宋_GB2312"/>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521.72</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highlight w:val="none"/>
        </w:rPr>
        <w:t>2022年度</w:t>
      </w:r>
      <w:r>
        <w:rPr>
          <w:rFonts w:hint="eastAsia" w:ascii="仿宋_GB2312" w:hAnsi="仿宋_GB2312" w:eastAsia="仿宋_GB2312" w:cs="仿宋_GB2312"/>
          <w:kern w:val="0"/>
          <w:sz w:val="32"/>
          <w:szCs w:val="32"/>
          <w:highlight w:val="none"/>
          <w:lang w:eastAsia="zh-CN"/>
        </w:rPr>
        <w:t>昌吉州发展和改革委员会</w:t>
      </w:r>
      <w:r>
        <w:rPr>
          <w:rFonts w:hint="eastAsia" w:ascii="仿宋_GB2312" w:hAnsi="仿宋_GB2312" w:eastAsia="仿宋_GB2312" w:cs="仿宋_GB2312"/>
          <w:sz w:val="32"/>
          <w:highlight w:val="none"/>
        </w:rPr>
        <w:t>面向中小企业预留政府采购项目预算金额</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万元，其中：面向小微企业预留政府采购项目预算金额</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（三）国有资产占用使用情况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截至2021年底，</w:t>
      </w:r>
      <w:r>
        <w:rPr>
          <w:rFonts w:hint="eastAsia" w:ascii="仿宋_GB2312" w:hAnsi="仿宋_GB2312" w:eastAsia="仿宋_GB2312" w:cs="仿宋_GB2312"/>
          <w:kern w:val="0"/>
          <w:sz w:val="32"/>
          <w:szCs w:val="32"/>
          <w:highlight w:val="none"/>
          <w:lang w:eastAsia="zh-CN"/>
        </w:rPr>
        <w:t>昌吉州发展和改革委员会</w:t>
      </w:r>
      <w:r>
        <w:rPr>
          <w:rFonts w:hint="eastAsia" w:ascii="仿宋_GB2312" w:hAnsi="仿宋_GB2312" w:eastAsia="仿宋_GB2312" w:cs="仿宋_GB2312"/>
          <w:kern w:val="0"/>
          <w:sz w:val="32"/>
          <w:szCs w:val="32"/>
          <w:highlight w:val="none"/>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1.房屋</w:t>
      </w:r>
      <w:r>
        <w:rPr>
          <w:rFonts w:hint="eastAsia" w:ascii="仿宋_GB2312" w:hAnsi="仿宋_GB2312" w:eastAsia="仿宋_GB2312" w:cs="仿宋_GB2312"/>
          <w:kern w:val="0"/>
          <w:sz w:val="32"/>
          <w:szCs w:val="32"/>
          <w:highlight w:val="none"/>
          <w:lang w:val="en-US" w:eastAsia="zh-CN"/>
        </w:rPr>
        <w:t>7321.01</w:t>
      </w:r>
      <w:r>
        <w:rPr>
          <w:rFonts w:hint="eastAsia" w:ascii="仿宋_GB2312" w:hAnsi="仿宋_GB2312" w:eastAsia="仿宋_GB2312" w:cs="仿宋_GB2312"/>
          <w:kern w:val="0"/>
          <w:sz w:val="32"/>
          <w:szCs w:val="32"/>
          <w:highlight w:val="none"/>
        </w:rPr>
        <w:t>平方米，价值</w:t>
      </w:r>
      <w:r>
        <w:rPr>
          <w:rFonts w:hint="eastAsia" w:ascii="仿宋_GB2312" w:hAnsi="仿宋_GB2312" w:eastAsia="仿宋_GB2312" w:cs="仿宋_GB2312"/>
          <w:kern w:val="0"/>
          <w:sz w:val="32"/>
          <w:szCs w:val="32"/>
          <w:highlight w:val="none"/>
          <w:lang w:val="en-US" w:eastAsia="zh-CN"/>
        </w:rPr>
        <w:t>1628.24</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2.车辆</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354.96</w:t>
      </w:r>
      <w:r>
        <w:rPr>
          <w:rFonts w:hint="eastAsia" w:ascii="仿宋_GB2312" w:hAnsi="仿宋_GB2312" w:eastAsia="仿宋_GB2312" w:cs="仿宋_GB2312"/>
          <w:kern w:val="0"/>
          <w:sz w:val="32"/>
          <w:szCs w:val="32"/>
          <w:highlight w:val="none"/>
        </w:rPr>
        <w:t>万元；其中：一般公务用车</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354.96</w:t>
      </w:r>
      <w:r>
        <w:rPr>
          <w:rFonts w:hint="eastAsia" w:ascii="仿宋_GB2312" w:hAnsi="仿宋_GB2312" w:eastAsia="仿宋_GB2312" w:cs="仿宋_GB2312"/>
          <w:kern w:val="0"/>
          <w:sz w:val="32"/>
          <w:szCs w:val="32"/>
          <w:highlight w:val="none"/>
        </w:rPr>
        <w:t>万元；执法执勤用车</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万元；其他车辆</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3.办公家具价值</w:t>
      </w:r>
      <w:r>
        <w:rPr>
          <w:rFonts w:hint="eastAsia" w:ascii="仿宋_GB2312" w:hAnsi="仿宋_GB2312" w:eastAsia="仿宋_GB2312" w:cs="仿宋_GB2312"/>
          <w:kern w:val="0"/>
          <w:sz w:val="32"/>
          <w:szCs w:val="32"/>
          <w:highlight w:val="none"/>
          <w:lang w:val="en-US" w:eastAsia="zh-CN"/>
        </w:rPr>
        <w:t>140.81</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4.其他资产价值</w:t>
      </w:r>
      <w:r>
        <w:rPr>
          <w:rFonts w:hint="eastAsia" w:ascii="仿宋_GB2312" w:hAnsi="仿宋_GB2312" w:eastAsia="仿宋_GB2312" w:cs="仿宋_GB2312"/>
          <w:kern w:val="0"/>
          <w:sz w:val="32"/>
          <w:szCs w:val="32"/>
          <w:highlight w:val="none"/>
          <w:lang w:val="en-US" w:eastAsia="zh-CN"/>
        </w:rPr>
        <w:t>702.02</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单位价值50万元以上大型设备</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台（套），单位价值100万元以上大型设备</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台（套）。</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仿宋_GB2312" w:eastAsia="仿宋_GB2312" w:cs="仿宋_GB2312"/>
          <w:kern w:val="0"/>
          <w:sz w:val="32"/>
          <w:szCs w:val="32"/>
          <w:highlight w:val="none"/>
          <w:lang w:eastAsia="zh-CN"/>
        </w:rPr>
        <w:t>昌吉州发展和改革委员会</w:t>
      </w:r>
      <w:r>
        <w:rPr>
          <w:rFonts w:hint="eastAsia" w:ascii="仿宋_GB2312" w:hAnsi="仿宋_GB2312" w:eastAsia="仿宋_GB2312" w:cs="仿宋_GB2312"/>
          <w:kern w:val="0"/>
          <w:sz w:val="32"/>
          <w:szCs w:val="32"/>
          <w:highlight w:val="none"/>
        </w:rPr>
        <w:t>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（四）预算绩效情况</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2022年，本年度预算绩效管理的财政拨款项目</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个，涉及预算金额</w:t>
      </w:r>
      <w:r>
        <w:rPr>
          <w:rFonts w:hint="eastAsia" w:ascii="仿宋_GB2312" w:hAnsi="仿宋_GB2312" w:eastAsia="仿宋_GB2312" w:cs="仿宋_GB2312"/>
          <w:kern w:val="0"/>
          <w:sz w:val="32"/>
          <w:szCs w:val="32"/>
          <w:highlight w:val="none"/>
          <w:lang w:val="en-US" w:eastAsia="zh-CN"/>
        </w:rPr>
        <w:t>648.30</w:t>
      </w:r>
      <w:r>
        <w:rPr>
          <w:rFonts w:hint="eastAsia" w:ascii="仿宋_GB2312" w:hAnsi="仿宋_GB2312" w:eastAsia="仿宋_GB2312" w:cs="仿宋_GB2312"/>
          <w:kern w:val="0"/>
          <w:sz w:val="32"/>
          <w:szCs w:val="32"/>
          <w:highlight w:val="none"/>
        </w:rPr>
        <w:t>万元。具体情况见下表（按项目分别填报）：</w:t>
      </w: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960"/>
        <w:gridCol w:w="720"/>
        <w:gridCol w:w="645"/>
        <w:gridCol w:w="1275"/>
        <w:gridCol w:w="870"/>
        <w:gridCol w:w="750"/>
        <w:gridCol w:w="345"/>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28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286"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“信用昌吉”专项经费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2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目标1：确保“信用昌吉”网站系统正常运行，确保公共信用信息平台数据的及时性、完整性、准确性，平台数据得到充分利用，加大诚信宣传力度。目标2 ：加快我州社会信用体系建设步伐，整顿和规范市场经济秩序，优化发展环境，更好地促进经济社会协调健康发展。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“信用昌吉”各类公示信息年录入量</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&gt;2万条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诚信宣传活动次数</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“信用昌吉”网站日常运行稳定率</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系统故障修复处理</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系统运行维护响应</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网站体系维护费及管理费用</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信用体系运转经费</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通过网站信息公示、规范节约人工成本和时间</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实现统一信息管理的覆盖率</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系统正常使用年限（年）</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系统使用人员满意度</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ind w:firstLine="640" w:firstLineChars="200"/>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3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0"/>
        <w:gridCol w:w="1080"/>
        <w:gridCol w:w="705"/>
        <w:gridCol w:w="870"/>
        <w:gridCol w:w="1485"/>
        <w:gridCol w:w="825"/>
        <w:gridCol w:w="555"/>
        <w:gridCol w:w="660"/>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4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46"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兵地融合发展专项经费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32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目标1：贯彻自治区党委、人民政府关于新时代推进兵地融合发展的工作部署，牢固树立“兵地一盘棋”“兵地一家亲”思想。目标2 ：深入推进经济、文化、社会、干部人才、维稳等方面融合，加强重大生产力布局、市场体系建设、基础设施、公共服务等方面统筹规划，形成经济融合发展、文化交融共建、维稳责任共担、民族团结共创的局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制定兵地融合发展2022年重点工作任务数量</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制定工作简版期数</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开展专项调查研究次数</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兵地融合发展2022年重点工作任务指导性</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兵地融合发展2022年重点工作任务及时率</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工作完成时间</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兵地融合领导小组业务经费</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制定兵地融合发展重点工作、调研等经费</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积极稳妥解决兵地之间存在的问题，推进兵地资源共建共享</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经济融合发展、文化交融共建、维稳责任共担、民族团结共创成效明显</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公众满意度</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990"/>
        <w:gridCol w:w="630"/>
        <w:gridCol w:w="1080"/>
        <w:gridCol w:w="1740"/>
        <w:gridCol w:w="1080"/>
        <w:gridCol w:w="291"/>
        <w:gridCol w:w="834"/>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31"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31"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昌吉州1万吨原粮储备经费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165.3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165.3</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34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昌吉州10000吨原粮储备项目,由昌粮集团阜康粮油有限责任公司承储。确保储存设施完备，储存安全；储备相对集中，有利于管理，节约成本；储存地轮入粮源充足,便于轮换周转；储存地交通便利，调运快捷。目标2：确保州人民政府急需时调控使用,为应对各种突发事件发生和全州在非常时期的军需民食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储备原粮数量</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储备原粮实施监测次数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储备原粮数量真实率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储备原粮质量完好率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仓库安防设施达标率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储备原粮应急保障率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项目完成时限</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储备原粮保管费等（万元）</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储备原粮利息补贴等（万元）</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&lt;=105.30万元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构筑昌吉州粮食安全体系，确保粮食市场价格稳定，保障军需民食。</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建立完善粮食储备体系，确保粮食存储安全，节约存储成本。</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82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公众满意度</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5"/>
        <w:gridCol w:w="195"/>
        <w:gridCol w:w="705"/>
        <w:gridCol w:w="375"/>
        <w:gridCol w:w="225"/>
        <w:gridCol w:w="555"/>
        <w:gridCol w:w="525"/>
        <w:gridCol w:w="120"/>
        <w:gridCol w:w="1425"/>
        <w:gridCol w:w="120"/>
        <w:gridCol w:w="765"/>
        <w:gridCol w:w="90"/>
        <w:gridCol w:w="765"/>
        <w:gridCol w:w="315"/>
        <w:gridCol w:w="225"/>
        <w:gridCol w:w="45"/>
        <w:gridCol w:w="996"/>
        <w:gridCol w:w="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481"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481" w:type="dxa"/>
            <w:gridSpan w:val="1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24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4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昌吉州1000吨应急成品油储备经费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w:t>
            </w:r>
          </w:p>
        </w:tc>
        <w:tc>
          <w:tcPr>
            <w:tcW w:w="13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59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昌吉州1000吨应急成品油储备项目,由益海（昌吉）粮油工业有限公司承储。确保储存设施完备，储存安全；储备相对集中，有利于管理，节约成本；储存地轮入粮油充足,便于轮换周转；储存地交通便利，调运快捷。目标2 ：确保州人民政府急需时调控使用，为应对各种突发事件发生和全州在非常时期的军需民食提供有力保障。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储备成品油数量</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储备成品油实施监测次数</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储备成品油数量真实率</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储备成品油质量完好率</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仓库安防设施达标率</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储备成品油应急保障率</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项目完成时限</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储备成品油利息、保管费等</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构筑昌吉州粮食安全体系，确保粮食市场价格稳定，保障军需民食。</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建立完善粮食储备体系，确保粮食存储安全，节约成本</w:t>
            </w: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5280"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4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390" w:hRule="atLeast"/>
        </w:trPr>
        <w:tc>
          <w:tcPr>
            <w:tcW w:w="8331"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05" w:hRule="atLeast"/>
        </w:trPr>
        <w:tc>
          <w:tcPr>
            <w:tcW w:w="8331" w:type="dxa"/>
            <w:gridSpan w:val="1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7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93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成本监审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5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116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25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 ：会计事务所专业人员实施必要的成本核实程序，对成本监审项目的基本情况、成本情况、与成本相关的重要事项等进行调查核实，并按照监审相关依据进行成本审核测算；及时主动反馈价格成本监审过程中发现的问题；提交成本审核报告及相关工作材料；对提交的审核报告的合法性、准确性、真实性负责。目标2：2022年，我州将完成天然气经营企业、昌吉州内医疗废物处置企业成本监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60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开展昌吉州天然气经营企业、4A级景区和医疗废物处置企业成本监审工作</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成本监审信息采集</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成本分析报告</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三年成本监审数据准确率</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成本监审及时率</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天然气企业成本监审</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医疗废物处置企业成本监审</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缓解价格供需矛盾，提高企业满意度</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0"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价格调整后运行平稳</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0" w:type="dxa"/>
          <w:trHeight w:val="48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59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企业满意度</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&gt;=98%</w:t>
            </w:r>
          </w:p>
        </w:tc>
      </w:tr>
    </w:tbl>
    <w:p>
      <w:pPr>
        <w:spacing w:line="560" w:lineRule="exact"/>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750"/>
        <w:gridCol w:w="765"/>
        <w:gridCol w:w="645"/>
        <w:gridCol w:w="1710"/>
        <w:gridCol w:w="840"/>
        <w:gridCol w:w="1080"/>
        <w:gridCol w:w="33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23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235"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高质量发展研究经费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41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目标1：完成高质量发展报告，优化资源配置，弥补创新短板，促进产业转型升级，深化经济结构，加快补齐民生短板，推动经济社会高质量发展。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完成高质量发展研究报告</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开展高质量发展专项调研</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报告合格率（%）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报告及时完成率（%）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工作完成时间</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高质量发展研究报告成本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高质量发展专项调研成本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实现经济高质量发展，社会进步、带动就业、提高人民生活水平</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综合实力大幅跃升，经济总量和城乡居民人均收入再上新台阶，创新能力显著提高</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公众满意度</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615"/>
        <w:gridCol w:w="765"/>
        <w:gridCol w:w="1350"/>
        <w:gridCol w:w="1080"/>
        <w:gridCol w:w="675"/>
        <w:gridCol w:w="57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25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250"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机关运行补助经费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1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目标1：保障发展工作各项业务正常运行。目标2：促进提高自治州经济和社会发展能力。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保障办公人员数量</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发展和改革业务工作完成率</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机关运行经费支付及时率</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项目完成时限</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人均运转经费数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促进提高自治州经济和社会发展能力</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增强服务意识，持续提升服务效能</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单位工作人员满意度</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0"/>
        <w:gridCol w:w="825"/>
        <w:gridCol w:w="735"/>
        <w:gridCol w:w="750"/>
        <w:gridCol w:w="1605"/>
        <w:gridCol w:w="840"/>
        <w:gridCol w:w="855"/>
        <w:gridCol w:w="64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20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205"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救灾物资储备专项经费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3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目标1：签订应急救灾物资租库合同、应急救灾物资搬倒整理目标2：确保应急救灾物资的安全管理，购买社会服务对采购的应急救灾物资进行管理和搬倒整理。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签订应急救灾物资租库合同</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应急救灾物资搬倒整理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签订应急救灾物资租库合同合格率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应急救灾物资搬倒整理达标率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应急救灾物资租库、搬倒整理完成及时率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应急救灾物资租库费用</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应急救灾物资搬倒整费用</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确保应急救灾物资库存数量真实、质量良好，储存安全，提高应急保障率。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持续保障应急救灾物资管理安全，应急状况下调得动、用得上</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bl>
    <w:p>
      <w:pPr>
        <w:spacing w:line="560" w:lineRule="exact"/>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p>
      <w:pPr>
        <w:pStyle w:val="2"/>
        <w:rPr>
          <w:rFonts w:hint="eastAsia" w:ascii="仿宋_GB2312" w:hAnsi="仿宋_GB2312" w:eastAsia="仿宋_GB2312" w:cs="仿宋_GB2312"/>
          <w:kern w:val="0"/>
          <w:sz w:val="32"/>
          <w:szCs w:val="32"/>
          <w:highlight w:val="none"/>
        </w:rPr>
      </w:pPr>
    </w:p>
    <w:tbl>
      <w:tblPr>
        <w:tblStyle w:val="6"/>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0"/>
        <w:gridCol w:w="855"/>
        <w:gridCol w:w="1080"/>
        <w:gridCol w:w="1080"/>
        <w:gridCol w:w="1590"/>
        <w:gridCol w:w="735"/>
        <w:gridCol w:w="480"/>
        <w:gridCol w:w="54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8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85"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粮食流通监督检查业务经费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4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开展夏粮收购过程中的联合执法检查，确保夏粮收购有序进行，保护种粮农民利益。目标2：严格按照12325热线管理的有关规定，做好涉粮案件查处工作，认真履行法定程序，进一步拓宽社会监督渠道。目标4 ：开展粮食流通统计制度的检查，坚决打击弄虚作假、违规瞒报、篡改等违法行为，确保全州粮食流通统计数据全面真实，为调控指导全州粮食购销平衡提供有力的数据支持。目标5：加强与各县市、相关部门的协调沟通，做好秋粮收购工作，及时发现存在的问题和困难，保障种粮农民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开展政策性粮食日常巡查</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开展安全储粮和安全生产检查</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开展粮食收购、运输活动及执行国家粮食流通统计制度的情况检查</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开展粮食库存检查</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执法检查达标率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检查工作及时率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项目完成时限</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粮食安全检查工作费用</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粮食库存检查经费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确保粮食库存质量好、数量真实、市场安全，提高粮食安全</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持续保持粮食市场秩序良好</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企业满意度</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rPr>
          <w:rFonts w:hint="eastAsia" w:ascii="仿宋_GB2312" w:hAnsi="仿宋_GB2312" w:eastAsia="仿宋_GB2312" w:cs="仿宋_GB2312"/>
          <w:kern w:val="0"/>
          <w:sz w:val="32"/>
          <w:szCs w:val="32"/>
          <w:highlight w:val="none"/>
        </w:rPr>
      </w:pPr>
    </w:p>
    <w:tbl>
      <w:tblPr>
        <w:tblStyle w:val="6"/>
        <w:tblW w:w="8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465"/>
        <w:gridCol w:w="735"/>
        <w:gridCol w:w="1575"/>
        <w:gridCol w:w="690"/>
        <w:gridCol w:w="675"/>
        <w:gridCol w:w="52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20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205"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粮油质量检测工作经费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1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职能：对昌吉州库存粮食质量进行抽样检查，对昌吉州新收获粮食进行质量安全监测，协助自治区完成新收获粮食质量安全监测抽样工作。                    2022年工作计划：对昌吉州新收获环节、收购环节、储存环节、加工环节、销售环节的粮食开展质量抽检，确保昌吉州粮油质检工作保持在自治区前列。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新收获原粮抽检批次</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政策性粮食抽检批次</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军供粮质量抽检批次</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企业加工环节抽检批次</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仪器设备购买批次</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检验产品质量达标率</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检测完成及时率（%）</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粮油检测经费</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仪器购买成本</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保障粮食安全，提高居民生活水平</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仪器设备正常使用年限</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1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仪器设备使用人员满意度</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rPr>
          <w:rFonts w:hint="eastAsia" w:ascii="仿宋_GB2312" w:hAnsi="仿宋_GB2312" w:eastAsia="仿宋_GB2312" w:cs="仿宋_GB2312"/>
          <w:kern w:val="0"/>
          <w:sz w:val="32"/>
          <w:szCs w:val="32"/>
          <w:highlight w:val="none"/>
        </w:rPr>
      </w:pPr>
    </w:p>
    <w:p>
      <w:pPr>
        <w:pStyle w:val="2"/>
        <w:rPr>
          <w:rFonts w:hint="eastAsia"/>
          <w:highlight w:val="none"/>
        </w:rPr>
      </w:pPr>
    </w:p>
    <w:tbl>
      <w:tblPr>
        <w:tblStyle w:val="6"/>
        <w:tblW w:w="8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810"/>
        <w:gridCol w:w="750"/>
        <w:gridCol w:w="765"/>
        <w:gridCol w:w="1605"/>
        <w:gridCol w:w="630"/>
        <w:gridCol w:w="690"/>
        <w:gridCol w:w="72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08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085"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00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审核上报、审批、核准、备案固定资产投资项目;:权限内固定资产投资项目的初步设计、概算（含调概）的审核上报、审批；组织实施自治州固定资产投资项目节能评估审查工作;按照国家和自治区规定的基本建设程序和管理权限，组织管理项目的竣工验收;安排自治州财政预算内建设资金，指导和监督国外贷款建设资金的使用，向政策性银行推荐贷款项目并指导监督贷款的使用方向，会同有关部门研究直接融资用于固定资产投资的总量和使用方向。                                                       目标2 ：争取超额完成州党委、人民政府给我委设定的绩效目标，促进自治州各领域发展。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审批政府投资类项目可研报告数量</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&gt;=85个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审批政府投资类项目初步设计数量</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验收项目数量</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对企业节能报告评审次数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可研报告合格率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初步设计合格率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专家评审后节能报告整改率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可研报告按时完成率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初步设计按时完成率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企业节能报告评审经费</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审批政府投资类项目评审费、差旅费等费用</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提高人民生活水平</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改善社会生态环境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持续提升群众幸福感、获得感</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公众满意度</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rPr>
          <w:rFonts w:hint="eastAsia" w:ascii="仿宋_GB2312" w:hAnsi="仿宋_GB2312" w:eastAsia="仿宋_GB2312" w:cs="仿宋_GB2312"/>
          <w:kern w:val="0"/>
          <w:sz w:val="32"/>
          <w:szCs w:val="32"/>
          <w:highlight w:val="none"/>
        </w:rPr>
      </w:pPr>
    </w:p>
    <w:tbl>
      <w:tblPr>
        <w:tblStyle w:val="6"/>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3"/>
        <w:gridCol w:w="933"/>
        <w:gridCol w:w="750"/>
        <w:gridCol w:w="750"/>
        <w:gridCol w:w="1623"/>
        <w:gridCol w:w="855"/>
        <w:gridCol w:w="750"/>
        <w:gridCol w:w="660"/>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825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256"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0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昌吉回族自治州发展和改革委员会本级</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“信用城市”研究工作经费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32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为贯彻落实《关于加快推进社会信用体系建设构建以信用为基础的新型监管机制的指导意见》(国办发〔2019〕35号)和《国家发展改革委办公厅关于印发实施&lt;城市信用状况监测预警指标（2019年版）&gt;的通知》文件要求，按照国家城市信用监测预警指标体系，为昌吉州各部门提供城市信用监测工作推进方案、落地措施、实施计划，并监督各部门落实情况，与相关部门合力推进我州在全国城市信用监测排名中的成绩，为提升昌吉州社会综合治理能力、提高昌吉州经济高质量发展，进一步优化营商环境奠定信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信用监测现状分析报告数量</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信用监测推进方案数量</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城市信用监测排名成绩</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每月一份信用监测现状分析报告</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每月一份信用监测实施方案</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每月一份信用监测实施方案</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每月一份信用监测现状分析报告</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每月一份信用监测实施方案</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根据监测标准向国家监测平台报送数据</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为昌吉提供信用咨询服务</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营造较好的招商引资环境，激发市场主体活力，为守信企业营造安心经营环境，从而提高经济收益。</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咨询服务类项目的经济效益是宏观的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营造守信激励、失信惩戒的社会氛围，通过宣传、培训，让更多企业、群众诚实守信。</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咨询服务类项目的社会效益是宏观的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自治州整体城市守信意识提高</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72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560" w:lineRule="exact"/>
        <w:rPr>
          <w:rFonts w:hint="eastAsia" w:ascii="仿宋_GB2312" w:hAnsi="仿宋_GB2312" w:eastAsia="仿宋_GB2312" w:cs="仿宋_GB2312"/>
          <w:kern w:val="0"/>
          <w:sz w:val="32"/>
          <w:szCs w:val="32"/>
          <w:highlight w:val="none"/>
        </w:rPr>
      </w:pPr>
    </w:p>
    <w:p>
      <w:pPr>
        <w:spacing w:line="60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spacing w:line="60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无其他需要说明的事项。</w:t>
      </w:r>
    </w:p>
    <w:p>
      <w:pPr>
        <w:spacing w:line="600" w:lineRule="exact"/>
        <w:ind w:firstLine="640" w:firstLineChars="200"/>
        <w:rPr>
          <w:rFonts w:ascii="仿宋_GB2312" w:hAnsi="宋体" w:eastAsia="仿宋_GB2312" w:cs="宋体"/>
          <w:kern w:val="0"/>
          <w:sz w:val="32"/>
          <w:szCs w:val="32"/>
          <w:highlight w:val="none"/>
        </w:rPr>
      </w:pP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spacing w:line="560" w:lineRule="exact"/>
        <w:ind w:firstLine="640" w:firstLineChars="200"/>
        <w:rPr>
          <w:rFonts w:ascii="黑体" w:hAnsi="黑体" w:eastAsia="黑体"/>
          <w:sz w:val="32"/>
          <w:szCs w:val="32"/>
          <w:highlight w:val="none"/>
        </w:rPr>
      </w:pP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二、一般公共预算：</w:t>
      </w:r>
      <w:r>
        <w:rPr>
          <w:rFonts w:hint="eastAsia" w:ascii="仿宋_GB2312" w:eastAsia="仿宋_GB2312"/>
          <w:spacing w:val="-6"/>
          <w:sz w:val="32"/>
          <w:szCs w:val="32"/>
          <w:highlight w:val="none"/>
        </w:rPr>
        <w:t>包括公共财政拨款（补助）资金、专项收入。</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三、财政专户管理资金：</w:t>
      </w:r>
      <w:r>
        <w:rPr>
          <w:rFonts w:hint="eastAsia" w:ascii="仿宋_GB2312" w:eastAsia="仿宋_GB2312"/>
          <w:sz w:val="32"/>
          <w:szCs w:val="32"/>
          <w:highlight w:val="none"/>
        </w:rPr>
        <w:t>包括专户管理行政事业性收费（主要是教育收费）、其他非税收入。</w:t>
      </w:r>
    </w:p>
    <w:p>
      <w:pPr>
        <w:spacing w:line="560" w:lineRule="exact"/>
        <w:ind w:firstLine="643" w:firstLineChars="200"/>
        <w:rPr>
          <w:rFonts w:ascii="仿宋_GB2312" w:eastAsia="仿宋_GB2312"/>
          <w:spacing w:val="-17"/>
          <w:sz w:val="32"/>
          <w:szCs w:val="32"/>
          <w:highlight w:val="none"/>
        </w:rPr>
      </w:pPr>
      <w:r>
        <w:rPr>
          <w:rFonts w:hint="eastAsia" w:ascii="楷体_GB2312" w:hAnsi="楷体_GB2312" w:eastAsia="楷体_GB2312" w:cs="楷体_GB2312"/>
          <w:b/>
          <w:bCs/>
          <w:sz w:val="32"/>
          <w:szCs w:val="32"/>
          <w:highlight w:val="none"/>
        </w:rPr>
        <w:t>四、其他资金：</w:t>
      </w:r>
      <w:r>
        <w:rPr>
          <w:rFonts w:hint="eastAsia" w:ascii="仿宋_GB2312" w:eastAsia="仿宋_GB2312"/>
          <w:spacing w:val="-17"/>
          <w:sz w:val="32"/>
          <w:szCs w:val="32"/>
          <w:highlight w:val="none"/>
        </w:rPr>
        <w:t>包括事业收入、事业经营收入、其他收入等。</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五、基本支出：</w:t>
      </w:r>
      <w:r>
        <w:rPr>
          <w:rFonts w:hint="eastAsia" w:ascii="仿宋_GB2312" w:eastAsia="仿宋_GB2312"/>
          <w:sz w:val="32"/>
          <w:szCs w:val="32"/>
          <w:highlight w:val="none"/>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六、项目支出：</w:t>
      </w:r>
      <w:r>
        <w:rPr>
          <w:rFonts w:hint="eastAsia" w:ascii="仿宋_GB2312" w:eastAsia="仿宋_GB2312"/>
          <w:sz w:val="32"/>
          <w:szCs w:val="32"/>
          <w:highlight w:val="none"/>
        </w:rPr>
        <w:t>部门（单位）支出预算的组成部分，是</w:t>
      </w:r>
      <w:r>
        <w:rPr>
          <w:rFonts w:hint="eastAsia" w:ascii="仿宋_GB2312" w:eastAsia="仿宋_GB2312"/>
          <w:sz w:val="32"/>
          <w:szCs w:val="32"/>
          <w:highlight w:val="none"/>
          <w:lang w:eastAsia="zh-CN"/>
        </w:rPr>
        <w:t>州</w:t>
      </w:r>
      <w:r>
        <w:rPr>
          <w:rFonts w:hint="eastAsia" w:ascii="仿宋_GB2312" w:eastAsia="仿宋_GB2312"/>
          <w:sz w:val="32"/>
          <w:szCs w:val="32"/>
          <w:highlight w:val="none"/>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highlight w:val="none"/>
        </w:rPr>
      </w:pPr>
      <w:r>
        <w:rPr>
          <w:rFonts w:hint="eastAsia" w:ascii="楷体_GB2312" w:hAnsi="楷体_GB2312" w:eastAsia="楷体_GB2312" w:cs="楷体_GB2312"/>
          <w:b/>
          <w:bCs/>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eastAsia="zh-CN"/>
        </w:rPr>
        <w:t>州</w:t>
      </w:r>
      <w:r>
        <w:rPr>
          <w:rFonts w:hint="eastAsia" w:ascii="仿宋_GB2312" w:eastAsia="仿宋_GB2312"/>
          <w:sz w:val="32"/>
          <w:szCs w:val="32"/>
          <w:highlight w:val="none"/>
        </w:rPr>
        <w:t>本级部门（单位）用一般公共预算财政拨款安排的因公出国（境）费、公务用车购置及运行费和公务接待费。其中，因公出国（</w:t>
      </w:r>
      <w:bookmarkStart w:id="0" w:name="_GoBack"/>
      <w:bookmarkEnd w:id="0"/>
      <w:r>
        <w:rPr>
          <w:rFonts w:hint="eastAsia" w:ascii="仿宋_GB2312" w:eastAsia="仿宋_GB2312"/>
          <w:sz w:val="32"/>
          <w:szCs w:val="32"/>
          <w:highlight w:val="none"/>
        </w:rPr>
        <w:t>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highlight w:val="none"/>
        </w:rPr>
        <w:t>务接待费指单位按规定开支的各类公务接待（含外宾接待）支出。</w:t>
      </w:r>
    </w:p>
    <w:p>
      <w:pPr>
        <w:spacing w:line="560" w:lineRule="exact"/>
        <w:ind w:firstLine="643" w:firstLineChars="200"/>
        <w:rPr>
          <w:rFonts w:ascii="仿宋_GB2312" w:eastAsia="仿宋_GB2312"/>
          <w:spacing w:val="-11"/>
          <w:sz w:val="32"/>
          <w:szCs w:val="32"/>
          <w:highlight w:val="none"/>
        </w:rPr>
      </w:pPr>
      <w:r>
        <w:rPr>
          <w:rFonts w:hint="eastAsia" w:ascii="楷体_GB2312" w:hAnsi="楷体_GB2312" w:eastAsia="楷体_GB2312" w:cs="楷体_GB2312"/>
          <w:b/>
          <w:bCs/>
          <w:sz w:val="32"/>
          <w:szCs w:val="32"/>
          <w:highlight w:val="none"/>
        </w:rPr>
        <w:t>八、机关运行经费：</w:t>
      </w:r>
      <w:r>
        <w:rPr>
          <w:rFonts w:hint="eastAsia" w:ascii="仿宋_GB2312" w:eastAsia="仿宋_GB2312"/>
          <w:sz w:val="32"/>
          <w:szCs w:val="32"/>
          <w:highlight w:val="none"/>
        </w:rPr>
        <w:t>指各部门（单位）的公用经费，包括办公及印刷费、邮电费、差旅费、会议费、福利费、日常维修费、办公用房水电费、办公用房</w:t>
      </w:r>
      <w:r>
        <w:rPr>
          <w:rFonts w:hint="eastAsia" w:ascii="仿宋_GB2312" w:eastAsia="仿宋_GB2312"/>
          <w:spacing w:val="-11"/>
          <w:sz w:val="32"/>
          <w:szCs w:val="32"/>
          <w:highlight w:val="none"/>
        </w:rPr>
        <w:t>取暖费、公务用车运行维护费及其他费用。</w:t>
      </w:r>
    </w:p>
    <w:p>
      <w:pPr>
        <w:spacing w:line="560" w:lineRule="exact"/>
        <w:ind w:firstLine="640" w:firstLineChars="200"/>
        <w:rPr>
          <w:rFonts w:ascii="仿宋_GB2312" w:hAnsi="宋体" w:eastAsia="仿宋_GB2312" w:cs="宋体"/>
          <w:kern w:val="0"/>
          <w:sz w:val="32"/>
          <w:szCs w:val="32"/>
          <w:highlight w:val="none"/>
        </w:rPr>
      </w:pPr>
    </w:p>
    <w:p>
      <w:pPr>
        <w:spacing w:line="560" w:lineRule="exact"/>
        <w:ind w:left="5438" w:leftChars="304" w:hanging="4800" w:hangingChars="15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发展和改革委员会</w:t>
      </w:r>
      <w:r>
        <w:rPr>
          <w:rFonts w:hint="eastAsia" w:ascii="仿宋_GB2312" w:hAnsi="宋体" w:eastAsia="仿宋_GB2312" w:cs="宋体"/>
          <w:kern w:val="0"/>
          <w:sz w:val="32"/>
          <w:szCs w:val="32"/>
          <w:highlight w:val="none"/>
        </w:rPr>
        <w:t xml:space="preserve">                               2022</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rPr>
        <w:t>12</w:t>
      </w:r>
      <w:r>
        <w:rPr>
          <w:rFonts w:ascii="仿宋_GB2312" w:hAnsi="宋体" w:eastAsia="仿宋_GB2312" w:cs="宋体"/>
          <w:kern w:val="0"/>
          <w:sz w:val="32"/>
          <w:szCs w:val="32"/>
          <w:highlight w:val="none"/>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PZMfdEAAAADAQAADwAAAAAAAAABACAAAAAiAAAAZHJzL2Rvd25y&#10;ZXYueG1sUEsBAhQAFAAAAAgAh07iQCR/5p3MAQAAmQMAAA4AAAAAAAAAAQAgAAAAIAEAAGRycy9l&#10;Mm9Eb2MueG1sUEsFBgAAAAAGAAYAWQEAAF4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- 55 -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PZMfdEAAAADAQAADwAAAAAAAAABACAAAAAiAAAAZHJzL2Rvd25y&#10;ZXYueG1sUEsBAhQAFAAAAAgAh07iQNQZUarMAQAAmQMAAA4AAAAAAAAAAQAgAAAAIAEAAGRycy9l&#10;Mm9Eb2MueG1sUEsFBgAAAAAGAAYAWQEAAF4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- 55 -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72</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z1NB0gAAAAMBAAAPAAAAAAAAAAEAIAAAACIAAABk&#10;cnMvZG93bnJldi54bWxQSwECFAAUAAAACACHTuJAGs7PVNMBAACkAwAADgAAAAAAAAABACAAAAAh&#10;AQAAZHJzL2Uyb0RvYy54bWxQSwUGAAAAAAYABgBZAQAAZgU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72</w:t>
                    </w:r>
                    <w:r>
                      <w:rPr>
                        <w:rFonts w:hint="eastAsia" w:ascii="宋体" w:hAnsi="宋体" w:cs="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92C31"/>
    <w:multiLevelType w:val="singleLevel"/>
    <w:tmpl w:val="8B092C31"/>
    <w:lvl w:ilvl="0" w:tentative="0">
      <w:start w:val="7"/>
      <w:numFmt w:val="decimal"/>
      <w:suff w:val="nothing"/>
      <w:lvlText w:val="%1、"/>
      <w:lvlJc w:val="left"/>
    </w:lvl>
  </w:abstractNum>
  <w:abstractNum w:abstractNumId="1">
    <w:nsid w:val="39F2F279"/>
    <w:multiLevelType w:val="singleLevel"/>
    <w:tmpl w:val="39F2F279"/>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0E7"/>
    <w:rsid w:val="00162411"/>
    <w:rsid w:val="00172A27"/>
    <w:rsid w:val="001E7280"/>
    <w:rsid w:val="002E5250"/>
    <w:rsid w:val="00307D85"/>
    <w:rsid w:val="00361C01"/>
    <w:rsid w:val="003923D8"/>
    <w:rsid w:val="004265FD"/>
    <w:rsid w:val="00432BE1"/>
    <w:rsid w:val="004574FC"/>
    <w:rsid w:val="0047118F"/>
    <w:rsid w:val="004856BB"/>
    <w:rsid w:val="004D477F"/>
    <w:rsid w:val="0059437A"/>
    <w:rsid w:val="006B0868"/>
    <w:rsid w:val="006C0FE6"/>
    <w:rsid w:val="008B047D"/>
    <w:rsid w:val="008B3514"/>
    <w:rsid w:val="0090107A"/>
    <w:rsid w:val="00944B81"/>
    <w:rsid w:val="00A105B8"/>
    <w:rsid w:val="00A20CCC"/>
    <w:rsid w:val="00AF3F7E"/>
    <w:rsid w:val="00B141E5"/>
    <w:rsid w:val="00B916DA"/>
    <w:rsid w:val="00C12D75"/>
    <w:rsid w:val="00CE4C77"/>
    <w:rsid w:val="00CE527C"/>
    <w:rsid w:val="00D511EB"/>
    <w:rsid w:val="00D85033"/>
    <w:rsid w:val="00D96176"/>
    <w:rsid w:val="00E23717"/>
    <w:rsid w:val="00E43BE5"/>
    <w:rsid w:val="00F0243E"/>
    <w:rsid w:val="00F236A4"/>
    <w:rsid w:val="00F30CFB"/>
    <w:rsid w:val="00F91EEB"/>
    <w:rsid w:val="04251C49"/>
    <w:rsid w:val="05413599"/>
    <w:rsid w:val="08517130"/>
    <w:rsid w:val="086B13D1"/>
    <w:rsid w:val="088B7AF7"/>
    <w:rsid w:val="0C60086E"/>
    <w:rsid w:val="0C915B54"/>
    <w:rsid w:val="0E4721C4"/>
    <w:rsid w:val="0E923E8D"/>
    <w:rsid w:val="0F173935"/>
    <w:rsid w:val="0F314121"/>
    <w:rsid w:val="12E848A9"/>
    <w:rsid w:val="134D3E94"/>
    <w:rsid w:val="136647E9"/>
    <w:rsid w:val="151031D2"/>
    <w:rsid w:val="164F6A53"/>
    <w:rsid w:val="17C63C9F"/>
    <w:rsid w:val="1A6527B1"/>
    <w:rsid w:val="1B1E566C"/>
    <w:rsid w:val="1BFE70D6"/>
    <w:rsid w:val="1C976984"/>
    <w:rsid w:val="1CAC2F44"/>
    <w:rsid w:val="20253BF0"/>
    <w:rsid w:val="22473E7B"/>
    <w:rsid w:val="25EF1960"/>
    <w:rsid w:val="266E18A4"/>
    <w:rsid w:val="27B5290C"/>
    <w:rsid w:val="28373F62"/>
    <w:rsid w:val="28AF4AB5"/>
    <w:rsid w:val="28E621E2"/>
    <w:rsid w:val="29464531"/>
    <w:rsid w:val="2DC55E1D"/>
    <w:rsid w:val="31214527"/>
    <w:rsid w:val="31D2228B"/>
    <w:rsid w:val="325C007E"/>
    <w:rsid w:val="329D51B0"/>
    <w:rsid w:val="367C4E0A"/>
    <w:rsid w:val="37C73764"/>
    <w:rsid w:val="38E30D09"/>
    <w:rsid w:val="391A0D38"/>
    <w:rsid w:val="397A6817"/>
    <w:rsid w:val="3D075315"/>
    <w:rsid w:val="3DB7681C"/>
    <w:rsid w:val="3F060F3F"/>
    <w:rsid w:val="3F2C112A"/>
    <w:rsid w:val="41F502C1"/>
    <w:rsid w:val="45684515"/>
    <w:rsid w:val="46C7255D"/>
    <w:rsid w:val="4712338F"/>
    <w:rsid w:val="4EED1F22"/>
    <w:rsid w:val="50F97E28"/>
    <w:rsid w:val="51F15B1E"/>
    <w:rsid w:val="53655157"/>
    <w:rsid w:val="53C90B5C"/>
    <w:rsid w:val="55FA2AAD"/>
    <w:rsid w:val="57157115"/>
    <w:rsid w:val="59BD386C"/>
    <w:rsid w:val="5BF62EC0"/>
    <w:rsid w:val="5CF00D07"/>
    <w:rsid w:val="5DDF6528"/>
    <w:rsid w:val="5EF10E0C"/>
    <w:rsid w:val="603C4357"/>
    <w:rsid w:val="62384B0B"/>
    <w:rsid w:val="641D6C4B"/>
    <w:rsid w:val="64804582"/>
    <w:rsid w:val="665F521E"/>
    <w:rsid w:val="66F35F41"/>
    <w:rsid w:val="6AAF1AF9"/>
    <w:rsid w:val="6EE02DA8"/>
    <w:rsid w:val="6F4914BF"/>
    <w:rsid w:val="71FE7034"/>
    <w:rsid w:val="74416D01"/>
    <w:rsid w:val="74693281"/>
    <w:rsid w:val="77600DD4"/>
    <w:rsid w:val="789434F9"/>
    <w:rsid w:val="78AF19AB"/>
    <w:rsid w:val="7BFA02C8"/>
    <w:rsid w:val="7C5E5ABA"/>
    <w:rsid w:val="7D431FEB"/>
    <w:rsid w:val="7D9B7B75"/>
    <w:rsid w:val="7EB60F70"/>
    <w:rsid w:val="7F60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17253</Words>
  <Characters>19901</Characters>
  <Lines>94</Lines>
  <Paragraphs>26</Paragraphs>
  <TotalTime>21</TotalTime>
  <ScaleCrop>false</ScaleCrop>
  <LinksUpToDate>false</LinksUpToDate>
  <CharactersWithSpaces>20890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2022-03-31T09:50:00Z</dcterms:created>
  <dc:creator>闫超</dc:creator>
  <cp:lastModifiedBy>Administrator</cp:lastModifiedBy>
  <cp:lastPrinted>2022-04-01T03:40:00Z</cp:lastPrinted>
  <dcterms:modified xsi:type="dcterms:W3CDTF">2022-04-19T02:42:21Z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7BE834D6EAC6468F8B1E70F3E8DFD6F1</vt:lpwstr>
  </property>
</Properties>
</file>