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昌吉回族自治州法学会2022年预算公开</w:t>
      </w: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昌吉回族自治州法学会概况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2022年昌吉回族自治州法学会预算公开表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一、昌吉回族自治州法学会收支总体情况表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二、昌吉回族自治州法学会收入总体情况表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三、昌吉回族自治州法学会支出总体情况表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2022年昌吉回族自治州法学会预算情况说明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一、关于昌吉回族自治州法学会2022年收支预算情况的总体说明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二、关于昌吉回族自治州法学会2022年收入预算情况说明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三、关于昌吉回族自治州法学会2022年支出预算情况说明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昌吉回族自治州法学会2022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昌吉回族自治州法学会2022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昌吉回族自治州法学会2022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昌吉回族自治州法学会2022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八、关于昌吉回族自治州法学会2022年一般公共预算“三公”经费预算情况说明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九、关于昌吉回族自治州法学会2022年政府性基金预算拨款情况说明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仿宋_GB2312" w:hAnsi="仿宋_GB2312" w:eastAsia="仿宋_GB2312" w:cs="仿宋_GB2312"/>
          <w:kern w:val="0"/>
          <w:sz w:val="32"/>
          <w:szCs w:val="32"/>
        </w:rPr>
        <w:t>昌吉回族自治州法学会</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480" w:lineRule="exact"/>
        <w:jc w:val="left"/>
        <w:rPr>
          <w:rFonts w:ascii="仿宋_GB2312" w:hAnsi="宋体" w:eastAsia="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sz w:val="32"/>
          <w:szCs w:val="32"/>
        </w:rPr>
        <w:t>1、负责自治州法学会的日常工作，做好召开会员代表大会、理事会、常务理事会、会长办公会议的会务工作；参与指导法学会各学科研究会的换届选举工作。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2、制定并组织实施法学会年度工作计划，组织、推动各种形式的法学研究和学术交流活动；协调法学会各专业研究会开展活动。</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3、组织会员参与自治州立法总体规划的研究和单行条例及各类规范性文件的起草、修改、咨询、论证工作；组织法学工作者、法律工作者开展调查研究，加强信息交流和传播。</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4、制定并组织实施对外法学交流计划，组织开展同国内省市区间的法学学术交流与合作。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5、组织评选自治州优秀法学人才和优秀法学成果活动。</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6、负责会员的发展、管理、联系和服务工作；指导、协调团体会员工作；反映会员和法学界、法律界的意见与要求，维护会员的合法权益。</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sz w:val="32"/>
          <w:szCs w:val="32"/>
        </w:rPr>
        <w:t>7、组织会员向社会提供法律服务，开展法制宣传和法律培训，主办法制、法学刊物，编辑法学资料及完成上级交办的其他工作任务。</w:t>
      </w:r>
      <w:r>
        <w:rPr>
          <w:rFonts w:hint="eastAsia" w:ascii="仿宋_GB2312" w:hAnsi="宋体" w:eastAsia="仿宋_GB2312" w:cs="宋体"/>
          <w:bCs/>
          <w:kern w:val="0"/>
          <w:sz w:val="32"/>
          <w:szCs w:val="32"/>
        </w:rPr>
        <w:t xml:space="preserve"> </w:t>
      </w: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540" w:lineRule="exact"/>
        <w:jc w:val="left"/>
        <w:rPr>
          <w:rFonts w:ascii="仿宋_GB2312" w:hAnsi="宋体" w:eastAsia="仿宋_GB2312" w:cs="宋体"/>
          <w:bCs/>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rPr>
        <w:t>昌吉州法学会单位无下属预算单位，下设1个科室（</w:t>
      </w:r>
      <w:r>
        <w:rPr>
          <w:rFonts w:hint="eastAsia" w:ascii="仿宋_GB2312" w:hAnsi="宋体" w:eastAsia="仿宋_GB2312" w:cs="宋体"/>
          <w:kern w:val="0"/>
          <w:sz w:val="32"/>
          <w:szCs w:val="32"/>
        </w:rPr>
        <w:t>法学会综合科）。</w:t>
      </w:r>
    </w:p>
    <w:p>
      <w:pPr>
        <w:widowControl/>
        <w:spacing w:line="54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昌吉回族自治州法学会编制数3个，实有人数2人，其中：在职2人，增加0人； 退休0人，增加0人；离休0人，增加0人。</w:t>
      </w: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编制部门（单位）：昌吉回族自治州法学会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51.74</w:t>
            </w:r>
          </w:p>
          <w:p>
            <w:pPr>
              <w:widowControl/>
              <w:spacing w:line="280" w:lineRule="exact"/>
              <w:jc w:val="right"/>
              <w:rPr>
                <w:rFonts w:hint="eastAsia" w:ascii="仿宋_GB2312" w:hAnsi="宋体" w:eastAsia="仿宋_GB2312" w:cs="宋体"/>
                <w:kern w:val="0"/>
                <w:sz w:val="18"/>
                <w:szCs w:val="18"/>
              </w:rPr>
            </w:pPr>
          </w:p>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ind w:right="90"/>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43.6</w:t>
            </w:r>
            <w:r>
              <w:rPr>
                <w:rFonts w:hint="eastAsia" w:ascii="仿宋_GB2312" w:hAnsi="宋体" w:eastAsia="仿宋_GB2312" w:cs="宋体"/>
                <w:kern w:val="0"/>
                <w:sz w:val="18"/>
                <w:szCs w:val="18"/>
                <w:lang w:val="en-US" w:eastAsia="zh-CN"/>
              </w:rPr>
              <w:t>3</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51.74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3.03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2.3</w:t>
            </w:r>
            <w:r>
              <w:rPr>
                <w:rFonts w:hint="eastAsia" w:ascii="仿宋_GB2312" w:hAnsi="宋体" w:eastAsia="仿宋_GB2312" w:cs="宋体"/>
                <w:kern w:val="0"/>
                <w:sz w:val="18"/>
                <w:szCs w:val="18"/>
                <w:lang w:val="en-US" w:eastAsia="zh-CN"/>
              </w:rPr>
              <w:t>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w:t>
            </w:r>
            <w:r>
              <w:rPr>
                <w:rFonts w:hint="eastAsia" w:ascii="仿宋_GB2312" w:hAnsi="宋体" w:eastAsia="仿宋_GB2312" w:cs="宋体"/>
                <w:kern w:val="0"/>
                <w:sz w:val="18"/>
                <w:szCs w:val="18"/>
                <w:lang w:val="en-US" w:eastAsia="zh-CN"/>
              </w:rPr>
              <w:t>0</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51.74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51.7</w:t>
            </w:r>
            <w:r>
              <w:rPr>
                <w:rFonts w:hint="eastAsia" w:ascii="仿宋_GB2312" w:hAnsi="宋体" w:eastAsia="仿宋_GB2312" w:cs="宋体"/>
                <w:kern w:val="0"/>
                <w:sz w:val="18"/>
                <w:szCs w:val="18"/>
                <w:lang w:val="en-US" w:eastAsia="zh-CN"/>
              </w:rPr>
              <w:t>4</w:t>
            </w:r>
            <w:r>
              <w:rPr>
                <w:rFonts w:hint="eastAsia" w:ascii="仿宋_GB2312" w:hAnsi="宋体" w:eastAsia="仿宋_GB2312" w:cs="宋体"/>
                <w:kern w:val="0"/>
                <w:sz w:val="18"/>
                <w:szCs w:val="18"/>
              </w:rPr>
              <w:t>　</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编制部门（单位）：昌吉回族自治州法学会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425"/>
        <w:gridCol w:w="1987"/>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43.63</w:t>
            </w:r>
          </w:p>
        </w:tc>
        <w:tc>
          <w:tcPr>
            <w:tcW w:w="8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43.63</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36</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其他共产党事务支出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43.63</w:t>
            </w:r>
          </w:p>
        </w:tc>
        <w:tc>
          <w:tcPr>
            <w:tcW w:w="8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43.63</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36</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01</w:t>
            </w:r>
          </w:p>
        </w:tc>
        <w:tc>
          <w:tcPr>
            <w:tcW w:w="19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行政运行</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23.63</w:t>
            </w:r>
          </w:p>
        </w:tc>
        <w:tc>
          <w:tcPr>
            <w:tcW w:w="8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23.63</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36</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02</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一般行政管理事务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20</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3.03</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3.03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3.03</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3.03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05</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3.03</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3.03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2.38</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2.38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2.38</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2.38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02</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事业单位医疗补助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1.8</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1.8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03</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0.57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0.57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99</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0.01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0.01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221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2.71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2.71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221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02</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2.71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2.71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221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02</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01</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3"/>
                <w:szCs w:val="13"/>
              </w:rPr>
            </w:pPr>
            <w:r>
              <w:rPr>
                <w:rFonts w:hint="eastAsia" w:ascii="仿宋_GB2312" w:hAnsi="宋体" w:eastAsia="仿宋_GB2312" w:cs="宋体"/>
                <w:color w:val="000000"/>
                <w:sz w:val="13"/>
                <w:szCs w:val="13"/>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2.71</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r>
              <w:rPr>
                <w:rFonts w:hint="eastAsia" w:ascii="宋体" w:hAnsi="宋体" w:cs="宋体"/>
                <w:b/>
                <w:bCs/>
                <w:color w:val="000000"/>
                <w:kern w:val="0"/>
                <w:sz w:val="13"/>
                <w:szCs w:val="13"/>
              </w:rPr>
              <w:t>2.71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3"/>
                <w:szCs w:val="13"/>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51.74</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51.74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 昌吉回族自治州法学会                单位：万元</w:t>
      </w:r>
    </w:p>
    <w:tbl>
      <w:tblPr>
        <w:tblStyle w:val="6"/>
        <w:tblW w:w="9420" w:type="dxa"/>
        <w:tblInd w:w="-240" w:type="dxa"/>
        <w:tblLayout w:type="fixed"/>
        <w:tblCellMar>
          <w:top w:w="0" w:type="dxa"/>
          <w:left w:w="108" w:type="dxa"/>
          <w:bottom w:w="0" w:type="dxa"/>
          <w:right w:w="108" w:type="dxa"/>
        </w:tblCellMar>
      </w:tblPr>
      <w:tblGrid>
        <w:gridCol w:w="458"/>
        <w:gridCol w:w="400"/>
        <w:gridCol w:w="400"/>
        <w:gridCol w:w="2583"/>
        <w:gridCol w:w="1844"/>
        <w:gridCol w:w="1845"/>
        <w:gridCol w:w="1890"/>
      </w:tblGrid>
      <w:tr>
        <w:tblPrEx>
          <w:tblLayout w:type="fixed"/>
          <w:tblCellMar>
            <w:top w:w="0" w:type="dxa"/>
            <w:left w:w="108" w:type="dxa"/>
            <w:bottom w:w="0" w:type="dxa"/>
            <w:right w:w="108" w:type="dxa"/>
          </w:tblCellMar>
        </w:tblPrEx>
        <w:trPr>
          <w:trHeight w:val="345" w:hRule="atLeast"/>
        </w:trPr>
        <w:tc>
          <w:tcPr>
            <w:tcW w:w="3841"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79"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4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一般公共服务支出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43.63</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36</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其他共产党事务支出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43.63</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36</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行政运行</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36</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一般行政管理事务</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社会保障和就业支出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行政事业单位养老支出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机关事业单位基本养老保险缴费支出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卫生健康支出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行政事业单位医疗</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事业单位医疗</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1.8</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1.8</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03</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公务员医疗补助</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0.57</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0.57</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99</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其他行政事业单位医疗支出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0.01</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0.01</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住房保障支出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住房改革支出</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住房公积金</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jc w:val="center"/>
              <w:rPr>
                <w:b w:val="0"/>
                <w:bCs w:val="0"/>
              </w:rPr>
            </w:pPr>
          </w:p>
        </w:tc>
        <w:tc>
          <w:tcPr>
            <w:tcW w:w="400" w:type="dxa"/>
            <w:tcBorders>
              <w:top w:val="nil"/>
              <w:left w:val="nil"/>
              <w:bottom w:val="single" w:color="auto" w:sz="4" w:space="0"/>
              <w:right w:val="single" w:color="auto" w:sz="4" w:space="0"/>
            </w:tcBorders>
            <w:vAlign w:val="center"/>
          </w:tcPr>
          <w:p>
            <w:pPr>
              <w:jc w:val="center"/>
              <w:rPr>
                <w:b w:val="0"/>
                <w:bCs w:val="0"/>
              </w:rPr>
            </w:pPr>
          </w:p>
        </w:tc>
        <w:tc>
          <w:tcPr>
            <w:tcW w:w="400" w:type="dxa"/>
            <w:tcBorders>
              <w:top w:val="nil"/>
              <w:left w:val="nil"/>
              <w:bottom w:val="single" w:color="auto" w:sz="4" w:space="0"/>
              <w:right w:val="single" w:color="auto" w:sz="4" w:space="0"/>
            </w:tcBorders>
            <w:vAlign w:val="center"/>
          </w:tcPr>
          <w:p>
            <w:pPr>
              <w:jc w:val="center"/>
              <w:rPr>
                <w:b w:val="0"/>
                <w:bCs w:val="0"/>
              </w:rPr>
            </w:pPr>
          </w:p>
        </w:tc>
        <w:tc>
          <w:tcPr>
            <w:tcW w:w="2583" w:type="dxa"/>
            <w:tcBorders>
              <w:top w:val="nil"/>
              <w:left w:val="nil"/>
              <w:bottom w:val="single" w:color="auto" w:sz="4" w:space="0"/>
              <w:right w:val="single" w:color="auto" w:sz="4" w:space="0"/>
            </w:tcBorders>
            <w:vAlign w:val="center"/>
          </w:tcPr>
          <w:p>
            <w:pPr>
              <w:jc w:val="center"/>
              <w:rPr>
                <w:b w:val="0"/>
                <w:bCs w:val="0"/>
              </w:rPr>
            </w:pP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4"/>
              </w:rPr>
            </w:pPr>
            <w:r>
              <w:rPr>
                <w:rFonts w:hint="eastAsia" w:ascii="宋体" w:hAnsi="宋体" w:cs="宋体"/>
                <w:b w:val="0"/>
                <w:bCs w:val="0"/>
                <w:color w:val="000000"/>
                <w:kern w:val="0"/>
                <w:sz w:val="24"/>
              </w:rPr>
              <w:t>　</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  计</w:t>
            </w:r>
          </w:p>
        </w:tc>
        <w:tc>
          <w:tcPr>
            <w:tcW w:w="184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51.74</w:t>
            </w:r>
          </w:p>
        </w:tc>
        <w:tc>
          <w:tcPr>
            <w:tcW w:w="184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31.74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bl>
    <w:p>
      <w:pPr>
        <w:widowControl/>
        <w:jc w:val="left"/>
        <w:textAlignment w:val="bottom"/>
        <w:rPr>
          <w:rFonts w:ascii="宋体" w:hAnsi="宋体" w:cs="宋体"/>
          <w:b w:val="0"/>
          <w:bCs w:val="0"/>
          <w:color w:val="000000"/>
          <w:kern w:val="0"/>
          <w:sz w:val="20"/>
          <w:szCs w:val="20"/>
        </w:rPr>
      </w:pPr>
    </w:p>
    <w:p>
      <w:pPr>
        <w:widowControl/>
        <w:jc w:val="left"/>
        <w:textAlignment w:val="bottom"/>
        <w:rPr>
          <w:rFonts w:ascii="宋体" w:hAnsi="宋体" w:cs="宋体"/>
          <w:b w:val="0"/>
          <w:bCs w:val="0"/>
          <w:color w:val="000000"/>
          <w:kern w:val="0"/>
          <w:sz w:val="20"/>
          <w:szCs w:val="20"/>
        </w:rPr>
      </w:pPr>
    </w:p>
    <w:p>
      <w:pPr>
        <w:widowControl/>
        <w:jc w:val="left"/>
        <w:textAlignment w:val="bottom"/>
        <w:rPr>
          <w:rFonts w:ascii="宋体" w:hAnsi="宋体" w:cs="宋体"/>
          <w:b w:val="0"/>
          <w:bCs w:val="0"/>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 昌吉回族自治州法学会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43.63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43.63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3.03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3.03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2.38</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2.38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2.71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2.71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0</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51.74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51.74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51.74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214" w:type="dxa"/>
        <w:tblInd w:w="-34" w:type="dxa"/>
        <w:tblLayout w:type="fixed"/>
        <w:tblCellMar>
          <w:top w:w="0" w:type="dxa"/>
          <w:left w:w="108" w:type="dxa"/>
          <w:bottom w:w="0" w:type="dxa"/>
          <w:right w:w="108" w:type="dxa"/>
        </w:tblCellMar>
      </w:tblPr>
      <w:tblGrid>
        <w:gridCol w:w="587"/>
        <w:gridCol w:w="491"/>
        <w:gridCol w:w="463"/>
        <w:gridCol w:w="2570"/>
        <w:gridCol w:w="142"/>
        <w:gridCol w:w="429"/>
        <w:gridCol w:w="1016"/>
        <w:gridCol w:w="215"/>
        <w:gridCol w:w="1614"/>
        <w:gridCol w:w="1687"/>
      </w:tblGrid>
      <w:tr>
        <w:tblPrEx>
          <w:tblLayout w:type="fixed"/>
          <w:tblCellMar>
            <w:top w:w="0" w:type="dxa"/>
            <w:left w:w="108" w:type="dxa"/>
            <w:bottom w:w="0" w:type="dxa"/>
            <w:right w:w="108" w:type="dxa"/>
          </w:tblCellMar>
        </w:tblPrEx>
        <w:trPr>
          <w:trHeight w:val="450" w:hRule="atLeast"/>
        </w:trPr>
        <w:tc>
          <w:tcPr>
            <w:tcW w:w="9214" w:type="dxa"/>
            <w:gridSpan w:val="10"/>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111"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15"/>
                <w:szCs w:val="15"/>
              </w:rPr>
              <w:t>昌吉回族自治州法学会</w:t>
            </w:r>
          </w:p>
        </w:tc>
        <w:tc>
          <w:tcPr>
            <w:tcW w:w="57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3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01"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253"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961"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4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71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4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2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68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71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一般公共服务支出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43.63</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36</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其他共产党事务支出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43.63</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36</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行政运行</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23.63</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36</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一般行政管理事务</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20</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社会保障和就业支出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行政事业单位养老支出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机关事业单位基本养老保险缴费支出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3.03</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卫生健康支出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行政事业单位医疗</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2.38</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事业单位医疗</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1.8</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1.8</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03</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公务员医疗补助</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0.57</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0.57</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99</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其他行政事业单位医疗支出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0.01</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0.01</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住房保障支出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住房改革支出</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6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71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住房公积金</w:t>
            </w:r>
          </w:p>
        </w:tc>
        <w:tc>
          <w:tcPr>
            <w:tcW w:w="144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829"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2.71</w:t>
            </w:r>
          </w:p>
        </w:tc>
        <w:tc>
          <w:tcPr>
            <w:tcW w:w="16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p>
        </w:tc>
        <w:tc>
          <w:tcPr>
            <w:tcW w:w="2712" w:type="dxa"/>
            <w:gridSpan w:val="2"/>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合  计</w:t>
            </w:r>
          </w:p>
        </w:tc>
        <w:tc>
          <w:tcPr>
            <w:tcW w:w="1445"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51.74</w:t>
            </w:r>
          </w:p>
        </w:tc>
        <w:tc>
          <w:tcPr>
            <w:tcW w:w="1829"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31.74</w:t>
            </w:r>
          </w:p>
        </w:tc>
        <w:tc>
          <w:tcPr>
            <w:tcW w:w="1687"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20</w:t>
            </w:r>
          </w:p>
        </w:tc>
      </w:tr>
    </w:tbl>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18"/>
                <w:szCs w:val="18"/>
              </w:rPr>
              <w:t>昌吉回族自治州法学会</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27.34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27.34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8.94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8.94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2.12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2.12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7.35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7.35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其他社会保险缴费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0.25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0.49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0.49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2.16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2.16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0.18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0.18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31.74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27.34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w:t>
            </w:r>
          </w:p>
        </w:tc>
      </w:tr>
    </w:tbl>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12"/>
        <w:gridCol w:w="522"/>
        <w:gridCol w:w="428"/>
        <w:gridCol w:w="428"/>
        <w:gridCol w:w="1346"/>
        <w:gridCol w:w="855"/>
        <w:gridCol w:w="727"/>
        <w:gridCol w:w="110"/>
        <w:gridCol w:w="446"/>
        <w:gridCol w:w="528"/>
        <w:gridCol w:w="633"/>
        <w:gridCol w:w="633"/>
        <w:gridCol w:w="378"/>
        <w:gridCol w:w="200"/>
        <w:gridCol w:w="417"/>
        <w:gridCol w:w="578"/>
        <w:gridCol w:w="418"/>
        <w:gridCol w:w="418"/>
        <w:gridCol w:w="386"/>
        <w:gridCol w:w="77"/>
      </w:tblGrid>
      <w:tr>
        <w:tblPrEx>
          <w:tblLayout w:type="fixed"/>
          <w:tblCellMar>
            <w:top w:w="0" w:type="dxa"/>
            <w:left w:w="108" w:type="dxa"/>
            <w:bottom w:w="0" w:type="dxa"/>
            <w:right w:w="108" w:type="dxa"/>
          </w:tblCellMar>
        </w:tblPrEx>
        <w:trPr>
          <w:gridBefore w:val="1"/>
          <w:gridAfter w:val="1"/>
          <w:wBefore w:w="12" w:type="dxa"/>
          <w:wAfter w:w="77" w:type="dxa"/>
          <w:trHeight w:val="375" w:hRule="atLeast"/>
        </w:trPr>
        <w:tc>
          <w:tcPr>
            <w:tcW w:w="9451"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2" w:type="dxa"/>
          <w:wAfter w:w="77" w:type="dxa"/>
          <w:trHeight w:val="405" w:hRule="atLeast"/>
        </w:trPr>
        <w:tc>
          <w:tcPr>
            <w:tcW w:w="4416"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18"/>
                <w:szCs w:val="18"/>
              </w:rPr>
              <w:t>昌吉回族自治州法学会</w:t>
            </w:r>
          </w:p>
        </w:tc>
        <w:tc>
          <w:tcPr>
            <w:tcW w:w="974"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4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17"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9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34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85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2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2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3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3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3"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4"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8"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8"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346"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85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6"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2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3"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201</w:t>
            </w:r>
          </w:p>
        </w:tc>
        <w:tc>
          <w:tcPr>
            <w:tcW w:w="428" w:type="dxa"/>
            <w:vAlign w:val="center"/>
          </w:tcPr>
          <w:p>
            <w:pPr>
              <w:widowControl/>
              <w:jc w:val="center"/>
              <w:outlineLvl w:val="1"/>
              <w:rPr>
                <w:rFonts w:ascii="仿宋_GB2312" w:hAnsi="宋体" w:eastAsia="仿宋_GB2312"/>
                <w:kern w:val="0"/>
                <w:sz w:val="13"/>
                <w:szCs w:val="13"/>
              </w:rPr>
            </w:pPr>
          </w:p>
        </w:tc>
        <w:tc>
          <w:tcPr>
            <w:tcW w:w="428" w:type="dxa"/>
            <w:vAlign w:val="center"/>
          </w:tcPr>
          <w:p>
            <w:pPr>
              <w:widowControl/>
              <w:jc w:val="center"/>
              <w:outlineLvl w:val="1"/>
              <w:rPr>
                <w:rFonts w:ascii="仿宋_GB2312" w:hAnsi="宋体" w:eastAsia="仿宋_GB2312"/>
                <w:kern w:val="0"/>
                <w:sz w:val="13"/>
                <w:szCs w:val="13"/>
              </w:rPr>
            </w:pPr>
          </w:p>
        </w:tc>
        <w:tc>
          <w:tcPr>
            <w:tcW w:w="1346"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一般公共服务支出</w:t>
            </w:r>
          </w:p>
        </w:tc>
        <w:tc>
          <w:tcPr>
            <w:tcW w:w="855" w:type="dxa"/>
            <w:vAlign w:val="center"/>
          </w:tcPr>
          <w:p>
            <w:pPr>
              <w:widowControl/>
              <w:jc w:val="center"/>
              <w:outlineLvl w:val="1"/>
              <w:rPr>
                <w:rFonts w:ascii="仿宋_GB2312" w:hAnsi="宋体" w:eastAsia="仿宋_GB2312"/>
                <w:kern w:val="0"/>
                <w:sz w:val="13"/>
                <w:szCs w:val="13"/>
              </w:rPr>
            </w:pPr>
          </w:p>
        </w:tc>
        <w:tc>
          <w:tcPr>
            <w:tcW w:w="727" w:type="dxa"/>
            <w:vAlign w:val="center"/>
          </w:tcPr>
          <w:p>
            <w:pPr>
              <w:widowControl/>
              <w:jc w:val="center"/>
              <w:outlineLvl w:val="1"/>
              <w:rPr>
                <w:rFonts w:ascii="仿宋_GB2312" w:hAnsi="宋体" w:eastAsia="仿宋_GB2312"/>
                <w:kern w:val="0"/>
                <w:sz w:val="13"/>
                <w:szCs w:val="13"/>
              </w:rPr>
            </w:pPr>
          </w:p>
        </w:tc>
        <w:tc>
          <w:tcPr>
            <w:tcW w:w="556" w:type="dxa"/>
            <w:gridSpan w:val="2"/>
            <w:vAlign w:val="center"/>
          </w:tcPr>
          <w:p>
            <w:pPr>
              <w:widowControl/>
              <w:jc w:val="center"/>
              <w:outlineLvl w:val="1"/>
              <w:rPr>
                <w:rFonts w:ascii="仿宋_GB2312" w:hAnsi="宋体" w:eastAsia="仿宋_GB2312"/>
                <w:kern w:val="0"/>
                <w:sz w:val="13"/>
                <w:szCs w:val="13"/>
              </w:rPr>
            </w:pPr>
          </w:p>
        </w:tc>
        <w:tc>
          <w:tcPr>
            <w:tcW w:w="528" w:type="dxa"/>
            <w:vAlign w:val="center"/>
          </w:tcPr>
          <w:p>
            <w:pPr>
              <w:widowControl/>
              <w:jc w:val="center"/>
              <w:outlineLvl w:val="1"/>
              <w:rPr>
                <w:rFonts w:ascii="仿宋_GB2312" w:hAnsi="宋体" w:eastAsia="仿宋_GB2312"/>
                <w:kern w:val="0"/>
                <w:sz w:val="13"/>
                <w:szCs w:val="13"/>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201</w:t>
            </w:r>
          </w:p>
        </w:tc>
        <w:tc>
          <w:tcPr>
            <w:tcW w:w="428"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36</w:t>
            </w:r>
          </w:p>
        </w:tc>
        <w:tc>
          <w:tcPr>
            <w:tcW w:w="428" w:type="dxa"/>
            <w:vAlign w:val="center"/>
          </w:tcPr>
          <w:p>
            <w:pPr>
              <w:widowControl/>
              <w:jc w:val="center"/>
              <w:outlineLvl w:val="1"/>
              <w:rPr>
                <w:rFonts w:ascii="仿宋_GB2312" w:hAnsi="宋体" w:eastAsia="仿宋_GB2312"/>
                <w:kern w:val="0"/>
                <w:sz w:val="13"/>
                <w:szCs w:val="13"/>
              </w:rPr>
            </w:pPr>
          </w:p>
        </w:tc>
        <w:tc>
          <w:tcPr>
            <w:tcW w:w="1346"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其他共产党事务支出</w:t>
            </w:r>
          </w:p>
        </w:tc>
        <w:tc>
          <w:tcPr>
            <w:tcW w:w="855" w:type="dxa"/>
          </w:tcPr>
          <w:p>
            <w:pPr>
              <w:widowControl/>
              <w:jc w:val="center"/>
              <w:outlineLvl w:val="1"/>
              <w:rPr>
                <w:rFonts w:ascii="仿宋_GB2312" w:hAnsi="宋体" w:eastAsia="仿宋_GB2312"/>
                <w:kern w:val="0"/>
                <w:sz w:val="32"/>
                <w:szCs w:val="32"/>
              </w:rPr>
            </w:pPr>
          </w:p>
        </w:tc>
        <w:tc>
          <w:tcPr>
            <w:tcW w:w="727" w:type="dxa"/>
          </w:tcPr>
          <w:p>
            <w:pPr>
              <w:widowControl/>
              <w:jc w:val="right"/>
              <w:outlineLvl w:val="1"/>
              <w:rPr>
                <w:rFonts w:ascii="仿宋_GB2312" w:hAnsi="宋体" w:eastAsia="仿宋_GB2312"/>
                <w:kern w:val="0"/>
                <w:sz w:val="32"/>
                <w:szCs w:val="32"/>
              </w:rPr>
            </w:pPr>
          </w:p>
        </w:tc>
        <w:tc>
          <w:tcPr>
            <w:tcW w:w="556"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201</w:t>
            </w:r>
          </w:p>
        </w:tc>
        <w:tc>
          <w:tcPr>
            <w:tcW w:w="428"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36</w:t>
            </w:r>
          </w:p>
        </w:tc>
        <w:tc>
          <w:tcPr>
            <w:tcW w:w="428"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02</w:t>
            </w:r>
          </w:p>
        </w:tc>
        <w:tc>
          <w:tcPr>
            <w:tcW w:w="1346"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一般行政管理事务</w:t>
            </w:r>
          </w:p>
        </w:tc>
        <w:tc>
          <w:tcPr>
            <w:tcW w:w="855"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州法学会业务经费</w:t>
            </w:r>
          </w:p>
        </w:tc>
        <w:tc>
          <w:tcPr>
            <w:tcW w:w="727"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w:t>
            </w:r>
          </w:p>
        </w:tc>
        <w:tc>
          <w:tcPr>
            <w:tcW w:w="556" w:type="dxa"/>
            <w:gridSpan w:val="2"/>
            <w:vAlign w:val="center"/>
          </w:tcPr>
          <w:p>
            <w:pPr>
              <w:widowControl/>
              <w:jc w:val="center"/>
              <w:outlineLvl w:val="1"/>
              <w:rPr>
                <w:rFonts w:ascii="仿宋_GB2312" w:hAnsi="宋体" w:eastAsia="仿宋_GB2312"/>
                <w:kern w:val="0"/>
                <w:sz w:val="13"/>
                <w:szCs w:val="13"/>
              </w:rPr>
            </w:pPr>
          </w:p>
        </w:tc>
        <w:tc>
          <w:tcPr>
            <w:tcW w:w="528"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w:t>
            </w: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vAlign w:val="center"/>
          </w:tcPr>
          <w:p>
            <w:pPr>
              <w:widowControl/>
              <w:spacing w:line="280" w:lineRule="exact"/>
              <w:jc w:val="center"/>
              <w:rPr>
                <w:rFonts w:ascii="宋体" w:hAnsi="宋体" w:cs="宋体"/>
                <w:b/>
                <w:bCs/>
                <w:color w:val="000000"/>
                <w:kern w:val="0"/>
                <w:sz w:val="16"/>
                <w:szCs w:val="16"/>
              </w:rPr>
            </w:pPr>
          </w:p>
        </w:tc>
        <w:tc>
          <w:tcPr>
            <w:tcW w:w="428" w:type="dxa"/>
            <w:vAlign w:val="center"/>
          </w:tcPr>
          <w:p>
            <w:pPr>
              <w:widowControl/>
              <w:spacing w:line="280" w:lineRule="exact"/>
              <w:jc w:val="center"/>
              <w:rPr>
                <w:rFonts w:ascii="宋体" w:hAnsi="宋体" w:cs="宋体"/>
                <w:b/>
                <w:bCs/>
                <w:color w:val="000000"/>
                <w:kern w:val="0"/>
                <w:sz w:val="16"/>
                <w:szCs w:val="16"/>
              </w:rPr>
            </w:pPr>
          </w:p>
        </w:tc>
        <w:tc>
          <w:tcPr>
            <w:tcW w:w="428" w:type="dxa"/>
            <w:vAlign w:val="center"/>
          </w:tcPr>
          <w:p>
            <w:pPr>
              <w:widowControl/>
              <w:spacing w:line="280" w:lineRule="exact"/>
              <w:jc w:val="center"/>
              <w:rPr>
                <w:rFonts w:ascii="宋体" w:hAnsi="宋体" w:cs="宋体"/>
                <w:b/>
                <w:bCs/>
                <w:color w:val="000000"/>
                <w:kern w:val="0"/>
                <w:sz w:val="16"/>
                <w:szCs w:val="16"/>
              </w:rPr>
            </w:pPr>
          </w:p>
        </w:tc>
        <w:tc>
          <w:tcPr>
            <w:tcW w:w="1346" w:type="dxa"/>
            <w:vAlign w:val="center"/>
          </w:tcPr>
          <w:p>
            <w:pPr>
              <w:widowControl/>
              <w:spacing w:line="280" w:lineRule="exact"/>
              <w:jc w:val="center"/>
              <w:rPr>
                <w:rFonts w:ascii="宋体" w:hAnsi="宋体" w:cs="宋体"/>
                <w:b/>
                <w:bCs/>
                <w:color w:val="000000"/>
                <w:kern w:val="0"/>
                <w:sz w:val="22"/>
                <w:szCs w:val="22"/>
              </w:rPr>
            </w:pPr>
          </w:p>
        </w:tc>
        <w:tc>
          <w:tcPr>
            <w:tcW w:w="855" w:type="dxa"/>
          </w:tcPr>
          <w:p>
            <w:pPr>
              <w:widowControl/>
              <w:jc w:val="center"/>
              <w:outlineLvl w:val="1"/>
              <w:rPr>
                <w:rFonts w:ascii="仿宋_GB2312" w:hAnsi="宋体" w:eastAsia="仿宋_GB2312"/>
                <w:kern w:val="0"/>
                <w:sz w:val="32"/>
                <w:szCs w:val="32"/>
              </w:rPr>
            </w:pPr>
          </w:p>
        </w:tc>
        <w:tc>
          <w:tcPr>
            <w:tcW w:w="727" w:type="dxa"/>
          </w:tcPr>
          <w:p>
            <w:pPr>
              <w:widowControl/>
              <w:jc w:val="right"/>
              <w:outlineLvl w:val="1"/>
              <w:rPr>
                <w:rFonts w:ascii="仿宋_GB2312" w:hAnsi="宋体" w:eastAsia="仿宋_GB2312"/>
                <w:kern w:val="0"/>
                <w:sz w:val="32"/>
                <w:szCs w:val="32"/>
              </w:rPr>
            </w:pPr>
          </w:p>
        </w:tc>
        <w:tc>
          <w:tcPr>
            <w:tcW w:w="556"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1346"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7" w:type="dxa"/>
          </w:tcPr>
          <w:p>
            <w:pPr>
              <w:widowControl/>
              <w:jc w:val="right"/>
              <w:outlineLvl w:val="1"/>
              <w:rPr>
                <w:rFonts w:ascii="仿宋_GB2312" w:hAnsi="宋体" w:eastAsia="仿宋_GB2312"/>
                <w:kern w:val="0"/>
                <w:sz w:val="32"/>
                <w:szCs w:val="32"/>
              </w:rPr>
            </w:pPr>
          </w:p>
        </w:tc>
        <w:tc>
          <w:tcPr>
            <w:tcW w:w="556"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1346"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7" w:type="dxa"/>
          </w:tcPr>
          <w:p>
            <w:pPr>
              <w:widowControl/>
              <w:jc w:val="right"/>
              <w:outlineLvl w:val="1"/>
              <w:rPr>
                <w:rFonts w:ascii="仿宋_GB2312" w:hAnsi="宋体" w:eastAsia="仿宋_GB2312"/>
                <w:kern w:val="0"/>
                <w:sz w:val="32"/>
                <w:szCs w:val="32"/>
              </w:rPr>
            </w:pPr>
          </w:p>
        </w:tc>
        <w:tc>
          <w:tcPr>
            <w:tcW w:w="556"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1346"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7" w:type="dxa"/>
          </w:tcPr>
          <w:p>
            <w:pPr>
              <w:widowControl/>
              <w:jc w:val="right"/>
              <w:outlineLvl w:val="1"/>
              <w:rPr>
                <w:rFonts w:ascii="仿宋_GB2312" w:hAnsi="宋体" w:eastAsia="仿宋_GB2312"/>
                <w:kern w:val="0"/>
                <w:sz w:val="32"/>
                <w:szCs w:val="32"/>
              </w:rPr>
            </w:pPr>
          </w:p>
        </w:tc>
        <w:tc>
          <w:tcPr>
            <w:tcW w:w="556"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1346" w:type="dxa"/>
          </w:tcPr>
          <w:p>
            <w:pPr>
              <w:widowControl/>
              <w:jc w:val="center"/>
              <w:outlineLvl w:val="1"/>
              <w:rPr>
                <w:rFonts w:ascii="仿宋_GB2312" w:hAnsi="宋体" w:eastAsia="仿宋_GB2312"/>
                <w:kern w:val="0"/>
                <w:sz w:val="32"/>
                <w:szCs w:val="32"/>
              </w:rPr>
            </w:pPr>
          </w:p>
        </w:tc>
        <w:tc>
          <w:tcPr>
            <w:tcW w:w="855" w:type="dxa"/>
          </w:tcPr>
          <w:p>
            <w:pPr>
              <w:widowControl/>
              <w:jc w:val="center"/>
              <w:outlineLvl w:val="1"/>
              <w:rPr>
                <w:rFonts w:ascii="仿宋_GB2312" w:hAnsi="宋体" w:eastAsia="仿宋_GB2312"/>
                <w:kern w:val="0"/>
                <w:sz w:val="32"/>
                <w:szCs w:val="32"/>
              </w:rPr>
            </w:pPr>
          </w:p>
        </w:tc>
        <w:tc>
          <w:tcPr>
            <w:tcW w:w="727" w:type="dxa"/>
          </w:tcPr>
          <w:p>
            <w:pPr>
              <w:widowControl/>
              <w:jc w:val="right"/>
              <w:outlineLvl w:val="1"/>
              <w:rPr>
                <w:rFonts w:ascii="仿宋_GB2312" w:hAnsi="宋体" w:eastAsia="仿宋_GB2312"/>
                <w:kern w:val="0"/>
                <w:sz w:val="32"/>
                <w:szCs w:val="32"/>
              </w:rPr>
            </w:pPr>
          </w:p>
        </w:tc>
        <w:tc>
          <w:tcPr>
            <w:tcW w:w="556"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4" w:type="dxa"/>
            <w:gridSpan w:val="2"/>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428" w:type="dxa"/>
          </w:tcPr>
          <w:p>
            <w:pPr>
              <w:widowControl/>
              <w:jc w:val="center"/>
              <w:outlineLvl w:val="1"/>
              <w:rPr>
                <w:rFonts w:ascii="仿宋_GB2312" w:hAnsi="宋体" w:eastAsia="仿宋_GB2312"/>
                <w:kern w:val="0"/>
                <w:sz w:val="32"/>
                <w:szCs w:val="32"/>
              </w:rPr>
            </w:pPr>
          </w:p>
        </w:tc>
        <w:tc>
          <w:tcPr>
            <w:tcW w:w="1346" w:type="dxa"/>
          </w:tcPr>
          <w:p>
            <w:pPr>
              <w:widowControl/>
              <w:jc w:val="center"/>
              <w:outlineLvl w:val="1"/>
              <w:rPr>
                <w:rFonts w:ascii="仿宋_GB2312" w:hAnsi="宋体" w:eastAsia="仿宋_GB2312"/>
                <w:kern w:val="0"/>
                <w:sz w:val="32"/>
                <w:szCs w:val="32"/>
              </w:rPr>
            </w:pPr>
          </w:p>
        </w:tc>
        <w:tc>
          <w:tcPr>
            <w:tcW w:w="85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2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556" w:type="dxa"/>
            <w:gridSpan w:val="2"/>
            <w:vAlign w:val="center"/>
          </w:tcPr>
          <w:p>
            <w:pPr>
              <w:widowControl/>
              <w:jc w:val="center"/>
              <w:outlineLvl w:val="1"/>
              <w:rPr>
                <w:rFonts w:ascii="仿宋_GB2312" w:hAnsi="宋体" w:eastAsia="仿宋_GB2312"/>
                <w:kern w:val="0"/>
                <w:sz w:val="18"/>
                <w:szCs w:val="18"/>
              </w:rPr>
            </w:pPr>
          </w:p>
        </w:tc>
        <w:tc>
          <w:tcPr>
            <w:tcW w:w="528"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33" w:type="dxa"/>
          </w:tcPr>
          <w:p>
            <w:pPr>
              <w:widowControl/>
              <w:jc w:val="right"/>
              <w:outlineLvl w:val="1"/>
              <w:rPr>
                <w:rFonts w:ascii="仿宋_GB2312" w:hAnsi="宋体" w:eastAsia="仿宋_GB2312"/>
                <w:kern w:val="0"/>
                <w:sz w:val="32"/>
                <w:szCs w:val="32"/>
              </w:rPr>
            </w:pPr>
          </w:p>
        </w:tc>
        <w:tc>
          <w:tcPr>
            <w:tcW w:w="633"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7"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3"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18"/>
          <w:szCs w:val="18"/>
        </w:rPr>
        <w:t xml:space="preserve">昌吉回族自治州法学会  </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2.23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0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2.23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0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2.16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0.07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18"/>
          <w:szCs w:val="18"/>
        </w:rPr>
        <w:t>昌吉回族自治州法学会</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0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0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0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备注：我单位无政府性基金预算安排。</w:t>
      </w:r>
      <w:r>
        <w:rPr>
          <w:rFonts w:hint="eastAsia" w:ascii="仿宋_GB2312" w:hAnsi="宋体" w:eastAsia="仿宋_GB2312"/>
          <w:b/>
          <w:kern w:val="0"/>
          <w:sz w:val="28"/>
          <w:szCs w:val="32"/>
          <w:lang w:eastAsia="zh-CN"/>
        </w:rPr>
        <w:t>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2022年昌吉回族自治州法学会预算情况说明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一、关于昌吉回族自治州法学会2022年收支预算情况的总体说明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按照全口径预算的原则，昌吉回族自治州法学会2022年所有收入和支出均纳入部门（单位）预算管理。收支总预算51.74317万元。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收入预算包括：一般公共预算51.74317万元。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支出预算包括：一般公共服务支出43.627004万元、社会保障和就业支出3.030979万元、医疗卫生健康支出2.379953万元、住房保障支出2.705234万元。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二、关于昌吉回族自治州法学会2022年收入预算情况说明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昌吉回族自治州法学会收入预算51.74万元，其中：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51.74万元，占100%，比上年预算增加1.76万元，增长3.52%，主要原因是根据编制性质下达基本支出经费指标，故经费有所增加（上年度在职人员为行政事业编制各一名，其中六级管理岗位1人、科员1人。本年度编制均为事业编2人，其中六级管理岗位1人，八级管理岗位1人）。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三、关于昌吉回族自治州法学会2022年支出预算情况说明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昌吉回族自治州法学会2022年支出预算51.74元，其中：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基本支出31.74万元，占61.35%，比上年预算增加1.76万元，增长5.87%，主要原因是根据编制性质下达基本支出经费指标，故经费有所增加（上年度在职人员为行政事业编制各一名，本年度编制均为事业编）。</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项目支出20万元，占38.65%，比上年预算增加0万元，增长0%，主要原因是当前申请的经费已满足目前法学会的业务工作需要。</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四、关于昌吉回族自治州法学会2022年财政拨款收支预算情况的总体说明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2022年财政拨款收支总预算51.74万元。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收入预算包括：一般公共预算拨款51.74万元。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43.63万元，主要用于干部工资福利支出、工作需要项目经费；社会保障和就业支出3.03万元、卫生健康支出2.38万元、主要用于干部社保缴纳；住房保障支出2.71万元，主要用于干部住房公积金缴纳。</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关于昌吉回族自治州法学会2022年一般公共预算当年拨款情况说明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昌吉回族自治州法学会2022年一般公共预算拨款合计</w:t>
      </w:r>
      <w:r>
        <w:rPr>
          <w:rFonts w:hint="eastAsia" w:ascii="仿宋_GB2312" w:hAnsi="宋体" w:eastAsia="仿宋_GB2312" w:cs="宋体"/>
          <w:kern w:val="0"/>
          <w:sz w:val="32"/>
          <w:szCs w:val="32"/>
        </w:rPr>
        <w:t>51.74</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31.74</w:t>
      </w:r>
      <w:r>
        <w:rPr>
          <w:rFonts w:hint="eastAsia" w:ascii="仿宋_GB2312" w:hAnsi="仿宋_GB2312" w:eastAsia="仿宋_GB2312" w:cs="仿宋_GB2312"/>
          <w:kern w:val="0"/>
          <w:sz w:val="32"/>
          <w:szCs w:val="32"/>
        </w:rPr>
        <w:t>万元，比上年预算增加1.76万元，增长5.87%。主要原因是：</w:t>
      </w:r>
      <w:r>
        <w:rPr>
          <w:rFonts w:hint="eastAsia" w:ascii="仿宋_GB2312" w:hAnsi="宋体" w:eastAsia="仿宋_GB2312" w:cs="宋体"/>
          <w:kern w:val="0"/>
          <w:sz w:val="32"/>
          <w:szCs w:val="32"/>
        </w:rPr>
        <w:t>主要原因是根据编制性质下达基本支出经费指标，故经费有所增加（上年度在职人员为行政事业编制各一名，本年度编制均为事业编）</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rPr>
        <w:t>20</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0</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rPr>
        <w:t>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当前申请的经费已满足目前法学会的业务工作需要。</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1.一般公共服务支出</w:t>
      </w:r>
      <w:r>
        <w:rPr>
          <w:rFonts w:hint="eastAsia" w:ascii="仿宋_GB2312" w:hAnsi="宋体" w:eastAsia="仿宋_GB2312" w:cs="宋体"/>
          <w:kern w:val="0"/>
          <w:sz w:val="32"/>
          <w:szCs w:val="32"/>
        </w:rPr>
        <w:t>43.63</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rPr>
        <w:t>84.33</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2.社会保障和就业支出3.03万元，占5.85%。</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3.卫生健康支出2.37万元，占4.58%。</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4.保障住房支出2.71万元，占5.24%。</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1.一般公共服务（类）其他共产党事务支出（款）行政运行（项）:2022年预算数为</w:t>
      </w:r>
      <w:r>
        <w:rPr>
          <w:rFonts w:hint="eastAsia" w:ascii="仿宋_GB2312" w:hAnsi="宋体" w:eastAsia="仿宋_GB2312" w:cs="宋体"/>
          <w:kern w:val="0"/>
          <w:sz w:val="32"/>
          <w:szCs w:val="32"/>
        </w:rPr>
        <w:t>23.63</w:t>
      </w:r>
      <w:r>
        <w:rPr>
          <w:rFonts w:hint="eastAsia" w:ascii="仿宋_GB2312" w:hAnsi="仿宋_GB2312" w:eastAsia="仿宋_GB2312" w:cs="仿宋_GB2312"/>
          <w:kern w:val="0"/>
          <w:sz w:val="32"/>
          <w:szCs w:val="32"/>
        </w:rPr>
        <w:t>万元，比上年预算减少1.68万元，下降6.32%，主要原因是：</w:t>
      </w:r>
      <w:r>
        <w:rPr>
          <w:rFonts w:hint="eastAsia" w:ascii="仿宋_GB2312" w:hAnsi="宋体" w:eastAsia="仿宋_GB2312" w:cs="宋体"/>
          <w:kern w:val="0"/>
          <w:sz w:val="32"/>
          <w:szCs w:val="32"/>
        </w:rPr>
        <w:t>本年度伙食补助费取消。</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2. 社会保障和就业支出（类）行政事业单位养老支出（款）机关事业单位基本养老保险缴费支出（项）:2022年预算数为</w:t>
      </w:r>
      <w:r>
        <w:rPr>
          <w:rFonts w:hint="eastAsia" w:ascii="仿宋_GB2312" w:hAnsi="宋体" w:eastAsia="仿宋_GB2312" w:cs="宋体"/>
          <w:kern w:val="0"/>
          <w:sz w:val="32"/>
          <w:szCs w:val="32"/>
        </w:rPr>
        <w:t>3.03</w:t>
      </w:r>
      <w:r>
        <w:rPr>
          <w:rFonts w:hint="eastAsia" w:ascii="仿宋_GB2312" w:hAnsi="仿宋_GB2312" w:eastAsia="仿宋_GB2312" w:cs="仿宋_GB2312"/>
          <w:kern w:val="0"/>
          <w:sz w:val="32"/>
          <w:szCs w:val="32"/>
        </w:rPr>
        <w:t>万元，比上年预算增加0.43万元，增长16.54%，主要原因是：2021年度行政事业编制干部调资，</w:t>
      </w:r>
      <w:r>
        <w:rPr>
          <w:rFonts w:hint="eastAsia" w:ascii="仿宋_GB2312" w:hAnsi="宋体" w:eastAsia="仿宋_GB2312" w:cs="宋体"/>
          <w:kern w:val="0"/>
          <w:sz w:val="32"/>
          <w:szCs w:val="32"/>
        </w:rPr>
        <w:t>机关事业单位基本养老保险基数上调，故</w:t>
      </w:r>
      <w:r>
        <w:rPr>
          <w:rFonts w:hint="eastAsia" w:ascii="仿宋_GB2312" w:hAnsi="仿宋_GB2312" w:eastAsia="仿宋_GB2312" w:cs="仿宋_GB2312"/>
          <w:kern w:val="0"/>
          <w:sz w:val="32"/>
          <w:szCs w:val="32"/>
        </w:rPr>
        <w:t>机关事业单位基本养老保险缴费预算数增加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3. 卫生健康支出（类）行政事业单位医疗（款）事业单位医疗（项）:2022年预算数为</w:t>
      </w:r>
      <w:r>
        <w:rPr>
          <w:rFonts w:hint="eastAsia" w:ascii="仿宋_GB2312" w:hAnsi="宋体" w:eastAsia="仿宋_GB2312" w:cs="宋体"/>
          <w:kern w:val="0"/>
          <w:sz w:val="32"/>
          <w:szCs w:val="32"/>
        </w:rPr>
        <w:t>1.8</w:t>
      </w:r>
      <w:r>
        <w:rPr>
          <w:rFonts w:hint="eastAsia" w:ascii="仿宋_GB2312" w:hAnsi="仿宋_GB2312" w:eastAsia="仿宋_GB2312" w:cs="仿宋_GB2312"/>
          <w:kern w:val="0"/>
          <w:sz w:val="32"/>
          <w:szCs w:val="32"/>
        </w:rPr>
        <w:t>万元，比上年预算增加0.26万元，增长16.88%，主要原因是：2021年度行政事业编制干部调资，事业单位医疗基数上调</w:t>
      </w:r>
      <w:r>
        <w:rPr>
          <w:rFonts w:hint="eastAsia" w:ascii="仿宋_GB2312" w:hAnsi="宋体" w:eastAsia="仿宋_GB2312" w:cs="宋体"/>
          <w:kern w:val="0"/>
          <w:sz w:val="32"/>
          <w:szCs w:val="32"/>
        </w:rPr>
        <w:t>，故</w:t>
      </w:r>
      <w:r>
        <w:rPr>
          <w:rFonts w:hint="eastAsia" w:ascii="仿宋_GB2312" w:hAnsi="仿宋_GB2312" w:eastAsia="仿宋_GB2312" w:cs="仿宋_GB2312"/>
          <w:kern w:val="0"/>
          <w:sz w:val="32"/>
          <w:szCs w:val="32"/>
        </w:rPr>
        <w:t>事业单位医疗预算数增加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hint="eastAsia" w:ascii="仿宋_GB2312" w:hAnsi="仿宋_GB2312" w:eastAsia="仿宋_GB2312" w:cs="仿宋_GB2312"/>
          <w:kern w:val="0"/>
          <w:sz w:val="32"/>
          <w:szCs w:val="32"/>
        </w:rPr>
        <w:t xml:space="preserve"> 卫生健康支出（类）行政事业单位医疗（款）公务员医疗补助（项）:2022年预算数为</w:t>
      </w:r>
      <w:r>
        <w:rPr>
          <w:rFonts w:hint="eastAsia" w:ascii="仿宋_GB2312" w:hAnsi="宋体" w:eastAsia="仿宋_GB2312" w:cs="宋体"/>
          <w:kern w:val="0"/>
          <w:sz w:val="32"/>
          <w:szCs w:val="32"/>
        </w:rPr>
        <w:t>0.57</w:t>
      </w:r>
      <w:r>
        <w:rPr>
          <w:rFonts w:hint="eastAsia" w:ascii="仿宋_GB2312" w:hAnsi="仿宋_GB2312" w:eastAsia="仿宋_GB2312" w:cs="仿宋_GB2312"/>
          <w:kern w:val="0"/>
          <w:sz w:val="32"/>
          <w:szCs w:val="32"/>
        </w:rPr>
        <w:t>万元，比上年预算增加0.08万元，增长16.33%，主要原因是：2021年度行政事业编制干部调资，公务员医疗补助基数上调</w:t>
      </w:r>
      <w:r>
        <w:rPr>
          <w:rFonts w:hint="eastAsia" w:ascii="仿宋_GB2312" w:hAnsi="宋体" w:eastAsia="仿宋_GB2312" w:cs="宋体"/>
          <w:kern w:val="0"/>
          <w:sz w:val="32"/>
          <w:szCs w:val="32"/>
        </w:rPr>
        <w:t>，故</w:t>
      </w:r>
      <w:r>
        <w:rPr>
          <w:rFonts w:hint="eastAsia" w:ascii="仿宋_GB2312" w:hAnsi="仿宋_GB2312" w:eastAsia="仿宋_GB2312" w:cs="仿宋_GB2312"/>
          <w:kern w:val="0"/>
          <w:sz w:val="32"/>
          <w:szCs w:val="32"/>
        </w:rPr>
        <w:t>公务员医疗补助预算数增加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hAnsi="仿宋_GB2312" w:eastAsia="仿宋_GB2312" w:cs="仿宋_GB2312"/>
          <w:kern w:val="0"/>
          <w:sz w:val="32"/>
          <w:szCs w:val="32"/>
        </w:rPr>
        <w:t xml:space="preserve"> 卫生健康支出（类）行政事业单位医疗（款）其他行政事业单位医疗支出（项）:2022年预算数为</w:t>
      </w:r>
      <w:r>
        <w:rPr>
          <w:rFonts w:hint="eastAsia" w:ascii="仿宋_GB2312" w:hAnsi="宋体" w:eastAsia="仿宋_GB2312" w:cs="宋体"/>
          <w:kern w:val="0"/>
          <w:sz w:val="32"/>
          <w:szCs w:val="32"/>
        </w:rPr>
        <w:t>0.01</w:t>
      </w:r>
      <w:r>
        <w:rPr>
          <w:rFonts w:hint="eastAsia" w:ascii="仿宋_GB2312" w:hAnsi="仿宋_GB2312" w:eastAsia="仿宋_GB2312" w:cs="仿宋_GB2312"/>
          <w:kern w:val="0"/>
          <w:sz w:val="32"/>
          <w:szCs w:val="32"/>
        </w:rPr>
        <w:t>万元，比上年预算减少0.03万元，下降75</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根据政策缴费比率有差异，故本年度经费较上年有所减少。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hint="eastAsia" w:ascii="仿宋_GB2312" w:hAnsi="仿宋_GB2312" w:eastAsia="仿宋_GB2312" w:cs="仿宋_GB2312"/>
          <w:kern w:val="0"/>
          <w:sz w:val="32"/>
          <w:szCs w:val="32"/>
        </w:rPr>
        <w:t xml:space="preserve"> 住房保障支出（类）住房改革支出（款）住房公积金（项）:2022年预算数为</w:t>
      </w:r>
      <w:r>
        <w:rPr>
          <w:rFonts w:hint="eastAsia" w:ascii="仿宋_GB2312" w:hAnsi="宋体" w:eastAsia="仿宋_GB2312" w:cs="宋体"/>
          <w:kern w:val="0"/>
          <w:sz w:val="32"/>
          <w:szCs w:val="32"/>
        </w:rPr>
        <w:t>2.71</w:t>
      </w:r>
      <w:r>
        <w:rPr>
          <w:rFonts w:hint="eastAsia" w:ascii="仿宋_GB2312" w:hAnsi="仿宋_GB2312" w:eastAsia="仿宋_GB2312" w:cs="仿宋_GB2312"/>
          <w:kern w:val="0"/>
          <w:sz w:val="32"/>
          <w:szCs w:val="32"/>
        </w:rPr>
        <w:t>万元，比上年预算增加0.76万元，增长38.97%，主要原因是：2022年公积金基数调整，职工工资总额增加。故</w:t>
      </w:r>
      <w:r>
        <w:rPr>
          <w:rFonts w:hint="eastAsia" w:ascii="仿宋_GB2312" w:hAnsi="宋体" w:eastAsia="仿宋_GB2312" w:cs="宋体"/>
          <w:kern w:val="0"/>
          <w:sz w:val="32"/>
          <w:szCs w:val="32"/>
        </w:rPr>
        <w:t>本年度公积金</w:t>
      </w:r>
      <w:r>
        <w:rPr>
          <w:rFonts w:hint="eastAsia" w:ascii="仿宋_GB2312" w:hAnsi="仿宋_GB2312" w:eastAsia="仿宋_GB2312" w:cs="仿宋_GB2312"/>
          <w:kern w:val="0"/>
          <w:sz w:val="32"/>
          <w:szCs w:val="32"/>
        </w:rPr>
        <w:t>预算数增加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w:t>
      </w:r>
      <w:r>
        <w:rPr>
          <w:rFonts w:hint="eastAsia" w:ascii="仿宋_GB2312" w:hAnsi="仿宋_GB2312" w:eastAsia="仿宋_GB2312" w:cs="仿宋_GB2312"/>
          <w:kern w:val="0"/>
          <w:sz w:val="32"/>
          <w:szCs w:val="32"/>
        </w:rPr>
        <w:t xml:space="preserve"> .一般公共服务（类）其他共产党事务支出（款）一般行政管理事务（项）:2022年预算数为</w:t>
      </w:r>
      <w:r>
        <w:rPr>
          <w:rFonts w:hint="eastAsia" w:ascii="仿宋_GB2312" w:hAnsi="宋体" w:eastAsia="仿宋_GB2312" w:cs="宋体"/>
          <w:kern w:val="0"/>
          <w:sz w:val="32"/>
          <w:szCs w:val="32"/>
        </w:rPr>
        <w:t>20</w:t>
      </w:r>
      <w:r>
        <w:rPr>
          <w:rFonts w:hint="eastAsia" w:ascii="仿宋_GB2312" w:hAnsi="仿宋_GB2312" w:eastAsia="仿宋_GB2312" w:cs="仿宋_GB2312"/>
          <w:kern w:val="0"/>
          <w:sz w:val="32"/>
          <w:szCs w:val="32"/>
        </w:rPr>
        <w:t>万元，比上年预算增加0万元，增长0%，主要原因是：</w:t>
      </w:r>
      <w:r>
        <w:rPr>
          <w:rFonts w:hint="eastAsia" w:ascii="仿宋_GB2312" w:hAnsi="宋体" w:eastAsia="仿宋_GB2312" w:cs="宋体"/>
          <w:kern w:val="0"/>
          <w:sz w:val="32"/>
          <w:szCs w:val="32"/>
        </w:rPr>
        <w:t>当前申请的经费已满足目前法学会的业务工作需要。</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关于昌吉回族自治州法学会2022年一般公共预算基本支出情况说明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昌吉回族自治州法学会</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rPr>
        <w:t>31.74</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27.34万元，主要包括：基本工资8.94万元、津贴补贴2.12万元、奖金0.73万元、绩效工资7.35万元、机关事业单位基本养老保险缴费3.03万元、职工基本医疗保险缴费1.8万元、公务员医疗补助缴费0.57万元、其他社会保障缴费0.09万元、住房公积金2.71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4.4万元，主要包括：办公费0.25万元、印刷费0.5万元、差旅费0.49万元、培训费0.07万元、公务接待费0.07万元、工会经费0.36万元、福利费0.32万元、公务用车运行维护费2.16万元、其他商品和服务支出0.18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关于昌吉回族自治州法学会2022年一般公共预算项目支出情况说明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州法学会业务经费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昌州机编发【2011】18号、昌州机编发【2013】29号文件</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昌吉回族自治州法学会</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：广告服务费≤5万元、印刷费≤5万元、培训费≤5万元、差旅费≤1万元、购买图书≤2万元、办公费≤2万元。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2022年1月1日-2022年12月31日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八、关于昌吉回族自治州法学会2022年一般公共预算“三公”经费预算情况说明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昌吉回族自治州法学会2022年一般公共预算“三公”经费数为2.23万元，其中：因公出国（境）费0万元，公务用车购置0万元，公务用车运行费2.16万元，公务接待费0.07万元。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 0万元，增长0%，其中：因公出国（境）费增加0万元，增长0%，主要原因是是单位严格规范国家工作人员因公出国（境）管理，坚持因事定人，严格实行单位限量、个人限次、经费限额的计划管理，厉行节约，压减了因公出国（境）项目支出；公务用车购置费增加0万元，增长0%，主要原因是我单位未安排购置车辆预算；公务用车运行费增加0万元，增长0%，主要原因是是我单位</w:t>
      </w:r>
      <w:r>
        <w:rPr>
          <w:rFonts w:ascii="仿宋_GB2312" w:hAnsi="宋体" w:eastAsia="仿宋_GB2312" w:cs="宋体"/>
          <w:kern w:val="0"/>
          <w:sz w:val="32"/>
          <w:szCs w:val="32"/>
        </w:rPr>
        <w:t>按照中央八项规定精神、</w:t>
      </w:r>
      <w:r>
        <w:rPr>
          <w:rFonts w:hint="eastAsia" w:ascii="仿宋_GB2312" w:hAnsi="宋体" w:eastAsia="仿宋_GB2312" w:cs="宋体"/>
          <w:kern w:val="0"/>
          <w:sz w:val="32"/>
          <w:szCs w:val="32"/>
        </w:rPr>
        <w:t>制定公务用车管理制度、严格审批、</w:t>
      </w:r>
      <w:r>
        <w:rPr>
          <w:rFonts w:ascii="仿宋_GB2312" w:hAnsi="宋体" w:eastAsia="仿宋_GB2312" w:cs="宋体"/>
          <w:kern w:val="0"/>
          <w:sz w:val="32"/>
          <w:szCs w:val="32"/>
        </w:rPr>
        <w:t>加强预算执行管理，确保年度“三公”经费预算数与上年相比</w:t>
      </w:r>
      <w:r>
        <w:rPr>
          <w:rFonts w:hint="eastAsia" w:ascii="仿宋_GB2312" w:hAnsi="宋体" w:eastAsia="仿宋_GB2312" w:cs="宋体"/>
          <w:kern w:val="0"/>
          <w:sz w:val="32"/>
          <w:szCs w:val="32"/>
        </w:rPr>
        <w:t>只减不增或</w:t>
      </w:r>
      <w:r>
        <w:rPr>
          <w:rFonts w:ascii="仿宋_GB2312" w:hAnsi="宋体" w:eastAsia="仿宋_GB2312" w:cs="宋体"/>
          <w:kern w:val="0"/>
          <w:sz w:val="32"/>
          <w:szCs w:val="32"/>
        </w:rPr>
        <w:t>无增减变动。</w:t>
      </w:r>
      <w:r>
        <w:rPr>
          <w:rFonts w:hint="eastAsia" w:ascii="仿宋_GB2312" w:hAnsi="宋体" w:eastAsia="仿宋_GB2312" w:cs="宋体"/>
          <w:kern w:val="0"/>
          <w:sz w:val="32"/>
          <w:szCs w:val="32"/>
        </w:rPr>
        <w:t>公务接待费增加0万元，主要原因是我单位严格按照中央八项规定和自治区十条规定执行,厉行节约，规范公务接待活动，减少公务接待费支出。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九、关于昌吉回族自治州法学会2022年政府性基金预算拨款情况说明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昌吉回族自治州法学会2022年没有使用政府性基金预算拨款安排的支出，政府性基金预算支出情况表为空表。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2022年，昌吉回族自治州法学会机关运行经费财政拨款预算4.4万元，比上年预算增加0万元，增长0%。主要原因是本年度与上年度在职人数无增减变化。</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sz w:val="32"/>
        </w:rPr>
        <w:t>2022年，昌吉回族自治州法学会政府采购预算17.14万元，其中：政府采购货物预算3.91万元，政府采购工程预算0万元，政府采购服务预算13.23万元。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2022年度昌吉回族自治州法学会面向中小企业预留政府采购项目预算金额7.32万元，其中：面向小微企业预留政府采购项目预算金额9.82万元。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截至2021年底，昌吉回族自治州法学会占用使用国有资产总体情况为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1.房屋0平方米，价值0万元。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2.车辆1辆，价值19.77万元；其中：一般公务用车1辆，价值19.77万元；执法执勤用车0辆，价值0万元；其他车辆0辆，价值0万元。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4.其他资产价值2.30万元。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单位价值50万元以上大型设备0台（套），单位价值100万元以上大型设备0台（套）。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2022年昌吉回族自治州法学会预算未安排购置车辆经费，安排购置50万元以上大型设备0台（套），单位价值100万元以上大型设备0台（套）。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2022年，本年度预算绩效管理的财政拨款项目1个，涉及预算金额20万元。具体情况见下表：</w:t>
      </w:r>
    </w:p>
    <w:tbl>
      <w:tblPr>
        <w:tblStyle w:val="6"/>
        <w:tblpPr w:leftFromText="180" w:rightFromText="180" w:vertAnchor="text" w:horzAnchor="page" w:tblpX="919" w:tblpY="449"/>
        <w:tblOverlap w:val="never"/>
        <w:tblW w:w="10155" w:type="dxa"/>
        <w:tblInd w:w="0" w:type="dxa"/>
        <w:tblLayout w:type="fixed"/>
        <w:tblCellMar>
          <w:top w:w="0" w:type="dxa"/>
          <w:left w:w="0" w:type="dxa"/>
          <w:bottom w:w="0" w:type="dxa"/>
          <w:right w:w="0" w:type="dxa"/>
        </w:tblCellMar>
      </w:tblPr>
      <w:tblGrid>
        <w:gridCol w:w="1795"/>
        <w:gridCol w:w="1211"/>
        <w:gridCol w:w="159"/>
        <w:gridCol w:w="635"/>
        <w:gridCol w:w="1296"/>
        <w:gridCol w:w="1107"/>
        <w:gridCol w:w="521"/>
        <w:gridCol w:w="585"/>
        <w:gridCol w:w="2846"/>
      </w:tblGrid>
      <w:tr>
        <w:tblPrEx>
          <w:tblLayout w:type="fixed"/>
          <w:tblCellMar>
            <w:top w:w="0" w:type="dxa"/>
            <w:left w:w="0" w:type="dxa"/>
            <w:bottom w:w="0" w:type="dxa"/>
            <w:right w:w="0" w:type="dxa"/>
          </w:tblCellMar>
        </w:tblPrEx>
        <w:trPr>
          <w:trHeight w:val="208" w:hRule="atLeast"/>
        </w:trPr>
        <w:tc>
          <w:tcPr>
            <w:tcW w:w="10155" w:type="dxa"/>
            <w:gridSpan w:val="9"/>
            <w:tcBorders>
              <w:top w:val="nil"/>
              <w:left w:val="nil"/>
              <w:bottom w:val="nil"/>
              <w:right w:val="nil"/>
            </w:tcBorders>
            <w:tcMar>
              <w:top w:w="12" w:type="dxa"/>
              <w:left w:w="12" w:type="dxa"/>
              <w:right w:w="12" w:type="dxa"/>
            </w:tcMar>
            <w:vAlign w:val="bottom"/>
          </w:tcPr>
          <w:p>
            <w:pPr>
              <w:widowControl/>
              <w:spacing w:line="480" w:lineRule="exact"/>
              <w:ind w:firstLine="2249" w:firstLineChars="700"/>
              <w:jc w:val="both"/>
              <w:textAlignment w:val="bottom"/>
              <w:rPr>
                <w:rFonts w:ascii="仿宋_GB2312" w:hAnsi="宋体" w:eastAsia="仿宋_GB2312" w:cs="仿宋_GB2312"/>
                <w:b/>
                <w:color w:val="000000"/>
                <w:sz w:val="32"/>
                <w:szCs w:val="32"/>
              </w:rPr>
            </w:pPr>
            <w:bookmarkStart w:id="0" w:name="_GoBack"/>
            <w:bookmarkEnd w:id="0"/>
            <w:r>
              <w:rPr>
                <w:rFonts w:hint="eastAsia" w:ascii="仿宋_GB2312" w:hAnsi="宋体" w:eastAsia="仿宋_GB2312" w:cs="仿宋_GB2312"/>
                <w:b/>
                <w:color w:val="000000"/>
                <w:kern w:val="0"/>
                <w:sz w:val="32"/>
                <w:szCs w:val="32"/>
              </w:rPr>
              <w:t>项  目  支  出  绩  效  目  标  表</w:t>
            </w:r>
          </w:p>
        </w:tc>
      </w:tr>
      <w:tr>
        <w:tblPrEx>
          <w:tblLayout w:type="fixed"/>
          <w:tblCellMar>
            <w:top w:w="0" w:type="dxa"/>
            <w:left w:w="0" w:type="dxa"/>
            <w:bottom w:w="0" w:type="dxa"/>
            <w:right w:w="0" w:type="dxa"/>
          </w:tblCellMar>
        </w:tblPrEx>
        <w:trPr>
          <w:trHeight w:val="246" w:hRule="atLeast"/>
        </w:trPr>
        <w:tc>
          <w:tcPr>
            <w:tcW w:w="10155" w:type="dxa"/>
            <w:gridSpan w:val="9"/>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295" w:hRule="atLeast"/>
        </w:trPr>
        <w:tc>
          <w:tcPr>
            <w:tcW w:w="1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301"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昌吉回族自治州法学会</w:t>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9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州法学会业务费用</w:t>
            </w:r>
          </w:p>
        </w:tc>
      </w:tr>
      <w:tr>
        <w:tblPrEx>
          <w:tblLayout w:type="fixed"/>
          <w:tblCellMar>
            <w:top w:w="0" w:type="dxa"/>
            <w:left w:w="0" w:type="dxa"/>
            <w:bottom w:w="0" w:type="dxa"/>
            <w:right w:w="0" w:type="dxa"/>
          </w:tblCellMar>
        </w:tblPrEx>
        <w:trPr>
          <w:trHeight w:val="344" w:hRule="atLeast"/>
        </w:trPr>
        <w:tc>
          <w:tcPr>
            <w:tcW w:w="1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79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ind w:firstLine="270" w:firstLineChars="150"/>
              <w:rPr>
                <w:rFonts w:ascii="宋体" w:hAnsi="宋体" w:cs="宋体"/>
                <w:color w:val="000000"/>
                <w:sz w:val="18"/>
                <w:szCs w:val="18"/>
              </w:rPr>
            </w:pPr>
            <w:r>
              <w:rPr>
                <w:rFonts w:hint="eastAsia" w:ascii="宋体" w:hAnsi="宋体" w:cs="宋体"/>
                <w:color w:val="000000"/>
                <w:sz w:val="18"/>
                <w:szCs w:val="18"/>
              </w:rPr>
              <w:t>20</w:t>
            </w:r>
          </w:p>
        </w:tc>
        <w:tc>
          <w:tcPr>
            <w:tcW w:w="110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846"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ind w:firstLine="360" w:firstLineChars="200"/>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23" w:hRule="atLeast"/>
        </w:trPr>
        <w:tc>
          <w:tcPr>
            <w:tcW w:w="1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8360"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rPr>
                <w:rFonts w:ascii="宋体" w:hAnsi="宋体" w:cs="宋体"/>
                <w:color w:val="000000"/>
                <w:sz w:val="15"/>
                <w:szCs w:val="15"/>
              </w:rPr>
            </w:pPr>
            <w:r>
              <w:rPr>
                <w:rFonts w:hint="eastAsia" w:ascii="宋体" w:hAnsi="宋体" w:cs="宋体"/>
                <w:color w:val="000000"/>
                <w:sz w:val="18"/>
                <w:szCs w:val="18"/>
              </w:rPr>
              <w:t>目标1：带领全州法学法律工作者，坚持以习近平新时代中国特色社会主义思想为指导，深入学习贯彻习近平法治思想，深入学习贯彻落实第三次中央新疆工作座谈会精神，完整准确贯彻新时代党的治疆方略。                                                      目标2：贯彻落实中央政法工作会议、区、州党委政法工作会议精神，切实做好加强政治引领、繁荣法学研究、服务法治实践、培养法治人才等工作，为加快推进法治昌吉建设、为建设更高水平的平安昌吉作出新贡献。</w:t>
            </w:r>
          </w:p>
        </w:tc>
      </w:tr>
      <w:tr>
        <w:tblPrEx>
          <w:tblLayout w:type="fixed"/>
          <w:tblCellMar>
            <w:top w:w="0" w:type="dxa"/>
            <w:left w:w="0" w:type="dxa"/>
            <w:bottom w:w="0" w:type="dxa"/>
            <w:right w:w="0" w:type="dxa"/>
          </w:tblCellMar>
        </w:tblPrEx>
        <w:trPr>
          <w:trHeight w:val="23" w:hRule="atLeast"/>
        </w:trPr>
        <w:tc>
          <w:tcPr>
            <w:tcW w:w="1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23" w:hRule="atLeast"/>
        </w:trPr>
        <w:tc>
          <w:tcPr>
            <w:tcW w:w="179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370" w:type="dxa"/>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举办昌吉州青年普法志愿者法治文化基层行活动。</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=1次</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组织开展全州法学会会员培训班</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=1期</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建设基层法学会试点工作站</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≥1个</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推进县市首席法律咨询专家制度试点工作</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≥1个</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559" w:type="dxa"/>
            <w:gridSpan w:val="4"/>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对全州县市指导调研检查覆盖率</w:t>
            </w:r>
          </w:p>
        </w:tc>
        <w:tc>
          <w:tcPr>
            <w:tcW w:w="3431"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=100%</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各项任务完成截止时限</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年内全州“百名法学家百场报告会”法治宣传任务按期完成率</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=100%</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广告服务</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≤5万元</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印刷服务</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≤5万元</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培训费</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≤5万元</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差旅费</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≤1万元</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图书</w:t>
            </w:r>
          </w:p>
        </w:tc>
        <w:tc>
          <w:tcPr>
            <w:tcW w:w="343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≤2万元</w:t>
            </w:r>
          </w:p>
        </w:tc>
      </w:tr>
      <w:tr>
        <w:tblPrEx>
          <w:tblLayout w:type="fixed"/>
          <w:tblCellMar>
            <w:top w:w="0" w:type="dxa"/>
            <w:left w:w="0" w:type="dxa"/>
            <w:bottom w:w="0" w:type="dxa"/>
            <w:right w:w="0" w:type="dxa"/>
          </w:tblCellMar>
        </w:tblPrEx>
        <w:trPr>
          <w:trHeight w:val="23" w:hRule="atLeast"/>
        </w:trPr>
        <w:tc>
          <w:tcPr>
            <w:tcW w:w="179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9" w:type="dxa"/>
            <w:gridSpan w:val="4"/>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办公用品</w:t>
            </w:r>
          </w:p>
        </w:tc>
        <w:tc>
          <w:tcPr>
            <w:tcW w:w="3431"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≤2万元</w:t>
            </w:r>
          </w:p>
        </w:tc>
      </w:tr>
      <w:tr>
        <w:tblPrEx>
          <w:tblLayout w:type="fixed"/>
          <w:tblCellMar>
            <w:top w:w="0" w:type="dxa"/>
            <w:left w:w="0" w:type="dxa"/>
            <w:bottom w:w="0" w:type="dxa"/>
            <w:right w:w="0" w:type="dxa"/>
          </w:tblCellMar>
        </w:tblPrEx>
        <w:trPr>
          <w:trHeight w:val="23" w:hRule="atLeast"/>
        </w:trPr>
        <w:tc>
          <w:tcPr>
            <w:tcW w:w="1795" w:type="dxa"/>
            <w:vMerge w:val="restart"/>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370"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559"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3" w:hRule="atLeast"/>
        </w:trPr>
        <w:tc>
          <w:tcPr>
            <w:tcW w:w="17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559" w:type="dxa"/>
            <w:gridSpan w:val="4"/>
            <w:tcBorders>
              <w:top w:val="single" w:color="auto"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法学研究成果在基层实践运用的效果</w:t>
            </w:r>
          </w:p>
        </w:tc>
        <w:tc>
          <w:tcPr>
            <w:tcW w:w="3431" w:type="dxa"/>
            <w:gridSpan w:val="2"/>
            <w:tcBorders>
              <w:top w:val="single" w:color="auto"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Layout w:type="fixed"/>
          <w:tblCellMar>
            <w:top w:w="0" w:type="dxa"/>
            <w:left w:w="0" w:type="dxa"/>
            <w:bottom w:w="0" w:type="dxa"/>
            <w:right w:w="0" w:type="dxa"/>
          </w:tblCellMar>
        </w:tblPrEx>
        <w:trPr>
          <w:trHeight w:val="23" w:hRule="atLeast"/>
        </w:trPr>
        <w:tc>
          <w:tcPr>
            <w:tcW w:w="17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559" w:type="dxa"/>
            <w:gridSpan w:val="4"/>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31"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3" w:hRule="atLeast"/>
        </w:trPr>
        <w:tc>
          <w:tcPr>
            <w:tcW w:w="17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7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559" w:type="dxa"/>
            <w:gridSpan w:val="4"/>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提升法学会政治引领、法学研究、法治宣传、法律服务和自身建设工作能力</w:t>
            </w:r>
          </w:p>
        </w:tc>
        <w:tc>
          <w:tcPr>
            <w:tcW w:w="3431"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逐步提高</w:t>
            </w:r>
          </w:p>
        </w:tc>
      </w:tr>
      <w:tr>
        <w:tblPrEx>
          <w:tblLayout w:type="fixed"/>
          <w:tblCellMar>
            <w:top w:w="0" w:type="dxa"/>
            <w:left w:w="0" w:type="dxa"/>
            <w:bottom w:w="0" w:type="dxa"/>
            <w:right w:w="0" w:type="dxa"/>
          </w:tblCellMar>
        </w:tblPrEx>
        <w:trPr>
          <w:trHeight w:val="23" w:hRule="atLeast"/>
        </w:trPr>
        <w:tc>
          <w:tcPr>
            <w:tcW w:w="17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370" w:type="dxa"/>
            <w:gridSpan w:val="2"/>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559"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州法学会会员满意度</w:t>
            </w:r>
          </w:p>
        </w:tc>
        <w:tc>
          <w:tcPr>
            <w:tcW w:w="34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p>
    <w:p>
      <w:pPr>
        <w:spacing w:line="560" w:lineRule="exact"/>
        <w:ind w:firstLine="4800" w:firstLineChars="15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昌吉回族自治州法学会</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8" o:spid="_x0000_s4103" o:spt="202" type="#_x0000_t202" style="position:absolute;left:0pt;margin-top:0pt;height:18.15pt;width:42.05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">
          <v:path arrowok="t"/>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9" o:spid="_x0000_s4104" o:spt="202" type="#_x0000_t202" style="position:absolute;left:0pt;margin-top:0pt;height:18.15pt;width:42.05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">
          <v:path arrowok="t"/>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10" o:spid="_x0000_s4097" o:spt="202" type="#_x0000_t202" style="position:absolute;left:0pt;margin-top:0pt;height:18.15pt;width:42.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">
          <v:path arrowok="t"/>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477F"/>
    <w:rsid w:val="00000135"/>
    <w:rsid w:val="000070A0"/>
    <w:rsid w:val="00030316"/>
    <w:rsid w:val="00043F34"/>
    <w:rsid w:val="00046083"/>
    <w:rsid w:val="000829CA"/>
    <w:rsid w:val="0009606D"/>
    <w:rsid w:val="0009668A"/>
    <w:rsid w:val="000B6029"/>
    <w:rsid w:val="000C5E7F"/>
    <w:rsid w:val="000C6EF4"/>
    <w:rsid w:val="000D34DC"/>
    <w:rsid w:val="000D6FC8"/>
    <w:rsid w:val="000E083A"/>
    <w:rsid w:val="000E2262"/>
    <w:rsid w:val="000E580D"/>
    <w:rsid w:val="000F699F"/>
    <w:rsid w:val="00103D45"/>
    <w:rsid w:val="00135A65"/>
    <w:rsid w:val="00166A2D"/>
    <w:rsid w:val="00171E44"/>
    <w:rsid w:val="00173833"/>
    <w:rsid w:val="001776CE"/>
    <w:rsid w:val="001B37C1"/>
    <w:rsid w:val="001B44DF"/>
    <w:rsid w:val="001B6CA2"/>
    <w:rsid w:val="001C0E6A"/>
    <w:rsid w:val="001C17F5"/>
    <w:rsid w:val="001C4E2C"/>
    <w:rsid w:val="001C65CB"/>
    <w:rsid w:val="001D2966"/>
    <w:rsid w:val="001E1A26"/>
    <w:rsid w:val="001E24FF"/>
    <w:rsid w:val="001E26D9"/>
    <w:rsid w:val="001E6A03"/>
    <w:rsid w:val="001F4066"/>
    <w:rsid w:val="00200A1A"/>
    <w:rsid w:val="00207F61"/>
    <w:rsid w:val="00213B52"/>
    <w:rsid w:val="00224946"/>
    <w:rsid w:val="00233D0B"/>
    <w:rsid w:val="0025654D"/>
    <w:rsid w:val="002731F7"/>
    <w:rsid w:val="00280C55"/>
    <w:rsid w:val="002869A5"/>
    <w:rsid w:val="00295FB6"/>
    <w:rsid w:val="002D59CF"/>
    <w:rsid w:val="002D5B85"/>
    <w:rsid w:val="002E2D52"/>
    <w:rsid w:val="002E5250"/>
    <w:rsid w:val="002F6C8F"/>
    <w:rsid w:val="00306138"/>
    <w:rsid w:val="00316696"/>
    <w:rsid w:val="00325EBE"/>
    <w:rsid w:val="00331A72"/>
    <w:rsid w:val="00336D1E"/>
    <w:rsid w:val="00342E61"/>
    <w:rsid w:val="00352F42"/>
    <w:rsid w:val="0035539D"/>
    <w:rsid w:val="00362AFE"/>
    <w:rsid w:val="00366427"/>
    <w:rsid w:val="00367E4F"/>
    <w:rsid w:val="00380E9A"/>
    <w:rsid w:val="0038408F"/>
    <w:rsid w:val="0038740D"/>
    <w:rsid w:val="003923D8"/>
    <w:rsid w:val="003A3FCA"/>
    <w:rsid w:val="003A637F"/>
    <w:rsid w:val="003B4229"/>
    <w:rsid w:val="003B66B3"/>
    <w:rsid w:val="003C0799"/>
    <w:rsid w:val="003C1C0C"/>
    <w:rsid w:val="003C31AA"/>
    <w:rsid w:val="003D15E6"/>
    <w:rsid w:val="003D1D84"/>
    <w:rsid w:val="003E1FF3"/>
    <w:rsid w:val="003E2283"/>
    <w:rsid w:val="003E3846"/>
    <w:rsid w:val="00402745"/>
    <w:rsid w:val="004265FD"/>
    <w:rsid w:val="0042787C"/>
    <w:rsid w:val="00432BE1"/>
    <w:rsid w:val="00443E01"/>
    <w:rsid w:val="0046066D"/>
    <w:rsid w:val="00464DDE"/>
    <w:rsid w:val="00467E17"/>
    <w:rsid w:val="0047118F"/>
    <w:rsid w:val="00474D2C"/>
    <w:rsid w:val="00482A29"/>
    <w:rsid w:val="00484A70"/>
    <w:rsid w:val="00496128"/>
    <w:rsid w:val="00496D9C"/>
    <w:rsid w:val="004A7FAC"/>
    <w:rsid w:val="004C3E67"/>
    <w:rsid w:val="004D086D"/>
    <w:rsid w:val="004D4491"/>
    <w:rsid w:val="004D477F"/>
    <w:rsid w:val="004D601F"/>
    <w:rsid w:val="004D6578"/>
    <w:rsid w:val="004F143E"/>
    <w:rsid w:val="004F3B3C"/>
    <w:rsid w:val="00510C76"/>
    <w:rsid w:val="005177CF"/>
    <w:rsid w:val="0053728A"/>
    <w:rsid w:val="0054443B"/>
    <w:rsid w:val="00552933"/>
    <w:rsid w:val="00566FC5"/>
    <w:rsid w:val="00582BB9"/>
    <w:rsid w:val="00592B42"/>
    <w:rsid w:val="0059437A"/>
    <w:rsid w:val="005A0B98"/>
    <w:rsid w:val="005C6139"/>
    <w:rsid w:val="005F418D"/>
    <w:rsid w:val="00600E2B"/>
    <w:rsid w:val="0061139D"/>
    <w:rsid w:val="00616679"/>
    <w:rsid w:val="00617D0D"/>
    <w:rsid w:val="00630ECF"/>
    <w:rsid w:val="00631C37"/>
    <w:rsid w:val="006333E7"/>
    <w:rsid w:val="006418A9"/>
    <w:rsid w:val="00662023"/>
    <w:rsid w:val="006650F8"/>
    <w:rsid w:val="006736CA"/>
    <w:rsid w:val="00673AAF"/>
    <w:rsid w:val="006A1209"/>
    <w:rsid w:val="006A2EFA"/>
    <w:rsid w:val="006B0E20"/>
    <w:rsid w:val="006C1962"/>
    <w:rsid w:val="006C2678"/>
    <w:rsid w:val="006C575B"/>
    <w:rsid w:val="006D0E81"/>
    <w:rsid w:val="006D7B90"/>
    <w:rsid w:val="006E15E8"/>
    <w:rsid w:val="006E6380"/>
    <w:rsid w:val="006E7103"/>
    <w:rsid w:val="00701C8D"/>
    <w:rsid w:val="00713DCC"/>
    <w:rsid w:val="00732441"/>
    <w:rsid w:val="00740058"/>
    <w:rsid w:val="0074453F"/>
    <w:rsid w:val="0075424F"/>
    <w:rsid w:val="00755202"/>
    <w:rsid w:val="00760F79"/>
    <w:rsid w:val="00761A5C"/>
    <w:rsid w:val="00763E01"/>
    <w:rsid w:val="007660DD"/>
    <w:rsid w:val="00775A3D"/>
    <w:rsid w:val="00780F22"/>
    <w:rsid w:val="007869E3"/>
    <w:rsid w:val="00791A77"/>
    <w:rsid w:val="007A2759"/>
    <w:rsid w:val="007A6DA4"/>
    <w:rsid w:val="007B59E8"/>
    <w:rsid w:val="007D0EF5"/>
    <w:rsid w:val="007D2729"/>
    <w:rsid w:val="00816BD7"/>
    <w:rsid w:val="00822657"/>
    <w:rsid w:val="0084194C"/>
    <w:rsid w:val="0084635B"/>
    <w:rsid w:val="008467F7"/>
    <w:rsid w:val="00846C43"/>
    <w:rsid w:val="00852096"/>
    <w:rsid w:val="0085281F"/>
    <w:rsid w:val="00871853"/>
    <w:rsid w:val="00880A2B"/>
    <w:rsid w:val="00880CDB"/>
    <w:rsid w:val="008844FF"/>
    <w:rsid w:val="0088722E"/>
    <w:rsid w:val="00891A4B"/>
    <w:rsid w:val="008A3ADE"/>
    <w:rsid w:val="008B5C35"/>
    <w:rsid w:val="008D78EA"/>
    <w:rsid w:val="008E44C9"/>
    <w:rsid w:val="008F22B0"/>
    <w:rsid w:val="008F7B0C"/>
    <w:rsid w:val="008F7DF9"/>
    <w:rsid w:val="0090107A"/>
    <w:rsid w:val="00930A63"/>
    <w:rsid w:val="00944B81"/>
    <w:rsid w:val="00945788"/>
    <w:rsid w:val="00956B45"/>
    <w:rsid w:val="00956D3C"/>
    <w:rsid w:val="00960062"/>
    <w:rsid w:val="00963DF5"/>
    <w:rsid w:val="009830A6"/>
    <w:rsid w:val="00994ADE"/>
    <w:rsid w:val="009D6DF2"/>
    <w:rsid w:val="009D6FDC"/>
    <w:rsid w:val="009E3CED"/>
    <w:rsid w:val="009F326D"/>
    <w:rsid w:val="009F52FB"/>
    <w:rsid w:val="009F540D"/>
    <w:rsid w:val="00A0267E"/>
    <w:rsid w:val="00A17B9C"/>
    <w:rsid w:val="00A22F27"/>
    <w:rsid w:val="00A27912"/>
    <w:rsid w:val="00A356A0"/>
    <w:rsid w:val="00A414DF"/>
    <w:rsid w:val="00A6221A"/>
    <w:rsid w:val="00A64FCD"/>
    <w:rsid w:val="00A66E69"/>
    <w:rsid w:val="00A72531"/>
    <w:rsid w:val="00A73EB3"/>
    <w:rsid w:val="00A907DB"/>
    <w:rsid w:val="00AD2289"/>
    <w:rsid w:val="00AF1D74"/>
    <w:rsid w:val="00AF3F7E"/>
    <w:rsid w:val="00AF7941"/>
    <w:rsid w:val="00B013D8"/>
    <w:rsid w:val="00B141E5"/>
    <w:rsid w:val="00B335EC"/>
    <w:rsid w:val="00B33763"/>
    <w:rsid w:val="00B3628D"/>
    <w:rsid w:val="00B45591"/>
    <w:rsid w:val="00B559DC"/>
    <w:rsid w:val="00B735E4"/>
    <w:rsid w:val="00B80527"/>
    <w:rsid w:val="00BA3D5F"/>
    <w:rsid w:val="00BC3300"/>
    <w:rsid w:val="00BD48F6"/>
    <w:rsid w:val="00BE4F57"/>
    <w:rsid w:val="00C07D70"/>
    <w:rsid w:val="00C12388"/>
    <w:rsid w:val="00C12D75"/>
    <w:rsid w:val="00C145A4"/>
    <w:rsid w:val="00C16C05"/>
    <w:rsid w:val="00C20913"/>
    <w:rsid w:val="00C26081"/>
    <w:rsid w:val="00C30E47"/>
    <w:rsid w:val="00C311D1"/>
    <w:rsid w:val="00C43B73"/>
    <w:rsid w:val="00C47D44"/>
    <w:rsid w:val="00C5022B"/>
    <w:rsid w:val="00C55CAC"/>
    <w:rsid w:val="00C85349"/>
    <w:rsid w:val="00C87E16"/>
    <w:rsid w:val="00C914A9"/>
    <w:rsid w:val="00C9413C"/>
    <w:rsid w:val="00CA7989"/>
    <w:rsid w:val="00CB31BB"/>
    <w:rsid w:val="00CE4C77"/>
    <w:rsid w:val="00D010CC"/>
    <w:rsid w:val="00D118BD"/>
    <w:rsid w:val="00D22E65"/>
    <w:rsid w:val="00D30ECB"/>
    <w:rsid w:val="00D63FD3"/>
    <w:rsid w:val="00D6717E"/>
    <w:rsid w:val="00D67A71"/>
    <w:rsid w:val="00D70E67"/>
    <w:rsid w:val="00D85033"/>
    <w:rsid w:val="00D97827"/>
    <w:rsid w:val="00DA1654"/>
    <w:rsid w:val="00DA4022"/>
    <w:rsid w:val="00DA747C"/>
    <w:rsid w:val="00DC6FE1"/>
    <w:rsid w:val="00E01747"/>
    <w:rsid w:val="00E114EC"/>
    <w:rsid w:val="00E22A9C"/>
    <w:rsid w:val="00E42FA1"/>
    <w:rsid w:val="00E43870"/>
    <w:rsid w:val="00E4494D"/>
    <w:rsid w:val="00E463F8"/>
    <w:rsid w:val="00E47662"/>
    <w:rsid w:val="00E509F8"/>
    <w:rsid w:val="00E550DA"/>
    <w:rsid w:val="00E67A82"/>
    <w:rsid w:val="00E84B34"/>
    <w:rsid w:val="00E8732A"/>
    <w:rsid w:val="00E91562"/>
    <w:rsid w:val="00E9343C"/>
    <w:rsid w:val="00EA6C83"/>
    <w:rsid w:val="00EA74CE"/>
    <w:rsid w:val="00EA7B9E"/>
    <w:rsid w:val="00ED79EA"/>
    <w:rsid w:val="00EE600E"/>
    <w:rsid w:val="00EF52C2"/>
    <w:rsid w:val="00EF7D1D"/>
    <w:rsid w:val="00F030A0"/>
    <w:rsid w:val="00F20D86"/>
    <w:rsid w:val="00F227A1"/>
    <w:rsid w:val="00F236F9"/>
    <w:rsid w:val="00F274BD"/>
    <w:rsid w:val="00F32B5E"/>
    <w:rsid w:val="00F3472E"/>
    <w:rsid w:val="00F4236C"/>
    <w:rsid w:val="00F470AE"/>
    <w:rsid w:val="00F47831"/>
    <w:rsid w:val="00F7450D"/>
    <w:rsid w:val="00F91EEB"/>
    <w:rsid w:val="00F93FC9"/>
    <w:rsid w:val="00F9669B"/>
    <w:rsid w:val="00F97E4F"/>
    <w:rsid w:val="00FC261E"/>
    <w:rsid w:val="00FE52DC"/>
    <w:rsid w:val="03DF14CA"/>
    <w:rsid w:val="081511AD"/>
    <w:rsid w:val="31650125"/>
    <w:rsid w:val="35E05520"/>
    <w:rsid w:val="37D439FF"/>
    <w:rsid w:val="4EE577A9"/>
    <w:rsid w:val="74E12066"/>
    <w:rsid w:val="7BAE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customShpInfo spid="_x0000_s4104"/>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60188-F983-4AC6-BA4D-524F2882251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1822</Words>
  <Characters>10387</Characters>
  <Lines>86</Lines>
  <Paragraphs>24</Paragraphs>
  <TotalTime>644</TotalTime>
  <ScaleCrop>false</ScaleCrop>
  <LinksUpToDate>false</LinksUpToDate>
  <CharactersWithSpaces>12185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cp:lastPrinted>2022-04-07T06:33:00Z</cp:lastPrinted>
  <dcterms:modified xsi:type="dcterms:W3CDTF">2022-04-13T11:24:37Z</dcterms:modified>
  <cp:revision>556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