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昌吉回族自治州社会主义学院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 xml:space="preserve">                  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60" w:firstLineChars="200"/>
        <w:jc w:val="left"/>
        <w:rPr>
          <w:rFonts w:hint="eastAsia" w:ascii="仿宋" w:hAnsi="仿宋" w:eastAsia="仿宋" w:cs="仿宋"/>
          <w:color w:val="000000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color w:val="000000"/>
          <w:sz w:val="33"/>
          <w:szCs w:val="33"/>
        </w:rPr>
        <w:t>教育培训无党派及民主党派人</w:t>
      </w:r>
      <w:r>
        <w:rPr>
          <w:rFonts w:hint="eastAsia" w:ascii="仿宋" w:hAnsi="仿宋" w:eastAsia="仿宋" w:cs="仿宋"/>
          <w:color w:val="000000"/>
          <w:sz w:val="33"/>
          <w:szCs w:val="33"/>
          <w:lang w:eastAsia="zh-CN"/>
        </w:rPr>
        <w:t>士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，少数民族，宗教界非公有制经济等统一战线方面代表人士，学习研究和宣传党的统一战线理论方针和政策</w:t>
      </w:r>
      <w:r>
        <w:rPr>
          <w:rFonts w:hint="eastAsia" w:ascii="仿宋" w:hAnsi="仿宋" w:eastAsia="仿宋" w:cs="仿宋"/>
          <w:color w:val="000000"/>
          <w:sz w:val="33"/>
          <w:szCs w:val="33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3"/>
          <w:szCs w:val="33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szCs w:val="33"/>
        </w:rPr>
        <w:t>二、机构设置及人员情况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3"/>
          <w:szCs w:val="33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昌吉回族自治州社会主义学院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无下属预算单位，下设3个科室,分别是：办公室、教务科、后勤科。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3"/>
          <w:szCs w:val="33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昌吉回族自治州社会主义学院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编制数为 26人，实有人数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44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人，其中：在职 2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人，增加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人；退休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 xml:space="preserve">人，增加 0 人；离休 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>人，</w:t>
      </w:r>
      <w:r>
        <w:rPr>
          <w:rFonts w:hint="eastAsia" w:ascii="仿宋" w:hAnsi="仿宋" w:eastAsia="仿宋" w:cs="仿宋"/>
          <w:color w:val="000000"/>
          <w:sz w:val="33"/>
          <w:szCs w:val="33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3"/>
          <w:szCs w:val="33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3"/>
          <w:szCs w:val="33"/>
        </w:rPr>
        <w:t xml:space="preserve">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1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1264.92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</w:tr>
    </w:tbl>
    <w:p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2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单位：万元</w:t>
      </w:r>
    </w:p>
    <w:tbl>
      <w:tblPr>
        <w:tblStyle w:val="7"/>
        <w:tblW w:w="989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2"/>
        <w:gridCol w:w="578"/>
        <w:gridCol w:w="2055"/>
        <w:gridCol w:w="956"/>
        <w:gridCol w:w="1039"/>
        <w:gridCol w:w="592"/>
        <w:gridCol w:w="657"/>
        <w:gridCol w:w="936"/>
        <w:gridCol w:w="670"/>
        <w:gridCol w:w="719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教育支出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教育管理事务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其他教育管理事务支出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1264.92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事业单位医疗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宋体" w:eastAsia="仿宋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3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单位：万元</w:t>
      </w:r>
    </w:p>
    <w:tbl>
      <w:tblPr>
        <w:tblStyle w:val="7"/>
        <w:tblW w:w="935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753"/>
        <w:gridCol w:w="1571"/>
        <w:gridCol w:w="1805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教育支出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教育管理事务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其他教育管理事务支出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事业单位医疗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42.27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1383.27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583.27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</w:tbl>
    <w:p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单位：万元</w:t>
      </w:r>
    </w:p>
    <w:tbl>
      <w:tblPr>
        <w:tblStyle w:val="7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96"/>
        <w:gridCol w:w="2388"/>
        <w:gridCol w:w="941"/>
        <w:gridCol w:w="964"/>
        <w:gridCol w:w="1021"/>
        <w:gridCol w:w="1132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766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1383.27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1383.27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1264.92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1264.92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47.53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33.29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1383.27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1383.27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9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02"/>
        <w:gridCol w:w="114"/>
        <w:gridCol w:w="348"/>
        <w:gridCol w:w="220"/>
        <w:gridCol w:w="100"/>
        <w:gridCol w:w="157"/>
        <w:gridCol w:w="235"/>
        <w:gridCol w:w="208"/>
        <w:gridCol w:w="75"/>
        <w:gridCol w:w="143"/>
        <w:gridCol w:w="1112"/>
        <w:gridCol w:w="1186"/>
        <w:gridCol w:w="212"/>
        <w:gridCol w:w="191"/>
        <w:gridCol w:w="568"/>
        <w:gridCol w:w="455"/>
        <w:gridCol w:w="99"/>
        <w:gridCol w:w="285"/>
        <w:gridCol w:w="86"/>
        <w:gridCol w:w="111"/>
        <w:gridCol w:w="105"/>
        <w:gridCol w:w="146"/>
        <w:gridCol w:w="189"/>
        <w:gridCol w:w="452"/>
        <w:gridCol w:w="181"/>
        <w:gridCol w:w="188"/>
        <w:gridCol w:w="209"/>
        <w:gridCol w:w="261"/>
        <w:gridCol w:w="158"/>
        <w:gridCol w:w="127"/>
        <w:gridCol w:w="451"/>
        <w:gridCol w:w="420"/>
        <w:gridCol w:w="420"/>
        <w:gridCol w:w="125"/>
        <w:gridCol w:w="67"/>
        <w:gridCol w:w="205"/>
        <w:gridCol w:w="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735" w:hRule="atLeast"/>
        </w:trPr>
        <w:tc>
          <w:tcPr>
            <w:tcW w:w="922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outlineLvl w:val="1"/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367" w:hRule="atLeast"/>
        </w:trPr>
        <w:tc>
          <w:tcPr>
            <w:tcW w:w="589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昌吉回族自治州社会主义学院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05" w:hRule="atLeast"/>
        </w:trPr>
        <w:tc>
          <w:tcPr>
            <w:tcW w:w="3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65" w:hRule="atLeast"/>
        </w:trPr>
        <w:tc>
          <w:tcPr>
            <w:tcW w:w="1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30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11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教育支出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9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教育管理事务</w:t>
            </w:r>
          </w:p>
          <w:p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其他教育管理事务支出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1264.92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464.92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事业单位医疗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617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42.27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633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3"/>
          <w:wBefore w:w="326" w:type="dxa"/>
          <w:wAfter w:w="363" w:type="dxa"/>
          <w:trHeight w:val="450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1383.27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583.27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465" w:hRule="atLeast"/>
        </w:trPr>
        <w:tc>
          <w:tcPr>
            <w:tcW w:w="970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outlineLvl w:val="1"/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542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昌吉回族自治州社会主义学院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4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3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1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487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287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65" w:type="dxa"/>
            <w:gridSpan w:val="8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79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443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487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483.72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483.72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127.87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127.86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55.26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55.26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42.27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城镇职工基本医疗保险缴费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102.90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102.90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23.98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23.98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17.48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17.48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90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2" w:type="dxa"/>
          <w:trHeight w:val="445" w:hRule="atLeast"/>
        </w:trPr>
        <w:tc>
          <w:tcPr>
            <w:tcW w:w="7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583.27 </w:t>
            </w:r>
          </w:p>
        </w:tc>
        <w:tc>
          <w:tcPr>
            <w:tcW w:w="17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507.70 </w:t>
            </w:r>
          </w:p>
        </w:tc>
        <w:tc>
          <w:tcPr>
            <w:tcW w:w="1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296" w:type="dxa"/>
          <w:trHeight w:val="375" w:hRule="atLeast"/>
        </w:trPr>
        <w:tc>
          <w:tcPr>
            <w:tcW w:w="9606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outlineLvl w:val="1"/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296" w:type="dxa"/>
          <w:trHeight w:val="405" w:hRule="atLeast"/>
        </w:trPr>
        <w:tc>
          <w:tcPr>
            <w:tcW w:w="450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昌吉回族自治州社会主义学院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630" w:hRule="atLeast"/>
        </w:trPr>
        <w:tc>
          <w:tcPr>
            <w:tcW w:w="1669" w:type="dxa"/>
            <w:gridSpan w:val="10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55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8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71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81" w:type="dxa"/>
            <w:gridSpan w:val="4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1367" w:hRule="atLeast"/>
        </w:trPr>
        <w:tc>
          <w:tcPr>
            <w:tcW w:w="67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7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1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205　</w:t>
            </w:r>
          </w:p>
        </w:tc>
        <w:tc>
          <w:tcPr>
            <w:tcW w:w="47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教育支出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教育管理事务</w:t>
            </w:r>
          </w:p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205　</w:t>
            </w:r>
          </w:p>
        </w:tc>
        <w:tc>
          <w:tcPr>
            <w:tcW w:w="47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01　</w:t>
            </w:r>
          </w:p>
        </w:tc>
        <w:tc>
          <w:tcPr>
            <w:tcW w:w="51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99　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其他教育管理事务支出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宗教人士培训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585" w:hRule="atLeast"/>
        </w:trPr>
        <w:tc>
          <w:tcPr>
            <w:tcW w:w="67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  <w:t>合 计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1"/>
          <w:szCs w:val="21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8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9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昌吉回族自治州社会主义学院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60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</w:t>
      </w:r>
      <w:r>
        <w:rPr>
          <w:rFonts w:hint="eastAsia" w:ascii="黑体" w:hAnsi="黑体" w:eastAsia="黑体"/>
          <w:kern w:val="0"/>
          <w:sz w:val="32"/>
          <w:szCs w:val="32"/>
        </w:rPr>
        <w:t>预算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按照全口径预算的原则，社会主义学院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收入预算包括：一般公共预算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比上年预算增加12.01万元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0.88%，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工作人员调整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较比上年预算增加。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583.27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比上年预算减少157.99万元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21.31%，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工作人员调整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，工资福利支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出增加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12.01万元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，物业管理费支出减少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26.98%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1264.92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主要用于人员经费、公用经费及开展宗教人士培训工作项目支出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47.53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主要用于机关事业单位基本养老保险缴费支出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33.29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行政事业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单位医疗、公务员医疗补助、其他行政事业单位医疗支出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7.53万元，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用于在职职工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1383.27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583.27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减少157.99万元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21.31%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主要原因是：工作人员调整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，工资福利支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出增加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12.01万元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，物业管理费支出减少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26.98%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是：物业管理费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教育支出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1264.92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，占9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47.53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3.44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 xml:space="preserve">33.29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2.41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教育支出（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）教育管理事务（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款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）其他教育管理事务（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1264.92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列入此款类项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）行政事业单位养老支出（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款</w:t>
      </w:r>
      <w:r>
        <w:rPr>
          <w:rFonts w:hint="eastAsia" w:ascii="仿宋" w:hAnsi="仿宋" w:eastAsia="仿宋" w:cs="仿宋"/>
          <w:kern w:val="0"/>
          <w:sz w:val="32"/>
          <w:szCs w:val="32"/>
        </w:rPr>
        <w:t>）事业单位离退休（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5.26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5.26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万元，增长100%，主要原因是：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事业单位离退休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列入此款类项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）行政事业单位养老支出（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）机关事业单位基本养老保险缴费支出（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）: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42.27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比上年预算增加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8.07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23.6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调标增资及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工作人员调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整，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基数增加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（款）行政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单位医疗（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）: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6.27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比上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年预算增加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6.27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万元，增长100%，主要原因是：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行政人员医疗支出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列入此款类项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事业单位医疗（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18.83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14.12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42.85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本年机关事业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单位医疗保险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.卫生健康支出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）: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kern w:val="0"/>
          <w:sz w:val="32"/>
          <w:szCs w:val="32"/>
        </w:rPr>
        <w:t>3万元，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25.4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本年机关事业单位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.卫生健康支出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其他行政事业单位医疗补助（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）: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.26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</w:rPr>
        <w:t>0.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66.67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本年机关事业单位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其他行政事业单位医疗补助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住房保障支出（类）住房改革支出（款）住房公积金（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项）：2022年预算数为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7.53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万元，增长100%，主要原因是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上年度住房公积金未列入此款类项中。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583.27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507.7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基本工资、津贴补贴、奖金、绩效工资、机关事业单位基本养老保险缴费、职工基本医疗保险缴费、公务员医疗补助缴费、其他社会保障缴费、住房公积金、其他工资福利支出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、离休费、生活补助、奖励金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办公费、邮电费、取暖费、维修(护)费、委托业务费、工会经费、福利费、公务用车运行维护费、其他商品和服务支出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项目名称：宗教人士培训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设立的政策依据：自治区党委统战部、自治区民委关于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伊斯兰教爱国宗教人士集中培训方案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本年度财政预算拨付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昌吉回族自治州社会主义学院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宗教人士培训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，其中：培训业务工作保障性支出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500万元，委托第三方培训经费300万元。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年1月1日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</w:t>
      </w:r>
      <w:r>
        <w:rPr>
          <w:rFonts w:ascii="仿宋_GB2312" w:hAnsi="宋体" w:eastAsia="仿宋_GB2312" w:cs="宋体"/>
          <w:kern w:val="0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比上年增加0万元，增长0%</w:t>
      </w:r>
      <w:r>
        <w:rPr>
          <w:rFonts w:ascii="仿宋_GB2312" w:hAnsi="宋体" w:eastAsia="仿宋_GB2312" w:cs="宋体"/>
          <w:kern w:val="0"/>
          <w:sz w:val="32"/>
          <w:szCs w:val="32"/>
        </w:rPr>
        <w:t>，主要原因是我单位严格执行中央八项规定和自治区十条规定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因公出国（境）预算；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公务用车购置费0万元，比上年增加0万元，增长0%，主要原因是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我单位严格执行中央八项规定和自治区十条规定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未安排公务用车购置费</w:t>
      </w:r>
      <w:r>
        <w:rPr>
          <w:rFonts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宗教人士及党外人士培训工作任务重，为了做好送学工作，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</w:t>
      </w:r>
      <w:r>
        <w:rPr>
          <w:rFonts w:ascii="仿宋_GB2312" w:hAnsi="宋体" w:eastAsia="仿宋_GB2312" w:cs="宋体"/>
          <w:kern w:val="0"/>
          <w:sz w:val="32"/>
          <w:szCs w:val="32"/>
        </w:rPr>
        <w:t>原因是我单位严格执行中央八项规定和自治区十条规定，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公务接待费预算。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205.75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本年度物业管理费列入项目支出预算，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昌吉回族自治州社会主义学院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474.5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135.3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万元，政府采购工程预算0万元，政府采购服务预算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339.2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/>
          <w:sz w:val="32"/>
          <w:highlight w:val="none"/>
        </w:rPr>
        <w:t>年度本部门面向中小企业预留政府采购项目预算金额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474.5</w:t>
      </w:r>
      <w:r>
        <w:rPr>
          <w:rFonts w:hint="eastAsia" w:ascii="仿宋_GB2312" w:hAnsi="仿宋_GB2312" w:eastAsia="仿宋_GB2312"/>
          <w:sz w:val="32"/>
          <w:highlight w:val="none"/>
        </w:rPr>
        <w:t>万元，其中：面向小微企业预留政府采购项目预算金额0万元。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年底，部门及下属各预算单位占用使用国有资产总体情况为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1.房屋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32202</w:t>
      </w:r>
      <w:r>
        <w:rPr>
          <w:rFonts w:hint="eastAsia" w:ascii="仿宋" w:hAnsi="仿宋" w:eastAsia="仿宋" w:cs="仿宋"/>
          <w:kern w:val="0"/>
          <w:sz w:val="32"/>
          <w:szCs w:val="32"/>
        </w:rPr>
        <w:t>.79 平方米，价值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6279.8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2.车辆 1 辆，价值 19.77万元；其中：一般公务用车  1辆，价值19.77万元。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3.办公家具价值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120.45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4.其他资产价值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156.63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昌吉回族自治州社会主义学院2022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部门预算未安排购置车辆经费，安排购置50万元以上大型设备0台（套），单位价值100万元以上大型设备0台（套）。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1个，涉及预算金额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tbl>
      <w:tblPr>
        <w:tblStyle w:val="7"/>
        <w:tblpPr w:leftFromText="180" w:rightFromText="180" w:vertAnchor="text" w:horzAnchor="page" w:tblpX="1335" w:tblpY="633"/>
        <w:tblOverlap w:val="never"/>
        <w:tblW w:w="95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512"/>
        <w:gridCol w:w="153"/>
        <w:gridCol w:w="714"/>
        <w:gridCol w:w="1735"/>
        <w:gridCol w:w="867"/>
        <w:gridCol w:w="567"/>
        <w:gridCol w:w="1167"/>
        <w:gridCol w:w="1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社会主义学院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宗教人士及党外人士培训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培训无党派及民主党派人，少数民族，宗教界非公有制经济等统一战线方面代表人士，学习研究和宣传党的统一战线理论方针和政策。目标1.全年培训学员人数1150人;全年培训班20次；培训天数100天；学员毕业合格率95%；学员培训出勤率98%；培训按时完成率95%。目标2.保障新疆长治久安；常态化培训可持续为新疆大局稳定做贡献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全年培训学员人数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&gt;=1150人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全年培训班次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&gt;=20次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&gt;=100天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学员毕业合格率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学员培训出勤率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完成培训截止时间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培训按时及时率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培训业务工作保障经费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&lt;=500万元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委托第三方培训经费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&lt;=300万元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保障新疆长治久安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常态化培训可持续为新疆大局稳定做贡献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21"/>
          <w:szCs w:val="21"/>
        </w:rPr>
      </w:pPr>
    </w:p>
    <w:p>
      <w:pPr>
        <w:widowControl/>
        <w:spacing w:line="4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昌吉回族自治州社会主义学院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320EE"/>
    <w:rsid w:val="005602EA"/>
    <w:rsid w:val="00567073"/>
    <w:rsid w:val="0059125F"/>
    <w:rsid w:val="005C3ABC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204A1"/>
    <w:rsid w:val="00A57575"/>
    <w:rsid w:val="00AB1984"/>
    <w:rsid w:val="00B94A73"/>
    <w:rsid w:val="00BF666E"/>
    <w:rsid w:val="00CB5FA7"/>
    <w:rsid w:val="00D85033"/>
    <w:rsid w:val="00DA2829"/>
    <w:rsid w:val="00E51C21"/>
    <w:rsid w:val="00F105A9"/>
    <w:rsid w:val="02073E9C"/>
    <w:rsid w:val="035D6505"/>
    <w:rsid w:val="092B7058"/>
    <w:rsid w:val="103F5174"/>
    <w:rsid w:val="171E6DE3"/>
    <w:rsid w:val="196B2060"/>
    <w:rsid w:val="19994418"/>
    <w:rsid w:val="1B5434A9"/>
    <w:rsid w:val="1BF56995"/>
    <w:rsid w:val="3284551C"/>
    <w:rsid w:val="3FAF52B3"/>
    <w:rsid w:val="41017182"/>
    <w:rsid w:val="440953A6"/>
    <w:rsid w:val="4D1B7BCD"/>
    <w:rsid w:val="558E3CE5"/>
    <w:rsid w:val="56836752"/>
    <w:rsid w:val="582027E3"/>
    <w:rsid w:val="5A8D2EF1"/>
    <w:rsid w:val="5B7602B3"/>
    <w:rsid w:val="67C74FD5"/>
    <w:rsid w:val="6C741971"/>
    <w:rsid w:val="779E3F83"/>
    <w:rsid w:val="7EB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3 Char"/>
    <w:link w:val="5"/>
    <w:qFormat/>
    <w:uiPriority w:val="0"/>
    <w:rPr>
      <w:rFonts w:eastAsia="仿宋_GB2312"/>
      <w:sz w:val="32"/>
      <w:szCs w:val="24"/>
    </w:rPr>
  </w:style>
  <w:style w:type="character" w:customStyle="1" w:styleId="10">
    <w:name w:val="页脚 Char"/>
    <w:link w:val="3"/>
    <w:qFormat/>
    <w:uiPriority w:val="99"/>
    <w:rPr>
      <w:rFonts w:eastAsia="黑体"/>
      <w:sz w:val="18"/>
      <w:szCs w:val="18"/>
    </w:rPr>
  </w:style>
  <w:style w:type="character" w:customStyle="1" w:styleId="11">
    <w:name w:val="批注框文本 Char"/>
    <w:link w:val="2"/>
    <w:semiHidden/>
    <w:qFormat/>
    <w:uiPriority w:val="0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48B4E-5249-4FCD-8BAB-E4D38F3CC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7105</Words>
  <Characters>8949</Characters>
  <Lines>76</Lines>
  <Paragraphs>21</Paragraphs>
  <TotalTime>0</TotalTime>
  <ScaleCrop>false</ScaleCrop>
  <LinksUpToDate>false</LinksUpToDate>
  <CharactersWithSpaces>9645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1</cp:lastModifiedBy>
  <cp:lastPrinted>2021-02-07T13:18:00Z</cp:lastPrinted>
  <dcterms:modified xsi:type="dcterms:W3CDTF">2022-04-10T11:22:43Z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A9CD721FEF6345B9AA49CF971C0B0282</vt:lpwstr>
  </property>
</Properties>
</file>