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pPr>
      <w:bookmarkStart w:id="0" w:name="_Hlk81493718"/>
      <w:bookmarkEnd w:id="0"/>
      <w:bookmarkStart w:id="1" w:name="_Hlk57883707"/>
      <w:r>
        <w:rPr>
          <w:rFonts w:hint="eastAsia"/>
        </w:rPr>
        <w:t xml:space="preserve"> </w:t>
      </w:r>
      <w:r>
        <w:t xml:space="preserve">  </w:t>
      </w:r>
    </w:p>
    <w:p>
      <w:pPr>
        <w:rPr>
          <w:rFonts w:ascii="仿宋_GB2312" w:hAnsi="仿宋_GB2312" w:eastAsia="仿宋_GB2312" w:cs="仿宋_GB2312"/>
          <w:sz w:val="36"/>
          <w:szCs w:val="36"/>
        </w:rPr>
      </w:pPr>
    </w:p>
    <w:bookmarkEnd w:id="1"/>
    <w:p>
      <w:pPr>
        <w:rPr>
          <w:rFonts w:ascii="仿宋_GB2312" w:hAnsi="仿宋_GB2312" w:eastAsia="仿宋_GB2312" w:cs="仿宋_GB2312"/>
          <w:sz w:val="36"/>
          <w:szCs w:val="36"/>
        </w:rPr>
      </w:pPr>
    </w:p>
    <w:p>
      <w:pPr>
        <w:pStyle w:val="55"/>
      </w:pPr>
      <w:bookmarkStart w:id="2" w:name="_Hlk89789305"/>
    </w:p>
    <w:p>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（生态影响类）</w:t>
      </w:r>
    </w:p>
    <w:p>
      <w:pPr>
        <w:ind w:firstLine="1040"/>
        <w:rPr>
          <w:rFonts w:eastAsia="仿宋"/>
          <w:sz w:val="44"/>
          <w:szCs w:val="44"/>
        </w:rPr>
      </w:pPr>
      <w:bookmarkStart w:id="3" w:name="_Hlk57883728"/>
    </w:p>
    <w:p>
      <w:pPr>
        <w:ind w:firstLine="1040"/>
        <w:rPr>
          <w:rFonts w:eastAsia="仿宋"/>
          <w:sz w:val="44"/>
          <w:szCs w:val="44"/>
        </w:rPr>
      </w:pPr>
    </w:p>
    <w:p>
      <w:pPr>
        <w:ind w:firstLine="1040"/>
        <w:jc w:val="center"/>
        <w:rPr>
          <w:rFonts w:eastAsia="仿宋"/>
          <w:sz w:val="44"/>
          <w:szCs w:val="44"/>
        </w:rPr>
      </w:pPr>
    </w:p>
    <w:p>
      <w:pPr>
        <w:ind w:firstLine="1040"/>
        <w:rPr>
          <w:rFonts w:eastAsia="仿宋"/>
          <w:sz w:val="44"/>
          <w:szCs w:val="44"/>
        </w:rPr>
      </w:pPr>
    </w:p>
    <w:p>
      <w:pPr>
        <w:ind w:firstLine="1040"/>
        <w:rPr>
          <w:rFonts w:eastAsia="仿宋"/>
          <w:sz w:val="44"/>
          <w:szCs w:val="44"/>
        </w:rPr>
      </w:pPr>
    </w:p>
    <w:bookmarkEnd w:id="3"/>
    <w:p>
      <w:pPr>
        <w:ind w:firstLine="1040"/>
        <w:rPr>
          <w:rFonts w:eastAsia="仿宋"/>
          <w:sz w:val="44"/>
          <w:szCs w:val="44"/>
        </w:rPr>
      </w:pPr>
    </w:p>
    <w:p>
      <w:pPr>
        <w:adjustRightInd w:val="0"/>
        <w:snapToGrid w:val="0"/>
        <w:spacing w:line="288" w:lineRule="auto"/>
        <w:ind w:left="2591" w:leftChars="472" w:hanging="1600" w:hangingChars="500"/>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康10H井勘探钻探项目</w:t>
      </w:r>
    </w:p>
    <w:p>
      <w:pPr>
        <w:adjustRightInd w:val="0"/>
        <w:snapToGrid w:val="0"/>
        <w:spacing w:line="288" w:lineRule="auto"/>
        <w:ind w:firstLine="1040"/>
        <w:rPr>
          <w:rFonts w:ascii="仿宋_GB2312" w:eastAsia="仿宋_GB2312"/>
          <w:sz w:val="32"/>
          <w:szCs w:val="32"/>
          <w:u w:val="single"/>
        </w:rPr>
      </w:pPr>
      <w:r>
        <w:rPr>
          <w:rFonts w:hint="eastAsia" w:ascii="仿宋_GB2312" w:eastAsia="仿宋_GB2312"/>
          <w:spacing w:val="1"/>
          <w:w w:val="96"/>
          <w:kern w:val="0"/>
          <w:sz w:val="32"/>
          <w:szCs w:val="32"/>
          <w:fitText w:val="7680" w:id="-1544371456"/>
        </w:rPr>
        <w:t>建设单位（盖章）：</w:t>
      </w:r>
      <w:bookmarkStart w:id="4" w:name="_Hlk90631027"/>
      <w:r>
        <w:rPr>
          <w:rFonts w:hint="eastAsia" w:ascii="仿宋_GB2312" w:eastAsia="仿宋_GB2312"/>
          <w:spacing w:val="1"/>
          <w:w w:val="96"/>
          <w:kern w:val="0"/>
          <w:sz w:val="32"/>
          <w:szCs w:val="32"/>
          <w:u w:val="single"/>
          <w:fitText w:val="7680" w:id="-1544371456"/>
        </w:rPr>
        <w:t>中国石油新疆油田分公司勘探事业</w:t>
      </w:r>
      <w:r>
        <w:rPr>
          <w:rFonts w:hint="eastAsia" w:ascii="仿宋_GB2312" w:eastAsia="仿宋_GB2312"/>
          <w:spacing w:val="0"/>
          <w:w w:val="96"/>
          <w:kern w:val="0"/>
          <w:sz w:val="32"/>
          <w:szCs w:val="32"/>
          <w:u w:val="single"/>
          <w:fitText w:val="7680" w:id="-1544371456"/>
        </w:rPr>
        <w:t>部</w:t>
      </w:r>
      <w:bookmarkEnd w:id="4"/>
    </w:p>
    <w:p>
      <w:pPr>
        <w:adjustRightInd w:val="0"/>
        <w:snapToGrid w:val="0"/>
        <w:spacing w:line="288" w:lineRule="auto"/>
        <w:ind w:firstLine="1040"/>
        <w:rPr>
          <w:rFonts w:ascii="仿宋_GB2312" w:eastAsia="仿宋_GB2312"/>
          <w:sz w:val="32"/>
          <w:szCs w:val="32"/>
          <w:u w:val="single"/>
        </w:rPr>
      </w:pPr>
      <w:r>
        <w:rPr>
          <w:rFonts w:hint="eastAsia" w:ascii="仿宋_GB2312" w:eastAsia="仿宋_GB2312"/>
          <w:sz w:val="32"/>
          <w:szCs w:val="32"/>
        </w:rPr>
        <w:t>编制日期：</w:t>
      </w:r>
      <w:r>
        <w:rPr>
          <w:rFonts w:ascii="仿宋_GB2312" w:eastAsia="仿宋_GB2312"/>
          <w:sz w:val="32"/>
          <w:szCs w:val="32"/>
          <w:u w:val="single"/>
        </w:rPr>
        <w:t>2022</w:t>
      </w:r>
      <w:r>
        <w:rPr>
          <w:rFonts w:hint="eastAsia" w:ascii="仿宋_GB2312" w:eastAsia="仿宋_GB2312"/>
          <w:sz w:val="32"/>
          <w:szCs w:val="32"/>
          <w:u w:val="single"/>
        </w:rPr>
        <w:t>年</w:t>
      </w:r>
      <w:r>
        <w:rPr>
          <w:rFonts w:ascii="仿宋_GB2312" w:eastAsia="仿宋_GB2312"/>
          <w:sz w:val="32"/>
          <w:szCs w:val="32"/>
          <w:u w:val="single"/>
        </w:rPr>
        <w:t>4</w:t>
      </w:r>
      <w:r>
        <w:rPr>
          <w:rFonts w:hint="eastAsia" w:ascii="仿宋_GB2312" w:eastAsia="仿宋_GB2312"/>
          <w:sz w:val="32"/>
          <w:szCs w:val="32"/>
          <w:u w:val="single"/>
        </w:rPr>
        <w:t>月</w:t>
      </w:r>
    </w:p>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jc w:val="center"/>
        <w:rPr>
          <w:sz w:val="24"/>
        </w:rPr>
      </w:pPr>
      <w:r>
        <w:rPr>
          <w:rFonts w:hint="eastAsia" w:ascii="楷体_GB2312" w:eastAsia="楷体_GB2312"/>
          <w:sz w:val="36"/>
          <w:szCs w:val="36"/>
        </w:rPr>
        <w:t>中华人民共和国生态环境部制</w:t>
      </w:r>
      <w:bookmarkEnd w:id="2"/>
    </w:p>
    <w:p>
      <w:pPr>
        <w:widowControl/>
        <w:jc w:val="left"/>
        <w:sectPr>
          <w:footerReference r:id="rId5" w:type="first"/>
          <w:footerReference r:id="rId3" w:type="default"/>
          <w:footerReference r:id="rId4" w:type="even"/>
          <w:type w:val="nextColumn"/>
          <w:pgSz w:w="11910" w:h="16840"/>
          <w:pgMar w:top="1418" w:right="1588" w:bottom="1418" w:left="1588" w:header="720" w:footer="1055" w:gutter="0"/>
          <w:cols w:space="720" w:num="1"/>
        </w:sectPr>
      </w:pPr>
    </w:p>
    <w:p>
      <w:pPr>
        <w:pStyle w:val="2"/>
        <w:rPr>
          <w:snapToGrid w:val="0"/>
        </w:rPr>
      </w:pPr>
      <w:r>
        <w:rPr>
          <w:rFonts w:hint="eastAsia"/>
          <w:snapToGrid w:val="0"/>
        </w:rPr>
        <w:t>一、建设项目基本情况</w:t>
      </w:r>
    </w:p>
    <w:tbl>
      <w:tblPr>
        <w:tblStyle w:val="17"/>
        <w:tblW w:w="8647" w:type="dxa"/>
        <w:tblInd w:w="-15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8"/>
        <w:gridCol w:w="623"/>
        <w:gridCol w:w="610"/>
        <w:gridCol w:w="803"/>
        <w:gridCol w:w="1750"/>
        <w:gridCol w:w="1227"/>
        <w:gridCol w:w="44"/>
        <w:gridCol w:w="29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84"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bookmarkStart w:id="5" w:name="_Hlk75966669"/>
            <w:r>
              <w:rPr>
                <w:rFonts w:hint="eastAsia" w:ascii="宋体" w:hAnsi="宋体" w:cs="宋体"/>
                <w:sz w:val="24"/>
              </w:rPr>
              <w:t>建设项目名称</w:t>
            </w:r>
          </w:p>
        </w:tc>
        <w:tc>
          <w:tcPr>
            <w:tcW w:w="7366" w:type="dxa"/>
            <w:gridSpan w:val="6"/>
            <w:vAlign w:val="center"/>
          </w:tcPr>
          <w:p>
            <w:pPr>
              <w:adjustRightInd w:val="0"/>
              <w:snapToGrid w:val="0"/>
              <w:jc w:val="center"/>
              <w:rPr>
                <w:rFonts w:ascii="宋体" w:hAnsi="宋体" w:cs="宋体"/>
                <w:sz w:val="24"/>
              </w:rPr>
            </w:pPr>
            <w:r>
              <w:rPr>
                <w:rFonts w:hint="eastAsia" w:ascii="宋体" w:hAnsi="宋体" w:cs="宋体"/>
                <w:sz w:val="24"/>
              </w:rPr>
              <w:t>康10H井勘探钻探项目</w:t>
            </w:r>
          </w:p>
        </w:tc>
      </w:tr>
      <w:bookmarkEnd w:id="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项目代码</w:t>
            </w:r>
          </w:p>
        </w:tc>
        <w:tc>
          <w:tcPr>
            <w:tcW w:w="7366" w:type="dxa"/>
            <w:gridSpan w:val="6"/>
            <w:vAlign w:val="center"/>
          </w:tcPr>
          <w:p>
            <w:pPr>
              <w:adjustRightInd w:val="0"/>
              <w:snapToGrid w:val="0"/>
              <w:jc w:val="center"/>
              <w:rPr>
                <w:rFonts w:ascii="宋体" w:hAnsi="宋体" w:cs="宋体"/>
                <w:sz w:val="24"/>
              </w:rPr>
            </w:pPr>
            <w:r>
              <w:rPr>
                <w:rFonts w:hint="eastAsia" w:ascii="宋体" w:hAnsi="宋体" w:cs="宋体"/>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建设单位联系人</w:t>
            </w:r>
          </w:p>
        </w:tc>
        <w:tc>
          <w:tcPr>
            <w:tcW w:w="3163" w:type="dxa"/>
            <w:gridSpan w:val="3"/>
            <w:vAlign w:val="center"/>
          </w:tcPr>
          <w:p>
            <w:pPr>
              <w:adjustRightInd w:val="0"/>
              <w:snapToGrid w:val="0"/>
              <w:jc w:val="center"/>
              <w:rPr>
                <w:rFonts w:ascii="宋体" w:hAnsi="宋体" w:cs="宋体"/>
                <w:sz w:val="24"/>
              </w:rPr>
            </w:pPr>
            <w:r>
              <w:rPr>
                <w:rFonts w:hint="eastAsia" w:ascii="宋体" w:hAnsi="宋体" w:cs="宋体"/>
                <w:sz w:val="24"/>
              </w:rPr>
              <w:t>郑以华</w:t>
            </w:r>
          </w:p>
        </w:tc>
        <w:tc>
          <w:tcPr>
            <w:tcW w:w="1271" w:type="dxa"/>
            <w:gridSpan w:val="2"/>
            <w:vAlign w:val="center"/>
          </w:tcPr>
          <w:p>
            <w:pPr>
              <w:adjustRightInd w:val="0"/>
              <w:snapToGrid w:val="0"/>
              <w:jc w:val="center"/>
              <w:rPr>
                <w:rFonts w:ascii="宋体" w:hAnsi="宋体" w:cs="宋体"/>
                <w:sz w:val="24"/>
              </w:rPr>
            </w:pPr>
            <w:r>
              <w:rPr>
                <w:rFonts w:hint="eastAsia" w:ascii="宋体" w:hAnsi="宋体" w:cs="宋体"/>
                <w:sz w:val="24"/>
              </w:rPr>
              <w:t>联系方式</w:t>
            </w:r>
          </w:p>
        </w:tc>
        <w:tc>
          <w:tcPr>
            <w:tcW w:w="2932" w:type="dxa"/>
            <w:vAlign w:val="center"/>
          </w:tcPr>
          <w:p>
            <w:pPr>
              <w:adjustRightInd w:val="0"/>
              <w:snapToGrid w:val="0"/>
              <w:jc w:val="center"/>
              <w:rPr>
                <w:rFonts w:ascii="宋体" w:hAnsi="宋体" w:cs="宋体"/>
                <w:bCs/>
                <w:sz w:val="24"/>
              </w:rPr>
            </w:pPr>
            <w:r>
              <w:rPr>
                <w:rFonts w:hint="eastAsia" w:ascii="宋体" w:hAnsi="宋体" w:cs="宋体"/>
                <w:bCs/>
                <w:sz w:val="24"/>
              </w:rPr>
              <w:t>13579520838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建设地点</w:t>
            </w:r>
          </w:p>
        </w:tc>
        <w:tc>
          <w:tcPr>
            <w:tcW w:w="7366" w:type="dxa"/>
            <w:gridSpan w:val="6"/>
            <w:vAlign w:val="center"/>
          </w:tcPr>
          <w:p>
            <w:pPr>
              <w:adjustRightInd w:val="0"/>
              <w:snapToGrid w:val="0"/>
              <w:jc w:val="center"/>
              <w:rPr>
                <w:rFonts w:ascii="宋体" w:hAnsi="宋体" w:cs="宋体"/>
                <w:sz w:val="24"/>
              </w:rPr>
            </w:pPr>
            <w:r>
              <w:rPr>
                <w:rFonts w:hint="eastAsia" w:ascii="宋体" w:hAnsi="宋体" w:cs="宋体"/>
                <w:sz w:val="24"/>
              </w:rPr>
              <w:t>新疆维吾尔自治区昌吉回族自治州阜康市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06"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地理坐标</w:t>
            </w:r>
          </w:p>
        </w:tc>
        <w:tc>
          <w:tcPr>
            <w:tcW w:w="7366" w:type="dxa"/>
            <w:gridSpan w:val="6"/>
            <w:vAlign w:val="center"/>
          </w:tcPr>
          <w:p>
            <w:pPr>
              <w:adjustRightInd w:val="0"/>
              <w:snapToGrid w:val="0"/>
              <w:jc w:val="center"/>
              <w:rPr>
                <w:rFonts w:ascii="宋体" w:hAnsi="宋体" w:cs="宋体"/>
                <w:sz w:val="24"/>
              </w:rPr>
            </w:pPr>
            <w:r>
              <w:rPr>
                <w:rFonts w:hint="eastAsia" w:ascii="宋体" w:hAnsi="宋体" w:cs="宋体"/>
                <w:sz w:val="24"/>
              </w:rPr>
              <w:t>东经</w:t>
            </w:r>
            <w:r>
              <w:rPr>
                <w:rFonts w:ascii="宋体" w:hAnsi="宋体" w:cs="宋体"/>
                <w:sz w:val="24"/>
              </w:rPr>
              <w:t>88</w:t>
            </w:r>
            <w:r>
              <w:rPr>
                <w:rFonts w:hint="eastAsia" w:ascii="宋体" w:hAnsi="宋体" w:cs="宋体"/>
                <w:sz w:val="24"/>
              </w:rPr>
              <w:t>度4</w:t>
            </w:r>
            <w:r>
              <w:rPr>
                <w:rFonts w:ascii="宋体" w:hAnsi="宋体" w:cs="宋体"/>
                <w:sz w:val="24"/>
              </w:rPr>
              <w:t>1</w:t>
            </w:r>
            <w:r>
              <w:rPr>
                <w:rFonts w:hint="eastAsia" w:ascii="宋体" w:hAnsi="宋体" w:cs="宋体"/>
                <w:sz w:val="24"/>
              </w:rPr>
              <w:t>分</w:t>
            </w:r>
            <w:r>
              <w:rPr>
                <w:rFonts w:ascii="宋体" w:hAnsi="宋体" w:cs="宋体"/>
                <w:sz w:val="24"/>
              </w:rPr>
              <w:t>29.950</w:t>
            </w:r>
            <w:r>
              <w:rPr>
                <w:rFonts w:hint="eastAsia" w:ascii="宋体" w:hAnsi="宋体" w:cs="宋体"/>
                <w:sz w:val="24"/>
              </w:rPr>
              <w:t>秒，北纬4</w:t>
            </w:r>
            <w:r>
              <w:rPr>
                <w:rFonts w:ascii="宋体" w:hAnsi="宋体" w:cs="宋体"/>
                <w:sz w:val="24"/>
              </w:rPr>
              <w:t>4</w:t>
            </w:r>
            <w:r>
              <w:rPr>
                <w:rFonts w:hint="eastAsia" w:ascii="宋体" w:hAnsi="宋体" w:cs="宋体"/>
                <w:sz w:val="24"/>
              </w:rPr>
              <w:t>度0</w:t>
            </w:r>
            <w:r>
              <w:rPr>
                <w:rFonts w:ascii="宋体" w:hAnsi="宋体" w:cs="宋体"/>
                <w:sz w:val="24"/>
              </w:rPr>
              <w:t>3</w:t>
            </w:r>
            <w:r>
              <w:rPr>
                <w:rFonts w:hint="eastAsia" w:ascii="宋体" w:hAnsi="宋体" w:cs="宋体"/>
                <w:sz w:val="24"/>
              </w:rPr>
              <w:t>分5</w:t>
            </w:r>
            <w:r>
              <w:rPr>
                <w:rFonts w:ascii="宋体" w:hAnsi="宋体" w:cs="宋体"/>
                <w:sz w:val="24"/>
              </w:rPr>
              <w:t>4.558</w:t>
            </w:r>
            <w:r>
              <w:rPr>
                <w:rFonts w:hint="eastAsia" w:ascii="宋体" w:hAnsi="宋体" w:cs="宋体"/>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15"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行业类别</w:t>
            </w:r>
          </w:p>
        </w:tc>
        <w:tc>
          <w:tcPr>
            <w:tcW w:w="3163" w:type="dxa"/>
            <w:gridSpan w:val="3"/>
            <w:vAlign w:val="center"/>
          </w:tcPr>
          <w:p>
            <w:pPr>
              <w:adjustRightInd w:val="0"/>
              <w:snapToGrid w:val="0"/>
              <w:ind w:left="-3" w:leftChars="-80" w:right="-118" w:rightChars="-56" w:hanging="165" w:hangingChars="69"/>
              <w:jc w:val="center"/>
              <w:rPr>
                <w:rFonts w:ascii="宋体" w:hAnsi="宋体" w:cs="宋体"/>
                <w:sz w:val="24"/>
              </w:rPr>
            </w:pPr>
            <w:r>
              <w:rPr>
                <w:rFonts w:hint="eastAsia" w:ascii="宋体" w:hAnsi="宋体" w:cs="宋体"/>
                <w:sz w:val="24"/>
              </w:rPr>
              <w:t>四十六、专业技术服务</w:t>
            </w:r>
          </w:p>
          <w:p>
            <w:pPr>
              <w:adjustRightInd w:val="0"/>
              <w:snapToGrid w:val="0"/>
              <w:ind w:left="-3" w:leftChars="-80" w:right="-118" w:rightChars="-56" w:hanging="165" w:hangingChars="69"/>
              <w:jc w:val="center"/>
              <w:rPr>
                <w:rFonts w:ascii="宋体" w:hAnsi="宋体" w:cs="宋体"/>
                <w:sz w:val="24"/>
              </w:rPr>
            </w:pPr>
            <w:r>
              <w:rPr>
                <w:rFonts w:hint="eastAsia" w:ascii="宋体" w:hAnsi="宋体" w:cs="宋体"/>
                <w:sz w:val="24"/>
              </w:rPr>
              <w:t>业99陆地矿产资源地质</w:t>
            </w:r>
          </w:p>
          <w:p>
            <w:pPr>
              <w:adjustRightInd w:val="0"/>
              <w:snapToGrid w:val="0"/>
              <w:ind w:left="-2" w:leftChars="-1" w:right="-118" w:rightChars="-56" w:firstLine="2"/>
              <w:jc w:val="center"/>
              <w:rPr>
                <w:rFonts w:ascii="宋体" w:hAnsi="宋体" w:cs="宋体"/>
                <w:sz w:val="24"/>
              </w:rPr>
            </w:pPr>
            <w:r>
              <w:rPr>
                <w:rFonts w:hint="eastAsia" w:ascii="宋体" w:hAnsi="宋体" w:cs="宋体"/>
                <w:sz w:val="24"/>
              </w:rPr>
              <w:t>勘查（含油气资源勘探）</w:t>
            </w:r>
          </w:p>
        </w:tc>
        <w:tc>
          <w:tcPr>
            <w:tcW w:w="1271" w:type="dxa"/>
            <w:gridSpan w:val="2"/>
            <w:vAlign w:val="center"/>
          </w:tcPr>
          <w:p>
            <w:pPr>
              <w:adjustRightInd w:val="0"/>
              <w:snapToGrid w:val="0"/>
              <w:jc w:val="center"/>
              <w:rPr>
                <w:rFonts w:ascii="宋体" w:hAnsi="宋体" w:cs="宋体"/>
                <w:sz w:val="24"/>
              </w:rPr>
            </w:pPr>
            <w:r>
              <w:rPr>
                <w:rFonts w:hint="eastAsia" w:ascii="宋体" w:hAnsi="宋体" w:cs="宋体"/>
                <w:sz w:val="24"/>
              </w:rPr>
              <w:t>用地面积（</w:t>
            </w:r>
            <w:r>
              <w:rPr>
                <w:rFonts w:ascii="宋体" w:hAnsi="宋体" w:cs="宋体"/>
                <w:sz w:val="24"/>
              </w:rPr>
              <w:t>m</w:t>
            </w:r>
            <w:r>
              <w:rPr>
                <w:rFonts w:ascii="宋体" w:hAnsi="宋体" w:cs="宋体"/>
                <w:sz w:val="24"/>
                <w:vertAlign w:val="superscript"/>
              </w:rPr>
              <w:t>2</w:t>
            </w:r>
            <w:r>
              <w:rPr>
                <w:rFonts w:hint="eastAsia" w:ascii="宋体" w:hAnsi="宋体" w:cs="宋体"/>
                <w:sz w:val="24"/>
              </w:rPr>
              <w:t>）</w:t>
            </w:r>
            <w:r>
              <w:rPr>
                <w:rFonts w:ascii="宋体" w:hAnsi="宋体" w:cs="宋体"/>
                <w:sz w:val="24"/>
              </w:rPr>
              <w:t>/</w:t>
            </w:r>
            <w:r>
              <w:rPr>
                <w:rFonts w:hint="eastAsia" w:ascii="宋体" w:hAnsi="宋体" w:cs="宋体"/>
                <w:sz w:val="24"/>
              </w:rPr>
              <w:t>长度（</w:t>
            </w:r>
            <w:r>
              <w:rPr>
                <w:rFonts w:ascii="宋体" w:hAnsi="宋体" w:cs="宋体"/>
                <w:sz w:val="24"/>
              </w:rPr>
              <w:t>km</w:t>
            </w:r>
            <w:r>
              <w:rPr>
                <w:rFonts w:hint="eastAsia" w:ascii="宋体" w:hAnsi="宋体" w:cs="宋体"/>
                <w:sz w:val="24"/>
              </w:rPr>
              <w:t>）</w:t>
            </w:r>
          </w:p>
        </w:tc>
        <w:tc>
          <w:tcPr>
            <w:tcW w:w="2932" w:type="dxa"/>
            <w:vAlign w:val="center"/>
          </w:tcPr>
          <w:p>
            <w:pPr>
              <w:adjustRightInd w:val="0"/>
              <w:snapToGrid w:val="0"/>
              <w:jc w:val="center"/>
              <w:rPr>
                <w:rFonts w:ascii="宋体" w:hAnsi="宋体" w:cs="宋体"/>
                <w:sz w:val="24"/>
                <w:vertAlign w:val="superscript"/>
              </w:rPr>
            </w:pPr>
            <w:r>
              <w:rPr>
                <w:rFonts w:ascii="宋体" w:hAnsi="宋体" w:cs="宋体"/>
                <w:sz w:val="24"/>
              </w:rPr>
              <w:t>15550</w:t>
            </w:r>
            <w:r>
              <w:rPr>
                <w:rFonts w:hint="eastAsia" w:ascii="宋体" w:hAnsi="宋体" w:cs="宋体"/>
                <w:sz w:val="24"/>
              </w:rPr>
              <w:t>（临时用地）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4"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建设性质</w:t>
            </w:r>
          </w:p>
        </w:tc>
        <w:tc>
          <w:tcPr>
            <w:tcW w:w="3163" w:type="dxa"/>
            <w:gridSpan w:val="3"/>
            <w:vAlign w:val="center"/>
          </w:tcPr>
          <w:p>
            <w:pPr>
              <w:adjustRightInd w:val="0"/>
              <w:snapToGrid w:val="0"/>
              <w:jc w:val="left"/>
              <w:rPr>
                <w:rFonts w:ascii="宋体" w:hAnsi="宋体" w:cs="宋体"/>
                <w:sz w:val="24"/>
              </w:rPr>
            </w:pPr>
            <w:r>
              <w:rPr>
                <w:rFonts w:hint="eastAsia" w:ascii="宋体" w:hAnsi="宋体" w:cs="宋体"/>
                <w:sz w:val="24"/>
              </w:rPr>
              <w:sym w:font="Wingdings 2" w:char="F052"/>
            </w:r>
            <w:r>
              <w:rPr>
                <w:rFonts w:hint="eastAsia" w:ascii="宋体" w:hAnsi="宋体" w:cs="宋体"/>
                <w:sz w:val="24"/>
              </w:rPr>
              <w:t>新建（迁建）</w:t>
            </w:r>
          </w:p>
          <w:p>
            <w:pPr>
              <w:adjustRightInd w:val="0"/>
              <w:snapToGrid w:val="0"/>
              <w:jc w:val="left"/>
              <w:rPr>
                <w:rFonts w:ascii="宋体" w:hAnsi="宋体" w:cs="宋体"/>
                <w:sz w:val="24"/>
              </w:rPr>
            </w:pPr>
            <w:r>
              <w:rPr>
                <w:rFonts w:hint="eastAsia" w:ascii="宋体" w:hAnsi="宋体" w:cs="宋体"/>
                <w:sz w:val="24"/>
              </w:rPr>
              <w:t>□改建</w:t>
            </w:r>
          </w:p>
          <w:p>
            <w:pPr>
              <w:adjustRightInd w:val="0"/>
              <w:snapToGrid w:val="0"/>
              <w:jc w:val="left"/>
              <w:rPr>
                <w:rFonts w:ascii="宋体" w:hAnsi="宋体" w:cs="宋体"/>
                <w:sz w:val="24"/>
              </w:rPr>
            </w:pPr>
            <w:r>
              <w:rPr>
                <w:rFonts w:hint="eastAsia" w:ascii="宋体" w:hAnsi="宋体" w:cs="宋体"/>
                <w:sz w:val="24"/>
              </w:rPr>
              <w:t>□扩建</w:t>
            </w:r>
          </w:p>
          <w:p>
            <w:pPr>
              <w:adjustRightInd w:val="0"/>
              <w:snapToGrid w:val="0"/>
              <w:jc w:val="left"/>
              <w:rPr>
                <w:rFonts w:ascii="宋体" w:hAnsi="宋体" w:cs="宋体"/>
                <w:sz w:val="24"/>
              </w:rPr>
            </w:pPr>
            <w:r>
              <w:rPr>
                <w:rFonts w:hint="eastAsia" w:ascii="宋体" w:hAnsi="宋体" w:cs="宋体"/>
                <w:sz w:val="24"/>
              </w:rPr>
              <w:t>□技术改造</w:t>
            </w:r>
          </w:p>
        </w:tc>
        <w:tc>
          <w:tcPr>
            <w:tcW w:w="1271" w:type="dxa"/>
            <w:gridSpan w:val="2"/>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申报情形</w:t>
            </w:r>
          </w:p>
        </w:tc>
        <w:tc>
          <w:tcPr>
            <w:tcW w:w="2932" w:type="dxa"/>
            <w:vAlign w:val="center"/>
          </w:tcPr>
          <w:p>
            <w:pPr>
              <w:adjustRightInd w:val="0"/>
              <w:snapToGrid w:val="0"/>
              <w:jc w:val="left"/>
              <w:rPr>
                <w:rFonts w:ascii="宋体" w:hAnsi="宋体" w:cs="宋体"/>
                <w:sz w:val="24"/>
              </w:rPr>
            </w:pPr>
            <w:r>
              <w:rPr>
                <w:rFonts w:hint="eastAsia" w:ascii="宋体" w:hAnsi="宋体" w:cs="宋体"/>
                <w:sz w:val="24"/>
              </w:rPr>
              <w:sym w:font="Wingdings 2" w:char="F052"/>
            </w:r>
            <w:r>
              <w:rPr>
                <w:rFonts w:hint="eastAsia" w:ascii="宋体" w:hAnsi="宋体" w:cs="宋体"/>
                <w:sz w:val="24"/>
              </w:rPr>
              <w:t>首次申报项目</w:t>
            </w:r>
          </w:p>
          <w:p>
            <w:pPr>
              <w:adjustRightInd w:val="0"/>
              <w:snapToGrid w:val="0"/>
              <w:jc w:val="left"/>
              <w:rPr>
                <w:rFonts w:ascii="宋体" w:hAnsi="宋体" w:cs="宋体"/>
                <w:sz w:val="24"/>
              </w:rPr>
            </w:pPr>
            <w:r>
              <w:rPr>
                <w:rFonts w:hint="eastAsia" w:ascii="宋体" w:hAnsi="宋体" w:cs="宋体"/>
                <w:sz w:val="24"/>
              </w:rPr>
              <w:t>□不予批准后再次申报项目</w:t>
            </w:r>
          </w:p>
          <w:p>
            <w:pPr>
              <w:adjustRightInd w:val="0"/>
              <w:snapToGrid w:val="0"/>
              <w:jc w:val="left"/>
              <w:rPr>
                <w:rFonts w:ascii="宋体" w:hAnsi="宋体" w:cs="宋体"/>
                <w:sz w:val="24"/>
              </w:rPr>
            </w:pPr>
            <w:r>
              <w:rPr>
                <w:rFonts w:hint="eastAsia" w:ascii="宋体" w:hAnsi="宋体" w:cs="宋体"/>
                <w:sz w:val="24"/>
              </w:rPr>
              <w:t>□超五年重新审核项目</w:t>
            </w:r>
          </w:p>
          <w:p>
            <w:pPr>
              <w:adjustRightInd w:val="0"/>
              <w:snapToGrid w:val="0"/>
              <w:rPr>
                <w:rFonts w:ascii="宋体" w:hAnsi="宋体" w:cs="宋体"/>
                <w:sz w:val="24"/>
              </w:rPr>
            </w:pPr>
            <w:r>
              <w:rPr>
                <w:rFonts w:hint="eastAsia" w:ascii="宋体" w:hAnsi="宋体" w:cs="宋体"/>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35"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r>
              <w:rPr>
                <w:rFonts w:hint="eastAsia" w:ascii="宋体" w:hAnsi="宋体" w:cs="宋体"/>
                <w:sz w:val="24"/>
              </w:rPr>
              <w:t>备案）部门</w:t>
            </w:r>
          </w:p>
        </w:tc>
        <w:tc>
          <w:tcPr>
            <w:tcW w:w="3163" w:type="dxa"/>
            <w:gridSpan w:val="3"/>
            <w:vAlign w:val="center"/>
          </w:tcPr>
          <w:p>
            <w:pPr>
              <w:adjustRightInd w:val="0"/>
              <w:snapToGrid w:val="0"/>
              <w:jc w:val="center"/>
              <w:rPr>
                <w:rFonts w:ascii="宋体" w:hAnsi="宋体" w:cs="宋体"/>
                <w:sz w:val="24"/>
              </w:rPr>
            </w:pPr>
            <w:r>
              <w:rPr>
                <w:rFonts w:hint="eastAsia" w:ascii="宋体" w:hAnsi="宋体" w:cs="宋体"/>
                <w:sz w:val="24"/>
              </w:rPr>
              <w:t>无</w:t>
            </w:r>
          </w:p>
        </w:tc>
        <w:tc>
          <w:tcPr>
            <w:tcW w:w="1271" w:type="dxa"/>
            <w:gridSpan w:val="2"/>
            <w:vAlign w:val="center"/>
          </w:tcPr>
          <w:p>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r>
              <w:rPr>
                <w:rFonts w:hint="eastAsia" w:ascii="宋体" w:hAnsi="宋体" w:cs="宋体"/>
                <w:sz w:val="24"/>
              </w:rPr>
              <w:t>备案）文号</w:t>
            </w:r>
          </w:p>
        </w:tc>
        <w:tc>
          <w:tcPr>
            <w:tcW w:w="2932" w:type="dxa"/>
            <w:vAlign w:val="center"/>
          </w:tcPr>
          <w:p>
            <w:pPr>
              <w:adjustRightInd w:val="0"/>
              <w:snapToGrid w:val="0"/>
              <w:jc w:val="center"/>
              <w:rPr>
                <w:rFonts w:ascii="宋体" w:hAnsi="宋体" w:cs="宋体"/>
                <w:sz w:val="24"/>
              </w:rPr>
            </w:pPr>
            <w:r>
              <w:rPr>
                <w:rFonts w:hint="eastAsia" w:ascii="宋体" w:hAnsi="宋体" w:cs="宋体"/>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38"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highlight w:val="yellow"/>
              </w:rPr>
            </w:pPr>
            <w:r>
              <w:rPr>
                <w:rFonts w:hint="eastAsia" w:ascii="宋体" w:hAnsi="宋体" w:cs="宋体"/>
                <w:sz w:val="24"/>
              </w:rPr>
              <w:t>总投资（万元）</w:t>
            </w:r>
          </w:p>
        </w:tc>
        <w:tc>
          <w:tcPr>
            <w:tcW w:w="3163" w:type="dxa"/>
            <w:gridSpan w:val="3"/>
            <w:vAlign w:val="center"/>
          </w:tcPr>
          <w:p>
            <w:pPr>
              <w:adjustRightInd w:val="0"/>
              <w:snapToGrid w:val="0"/>
              <w:jc w:val="center"/>
              <w:rPr>
                <w:rFonts w:ascii="宋体" w:hAnsi="宋体" w:cs="宋体"/>
                <w:sz w:val="24"/>
              </w:rPr>
            </w:pPr>
            <w:r>
              <w:rPr>
                <w:rFonts w:ascii="宋体" w:hAnsi="宋体" w:cs="宋体"/>
                <w:sz w:val="24"/>
              </w:rPr>
              <w:t>800</w:t>
            </w:r>
          </w:p>
        </w:tc>
        <w:tc>
          <w:tcPr>
            <w:tcW w:w="1271" w:type="dxa"/>
            <w:gridSpan w:val="2"/>
            <w:tcMar>
              <w:top w:w="16" w:type="dxa"/>
              <w:left w:w="16" w:type="dxa"/>
              <w:right w:w="16" w:type="dxa"/>
            </w:tcMar>
            <w:vAlign w:val="center"/>
          </w:tcPr>
          <w:p>
            <w:pPr>
              <w:adjustRightInd w:val="0"/>
              <w:snapToGrid w:val="0"/>
              <w:jc w:val="center"/>
              <w:rPr>
                <w:rFonts w:ascii="宋体" w:hAnsi="宋体" w:cs="宋体"/>
                <w:sz w:val="24"/>
                <w:highlight w:val="yellow"/>
              </w:rPr>
            </w:pPr>
            <w:r>
              <w:rPr>
                <w:rFonts w:hint="eastAsia" w:ascii="宋体" w:hAnsi="宋体" w:cs="宋体"/>
                <w:sz w:val="24"/>
              </w:rPr>
              <w:t>环保投资（万元）</w:t>
            </w:r>
          </w:p>
        </w:tc>
        <w:tc>
          <w:tcPr>
            <w:tcW w:w="2932" w:type="dxa"/>
            <w:vAlign w:val="center"/>
          </w:tcPr>
          <w:p>
            <w:pPr>
              <w:adjustRightInd w:val="0"/>
              <w:snapToGrid w:val="0"/>
              <w:jc w:val="center"/>
              <w:rPr>
                <w:rFonts w:ascii="宋体" w:hAnsi="宋体" w:cs="宋体"/>
                <w:sz w:val="24"/>
              </w:rPr>
            </w:pPr>
            <w:r>
              <w:rPr>
                <w:rFonts w:ascii="宋体" w:hAnsi="宋体" w:cs="宋体"/>
                <w:sz w:val="24"/>
              </w:rPr>
              <w:t>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28"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highlight w:val="yellow"/>
              </w:rPr>
            </w:pPr>
            <w:r>
              <w:rPr>
                <w:rFonts w:hint="eastAsia" w:ascii="宋体" w:hAnsi="宋体" w:cs="宋体"/>
                <w:sz w:val="24"/>
              </w:rPr>
              <w:t>环保投资占比（</w:t>
            </w:r>
            <w:r>
              <w:rPr>
                <w:rFonts w:ascii="宋体" w:hAnsi="宋体" w:cs="宋体"/>
                <w:sz w:val="24"/>
              </w:rPr>
              <w:t>%</w:t>
            </w:r>
            <w:r>
              <w:rPr>
                <w:rFonts w:hint="eastAsia" w:ascii="宋体" w:hAnsi="宋体" w:cs="宋体"/>
                <w:sz w:val="24"/>
              </w:rPr>
              <w:t>）</w:t>
            </w:r>
          </w:p>
        </w:tc>
        <w:tc>
          <w:tcPr>
            <w:tcW w:w="3163" w:type="dxa"/>
            <w:gridSpan w:val="3"/>
            <w:vAlign w:val="center"/>
          </w:tcPr>
          <w:p>
            <w:pPr>
              <w:adjustRightInd w:val="0"/>
              <w:snapToGrid w:val="0"/>
              <w:jc w:val="center"/>
              <w:rPr>
                <w:rFonts w:ascii="宋体" w:hAnsi="宋体" w:cs="宋体"/>
                <w:sz w:val="24"/>
              </w:rPr>
            </w:pPr>
            <w:r>
              <w:rPr>
                <w:rFonts w:ascii="宋体" w:hAnsi="宋体" w:cs="宋体"/>
                <w:sz w:val="24"/>
              </w:rPr>
              <w:t>12.75</w:t>
            </w:r>
          </w:p>
        </w:tc>
        <w:tc>
          <w:tcPr>
            <w:tcW w:w="127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施工工期</w:t>
            </w:r>
          </w:p>
        </w:tc>
        <w:tc>
          <w:tcPr>
            <w:tcW w:w="2932" w:type="dxa"/>
            <w:vAlign w:val="center"/>
          </w:tcPr>
          <w:p>
            <w:pPr>
              <w:adjustRightInd w:val="0"/>
              <w:snapToGrid w:val="0"/>
              <w:jc w:val="center"/>
              <w:rPr>
                <w:rFonts w:ascii="宋体" w:hAnsi="宋体" w:cs="宋体"/>
                <w:spacing w:val="-4"/>
                <w:sz w:val="24"/>
              </w:rPr>
            </w:pPr>
            <w:r>
              <w:rPr>
                <w:rFonts w:hint="eastAsia" w:ascii="宋体" w:hAnsi="宋体" w:cs="宋体"/>
                <w:spacing w:val="-4"/>
                <w:sz w:val="24"/>
              </w:rPr>
              <w:t>钻井期1</w:t>
            </w:r>
            <w:r>
              <w:rPr>
                <w:rFonts w:ascii="宋体" w:hAnsi="宋体" w:cs="宋体"/>
                <w:spacing w:val="-4"/>
                <w:sz w:val="24"/>
              </w:rPr>
              <w:t>20</w:t>
            </w:r>
            <w:r>
              <w:rPr>
                <w:rFonts w:hint="eastAsia" w:ascii="宋体" w:hAnsi="宋体" w:cs="宋体"/>
                <w:spacing w:val="-4"/>
                <w:sz w:val="24"/>
              </w:rPr>
              <w:t>天</w:t>
            </w:r>
          </w:p>
          <w:p>
            <w:pPr>
              <w:adjustRightInd w:val="0"/>
              <w:snapToGrid w:val="0"/>
              <w:jc w:val="center"/>
              <w:rPr>
                <w:rFonts w:ascii="宋体" w:hAnsi="宋体" w:cs="宋体"/>
                <w:spacing w:val="-6"/>
                <w:sz w:val="24"/>
              </w:rPr>
            </w:pPr>
            <w:r>
              <w:rPr>
                <w:rFonts w:hint="eastAsia" w:ascii="宋体" w:hAnsi="宋体" w:cs="宋体"/>
                <w:spacing w:val="-4"/>
                <w:sz w:val="24"/>
              </w:rPr>
              <w:t>试油期9</w:t>
            </w:r>
            <w:r>
              <w:rPr>
                <w:rFonts w:ascii="宋体" w:hAnsi="宋体" w:cs="宋体"/>
                <w:spacing w:val="-4"/>
                <w:sz w:val="24"/>
              </w:rPr>
              <w:t>0</w:t>
            </w:r>
            <w:r>
              <w:rPr>
                <w:rFonts w:hint="eastAsia" w:ascii="宋体" w:hAnsi="宋体" w:cs="宋体"/>
                <w:spacing w:val="-4"/>
                <w:sz w:val="24"/>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94" w:hRule="atLeast"/>
        </w:trPr>
        <w:tc>
          <w:tcPr>
            <w:tcW w:w="1281" w:type="dxa"/>
            <w:gridSpan w:val="2"/>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是否开工建设</w:t>
            </w:r>
          </w:p>
        </w:tc>
        <w:tc>
          <w:tcPr>
            <w:tcW w:w="7366" w:type="dxa"/>
            <w:gridSpan w:val="6"/>
            <w:vAlign w:val="center"/>
          </w:tcPr>
          <w:p>
            <w:pPr>
              <w:adjustRightInd w:val="0"/>
              <w:snapToGrid w:val="0"/>
              <w:rPr>
                <w:rFonts w:ascii="宋体" w:hAnsi="宋体" w:cs="宋体"/>
                <w:sz w:val="24"/>
              </w:rPr>
            </w:pPr>
            <w:r>
              <w:rPr>
                <w:rFonts w:hint="eastAsia" w:ascii="宋体" w:hAnsi="宋体" w:cs="宋体"/>
                <w:sz w:val="24"/>
              </w:rPr>
              <w:sym w:font="Wingdings 2" w:char="F052"/>
            </w:r>
            <w:r>
              <w:rPr>
                <w:rFonts w:hint="eastAsia" w:ascii="宋体" w:hAnsi="宋体" w:cs="宋体"/>
                <w:sz w:val="24"/>
              </w:rPr>
              <w:t>否</w:t>
            </w:r>
          </w:p>
          <w:p>
            <w:pPr>
              <w:adjustRightInd w:val="0"/>
              <w:snapToGrid w:val="0"/>
              <w:rPr>
                <w:rFonts w:ascii="宋体" w:hAnsi="宋体"/>
                <w:sz w:val="24"/>
              </w:rPr>
            </w:pPr>
            <w:r>
              <w:rPr>
                <w:rFonts w:hint="eastAsia" w:ascii="宋体" w:hAnsi="宋体" w:cs="宋体"/>
                <w:sz w:val="24"/>
              </w:rPr>
              <w:t>□是</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90" w:hRule="atLeast"/>
        </w:trPr>
        <w:tc>
          <w:tcPr>
            <w:tcW w:w="1281" w:type="dxa"/>
            <w:gridSpan w:val="2"/>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专项评价</w:t>
            </w:r>
          </w:p>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设置情况</w:t>
            </w:r>
          </w:p>
        </w:tc>
        <w:tc>
          <w:tcPr>
            <w:tcW w:w="7366" w:type="dxa"/>
            <w:gridSpan w:val="6"/>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9" w:hRule="atLeast"/>
        </w:trPr>
        <w:tc>
          <w:tcPr>
            <w:tcW w:w="1281" w:type="dxa"/>
            <w:gridSpan w:val="2"/>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sz w:val="24"/>
              </w:rPr>
              <w:t>规划情况</w:t>
            </w:r>
          </w:p>
        </w:tc>
        <w:tc>
          <w:tcPr>
            <w:tcW w:w="7366" w:type="dxa"/>
            <w:gridSpan w:val="6"/>
            <w:tcMar>
              <w:top w:w="16" w:type="dxa"/>
              <w:left w:w="16" w:type="dxa"/>
              <w:right w:w="16" w:type="dxa"/>
            </w:tcMar>
            <w:vAlign w:val="center"/>
          </w:tcPr>
          <w:p>
            <w:pPr>
              <w:pStyle w:val="47"/>
              <w:spacing w:line="300" w:lineRule="exact"/>
              <w:ind w:firstLine="0" w:firstLineChars="0"/>
            </w:pPr>
            <w:r>
              <w:rPr>
                <w:rFonts w:hint="eastAsia" w:cs="宋体"/>
                <w:kern w:val="2"/>
              </w:rPr>
              <w:t>《新疆维吾尔自治区矿产资源总体规划（2</w:t>
            </w:r>
            <w:r>
              <w:rPr>
                <w:rFonts w:cs="宋体"/>
                <w:kern w:val="2"/>
              </w:rPr>
              <w:t>016</w:t>
            </w:r>
            <w:r>
              <w:rPr>
                <w:rFonts w:hint="eastAsia" w:cs="宋体"/>
                <w:kern w:val="2"/>
              </w:rPr>
              <w:t>—2</w:t>
            </w:r>
            <w:r>
              <w:rPr>
                <w:rFonts w:cs="宋体"/>
                <w:kern w:val="2"/>
              </w:rPr>
              <w:t>020</w:t>
            </w:r>
            <w:r>
              <w:rPr>
                <w:rFonts w:hint="eastAsia" w:cs="宋体"/>
                <w:kern w:val="2"/>
              </w:rPr>
              <w:t>年）》经国土资源部于2</w:t>
            </w:r>
            <w:r>
              <w:rPr>
                <w:rFonts w:cs="宋体"/>
                <w:kern w:val="2"/>
              </w:rPr>
              <w:t>017</w:t>
            </w:r>
            <w:r>
              <w:rPr>
                <w:rFonts w:hint="eastAsia" w:cs="宋体"/>
                <w:kern w:val="2"/>
              </w:rPr>
              <w:t>年9月2</w:t>
            </w:r>
            <w:r>
              <w:rPr>
                <w:rFonts w:cs="宋体"/>
                <w:kern w:val="2"/>
              </w:rPr>
              <w:t>6</w:t>
            </w:r>
            <w:r>
              <w:rPr>
                <w:rFonts w:hint="eastAsia" w:cs="宋体"/>
                <w:kern w:val="2"/>
              </w:rPr>
              <w:t>日以《国土资源部关于新疆维吾尔自治区矿产资源总体规划（</w:t>
            </w:r>
            <w:r>
              <w:rPr>
                <w:rFonts w:cs="宋体"/>
                <w:kern w:val="2"/>
              </w:rPr>
              <w:t>2016—2020年）的复函</w:t>
            </w:r>
            <w:r>
              <w:rPr>
                <w:rFonts w:hint="eastAsia" w:cs="宋体"/>
                <w:kern w:val="2"/>
              </w:rPr>
              <w:t>》（国土资函〔</w:t>
            </w:r>
            <w:r>
              <w:rPr>
                <w:rFonts w:cs="宋体"/>
                <w:kern w:val="2"/>
              </w:rPr>
              <w:t>2017〕625号</w:t>
            </w:r>
            <w:r>
              <w:rPr>
                <w:rFonts w:hint="eastAsia" w:cs="宋体"/>
                <w:kern w:val="2"/>
              </w:rPr>
              <w:t>）批复实施。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1" w:type="dxa"/>
            <w:gridSpan w:val="2"/>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sz w:val="24"/>
              </w:rPr>
              <w:t>规划环境影响评价情况</w:t>
            </w:r>
          </w:p>
        </w:tc>
        <w:tc>
          <w:tcPr>
            <w:tcW w:w="7366" w:type="dxa"/>
            <w:gridSpan w:val="6"/>
            <w:tcMar>
              <w:top w:w="16" w:type="dxa"/>
              <w:left w:w="16" w:type="dxa"/>
              <w:right w:w="16" w:type="dxa"/>
            </w:tcMar>
            <w:vAlign w:val="center"/>
          </w:tcPr>
          <w:p>
            <w:pPr>
              <w:pStyle w:val="47"/>
              <w:spacing w:line="300" w:lineRule="exact"/>
              <w:ind w:firstLine="0" w:firstLineChars="0"/>
            </w:pPr>
            <w:r>
              <w:rPr>
                <w:rFonts w:hint="eastAsia" w:cs="宋体"/>
                <w:kern w:val="2"/>
              </w:rPr>
              <w:t>《新疆维吾尔自治区矿产资源总体规划（</w:t>
            </w:r>
            <w:r>
              <w:rPr>
                <w:rFonts w:cs="宋体"/>
                <w:kern w:val="2"/>
              </w:rPr>
              <w:t>2016</w:t>
            </w:r>
            <w:r>
              <w:rPr>
                <w:rFonts w:hint="eastAsia" w:cs="宋体"/>
                <w:kern w:val="2"/>
              </w:rPr>
              <w:t>—</w:t>
            </w:r>
            <w:r>
              <w:rPr>
                <w:rFonts w:cs="宋体"/>
                <w:kern w:val="2"/>
              </w:rPr>
              <w:t>2020年）</w:t>
            </w:r>
            <w:r>
              <w:rPr>
                <w:rFonts w:hint="eastAsia" w:cs="宋体"/>
                <w:kern w:val="2"/>
              </w:rPr>
              <w:t>环境影响报告书》于2</w:t>
            </w:r>
            <w:r>
              <w:rPr>
                <w:rFonts w:cs="宋体"/>
                <w:kern w:val="2"/>
              </w:rPr>
              <w:t>017</w:t>
            </w:r>
            <w:r>
              <w:rPr>
                <w:rFonts w:hint="eastAsia" w:cs="宋体"/>
                <w:kern w:val="2"/>
              </w:rPr>
              <w:t>年8月3日获得原环境保护部（现生态环境部）技术审查意见，文号为环审〔</w:t>
            </w:r>
            <w:r>
              <w:rPr>
                <w:rFonts w:cs="宋体"/>
                <w:kern w:val="2"/>
              </w:rPr>
              <w:t>2017〕</w:t>
            </w:r>
            <w:r>
              <w:rPr>
                <w:rFonts w:hint="eastAsia" w:cs="宋体"/>
                <w:kern w:val="2"/>
              </w:rPr>
              <w:t>1</w:t>
            </w:r>
            <w:r>
              <w:rPr>
                <w:rFonts w:cs="宋体"/>
                <w:kern w:val="2"/>
              </w:rPr>
              <w:t>14</w:t>
            </w:r>
            <w:r>
              <w:rPr>
                <w:rFonts w:hint="eastAsia" w:cs="宋体"/>
                <w:kern w:val="2"/>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25" w:hRule="atLeast"/>
        </w:trPr>
        <w:tc>
          <w:tcPr>
            <w:tcW w:w="1281" w:type="dxa"/>
            <w:gridSpan w:val="2"/>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规划及</w:t>
            </w:r>
            <w:r>
              <w:rPr>
                <w:rFonts w:hint="eastAsia" w:ascii="宋体" w:hAnsi="宋体" w:cs="宋体"/>
                <w:sz w:val="24"/>
              </w:rPr>
              <w:t>规划环境影响评价</w:t>
            </w:r>
            <w:r>
              <w:rPr>
                <w:rFonts w:hint="eastAsia" w:ascii="宋体" w:hAnsi="宋体" w:cs="宋体"/>
                <w:kern w:val="0"/>
                <w:sz w:val="24"/>
              </w:rPr>
              <w:t>符合性分析</w:t>
            </w:r>
          </w:p>
        </w:tc>
        <w:tc>
          <w:tcPr>
            <w:tcW w:w="7366" w:type="dxa"/>
            <w:gridSpan w:val="6"/>
            <w:tcMar>
              <w:top w:w="16" w:type="dxa"/>
              <w:left w:w="16" w:type="dxa"/>
              <w:right w:w="16" w:type="dxa"/>
            </w:tcMar>
            <w:vAlign w:val="center"/>
          </w:tcPr>
          <w:p>
            <w:pPr>
              <w:pStyle w:val="47"/>
              <w:spacing w:line="300" w:lineRule="exact"/>
              <w:ind w:firstLine="0" w:firstLineChars="0"/>
            </w:pPr>
            <w:r>
              <w:rPr>
                <w:rFonts w:hint="eastAsia" w:cs="宋体"/>
              </w:rPr>
              <w:t>《新疆维吾尔自治区矿产资源总体规划（2</w:t>
            </w:r>
            <w:r>
              <w:rPr>
                <w:rFonts w:cs="宋体"/>
              </w:rPr>
              <w:t>016</w:t>
            </w:r>
            <w:r>
              <w:rPr>
                <w:rFonts w:hint="eastAsia" w:cs="宋体"/>
              </w:rPr>
              <w:t>—2</w:t>
            </w:r>
            <w:r>
              <w:rPr>
                <w:rFonts w:cs="宋体"/>
              </w:rPr>
              <w:t>020</w:t>
            </w:r>
            <w:r>
              <w:rPr>
                <w:rFonts w:hint="eastAsia" w:cs="宋体"/>
              </w:rPr>
              <w:t>年）》将石油天然气列为新疆安全战略资源，准噶尔盆地列为重点勘探开发区域。本项目位于准噶尔盆地南缘，是规划中的重点勘探开发区域，不属于《新疆维吾尔自治区矿产资源总体规划（2</w:t>
            </w:r>
            <w:r>
              <w:rPr>
                <w:rFonts w:cs="宋体"/>
              </w:rPr>
              <w:t>016</w:t>
            </w:r>
            <w:r>
              <w:rPr>
                <w:rFonts w:hint="eastAsia" w:cs="宋体"/>
              </w:rPr>
              <w:t>—2</w:t>
            </w:r>
            <w:r>
              <w:rPr>
                <w:rFonts w:cs="宋体"/>
              </w:rPr>
              <w:t>020</w:t>
            </w:r>
            <w:r>
              <w:rPr>
                <w:rFonts w:hint="eastAsia" w:cs="宋体"/>
              </w:rPr>
              <w:t>年）环境影响报告书》中要求的禁止开采区及限制勘探区，符合规划及规划环评要求。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959" w:hRule="atLeast"/>
        </w:trPr>
        <w:tc>
          <w:tcPr>
            <w:tcW w:w="658" w:type="dxa"/>
            <w:vMerge w:val="restart"/>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bookmarkStart w:id="6" w:name="_Hlk56690880"/>
            <w:r>
              <w:rPr>
                <w:rFonts w:hint="eastAsia" w:ascii="宋体" w:hAnsi="宋体" w:cs="宋体"/>
                <w:kern w:val="0"/>
                <w:sz w:val="24"/>
              </w:rPr>
              <w:t>其他符合性分析</w:t>
            </w:r>
            <w:bookmarkEnd w:id="6"/>
          </w:p>
        </w:tc>
        <w:tc>
          <w:tcPr>
            <w:tcW w:w="1233" w:type="dxa"/>
            <w:gridSpan w:val="2"/>
            <w:tcMar>
              <w:top w:w="16" w:type="dxa"/>
              <w:left w:w="16" w:type="dxa"/>
              <w:right w:w="16" w:type="dxa"/>
            </w:tcMar>
            <w:vAlign w:val="center"/>
          </w:tcPr>
          <w:p>
            <w:pPr>
              <w:pStyle w:val="47"/>
              <w:spacing w:line="300" w:lineRule="exact"/>
              <w:ind w:firstLine="0" w:firstLineChars="0"/>
              <w:jc w:val="center"/>
              <w:rPr>
                <w:rFonts w:cs="宋体"/>
                <w:color w:val="000000" w:themeColor="text1"/>
                <w:kern w:val="2"/>
                <w14:textFill>
                  <w14:solidFill>
                    <w14:schemeClr w14:val="tx1"/>
                  </w14:solidFill>
                </w14:textFill>
              </w:rPr>
            </w:pPr>
            <w:r>
              <w:rPr>
                <w:rFonts w:hint="eastAsia" w:cs="宋体"/>
                <w:color w:val="000000" w:themeColor="text1"/>
                <w:kern w:val="2"/>
                <w14:textFill>
                  <w14:solidFill>
                    <w14:schemeClr w14:val="tx1"/>
                  </w14:solidFill>
                </w14:textFill>
              </w:rPr>
              <w:t>产业政策</w:t>
            </w:r>
          </w:p>
        </w:tc>
        <w:tc>
          <w:tcPr>
            <w:tcW w:w="6756" w:type="dxa"/>
            <w:gridSpan w:val="5"/>
            <w:vAlign w:val="center"/>
          </w:tcPr>
          <w:p>
            <w:pPr>
              <w:pStyle w:val="47"/>
              <w:spacing w:line="300" w:lineRule="exact"/>
              <w:ind w:firstLine="0" w:firstLineChars="0"/>
              <w:rPr>
                <w:rFonts w:cs="宋体"/>
                <w:color w:val="000000" w:themeColor="text1"/>
                <w:kern w:val="2"/>
                <w14:textFill>
                  <w14:solidFill>
                    <w14:schemeClr w14:val="tx1"/>
                  </w14:solidFill>
                </w14:textFill>
              </w:rPr>
            </w:pPr>
            <w:r>
              <w:rPr>
                <w:rFonts w:hint="eastAsia"/>
                <w:color w:val="000000" w:themeColor="text1"/>
                <w14:textFill>
                  <w14:solidFill>
                    <w14:schemeClr w14:val="tx1"/>
                  </w14:solidFill>
                </w14:textFill>
              </w:rPr>
              <w:t>本项目属于《产业结构调整指导目录》（2019年本）中的第一类鼓励类——七、石油、天然气——1、常规石油、天然气勘探与开采</w:t>
            </w:r>
            <w:bookmarkStart w:id="7" w:name="_Hlk95910986"/>
            <w:r>
              <w:rPr>
                <w:rFonts w:hint="eastAsia"/>
                <w:color w:val="000000" w:themeColor="text1"/>
                <w14:textFill>
                  <w14:solidFill>
                    <w14:schemeClr w14:val="tx1"/>
                  </w14:solidFill>
                </w14:textFill>
              </w:rPr>
              <w:t>，符合国家产业政策。</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8"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tcMar>
              <w:top w:w="16" w:type="dxa"/>
              <w:left w:w="16" w:type="dxa"/>
              <w:right w:w="16" w:type="dxa"/>
            </w:tcMar>
            <w:vAlign w:val="center"/>
          </w:tcPr>
          <w:p>
            <w:pPr>
              <w:pStyle w:val="47"/>
              <w:spacing w:line="300" w:lineRule="exact"/>
              <w:ind w:firstLine="0" w:firstLineChars="0"/>
              <w:jc w:val="center"/>
              <w:rPr>
                <w:rFonts w:cs="宋体"/>
                <w:color w:val="000000" w:themeColor="text1"/>
                <w:kern w:val="2"/>
                <w14:textFill>
                  <w14:solidFill>
                    <w14:schemeClr w14:val="tx1"/>
                  </w14:solidFill>
                </w14:textFill>
              </w:rPr>
            </w:pPr>
            <w:r>
              <w:rPr>
                <w:rFonts w:hint="eastAsia" w:cs="宋体"/>
                <w:color w:val="000000"/>
                <w:kern w:val="2"/>
              </w:rPr>
              <w:t>类别</w:t>
            </w:r>
          </w:p>
        </w:tc>
        <w:tc>
          <w:tcPr>
            <w:tcW w:w="7366" w:type="dxa"/>
            <w:gridSpan w:val="6"/>
            <w:vAlign w:val="center"/>
          </w:tcPr>
          <w:p>
            <w:pPr>
              <w:pStyle w:val="47"/>
              <w:spacing w:line="300" w:lineRule="exact"/>
              <w:ind w:firstLine="0" w:firstLineChars="0"/>
              <w:jc w:val="center"/>
              <w:rPr>
                <w:rFonts w:cs="宋体"/>
                <w:color w:val="000000" w:themeColor="text1"/>
                <w:kern w:val="2"/>
                <w14:textFill>
                  <w14:solidFill>
                    <w14:schemeClr w14:val="tx1"/>
                  </w14:solidFill>
                </w14:textFill>
              </w:rPr>
            </w:pPr>
            <w:r>
              <w:rPr>
                <w:rFonts w:hint="eastAsia"/>
                <w:spacing w:val="-8"/>
              </w:rPr>
              <w:t>管控要求及符合性分析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961"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vMerge w:val="restart"/>
            <w:tcMar>
              <w:top w:w="16" w:type="dxa"/>
              <w:left w:w="16" w:type="dxa"/>
              <w:right w:w="16" w:type="dxa"/>
            </w:tcMar>
            <w:vAlign w:val="center"/>
          </w:tcPr>
          <w:p>
            <w:pPr>
              <w:pStyle w:val="47"/>
              <w:wordWrap w:val="0"/>
              <w:spacing w:line="300" w:lineRule="exact"/>
              <w:ind w:firstLine="0" w:firstLineChars="0"/>
              <w:jc w:val="center"/>
              <w:rPr>
                <w:rFonts w:cs="仿宋_GB2312"/>
                <w:color w:val="000000"/>
              </w:rPr>
            </w:pPr>
            <w:r>
              <w:rPr>
                <w:rFonts w:hint="eastAsia" w:cs="仿宋_GB2312"/>
                <w:color w:val="000000"/>
              </w:rPr>
              <w:t>三线一单</w:t>
            </w:r>
          </w:p>
        </w:tc>
        <w:tc>
          <w:tcPr>
            <w:tcW w:w="610" w:type="dxa"/>
            <w:vAlign w:val="center"/>
          </w:tcPr>
          <w:p>
            <w:pPr>
              <w:pStyle w:val="47"/>
              <w:spacing w:line="300" w:lineRule="exact"/>
              <w:ind w:firstLine="0" w:firstLineChars="0"/>
              <w:jc w:val="center"/>
            </w:pPr>
            <w:r>
              <w:rPr>
                <w:rFonts w:hint="eastAsia"/>
              </w:rPr>
              <w:t>生态保护红线</w:t>
            </w:r>
          </w:p>
        </w:tc>
        <w:tc>
          <w:tcPr>
            <w:tcW w:w="6756" w:type="dxa"/>
            <w:gridSpan w:val="5"/>
            <w:vAlign w:val="center"/>
          </w:tcPr>
          <w:p>
            <w:pPr>
              <w:pStyle w:val="47"/>
              <w:wordWrap w:val="0"/>
              <w:spacing w:line="300" w:lineRule="exact"/>
              <w:ind w:firstLine="0" w:firstLineChars="0"/>
              <w:rPr>
                <w:rFonts w:cs="仿宋_GB2312"/>
                <w:color w:val="000000"/>
              </w:rPr>
            </w:pPr>
            <w:r>
              <w:rPr>
                <w:rFonts w:hint="eastAsia" w:cs="仿宋_GB2312"/>
                <w:color w:val="000000"/>
              </w:rPr>
              <w:t>项目位于《昌吉回族自治州“三线一单”生态环境分区管控方案及生态环境准入清单》（2021年发布）中的一般管控单元（</w:t>
            </w:r>
            <w:r>
              <w:rPr>
                <w:rFonts w:cs="仿宋_GB2312"/>
                <w:color w:val="000000"/>
              </w:rPr>
              <w:t>ZH65230230001</w:t>
            </w:r>
            <w:r>
              <w:rPr>
                <w:rFonts w:hint="eastAsia" w:cs="仿宋_GB2312"/>
                <w:color w:val="000000"/>
              </w:rPr>
              <w:t>），不在生态保护红线范围内，详见附图1。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804"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vMerge w:val="continue"/>
            <w:tcMar>
              <w:top w:w="16" w:type="dxa"/>
              <w:left w:w="16" w:type="dxa"/>
              <w:right w:w="16" w:type="dxa"/>
            </w:tcMar>
            <w:vAlign w:val="center"/>
          </w:tcPr>
          <w:p>
            <w:pPr>
              <w:pStyle w:val="47"/>
              <w:wordWrap w:val="0"/>
              <w:spacing w:line="300" w:lineRule="exact"/>
              <w:ind w:firstLine="0" w:firstLineChars="0"/>
              <w:jc w:val="center"/>
              <w:rPr>
                <w:rFonts w:cs="仿宋_GB2312"/>
                <w:color w:val="000000"/>
              </w:rPr>
            </w:pPr>
          </w:p>
        </w:tc>
        <w:tc>
          <w:tcPr>
            <w:tcW w:w="610" w:type="dxa"/>
            <w:vAlign w:val="center"/>
          </w:tcPr>
          <w:p>
            <w:pPr>
              <w:pStyle w:val="47"/>
              <w:spacing w:line="300" w:lineRule="exact"/>
              <w:ind w:firstLine="0" w:firstLineChars="0"/>
              <w:jc w:val="center"/>
            </w:pPr>
            <w:r>
              <w:rPr>
                <w:rFonts w:hint="eastAsia"/>
              </w:rPr>
              <w:t>环境质量底线</w:t>
            </w:r>
          </w:p>
        </w:tc>
        <w:tc>
          <w:tcPr>
            <w:tcW w:w="6756" w:type="dxa"/>
            <w:gridSpan w:val="5"/>
            <w:vAlign w:val="center"/>
          </w:tcPr>
          <w:p>
            <w:pPr>
              <w:pStyle w:val="47"/>
              <w:spacing w:line="300" w:lineRule="exact"/>
              <w:ind w:firstLine="0" w:firstLineChars="0"/>
              <w:rPr>
                <w:rFonts w:cs="仿宋_GB2312"/>
                <w:color w:val="000000"/>
              </w:rPr>
            </w:pPr>
            <w:r>
              <w:rPr>
                <w:rFonts w:hint="eastAsia" w:cs="仿宋_GB2312"/>
                <w:color w:val="000000"/>
              </w:rPr>
              <w:t>项目无运营期，施工期较短，采取相应的环境保护措施后，废气、废水、固废和噪声均能妥善处置或满足相应的排放标准，产生强度低且持续时间短，随着施工期的结束而消失，对区域环境质量的影响较小，不会突破区域环境质量底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45"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vMerge w:val="continue"/>
            <w:tcMar>
              <w:top w:w="16" w:type="dxa"/>
              <w:left w:w="16" w:type="dxa"/>
              <w:right w:w="16" w:type="dxa"/>
            </w:tcMar>
            <w:vAlign w:val="center"/>
          </w:tcPr>
          <w:p>
            <w:pPr>
              <w:pStyle w:val="47"/>
              <w:wordWrap w:val="0"/>
              <w:spacing w:line="300" w:lineRule="exact"/>
              <w:ind w:firstLine="0" w:firstLineChars="0"/>
              <w:jc w:val="center"/>
              <w:rPr>
                <w:rFonts w:cs="仿宋_GB2312"/>
                <w:color w:val="000000"/>
              </w:rPr>
            </w:pPr>
          </w:p>
        </w:tc>
        <w:tc>
          <w:tcPr>
            <w:tcW w:w="610" w:type="dxa"/>
            <w:vAlign w:val="center"/>
          </w:tcPr>
          <w:p>
            <w:pPr>
              <w:pStyle w:val="47"/>
              <w:spacing w:line="300" w:lineRule="exact"/>
              <w:ind w:firstLine="0" w:firstLineChars="0"/>
              <w:jc w:val="center"/>
            </w:pPr>
            <w:r>
              <w:rPr>
                <w:rFonts w:hint="eastAsia"/>
              </w:rPr>
              <w:t>资源利用上线</w:t>
            </w:r>
          </w:p>
        </w:tc>
        <w:tc>
          <w:tcPr>
            <w:tcW w:w="6756" w:type="dxa"/>
            <w:gridSpan w:val="5"/>
            <w:vAlign w:val="center"/>
          </w:tcPr>
          <w:p>
            <w:pPr>
              <w:pStyle w:val="47"/>
              <w:spacing w:line="300" w:lineRule="exact"/>
              <w:ind w:firstLine="0" w:firstLineChars="0"/>
              <w:rPr>
                <w:color w:val="000000"/>
              </w:rPr>
            </w:pPr>
            <w:r>
              <w:rPr>
                <w:rFonts w:hint="eastAsia" w:cs="仿宋_GB2312"/>
                <w:color w:val="000000"/>
                <w:spacing w:val="-6"/>
              </w:rPr>
              <w:t>项目建设</w:t>
            </w:r>
            <w:r>
              <w:rPr>
                <w:rFonts w:cs="仿宋_GB2312"/>
                <w:color w:val="000000"/>
                <w:spacing w:val="-6"/>
              </w:rPr>
              <w:t>过程中会消耗一定量的</w:t>
            </w:r>
            <w:r>
              <w:rPr>
                <w:rFonts w:hint="eastAsia" w:cs="仿宋_GB2312"/>
                <w:color w:val="000000"/>
                <w:spacing w:val="-6"/>
              </w:rPr>
              <w:t>白油、</w:t>
            </w:r>
            <w:r>
              <w:rPr>
                <w:rFonts w:cs="仿宋_GB2312"/>
                <w:color w:val="000000"/>
                <w:spacing w:val="-6"/>
              </w:rPr>
              <w:t>柴油</w:t>
            </w:r>
            <w:r>
              <w:rPr>
                <w:rFonts w:hint="eastAsia" w:cs="仿宋_GB2312"/>
                <w:color w:val="000000"/>
                <w:spacing w:val="-6"/>
              </w:rPr>
              <w:t>及少量新鲜水</w:t>
            </w:r>
            <w:r>
              <w:rPr>
                <w:rFonts w:cs="仿宋_GB2312"/>
                <w:color w:val="000000"/>
                <w:spacing w:val="-6"/>
              </w:rPr>
              <w:t>，消耗量</w:t>
            </w:r>
            <w:r>
              <w:rPr>
                <w:rFonts w:hint="eastAsia" w:cs="仿宋_GB2312"/>
                <w:color w:val="000000"/>
                <w:spacing w:val="-6"/>
              </w:rPr>
              <w:t>占</w:t>
            </w:r>
            <w:r>
              <w:rPr>
                <w:rFonts w:cs="仿宋_GB2312"/>
                <w:color w:val="000000"/>
                <w:spacing w:val="-6"/>
              </w:rPr>
              <w:t>区域</w:t>
            </w:r>
            <w:r>
              <w:rPr>
                <w:rFonts w:hint="eastAsia" w:cs="仿宋_GB2312"/>
                <w:color w:val="000000"/>
                <w:spacing w:val="-6"/>
              </w:rPr>
              <w:t>资源可</w:t>
            </w:r>
            <w:r>
              <w:rPr>
                <w:rFonts w:cs="仿宋_GB2312"/>
                <w:color w:val="000000"/>
                <w:spacing w:val="-6"/>
              </w:rPr>
              <w:t>利用总量</w:t>
            </w:r>
            <w:r>
              <w:rPr>
                <w:rFonts w:hint="eastAsia" w:cs="仿宋_GB2312"/>
                <w:color w:val="000000"/>
                <w:spacing w:val="-6"/>
              </w:rPr>
              <w:t>比例极</w:t>
            </w:r>
            <w:r>
              <w:rPr>
                <w:rFonts w:cs="仿宋_GB2312"/>
                <w:color w:val="000000"/>
                <w:spacing w:val="-6"/>
              </w:rPr>
              <w:t>较</w:t>
            </w:r>
            <w:r>
              <w:rPr>
                <w:rFonts w:hint="eastAsia" w:cs="仿宋_GB2312"/>
                <w:color w:val="000000"/>
                <w:spacing w:val="-6"/>
              </w:rPr>
              <w:t>小，不会突破资源利用上线要求。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08"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vMerge w:val="continue"/>
            <w:tcMar>
              <w:top w:w="16" w:type="dxa"/>
              <w:left w:w="16" w:type="dxa"/>
              <w:right w:w="16" w:type="dxa"/>
            </w:tcMar>
            <w:vAlign w:val="center"/>
          </w:tcPr>
          <w:p>
            <w:pPr>
              <w:pStyle w:val="47"/>
              <w:wordWrap w:val="0"/>
              <w:spacing w:line="300" w:lineRule="exact"/>
              <w:ind w:firstLine="0" w:firstLineChars="0"/>
              <w:jc w:val="center"/>
              <w:rPr>
                <w:rFonts w:cs="仿宋_GB2312"/>
                <w:color w:val="000000"/>
              </w:rPr>
            </w:pPr>
          </w:p>
        </w:tc>
        <w:tc>
          <w:tcPr>
            <w:tcW w:w="610" w:type="dxa"/>
            <w:vMerge w:val="restart"/>
            <w:vAlign w:val="center"/>
          </w:tcPr>
          <w:p>
            <w:pPr>
              <w:spacing w:line="300" w:lineRule="exact"/>
              <w:jc w:val="left"/>
              <w:rPr>
                <w:sz w:val="24"/>
              </w:rPr>
            </w:pPr>
            <w:r>
              <w:rPr>
                <w:rFonts w:hint="eastAsia"/>
                <w:sz w:val="24"/>
              </w:rPr>
              <w:t>生态准入清单（《昌吉回族自治州“三线一单”生态环境分区管控方案及生态环境准入清单》管控要求）</w:t>
            </w:r>
          </w:p>
        </w:tc>
        <w:tc>
          <w:tcPr>
            <w:tcW w:w="803" w:type="dxa"/>
            <w:vAlign w:val="center"/>
          </w:tcPr>
          <w:p>
            <w:pPr>
              <w:pStyle w:val="74"/>
              <w:spacing w:line="300" w:lineRule="exact"/>
              <w:jc w:val="center"/>
              <w:rPr>
                <w:rFonts w:ascii="宋体" w:hAnsi="宋体" w:eastAsia="宋体"/>
              </w:rPr>
            </w:pPr>
            <w:r>
              <w:rPr>
                <w:rFonts w:hint="eastAsia" w:ascii="宋体" w:hAnsi="宋体" w:eastAsia="宋体"/>
                <w:spacing w:val="-8"/>
              </w:rPr>
              <w:t>空间布局约束</w:t>
            </w:r>
          </w:p>
        </w:tc>
        <w:tc>
          <w:tcPr>
            <w:tcW w:w="2977" w:type="dxa"/>
            <w:gridSpan w:val="2"/>
            <w:vAlign w:val="center"/>
          </w:tcPr>
          <w:p>
            <w:pPr>
              <w:pStyle w:val="74"/>
              <w:spacing w:line="300" w:lineRule="exact"/>
              <w:jc w:val="center"/>
              <w:rPr>
                <w:rFonts w:ascii="宋体" w:hAnsi="宋体" w:eastAsia="宋体"/>
              </w:rPr>
            </w:pPr>
            <w:r>
              <w:rPr>
                <w:rFonts w:hint="eastAsia" w:ascii="宋体" w:hAnsi="宋体" w:eastAsia="宋体"/>
              </w:rPr>
              <w:t>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w:t>
            </w:r>
          </w:p>
        </w:tc>
        <w:tc>
          <w:tcPr>
            <w:tcW w:w="2976" w:type="dxa"/>
            <w:gridSpan w:val="2"/>
            <w:vAlign w:val="center"/>
          </w:tcPr>
          <w:p>
            <w:pPr>
              <w:pStyle w:val="47"/>
              <w:spacing w:line="300" w:lineRule="exact"/>
              <w:ind w:firstLine="0" w:firstLineChars="0"/>
              <w:jc w:val="center"/>
              <w:rPr>
                <w:color w:val="000000"/>
              </w:rPr>
            </w:pPr>
            <w:r>
              <w:rPr>
                <w:rFonts w:hint="eastAsia"/>
              </w:rPr>
              <w:t>本项目非限制行业，非“高污染、高环境风险产品”类别，无一类重金属和持续性有机污染物排放，符合要求。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08"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vMerge w:val="continue"/>
            <w:tcMar>
              <w:top w:w="16" w:type="dxa"/>
              <w:left w:w="16" w:type="dxa"/>
              <w:right w:w="16" w:type="dxa"/>
            </w:tcMar>
            <w:vAlign w:val="center"/>
          </w:tcPr>
          <w:p>
            <w:pPr>
              <w:pStyle w:val="47"/>
              <w:wordWrap w:val="0"/>
              <w:spacing w:line="300" w:lineRule="exact"/>
              <w:ind w:firstLine="0" w:firstLineChars="0"/>
              <w:jc w:val="center"/>
              <w:rPr>
                <w:rFonts w:cs="仿宋_GB2312"/>
                <w:color w:val="000000"/>
              </w:rPr>
            </w:pPr>
          </w:p>
        </w:tc>
        <w:tc>
          <w:tcPr>
            <w:tcW w:w="610" w:type="dxa"/>
            <w:vMerge w:val="continue"/>
            <w:vAlign w:val="center"/>
          </w:tcPr>
          <w:p>
            <w:pPr>
              <w:spacing w:line="300" w:lineRule="exact"/>
              <w:jc w:val="left"/>
              <w:rPr>
                <w:sz w:val="24"/>
              </w:rPr>
            </w:pPr>
          </w:p>
        </w:tc>
        <w:tc>
          <w:tcPr>
            <w:tcW w:w="803" w:type="dxa"/>
            <w:vAlign w:val="center"/>
          </w:tcPr>
          <w:p>
            <w:pPr>
              <w:pStyle w:val="74"/>
              <w:spacing w:line="300" w:lineRule="exact"/>
              <w:jc w:val="center"/>
              <w:rPr>
                <w:rFonts w:ascii="宋体" w:hAnsi="宋体" w:eastAsia="宋体"/>
              </w:rPr>
            </w:pPr>
            <w:r>
              <w:rPr>
                <w:rFonts w:hint="eastAsia" w:ascii="宋体" w:hAnsi="宋体" w:eastAsia="宋体"/>
              </w:rPr>
              <w:t>污染物排放管控</w:t>
            </w:r>
          </w:p>
        </w:tc>
        <w:tc>
          <w:tcPr>
            <w:tcW w:w="2977" w:type="dxa"/>
            <w:gridSpan w:val="2"/>
            <w:vAlign w:val="center"/>
          </w:tcPr>
          <w:p>
            <w:pPr>
              <w:pStyle w:val="74"/>
              <w:spacing w:line="300" w:lineRule="exact"/>
              <w:jc w:val="center"/>
              <w:rPr>
                <w:rFonts w:ascii="宋体" w:hAnsi="宋体" w:eastAsia="宋体"/>
              </w:rPr>
            </w:pPr>
            <w:r>
              <w:rPr>
                <w:rFonts w:hint="eastAsia" w:ascii="宋体" w:hAnsi="宋体" w:eastAsia="宋体"/>
              </w:rPr>
              <w:t>落实污染物总量控制制度，根据区域环境质量改善目标，削减污染物排放总量。</w:t>
            </w:r>
          </w:p>
        </w:tc>
        <w:tc>
          <w:tcPr>
            <w:tcW w:w="2976" w:type="dxa"/>
            <w:gridSpan w:val="2"/>
            <w:vAlign w:val="center"/>
          </w:tcPr>
          <w:p>
            <w:pPr>
              <w:pStyle w:val="47"/>
              <w:spacing w:line="300" w:lineRule="exact"/>
              <w:ind w:firstLine="0" w:firstLineChars="0"/>
              <w:jc w:val="center"/>
              <w:rPr>
                <w:color w:val="000000"/>
              </w:rPr>
            </w:pPr>
            <w:r>
              <w:rPr>
                <w:rFonts w:hint="eastAsia"/>
              </w:rPr>
              <w:t>本项目无需申请总量控制指标，符合要求。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08"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vMerge w:val="continue"/>
            <w:tcMar>
              <w:top w:w="16" w:type="dxa"/>
              <w:left w:w="16" w:type="dxa"/>
              <w:right w:w="16" w:type="dxa"/>
            </w:tcMar>
            <w:vAlign w:val="center"/>
          </w:tcPr>
          <w:p>
            <w:pPr>
              <w:pStyle w:val="47"/>
              <w:wordWrap w:val="0"/>
              <w:spacing w:line="300" w:lineRule="exact"/>
              <w:ind w:firstLine="0" w:firstLineChars="0"/>
              <w:jc w:val="center"/>
              <w:rPr>
                <w:rFonts w:cs="仿宋_GB2312"/>
                <w:color w:val="000000"/>
              </w:rPr>
            </w:pPr>
          </w:p>
        </w:tc>
        <w:tc>
          <w:tcPr>
            <w:tcW w:w="610" w:type="dxa"/>
            <w:vMerge w:val="continue"/>
            <w:vAlign w:val="center"/>
          </w:tcPr>
          <w:p>
            <w:pPr>
              <w:spacing w:line="300" w:lineRule="exact"/>
              <w:jc w:val="left"/>
              <w:rPr>
                <w:sz w:val="24"/>
              </w:rPr>
            </w:pPr>
          </w:p>
        </w:tc>
        <w:tc>
          <w:tcPr>
            <w:tcW w:w="803" w:type="dxa"/>
            <w:vAlign w:val="center"/>
          </w:tcPr>
          <w:p>
            <w:pPr>
              <w:pStyle w:val="74"/>
              <w:spacing w:line="300" w:lineRule="exact"/>
              <w:jc w:val="center"/>
              <w:rPr>
                <w:rFonts w:ascii="宋体" w:hAnsi="宋体" w:eastAsia="宋体"/>
              </w:rPr>
            </w:pPr>
            <w:r>
              <w:rPr>
                <w:rFonts w:hint="eastAsia" w:ascii="宋体" w:hAnsi="宋体" w:eastAsia="宋体"/>
              </w:rPr>
              <w:t>环境风险防控</w:t>
            </w:r>
          </w:p>
        </w:tc>
        <w:tc>
          <w:tcPr>
            <w:tcW w:w="2977" w:type="dxa"/>
            <w:gridSpan w:val="2"/>
            <w:vAlign w:val="center"/>
          </w:tcPr>
          <w:p>
            <w:pPr>
              <w:pStyle w:val="74"/>
              <w:spacing w:line="300" w:lineRule="exact"/>
              <w:jc w:val="center"/>
              <w:rPr>
                <w:rFonts w:ascii="宋体" w:hAnsi="宋体" w:eastAsia="宋体"/>
              </w:rPr>
            </w:pPr>
            <w:r>
              <w:rPr>
                <w:rFonts w:hint="eastAsia" w:ascii="宋体" w:hAnsi="宋体" w:eastAsia="宋体"/>
              </w:rPr>
              <w:t>禁止向农用地排放重金属或者其他有毒有害物质含量超标的污水、污泥，以及可能造成土壤污染的尾矿、矿渣等。</w:t>
            </w:r>
          </w:p>
        </w:tc>
        <w:tc>
          <w:tcPr>
            <w:tcW w:w="2976" w:type="dxa"/>
            <w:gridSpan w:val="2"/>
            <w:vAlign w:val="center"/>
          </w:tcPr>
          <w:p>
            <w:pPr>
              <w:pStyle w:val="47"/>
              <w:spacing w:line="300" w:lineRule="exact"/>
              <w:ind w:firstLine="0" w:firstLineChars="0"/>
              <w:jc w:val="center"/>
              <w:rPr>
                <w:color w:val="000000"/>
              </w:rPr>
            </w:pPr>
            <w:r>
              <w:rPr>
                <w:rFonts w:hint="eastAsia"/>
              </w:rPr>
              <w:t>本项目施工期间井场内的柴油机、发电机房、材料堆场等关键区域均铺设防渗膜，施工期产生的废水和固体废物均得到妥善处理。正常生产状况下，施工期对地下水环境不会产生不利影响，不会向土壤排放重金属或者其他有毒有害物质含量超标的污水、污泥。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08"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623" w:type="dxa"/>
            <w:vMerge w:val="continue"/>
            <w:tcMar>
              <w:top w:w="16" w:type="dxa"/>
              <w:left w:w="16" w:type="dxa"/>
              <w:right w:w="16" w:type="dxa"/>
            </w:tcMar>
            <w:vAlign w:val="center"/>
          </w:tcPr>
          <w:p>
            <w:pPr>
              <w:pStyle w:val="47"/>
              <w:wordWrap w:val="0"/>
              <w:spacing w:line="300" w:lineRule="exact"/>
              <w:ind w:firstLine="0" w:firstLineChars="0"/>
              <w:jc w:val="center"/>
              <w:rPr>
                <w:rFonts w:cs="仿宋_GB2312"/>
                <w:color w:val="000000"/>
              </w:rPr>
            </w:pPr>
          </w:p>
        </w:tc>
        <w:tc>
          <w:tcPr>
            <w:tcW w:w="610" w:type="dxa"/>
            <w:vMerge w:val="continue"/>
            <w:vAlign w:val="center"/>
          </w:tcPr>
          <w:p>
            <w:pPr>
              <w:spacing w:line="300" w:lineRule="exact"/>
              <w:jc w:val="left"/>
              <w:rPr>
                <w:sz w:val="24"/>
              </w:rPr>
            </w:pPr>
          </w:p>
        </w:tc>
        <w:tc>
          <w:tcPr>
            <w:tcW w:w="803" w:type="dxa"/>
            <w:vAlign w:val="center"/>
          </w:tcPr>
          <w:p>
            <w:pPr>
              <w:pStyle w:val="74"/>
              <w:spacing w:line="300" w:lineRule="exact"/>
              <w:jc w:val="center"/>
              <w:rPr>
                <w:rFonts w:ascii="宋体" w:hAnsi="宋体" w:eastAsia="宋体"/>
              </w:rPr>
            </w:pPr>
            <w:r>
              <w:rPr>
                <w:rFonts w:hint="eastAsia" w:ascii="宋体" w:hAnsi="宋体" w:eastAsia="宋体"/>
              </w:rPr>
              <w:t>资源利用效率</w:t>
            </w:r>
          </w:p>
        </w:tc>
        <w:tc>
          <w:tcPr>
            <w:tcW w:w="2977" w:type="dxa"/>
            <w:gridSpan w:val="2"/>
            <w:vAlign w:val="center"/>
          </w:tcPr>
          <w:p>
            <w:pPr>
              <w:pStyle w:val="74"/>
              <w:spacing w:line="300" w:lineRule="exact"/>
              <w:jc w:val="center"/>
              <w:rPr>
                <w:rFonts w:ascii="宋体" w:hAnsi="宋体" w:eastAsia="宋体"/>
              </w:rPr>
            </w:pPr>
            <w:r>
              <w:rPr>
                <w:rFonts w:hint="eastAsia" w:ascii="宋体" w:hAnsi="宋体" w:eastAsia="宋体"/>
              </w:rPr>
              <w:t>实行水资源消耗总量和强度双控，推进农业节水，提高农业用水效率。优化能源结构，加强能源清洁利用。</w:t>
            </w:r>
          </w:p>
        </w:tc>
        <w:tc>
          <w:tcPr>
            <w:tcW w:w="2976" w:type="dxa"/>
            <w:gridSpan w:val="2"/>
            <w:vAlign w:val="center"/>
          </w:tcPr>
          <w:p>
            <w:pPr>
              <w:pStyle w:val="47"/>
              <w:spacing w:line="300" w:lineRule="exact"/>
              <w:ind w:firstLine="0" w:firstLineChars="0"/>
              <w:jc w:val="center"/>
              <w:rPr>
                <w:color w:val="000000"/>
              </w:rPr>
            </w:pPr>
            <w:r>
              <w:rPr>
                <w:rFonts w:hint="eastAsia"/>
              </w:rPr>
              <w:t>项目建设过程中会消耗一定量的白油、柴油以及新鲜水，资源消耗量总体相对区域资源利用总量较少。本项目为陆地矿产资源地质勘查项目，符合要求。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49"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1233" w:type="dxa"/>
            <w:gridSpan w:val="2"/>
            <w:tcMar>
              <w:top w:w="16" w:type="dxa"/>
              <w:left w:w="16" w:type="dxa"/>
              <w:right w:w="16" w:type="dxa"/>
            </w:tcMar>
            <w:vAlign w:val="center"/>
          </w:tcPr>
          <w:p>
            <w:pPr>
              <w:pStyle w:val="47"/>
              <w:spacing w:line="300" w:lineRule="exact"/>
              <w:ind w:firstLine="0" w:firstLineChars="0"/>
              <w:jc w:val="center"/>
              <w:rPr>
                <w:rFonts w:cs="宋体"/>
                <w:color w:val="000000" w:themeColor="text1"/>
                <w:spacing w:val="22"/>
                <w:kern w:val="2"/>
                <w14:textFill>
                  <w14:solidFill>
                    <w14:schemeClr w14:val="tx1"/>
                  </w14:solidFill>
                </w14:textFill>
              </w:rPr>
            </w:pPr>
            <w:r>
              <w:rPr>
                <w:rFonts w:hint="eastAsia" w:cs="宋体"/>
                <w:color w:val="000000" w:themeColor="text1"/>
                <w:spacing w:val="22"/>
                <w:kern w:val="2"/>
                <w14:textFill>
                  <w14:solidFill>
                    <w14:schemeClr w14:val="tx1"/>
                  </w14:solidFill>
                </w14:textFill>
              </w:rPr>
              <w:t>主体功能区划</w:t>
            </w:r>
          </w:p>
        </w:tc>
        <w:tc>
          <w:tcPr>
            <w:tcW w:w="6756" w:type="dxa"/>
            <w:gridSpan w:val="5"/>
            <w:vAlign w:val="center"/>
          </w:tcPr>
          <w:p>
            <w:pPr>
              <w:pStyle w:val="47"/>
              <w:spacing w:line="300" w:lineRule="exact"/>
              <w:ind w:firstLine="0" w:firstLineChars="0"/>
              <w:rPr>
                <w:rFonts w:cs="宋体"/>
                <w:color w:val="000000" w:themeColor="text1"/>
                <w:kern w:val="2"/>
                <w14:textFill>
                  <w14:solidFill>
                    <w14:schemeClr w14:val="tx1"/>
                  </w14:solidFill>
                </w14:textFill>
              </w:rPr>
            </w:pPr>
            <w:r>
              <w:rPr>
                <w:rFonts w:hint="eastAsia" w:cs="宋体"/>
                <w:color w:val="000000" w:themeColor="text1"/>
                <w:kern w:val="2"/>
                <w14:textFill>
                  <w14:solidFill>
                    <w14:schemeClr w14:val="tx1"/>
                  </w14:solidFill>
                </w14:textFill>
              </w:rPr>
              <w:t>本项目为油气资源的勘查，与《新疆维吾尔自治区主体功能区规划》中阜康市的功能定位之一：“天山北坡地区重点开发区——全国重要的能源基地”是相符的。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803"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1233" w:type="dxa"/>
            <w:gridSpan w:val="2"/>
            <w:tcMar>
              <w:top w:w="16" w:type="dxa"/>
              <w:left w:w="16" w:type="dxa"/>
              <w:right w:w="16" w:type="dxa"/>
            </w:tcMar>
            <w:vAlign w:val="center"/>
          </w:tcPr>
          <w:p>
            <w:pPr>
              <w:pStyle w:val="47"/>
              <w:spacing w:line="300" w:lineRule="exact"/>
              <w:ind w:firstLine="0" w:firstLineChars="0"/>
              <w:jc w:val="center"/>
              <w:rPr>
                <w:rFonts w:cs="宋体"/>
                <w:color w:val="000000" w:themeColor="text1"/>
                <w:spacing w:val="22"/>
                <w:kern w:val="2"/>
                <w14:textFill>
                  <w14:solidFill>
                    <w14:schemeClr w14:val="tx1"/>
                  </w14:solidFill>
                </w14:textFill>
              </w:rPr>
            </w:pPr>
            <w:r>
              <w:rPr>
                <w:rFonts w:hint="eastAsia"/>
                <w:spacing w:val="22"/>
              </w:rPr>
              <w:t>石油天然气开采业污染防治技术政策</w:t>
            </w:r>
          </w:p>
        </w:tc>
        <w:tc>
          <w:tcPr>
            <w:tcW w:w="6756" w:type="dxa"/>
            <w:gridSpan w:val="5"/>
            <w:vAlign w:val="center"/>
          </w:tcPr>
          <w:p>
            <w:pPr>
              <w:pStyle w:val="47"/>
              <w:wordWrap w:val="0"/>
              <w:spacing w:line="300" w:lineRule="exact"/>
              <w:ind w:firstLine="0" w:firstLineChars="0"/>
              <w:rPr>
                <w:rFonts w:cs="宋体"/>
                <w:color w:val="000000" w:themeColor="text1"/>
                <w:kern w:val="2"/>
                <w14:textFill>
                  <w14:solidFill>
                    <w14:schemeClr w14:val="tx1"/>
                  </w14:solidFill>
                </w14:textFill>
              </w:rPr>
            </w:pPr>
            <w:r>
              <w:rPr>
                <w:rFonts w:hint="eastAsia"/>
              </w:rPr>
              <w:t>本项目钻井一开采用水基钻井液，二开、三开采用油基钻井液，</w:t>
            </w:r>
            <w:r>
              <w:rPr>
                <w:rFonts w:hint="eastAsia" w:cs="宋体"/>
              </w:rPr>
              <w:t>井场设钻井液不落地设备，分离出的液相回用于钻井，分离出的</w:t>
            </w:r>
            <w:r>
              <w:rPr>
                <w:rFonts w:hint="eastAsia" w:cs="宋体"/>
                <w:color w:val="000000" w:themeColor="text1"/>
                <w:kern w:val="2"/>
                <w14:textFill>
                  <w14:solidFill>
                    <w14:schemeClr w14:val="tx1"/>
                  </w14:solidFill>
                </w14:textFill>
              </w:rPr>
              <w:t>水基钻井岩屑进水基岩屑专用方罐，由岩屑处置单位直接拉运进行处理，满足相关要求后进行综合利用；</w:t>
            </w:r>
            <w:r>
              <w:rPr>
                <w:rFonts w:hint="eastAsia" w:cs="宋体"/>
              </w:rPr>
              <w:t>油基钻井岩屑属于危险废物，进入油基岩屑专用方罐后交由具有相关危险废物处置资质的单位负责接收、转运及处置；钻井过程无废水产生；试油过程产生的洗井废水由专用罐收集，拉运至</w:t>
            </w:r>
            <w:r>
              <w:rPr>
                <w:rFonts w:hint="eastAsia"/>
              </w:rPr>
              <w:t>沙南联合站采出水处理系统</w:t>
            </w:r>
            <w:r>
              <w:rPr>
                <w:rFonts w:hint="eastAsia" w:cs="宋体"/>
              </w:rPr>
              <w:t>进行处理，</w:t>
            </w:r>
            <w:r>
              <w:rPr>
                <w:rFonts w:hint="eastAsia"/>
              </w:rPr>
              <w:t>经系统处理达到《碎屑岩油藏注水水质指标及分析方法》（SY/T5329—2012）中相关标准后，全部回注油藏，不外排；</w:t>
            </w:r>
            <w:r>
              <w:rPr>
                <w:rFonts w:hint="eastAsia"/>
                <w:spacing w:val="-4"/>
              </w:rPr>
              <w:t>本项目在压裂过程中不使用酸化压裂液，压裂结束后压裂返排液与其他采出液一同进入地面方罐，由专用罐车拉运沙南联合站原油处理系统处理</w:t>
            </w:r>
            <w:r>
              <w:rPr>
                <w:rFonts w:hint="eastAsia"/>
              </w:rPr>
              <w:t>。以上措施均符合《政策》要求。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370"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1233" w:type="dxa"/>
            <w:gridSpan w:val="2"/>
            <w:tcMar>
              <w:top w:w="16" w:type="dxa"/>
              <w:left w:w="16" w:type="dxa"/>
              <w:right w:w="16" w:type="dxa"/>
            </w:tcMar>
            <w:vAlign w:val="center"/>
          </w:tcPr>
          <w:p>
            <w:pPr>
              <w:pStyle w:val="47"/>
              <w:spacing w:line="300" w:lineRule="exact"/>
              <w:ind w:firstLine="0" w:firstLineChars="0"/>
              <w:jc w:val="center"/>
              <w:rPr>
                <w:rFonts w:cs="宋体"/>
                <w:color w:val="000000" w:themeColor="text1"/>
                <w:kern w:val="2"/>
                <w14:textFill>
                  <w14:solidFill>
                    <w14:schemeClr w14:val="tx1"/>
                  </w14:solidFill>
                </w14:textFill>
              </w:rPr>
            </w:pPr>
            <w:r>
              <w:rPr>
                <w:rFonts w:hint="eastAsia" w:cs="宋体"/>
              </w:rPr>
              <w:t>新疆维吾尔自治区煤炭石油天然气开发环境保护条例</w:t>
            </w:r>
          </w:p>
        </w:tc>
        <w:tc>
          <w:tcPr>
            <w:tcW w:w="6756" w:type="dxa"/>
            <w:gridSpan w:val="5"/>
            <w:vAlign w:val="center"/>
          </w:tcPr>
          <w:p>
            <w:pPr>
              <w:pStyle w:val="47"/>
              <w:spacing w:line="300" w:lineRule="exact"/>
              <w:ind w:firstLine="0" w:firstLineChars="0"/>
              <w:rPr>
                <w:rFonts w:cs="宋体"/>
                <w:color w:val="000000" w:themeColor="text1"/>
                <w:lang w:bidi="zh-CN"/>
                <w14:textFill>
                  <w14:solidFill>
                    <w14:schemeClr w14:val="tx1"/>
                  </w14:solidFill>
                </w14:textFill>
              </w:rPr>
            </w:pPr>
            <w:r>
              <w:rPr>
                <w:rFonts w:hint="eastAsia"/>
              </w:rPr>
              <w:t>阜康市</w:t>
            </w:r>
            <w:r>
              <w:rPr>
                <w:rFonts w:hint="eastAsia" w:cs="宋体"/>
                <w:color w:val="000000" w:themeColor="text1"/>
                <w:kern w:val="2"/>
                <w:lang w:bidi="zh-CN"/>
                <w14:textFill>
                  <w14:solidFill>
                    <w14:schemeClr w14:val="tx1"/>
                  </w14:solidFill>
                </w14:textFill>
              </w:rPr>
              <w:t>为新疆维吾尔自治区水土流失重点治理区，报告表提出了相应的</w:t>
            </w:r>
            <w:r>
              <w:rPr>
                <w:rFonts w:hint="eastAsia" w:cs="宋体"/>
                <w:color w:val="000000" w:themeColor="text1"/>
                <w:lang w:bidi="zh-CN"/>
                <w14:textFill>
                  <w14:solidFill>
                    <w14:schemeClr w14:val="tx1"/>
                  </w14:solidFill>
                </w14:textFill>
              </w:rPr>
              <w:t>水土保持措施，可将项目引起的水土流失的程度降低到最小限度。</w:t>
            </w:r>
            <w:r>
              <w:rPr>
                <w:rFonts w:hint="eastAsia" w:cs="宋体"/>
                <w:color w:val="000000" w:themeColor="text1"/>
                <w:kern w:val="2"/>
                <w14:textFill>
                  <w14:solidFill>
                    <w14:schemeClr w14:val="tx1"/>
                  </w14:solidFill>
                </w14:textFill>
              </w:rPr>
              <w:t>施工期产生的污染物影响随施工期的结束而消失，不会对周围环境产生明显影响；项目无运营期，无需对环境进行监测；</w:t>
            </w:r>
            <w:r>
              <w:rPr>
                <w:rFonts w:hint="eastAsia"/>
              </w:rPr>
              <w:t>试油期产生的伴生气的量不稳定，不具备回收利用条件，经放喷管线燃烧放空；钻井和试油均纳入《新疆油田公司勘探事业部突发环境事件应急预案》。以上措施均符合《条例》要求。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106" w:hRule="atLeast"/>
        </w:trPr>
        <w:tc>
          <w:tcPr>
            <w:tcW w:w="658" w:type="dxa"/>
            <w:vMerge w:val="continue"/>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p>
        </w:tc>
        <w:tc>
          <w:tcPr>
            <w:tcW w:w="1233" w:type="dxa"/>
            <w:gridSpan w:val="2"/>
            <w:tcMar>
              <w:top w:w="16" w:type="dxa"/>
              <w:left w:w="16" w:type="dxa"/>
              <w:right w:w="16" w:type="dxa"/>
            </w:tcMar>
            <w:vAlign w:val="center"/>
          </w:tcPr>
          <w:p>
            <w:pPr>
              <w:pStyle w:val="47"/>
              <w:spacing w:line="300" w:lineRule="exact"/>
              <w:ind w:firstLine="0" w:firstLineChars="0"/>
              <w:jc w:val="center"/>
              <w:rPr>
                <w:rFonts w:cs="宋体"/>
              </w:rPr>
            </w:pPr>
            <w:r>
              <w:rPr>
                <w:rFonts w:hint="eastAsia" w:cs="宋体"/>
              </w:rPr>
              <w:t>关于进一步加强石油天然气行业环境影响评价管理的通知</w:t>
            </w:r>
          </w:p>
        </w:tc>
        <w:tc>
          <w:tcPr>
            <w:tcW w:w="6756" w:type="dxa"/>
            <w:gridSpan w:val="5"/>
            <w:vAlign w:val="center"/>
          </w:tcPr>
          <w:p>
            <w:pPr>
              <w:pStyle w:val="47"/>
              <w:spacing w:line="300" w:lineRule="exact"/>
              <w:ind w:firstLine="0" w:firstLineChars="0"/>
              <w:rPr>
                <w:rFonts w:cs="宋体"/>
              </w:rPr>
            </w:pPr>
            <w:r>
              <w:rPr>
                <w:rFonts w:hint="eastAsia" w:cs="宋体"/>
              </w:rPr>
              <w:t>本项目在实施过程中的环境管理执行中国石油新疆油田分公司已建立的健康、安全与环境管理体系（HSE管理体系），能够落实各项环保和安全措施，从而减少对周围环境的影响；本项目在新疆油田“一张图”区块范围外，属于未确定产能建设规模的陆地石油天然气开采新区块的勘探（见附图2）；以上措施均符合《通知》要求。</w:t>
            </w:r>
          </w:p>
        </w:tc>
      </w:tr>
    </w:tbl>
    <w:p>
      <w:pPr>
        <w:widowControl/>
        <w:jc w:val="left"/>
        <w:rPr>
          <w:rFonts w:eastAsia="黑体"/>
          <w:bCs/>
          <w:snapToGrid w:val="0"/>
          <w:color w:val="000000"/>
          <w:kern w:val="44"/>
          <w:sz w:val="30"/>
          <w:szCs w:val="30"/>
        </w:rPr>
        <w:sectPr>
          <w:footerReference r:id="rId6" w:type="default"/>
          <w:type w:val="nextColumn"/>
          <w:pgSz w:w="11906" w:h="16838"/>
          <w:pgMar w:top="1418" w:right="1588" w:bottom="1418" w:left="1588" w:header="851" w:footer="1077" w:gutter="0"/>
          <w:pgNumType w:start="1"/>
          <w:cols w:space="720" w:num="1"/>
          <w:docGrid w:linePitch="312" w:charSpace="0"/>
        </w:sectPr>
      </w:pPr>
    </w:p>
    <w:p>
      <w:pPr>
        <w:pStyle w:val="2"/>
        <w:ind w:left="0" w:firstLine="0"/>
        <w:rPr>
          <w:snapToGrid w:val="0"/>
        </w:rPr>
      </w:pPr>
      <w:r>
        <w:rPr>
          <w:rFonts w:hint="eastAsia"/>
          <w:snapToGrid w:val="0"/>
        </w:rPr>
        <w:t>二、建设内容</w:t>
      </w:r>
    </w:p>
    <w:tbl>
      <w:tblPr>
        <w:tblStyle w:val="17"/>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55"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kern w:val="0"/>
                <w:sz w:val="24"/>
              </w:rPr>
              <w:t>地理位置</w:t>
            </w:r>
          </w:p>
        </w:tc>
        <w:tc>
          <w:tcPr>
            <w:tcW w:w="8080" w:type="dxa"/>
            <w:vAlign w:val="center"/>
          </w:tcPr>
          <w:p>
            <w:pPr>
              <w:pStyle w:val="47"/>
              <w:ind w:firstLine="480"/>
            </w:pPr>
            <w:r>
              <w:rPr>
                <w:rFonts w:hint="eastAsia"/>
              </w:rPr>
              <w:t>本项目计划部署</w:t>
            </w:r>
            <w:r>
              <w:t>1</w:t>
            </w:r>
            <w:r>
              <w:rPr>
                <w:rFonts w:hint="eastAsia"/>
              </w:rPr>
              <w:t>口勘探井（康10H井），</w:t>
            </w:r>
            <w:r>
              <w:t>构造上位于</w:t>
            </w:r>
            <w:r>
              <w:rPr>
                <w:rFonts w:hint="eastAsia"/>
              </w:rPr>
              <w:t>准噶尔盆地南缘冲断带阜康断裂带</w:t>
            </w:r>
            <w:r>
              <w:t>，行政</w:t>
            </w:r>
            <w:r>
              <w:rPr>
                <w:rFonts w:hint="eastAsia"/>
              </w:rPr>
              <w:t>隶属于新疆维吾尔自治区昌吉回族自治州阜康市</w:t>
            </w:r>
            <w:r>
              <w:rPr>
                <w:rFonts w:hint="eastAsia" w:cs="宋体"/>
              </w:rPr>
              <w:t>。</w:t>
            </w:r>
            <w:bookmarkStart w:id="8" w:name="_Hlk96355494"/>
            <w:r>
              <w:rPr>
                <w:rFonts w:hint="eastAsia" w:cs="宋体"/>
              </w:rPr>
              <w:t>西北距阜康市中心城区约58km，北距沙南联合站约</w:t>
            </w:r>
            <w:r>
              <w:rPr>
                <w:rFonts w:cs="宋体"/>
              </w:rPr>
              <w:t>46</w:t>
            </w:r>
            <w:r>
              <w:rPr>
                <w:rFonts w:hint="eastAsia" w:cs="宋体"/>
              </w:rPr>
              <w:t>km，西南距黄山河3.5km。</w:t>
            </w:r>
            <w:bookmarkEnd w:id="8"/>
            <w:r>
              <w:rPr>
                <w:rFonts w:hint="eastAsia" w:cs="宋体"/>
              </w:rPr>
              <w:t>井位坐标见表1，地理位置</w:t>
            </w:r>
            <w:r>
              <w:rPr>
                <w:rFonts w:hint="eastAsia"/>
              </w:rPr>
              <w:t>见附图</w:t>
            </w:r>
            <w:r>
              <w:t>3</w:t>
            </w:r>
            <w:r>
              <w:rPr>
                <w:rFonts w:hint="eastAsia"/>
              </w:rPr>
              <w:t>。</w:t>
            </w:r>
          </w:p>
          <w:p>
            <w:pPr>
              <w:pStyle w:val="5"/>
              <w:keepNext/>
            </w:pPr>
            <w:r>
              <w:t>表1</w:t>
            </w:r>
            <w:r>
              <w:rPr>
                <w:rFonts w:hint="eastAsia"/>
              </w:rPr>
              <w:t xml:space="preserve">  拟部署井位坐标</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22"/>
              <w:gridCol w:w="1985"/>
              <w:gridCol w:w="1832"/>
              <w:gridCol w:w="1375"/>
              <w:gridCol w:w="14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22" w:type="dxa"/>
                  <w:vMerge w:val="restart"/>
                  <w:vAlign w:val="center"/>
                </w:tcPr>
                <w:p>
                  <w:pPr>
                    <w:pStyle w:val="50"/>
                    <w:spacing w:line="300" w:lineRule="exact"/>
                  </w:pPr>
                  <w:r>
                    <w:rPr>
                      <w:rFonts w:hint="eastAsia"/>
                    </w:rPr>
                    <w:t>井号</w:t>
                  </w:r>
                </w:p>
              </w:tc>
              <w:tc>
                <w:tcPr>
                  <w:tcW w:w="3817" w:type="dxa"/>
                  <w:gridSpan w:val="2"/>
                  <w:vAlign w:val="center"/>
                </w:tcPr>
                <w:p>
                  <w:pPr>
                    <w:pStyle w:val="50"/>
                    <w:spacing w:line="300" w:lineRule="exact"/>
                  </w:pPr>
                  <w:r>
                    <w:rPr>
                      <w:rFonts w:hint="eastAsia"/>
                    </w:rPr>
                    <w:t>经纬度坐标</w:t>
                  </w:r>
                </w:p>
              </w:tc>
              <w:tc>
                <w:tcPr>
                  <w:tcW w:w="2825" w:type="dxa"/>
                  <w:gridSpan w:val="2"/>
                  <w:vAlign w:val="center"/>
                </w:tcPr>
                <w:p>
                  <w:pPr>
                    <w:pStyle w:val="50"/>
                    <w:spacing w:line="300" w:lineRule="exact"/>
                  </w:pPr>
                  <w:r>
                    <w:rPr>
                      <w:rFonts w:hint="eastAsia"/>
                    </w:rPr>
                    <w:t>大地坐标（北京</w:t>
                  </w:r>
                  <w:r>
                    <w:t>54</w:t>
                  </w: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22" w:type="dxa"/>
                  <w:vMerge w:val="continue"/>
                  <w:vAlign w:val="center"/>
                </w:tcPr>
                <w:p>
                  <w:pPr>
                    <w:pStyle w:val="50"/>
                    <w:spacing w:line="300" w:lineRule="exact"/>
                  </w:pPr>
                </w:p>
              </w:tc>
              <w:tc>
                <w:tcPr>
                  <w:tcW w:w="1985" w:type="dxa"/>
                  <w:vAlign w:val="center"/>
                </w:tcPr>
                <w:p>
                  <w:pPr>
                    <w:pStyle w:val="50"/>
                    <w:spacing w:line="300" w:lineRule="exact"/>
                  </w:pPr>
                  <w:r>
                    <w:rPr>
                      <w:rFonts w:hint="eastAsia"/>
                    </w:rPr>
                    <w:t>东经</w:t>
                  </w:r>
                </w:p>
              </w:tc>
              <w:tc>
                <w:tcPr>
                  <w:tcW w:w="1832" w:type="dxa"/>
                  <w:vAlign w:val="center"/>
                </w:tcPr>
                <w:p>
                  <w:pPr>
                    <w:pStyle w:val="50"/>
                    <w:spacing w:line="300" w:lineRule="exact"/>
                  </w:pPr>
                  <w:r>
                    <w:rPr>
                      <w:rFonts w:hint="eastAsia"/>
                    </w:rPr>
                    <w:t>北纬</w:t>
                  </w:r>
                </w:p>
              </w:tc>
              <w:tc>
                <w:tcPr>
                  <w:tcW w:w="1375" w:type="dxa"/>
                  <w:vAlign w:val="center"/>
                </w:tcPr>
                <w:p>
                  <w:pPr>
                    <w:pStyle w:val="50"/>
                    <w:spacing w:line="300" w:lineRule="exact"/>
                  </w:pPr>
                  <w:r>
                    <w:t>Y</w:t>
                  </w:r>
                </w:p>
              </w:tc>
              <w:tc>
                <w:tcPr>
                  <w:tcW w:w="1450" w:type="dxa"/>
                  <w:vAlign w:val="center"/>
                </w:tcPr>
                <w:p>
                  <w:pPr>
                    <w:pStyle w:val="50"/>
                    <w:spacing w:line="300" w:lineRule="exact"/>
                  </w:pPr>
                  <w:r>
                    <w:t>X</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22" w:type="dxa"/>
                  <w:vAlign w:val="center"/>
                </w:tcPr>
                <w:p>
                  <w:pPr>
                    <w:pStyle w:val="50"/>
                    <w:spacing w:line="300" w:lineRule="exact"/>
                  </w:pPr>
                  <w:r>
                    <w:rPr>
                      <w:rFonts w:hint="eastAsia"/>
                    </w:rPr>
                    <w:t>康10H</w:t>
                  </w:r>
                </w:p>
              </w:tc>
              <w:tc>
                <w:tcPr>
                  <w:tcW w:w="1985" w:type="dxa"/>
                  <w:vAlign w:val="center"/>
                </w:tcPr>
                <w:p>
                  <w:pPr>
                    <w:pStyle w:val="50"/>
                    <w:spacing w:line="300" w:lineRule="exact"/>
                  </w:pPr>
                  <w:r>
                    <w:rPr>
                      <w:rFonts w:hint="eastAsia"/>
                      <w:color w:val="000000"/>
                    </w:rPr>
                    <w:t>8</w:t>
                  </w:r>
                  <w:r>
                    <w:rPr>
                      <w:color w:val="000000"/>
                    </w:rPr>
                    <w:t>8</w:t>
                  </w:r>
                  <w:r>
                    <w:rPr>
                      <w:rFonts w:hint="eastAsia"/>
                      <w:color w:val="000000"/>
                    </w:rPr>
                    <w:t>°</w:t>
                  </w:r>
                  <w:r>
                    <w:rPr>
                      <w:color w:val="000000"/>
                    </w:rPr>
                    <w:t>41</w:t>
                  </w:r>
                  <w:r>
                    <w:rPr>
                      <w:rFonts w:hint="eastAsia"/>
                      <w:color w:val="000000"/>
                    </w:rPr>
                    <w:t>′2</w:t>
                  </w:r>
                  <w:r>
                    <w:rPr>
                      <w:color w:val="000000"/>
                    </w:rPr>
                    <w:t>9</w:t>
                  </w:r>
                  <w:r>
                    <w:rPr>
                      <w:rFonts w:hint="eastAsia"/>
                      <w:color w:val="000000"/>
                    </w:rPr>
                    <w:t>.</w:t>
                  </w:r>
                  <w:r>
                    <w:rPr>
                      <w:color w:val="000000"/>
                    </w:rPr>
                    <w:t>950</w:t>
                  </w:r>
                  <w:r>
                    <w:rPr>
                      <w:rFonts w:hint="eastAsia"/>
                      <w:color w:val="000000"/>
                    </w:rPr>
                    <w:t>"</w:t>
                  </w:r>
                </w:p>
              </w:tc>
              <w:tc>
                <w:tcPr>
                  <w:tcW w:w="1832" w:type="dxa"/>
                  <w:vAlign w:val="center"/>
                </w:tcPr>
                <w:p>
                  <w:pPr>
                    <w:pStyle w:val="50"/>
                    <w:spacing w:line="300" w:lineRule="exact"/>
                  </w:pPr>
                  <w:r>
                    <w:rPr>
                      <w:rFonts w:hint="eastAsia"/>
                      <w:color w:val="000000"/>
                    </w:rPr>
                    <w:t>4</w:t>
                  </w:r>
                  <w:r>
                    <w:rPr>
                      <w:color w:val="000000"/>
                    </w:rPr>
                    <w:t>4</w:t>
                  </w:r>
                  <w:r>
                    <w:rPr>
                      <w:rFonts w:hint="eastAsia"/>
                      <w:color w:val="000000"/>
                    </w:rPr>
                    <w:t>°</w:t>
                  </w:r>
                  <w:r>
                    <w:rPr>
                      <w:color w:val="000000"/>
                    </w:rPr>
                    <w:t>03</w:t>
                  </w:r>
                  <w:r>
                    <w:rPr>
                      <w:rFonts w:hint="eastAsia"/>
                      <w:color w:val="000000"/>
                    </w:rPr>
                    <w:t>′</w:t>
                  </w:r>
                  <w:r>
                    <w:rPr>
                      <w:color w:val="000000"/>
                    </w:rPr>
                    <w:t>54</w:t>
                  </w:r>
                  <w:r>
                    <w:rPr>
                      <w:rFonts w:hint="eastAsia"/>
                      <w:color w:val="000000"/>
                    </w:rPr>
                    <w:t>.</w:t>
                  </w:r>
                  <w:r>
                    <w:rPr>
                      <w:color w:val="000000"/>
                    </w:rPr>
                    <w:t>558</w:t>
                  </w:r>
                  <w:r>
                    <w:rPr>
                      <w:rFonts w:hint="eastAsia"/>
                      <w:color w:val="000000"/>
                    </w:rPr>
                    <w:t>"</w:t>
                  </w:r>
                </w:p>
              </w:tc>
              <w:tc>
                <w:tcPr>
                  <w:tcW w:w="1375" w:type="dxa"/>
                  <w:vAlign w:val="center"/>
                </w:tcPr>
                <w:p>
                  <w:pPr>
                    <w:pStyle w:val="50"/>
                    <w:spacing w:line="300" w:lineRule="exact"/>
                  </w:pPr>
                  <w:r>
                    <w:rPr>
                      <w:color w:val="000000"/>
                    </w:rPr>
                    <w:t>4882539.8</w:t>
                  </w:r>
                </w:p>
              </w:tc>
              <w:tc>
                <w:tcPr>
                  <w:tcW w:w="1450" w:type="dxa"/>
                  <w:vAlign w:val="center"/>
                </w:tcPr>
                <w:p>
                  <w:pPr>
                    <w:pStyle w:val="50"/>
                    <w:spacing w:line="300" w:lineRule="exact"/>
                    <w:rPr>
                      <w:color w:val="000000"/>
                    </w:rPr>
                  </w:pPr>
                  <w:r>
                    <w:rPr>
                      <w:color w:val="000000"/>
                    </w:rPr>
                    <w:t>15635535.4</w:t>
                  </w:r>
                </w:p>
              </w:tc>
            </w:tr>
          </w:tbl>
          <w:p>
            <w:pPr>
              <w:pStyle w:val="47"/>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kern w:val="0"/>
                <w:sz w:val="24"/>
              </w:rPr>
              <w:t>项目组成及规模</w:t>
            </w:r>
          </w:p>
        </w:tc>
        <w:tc>
          <w:tcPr>
            <w:tcW w:w="8080" w:type="dxa"/>
            <w:vAlign w:val="center"/>
          </w:tcPr>
          <w:p>
            <w:pPr>
              <w:pStyle w:val="47"/>
              <w:ind w:firstLine="480"/>
            </w:pPr>
            <w:r>
              <w:rPr>
                <w:rFonts w:hint="eastAsia"/>
              </w:rPr>
              <w:t>工程组成情况详见表</w:t>
            </w:r>
            <w:r>
              <w:t>2</w:t>
            </w:r>
            <w:r>
              <w:rPr>
                <w:rFonts w:hint="eastAsia"/>
              </w:rPr>
              <w:t>。</w:t>
            </w:r>
          </w:p>
          <w:p>
            <w:pPr>
              <w:pStyle w:val="5"/>
              <w:keepNext/>
            </w:pPr>
            <w:bookmarkStart w:id="9" w:name="_Ref19637151"/>
            <w:r>
              <w:t>表</w:t>
            </w:r>
            <w:bookmarkEnd w:id="9"/>
            <w:r>
              <w:t xml:space="preserve">2  </w:t>
            </w:r>
            <w:r>
              <w:rPr>
                <w:rFonts w:hint="eastAsia"/>
              </w:rPr>
              <w:t>工程组成</w:t>
            </w:r>
            <w:r>
              <w:t>一览表</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70"/>
              <w:gridCol w:w="1074"/>
              <w:gridCol w:w="1017"/>
              <w:gridCol w:w="52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Align w:val="center"/>
                </w:tcPr>
                <w:p>
                  <w:pPr>
                    <w:pStyle w:val="50"/>
                    <w:adjustRightInd w:val="0"/>
                    <w:snapToGrid w:val="0"/>
                    <w:spacing w:line="300" w:lineRule="exact"/>
                  </w:pPr>
                  <w:r>
                    <w:rPr>
                      <w:rFonts w:hint="eastAsia"/>
                    </w:rPr>
                    <w:t>序号</w:t>
                  </w:r>
                </w:p>
              </w:tc>
              <w:tc>
                <w:tcPr>
                  <w:tcW w:w="1074" w:type="dxa"/>
                  <w:vAlign w:val="center"/>
                </w:tcPr>
                <w:p>
                  <w:pPr>
                    <w:pStyle w:val="50"/>
                    <w:adjustRightInd w:val="0"/>
                    <w:snapToGrid w:val="0"/>
                    <w:spacing w:line="300" w:lineRule="exact"/>
                  </w:pPr>
                  <w:r>
                    <w:rPr>
                      <w:rFonts w:hint="eastAsia"/>
                    </w:rPr>
                    <w:t>工程组成</w:t>
                  </w:r>
                </w:p>
              </w:tc>
              <w:tc>
                <w:tcPr>
                  <w:tcW w:w="6220" w:type="dxa"/>
                  <w:gridSpan w:val="2"/>
                  <w:vAlign w:val="center"/>
                </w:tcPr>
                <w:p>
                  <w:pPr>
                    <w:pStyle w:val="50"/>
                    <w:adjustRightInd w:val="0"/>
                    <w:snapToGrid w:val="0"/>
                    <w:spacing w:line="300" w:lineRule="exact"/>
                  </w:pPr>
                  <w:r>
                    <w:rPr>
                      <w:rFonts w:hint="eastAsia"/>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restart"/>
                  <w:vAlign w:val="center"/>
                </w:tcPr>
                <w:p>
                  <w:pPr>
                    <w:pStyle w:val="50"/>
                    <w:adjustRightInd w:val="0"/>
                    <w:snapToGrid w:val="0"/>
                    <w:spacing w:line="300" w:lineRule="exact"/>
                  </w:pPr>
                  <w:r>
                    <w:rPr>
                      <w:rFonts w:hint="eastAsia"/>
                    </w:rPr>
                    <w:t>1</w:t>
                  </w:r>
                </w:p>
              </w:tc>
              <w:tc>
                <w:tcPr>
                  <w:tcW w:w="1074" w:type="dxa"/>
                  <w:vMerge w:val="restart"/>
                  <w:vAlign w:val="center"/>
                </w:tcPr>
                <w:p>
                  <w:pPr>
                    <w:pStyle w:val="50"/>
                    <w:adjustRightInd w:val="0"/>
                    <w:snapToGrid w:val="0"/>
                    <w:spacing w:line="300" w:lineRule="exact"/>
                  </w:pPr>
                  <w:r>
                    <w:rPr>
                      <w:rFonts w:hint="eastAsia"/>
                    </w:rPr>
                    <w:t>主体工程</w:t>
                  </w:r>
                </w:p>
              </w:tc>
              <w:tc>
                <w:tcPr>
                  <w:tcW w:w="1017" w:type="dxa"/>
                  <w:vAlign w:val="center"/>
                </w:tcPr>
                <w:p>
                  <w:pPr>
                    <w:pStyle w:val="50"/>
                    <w:adjustRightInd w:val="0"/>
                    <w:snapToGrid w:val="0"/>
                    <w:spacing w:line="300" w:lineRule="exact"/>
                  </w:pPr>
                  <w:r>
                    <w:rPr>
                      <w:rFonts w:hint="eastAsia"/>
                    </w:rPr>
                    <w:t>钻前工程</w:t>
                  </w:r>
                </w:p>
              </w:tc>
              <w:tc>
                <w:tcPr>
                  <w:tcW w:w="5203" w:type="dxa"/>
                  <w:vAlign w:val="center"/>
                </w:tcPr>
                <w:p>
                  <w:pPr>
                    <w:pStyle w:val="50"/>
                    <w:adjustRightInd w:val="0"/>
                    <w:snapToGrid w:val="0"/>
                    <w:spacing w:line="300" w:lineRule="exact"/>
                    <w:jc w:val="both"/>
                  </w:pPr>
                  <w:r>
                    <w:rPr>
                      <w:rFonts w:hint="eastAsia"/>
                    </w:rPr>
                    <w:t>井场平整、简易探临道路及生活营地等建设，设备进场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adjustRightInd w:val="0"/>
                    <w:snapToGrid w:val="0"/>
                    <w:spacing w:line="300" w:lineRule="exact"/>
                  </w:pPr>
                  <w:r>
                    <w:rPr>
                      <w:rFonts w:hint="eastAsia"/>
                    </w:rPr>
                    <w:t>钻井工程</w:t>
                  </w:r>
                </w:p>
              </w:tc>
              <w:tc>
                <w:tcPr>
                  <w:tcW w:w="5203" w:type="dxa"/>
                  <w:vAlign w:val="center"/>
                </w:tcPr>
                <w:p>
                  <w:pPr>
                    <w:pStyle w:val="50"/>
                    <w:adjustRightInd w:val="0"/>
                    <w:snapToGrid w:val="0"/>
                    <w:spacing w:line="300" w:lineRule="exact"/>
                    <w:jc w:val="both"/>
                  </w:pPr>
                  <w:r>
                    <w:rPr>
                      <w:rFonts w:hint="eastAsia"/>
                    </w:rPr>
                    <w:t>钻井进尺</w:t>
                  </w:r>
                  <w:r>
                    <w:t>4500</w:t>
                  </w:r>
                  <w:r>
                    <w:rPr>
                      <w:rFonts w:hint="eastAsia"/>
                    </w:rPr>
                    <w:t>m；采取三开水平井井身结构；钻井期为</w:t>
                  </w:r>
                  <w:r>
                    <w:t>120</w:t>
                  </w:r>
                  <w:r>
                    <w:rPr>
                      <w:rFonts w:hint="eastAsia"/>
                    </w:rPr>
                    <w:t>天，施工人数为</w:t>
                  </w:r>
                  <w:r>
                    <w:t>35</w:t>
                  </w:r>
                  <w:r>
                    <w:rPr>
                      <w:rFonts w:hint="eastAsia"/>
                    </w:rPr>
                    <w:t>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adjustRightInd w:val="0"/>
                    <w:snapToGrid w:val="0"/>
                    <w:spacing w:line="300" w:lineRule="exact"/>
                  </w:pPr>
                  <w:r>
                    <w:rPr>
                      <w:rFonts w:hint="eastAsia"/>
                    </w:rPr>
                    <w:t>试油工程</w:t>
                  </w:r>
                </w:p>
              </w:tc>
              <w:tc>
                <w:tcPr>
                  <w:tcW w:w="5203" w:type="dxa"/>
                  <w:vAlign w:val="center"/>
                </w:tcPr>
                <w:p>
                  <w:pPr>
                    <w:pStyle w:val="50"/>
                    <w:adjustRightInd w:val="0"/>
                    <w:snapToGrid w:val="0"/>
                    <w:spacing w:line="300" w:lineRule="exact"/>
                    <w:jc w:val="both"/>
                  </w:pPr>
                  <w:r>
                    <w:rPr>
                      <w:rFonts w:hint="eastAsia"/>
                    </w:rPr>
                    <w:t>对完钻井进行通井、洗井、试压、射孔、压裂、求产等工序并配套试油设备，记录油气产量；试油周期为</w:t>
                  </w:r>
                  <w:r>
                    <w:t>90</w:t>
                  </w:r>
                  <w:r>
                    <w:rPr>
                      <w:rFonts w:hint="eastAsia"/>
                    </w:rPr>
                    <w:t>天，施工人数为</w:t>
                  </w:r>
                  <w:r>
                    <w:t>2</w:t>
                  </w:r>
                  <w:r>
                    <w:rPr>
                      <w:rFonts w:hint="eastAsia"/>
                    </w:rPr>
                    <w:t>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restart"/>
                  <w:vAlign w:val="center"/>
                </w:tcPr>
                <w:p>
                  <w:pPr>
                    <w:pStyle w:val="50"/>
                    <w:adjustRightInd w:val="0"/>
                    <w:snapToGrid w:val="0"/>
                    <w:spacing w:line="300" w:lineRule="exact"/>
                  </w:pPr>
                  <w:r>
                    <w:rPr>
                      <w:rFonts w:hint="eastAsia"/>
                    </w:rPr>
                    <w:t>2</w:t>
                  </w:r>
                </w:p>
              </w:tc>
              <w:tc>
                <w:tcPr>
                  <w:tcW w:w="1074" w:type="dxa"/>
                  <w:vMerge w:val="restart"/>
                  <w:vAlign w:val="center"/>
                </w:tcPr>
                <w:p>
                  <w:pPr>
                    <w:pStyle w:val="50"/>
                    <w:adjustRightInd w:val="0"/>
                    <w:snapToGrid w:val="0"/>
                    <w:spacing w:line="300" w:lineRule="exact"/>
                  </w:pPr>
                  <w:r>
                    <w:rPr>
                      <w:rFonts w:hint="eastAsia"/>
                    </w:rPr>
                    <w:t>公用工程</w:t>
                  </w:r>
                </w:p>
              </w:tc>
              <w:tc>
                <w:tcPr>
                  <w:tcW w:w="1017" w:type="dxa"/>
                  <w:vAlign w:val="center"/>
                </w:tcPr>
                <w:p>
                  <w:pPr>
                    <w:pStyle w:val="50"/>
                    <w:adjustRightInd w:val="0"/>
                    <w:snapToGrid w:val="0"/>
                    <w:spacing w:line="300" w:lineRule="exact"/>
                  </w:pPr>
                  <w:r>
                    <w:rPr>
                      <w:rFonts w:hint="eastAsia"/>
                    </w:rPr>
                    <w:t>供配电</w:t>
                  </w:r>
                </w:p>
              </w:tc>
              <w:tc>
                <w:tcPr>
                  <w:tcW w:w="5203" w:type="dxa"/>
                  <w:vAlign w:val="center"/>
                </w:tcPr>
                <w:p>
                  <w:pPr>
                    <w:pStyle w:val="50"/>
                    <w:adjustRightInd w:val="0"/>
                    <w:snapToGrid w:val="0"/>
                    <w:spacing w:line="300" w:lineRule="exact"/>
                    <w:jc w:val="both"/>
                  </w:pPr>
                  <w:r>
                    <w:rPr>
                      <w:rFonts w:hint="eastAsia"/>
                    </w:rPr>
                    <w:t>井场用电采用柴油发电机供给，施工期柴油消耗量约为</w:t>
                  </w:r>
                  <w:r>
                    <w:t>380</w:t>
                  </w:r>
                  <w:r>
                    <w:rPr>
                      <w:rFonts w:hint="eastAsia"/>
                    </w:rPr>
                    <w:t>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adjustRightInd w:val="0"/>
                    <w:snapToGrid w:val="0"/>
                    <w:spacing w:line="300" w:lineRule="exact"/>
                  </w:pPr>
                  <w:r>
                    <w:rPr>
                      <w:rFonts w:hint="eastAsia"/>
                    </w:rPr>
                    <w:t>给排水</w:t>
                  </w:r>
                </w:p>
              </w:tc>
              <w:tc>
                <w:tcPr>
                  <w:tcW w:w="5203" w:type="dxa"/>
                  <w:vAlign w:val="center"/>
                </w:tcPr>
                <w:p>
                  <w:pPr>
                    <w:pStyle w:val="50"/>
                    <w:adjustRightInd w:val="0"/>
                    <w:snapToGrid w:val="0"/>
                    <w:spacing w:line="300" w:lineRule="exact"/>
                    <w:jc w:val="both"/>
                  </w:pPr>
                  <w:r>
                    <w:rPr>
                      <w:rFonts w:hint="eastAsia"/>
                    </w:rPr>
                    <w:t>新水从小西泉村由罐车拉运至井场；洗井废水排至井场方罐内，集中收集后送至沙南联合站</w:t>
                  </w:r>
                  <w:r>
                    <w:t>采出水</w:t>
                  </w:r>
                  <w:r>
                    <w:rPr>
                      <w:rFonts w:hint="eastAsia"/>
                    </w:rPr>
                    <w:t>处理</w:t>
                  </w:r>
                  <w:r>
                    <w:t>系统</w:t>
                  </w:r>
                  <w:r>
                    <w:rPr>
                      <w:rFonts w:hint="eastAsia"/>
                    </w:rPr>
                    <w:t>处理；生活污水排至生活营地</w:t>
                  </w:r>
                  <w:r>
                    <w:rPr>
                      <w:rFonts w:hint="eastAsia"/>
                      <w:bCs/>
                    </w:rPr>
                    <w:t>临时生活污水储集防渗池</w:t>
                  </w:r>
                  <w:r>
                    <w:rPr>
                      <w:rFonts w:hint="eastAsia"/>
                    </w:rPr>
                    <w:t>，完井后清运至</w:t>
                  </w:r>
                  <w:r>
                    <w:rPr>
                      <w:rFonts w:hint="eastAsia"/>
                      <w:lang w:bidi="zh-CN"/>
                    </w:rPr>
                    <w:t>吉木萨尔县污水处理厂处理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adjustRightInd w:val="0"/>
                    <w:snapToGrid w:val="0"/>
                    <w:spacing w:line="300" w:lineRule="exact"/>
                  </w:pPr>
                  <w:r>
                    <w:rPr>
                      <w:rFonts w:hint="eastAsia"/>
                    </w:rPr>
                    <w:t>道路</w:t>
                  </w:r>
                </w:p>
              </w:tc>
              <w:tc>
                <w:tcPr>
                  <w:tcW w:w="5203" w:type="dxa"/>
                  <w:vAlign w:val="center"/>
                </w:tcPr>
                <w:p>
                  <w:pPr>
                    <w:pStyle w:val="50"/>
                    <w:adjustRightInd w:val="0"/>
                    <w:snapToGrid w:val="0"/>
                    <w:spacing w:line="300" w:lineRule="exact"/>
                    <w:jc w:val="both"/>
                  </w:pPr>
                  <w:r>
                    <w:rPr>
                      <w:rFonts w:hint="eastAsia"/>
                    </w:rPr>
                    <w:t>新建探临道路从井场至周边采矿用地</w:t>
                  </w:r>
                  <w:r>
                    <w:t>550m</w:t>
                  </w:r>
                  <w:r>
                    <w:rPr>
                      <w:rFonts w:hint="eastAsia"/>
                    </w:rPr>
                    <w:t>，宽</w:t>
                  </w:r>
                  <w:r>
                    <w:t>7m，路面为砂石路面</w:t>
                  </w:r>
                  <w:r>
                    <w:rPr>
                      <w:rFonts w:hint="eastAsia"/>
                    </w:rPr>
                    <w:t>，具体道路走向见附图3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restart"/>
                  <w:vAlign w:val="center"/>
                </w:tcPr>
                <w:p>
                  <w:pPr>
                    <w:pStyle w:val="50"/>
                    <w:adjustRightInd w:val="0"/>
                    <w:snapToGrid w:val="0"/>
                    <w:spacing w:line="300" w:lineRule="exact"/>
                  </w:pPr>
                  <w:r>
                    <w:rPr>
                      <w:rFonts w:hint="eastAsia"/>
                    </w:rPr>
                    <w:t>3</w:t>
                  </w:r>
                </w:p>
              </w:tc>
              <w:tc>
                <w:tcPr>
                  <w:tcW w:w="1074" w:type="dxa"/>
                  <w:vMerge w:val="restart"/>
                  <w:vAlign w:val="center"/>
                </w:tcPr>
                <w:p>
                  <w:pPr>
                    <w:pStyle w:val="50"/>
                    <w:adjustRightInd w:val="0"/>
                    <w:snapToGrid w:val="0"/>
                    <w:spacing w:line="300" w:lineRule="exact"/>
                  </w:pPr>
                  <w:r>
                    <w:rPr>
                      <w:rFonts w:hint="eastAsia"/>
                    </w:rPr>
                    <w:t>环保工程</w:t>
                  </w:r>
                </w:p>
              </w:tc>
              <w:tc>
                <w:tcPr>
                  <w:tcW w:w="1017" w:type="dxa"/>
                  <w:vAlign w:val="center"/>
                </w:tcPr>
                <w:p>
                  <w:pPr>
                    <w:pStyle w:val="50"/>
                    <w:spacing w:line="300" w:lineRule="exact"/>
                    <w:contextualSpacing/>
                  </w:pPr>
                  <w:r>
                    <w:t>放喷设施</w:t>
                  </w:r>
                </w:p>
              </w:tc>
              <w:tc>
                <w:tcPr>
                  <w:tcW w:w="5203" w:type="dxa"/>
                  <w:vAlign w:val="center"/>
                </w:tcPr>
                <w:p>
                  <w:pPr>
                    <w:pStyle w:val="50"/>
                    <w:spacing w:line="300" w:lineRule="exact"/>
                    <w:contextualSpacing/>
                    <w:jc w:val="both"/>
                  </w:pPr>
                  <w:r>
                    <w:t>井场左右两侧各设置1条</w:t>
                  </w:r>
                  <w:r>
                    <w:rPr>
                      <w:rFonts w:hint="eastAsia"/>
                    </w:rPr>
                    <w:t>放喷管线</w:t>
                  </w:r>
                  <w:r>
                    <w:t>，井喷失控时采用应急放喷</w:t>
                  </w:r>
                  <w:r>
                    <w:rPr>
                      <w:rFonts w:hint="eastAsia"/>
                    </w:rPr>
                    <w:t>池</w:t>
                  </w:r>
                  <w:r>
                    <w:t>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spacing w:line="300" w:lineRule="exact"/>
                    <w:contextualSpacing/>
                  </w:pPr>
                  <w:r>
                    <w:rPr>
                      <w:rFonts w:hint="eastAsia"/>
                    </w:rPr>
                    <w:t>钻井岩屑</w:t>
                  </w:r>
                </w:p>
              </w:tc>
              <w:tc>
                <w:tcPr>
                  <w:tcW w:w="5203" w:type="dxa"/>
                  <w:vAlign w:val="center"/>
                </w:tcPr>
                <w:p>
                  <w:pPr>
                    <w:pStyle w:val="50"/>
                    <w:spacing w:line="300" w:lineRule="exact"/>
                    <w:contextualSpacing/>
                    <w:jc w:val="both"/>
                  </w:pPr>
                  <w:r>
                    <w:rPr>
                      <w:rFonts w:hint="eastAsia"/>
                    </w:rPr>
                    <w:t>井场设置钻井液不落地系统1套，用于分离钻井液和钻井岩屑，分离出的水基钻井岩屑由相关单位进行处理和综合利用；油基钻井岩屑交由具有相关资质的危废处置单位负责接收、转运及无害化处置。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adjustRightInd w:val="0"/>
                    <w:snapToGrid w:val="0"/>
                    <w:spacing w:line="300" w:lineRule="exact"/>
                  </w:pPr>
                  <w:r>
                    <w:rPr>
                      <w:rFonts w:hint="eastAsia"/>
                    </w:rPr>
                    <w:t>生活污水</w:t>
                  </w:r>
                </w:p>
              </w:tc>
              <w:tc>
                <w:tcPr>
                  <w:tcW w:w="5203" w:type="dxa"/>
                  <w:vAlign w:val="center"/>
                </w:tcPr>
                <w:p>
                  <w:pPr>
                    <w:pStyle w:val="50"/>
                    <w:adjustRightInd w:val="0"/>
                    <w:snapToGrid w:val="0"/>
                    <w:spacing w:line="300" w:lineRule="exact"/>
                    <w:jc w:val="both"/>
                  </w:pPr>
                  <w:r>
                    <w:rPr>
                      <w:rFonts w:hint="eastAsia"/>
                    </w:rPr>
                    <w:t>排入生活营地</w:t>
                  </w:r>
                  <w:r>
                    <w:rPr>
                      <w:rFonts w:hint="eastAsia"/>
                      <w:bCs/>
                    </w:rPr>
                    <w:t>临时生活污水储集防渗池</w:t>
                  </w:r>
                  <w:r>
                    <w:rPr>
                      <w:rFonts w:hint="eastAsia"/>
                    </w:rPr>
                    <w:t>，完井后由吸污车清运至</w:t>
                  </w:r>
                  <w:r>
                    <w:rPr>
                      <w:rFonts w:hint="eastAsia"/>
                      <w:lang w:bidi="zh-CN"/>
                    </w:rPr>
                    <w:t>吉木萨尔县污水处理厂处理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spacing w:line="300" w:lineRule="exact"/>
                    <w:contextualSpacing/>
                  </w:pPr>
                  <w:r>
                    <w:t>H</w:t>
                  </w:r>
                  <w:r>
                    <w:rPr>
                      <w:vertAlign w:val="subscript"/>
                    </w:rPr>
                    <w:t>2</w:t>
                  </w:r>
                  <w:r>
                    <w:t>S监测</w:t>
                  </w:r>
                </w:p>
              </w:tc>
              <w:tc>
                <w:tcPr>
                  <w:tcW w:w="5203" w:type="dxa"/>
                  <w:vAlign w:val="center"/>
                </w:tcPr>
                <w:p>
                  <w:pPr>
                    <w:pStyle w:val="50"/>
                    <w:spacing w:line="300" w:lineRule="exact"/>
                    <w:contextualSpacing/>
                    <w:jc w:val="both"/>
                  </w:pPr>
                  <w:r>
                    <w:rPr>
                      <w:spacing w:val="-6"/>
                    </w:rPr>
                    <w:t>井场</w:t>
                  </w:r>
                  <w:r>
                    <w:rPr>
                      <w:rFonts w:hint="eastAsia"/>
                      <w:spacing w:val="-6"/>
                    </w:rPr>
                    <w:t>配备</w:t>
                  </w:r>
                  <w:r>
                    <w:rPr>
                      <w:spacing w:val="-6"/>
                    </w:rPr>
                    <w:t>H</w:t>
                  </w:r>
                  <w:r>
                    <w:rPr>
                      <w:spacing w:val="-6"/>
                      <w:vertAlign w:val="subscript"/>
                    </w:rPr>
                    <w:t>2</w:t>
                  </w:r>
                  <w:r>
                    <w:rPr>
                      <w:spacing w:val="-6"/>
                    </w:rPr>
                    <w:t>S监测仪</w:t>
                  </w:r>
                </w:p>
              </w:tc>
            </w:tr>
          </w:tbl>
          <w:p/>
          <w:p>
            <w:pPr>
              <w:pStyle w:val="5"/>
              <w:keepNext/>
            </w:pPr>
            <w:r>
              <w:rPr>
                <w:rFonts w:hint="eastAsia"/>
              </w:rPr>
              <w:t>续</w:t>
            </w:r>
            <w:r>
              <w:t xml:space="preserve">表2  </w:t>
            </w:r>
            <w:r>
              <w:rPr>
                <w:rFonts w:hint="eastAsia"/>
              </w:rPr>
              <w:t>工程组成</w:t>
            </w:r>
            <w:r>
              <w:t>一览表</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70"/>
              <w:gridCol w:w="1074"/>
              <w:gridCol w:w="1017"/>
              <w:gridCol w:w="52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Align w:val="center"/>
                </w:tcPr>
                <w:p>
                  <w:pPr>
                    <w:pStyle w:val="50"/>
                    <w:adjustRightInd w:val="0"/>
                    <w:snapToGrid w:val="0"/>
                    <w:spacing w:line="300" w:lineRule="exact"/>
                  </w:pPr>
                  <w:r>
                    <w:rPr>
                      <w:rFonts w:hint="eastAsia"/>
                    </w:rPr>
                    <w:t>序号</w:t>
                  </w:r>
                </w:p>
              </w:tc>
              <w:tc>
                <w:tcPr>
                  <w:tcW w:w="1074" w:type="dxa"/>
                  <w:vAlign w:val="center"/>
                </w:tcPr>
                <w:p>
                  <w:pPr>
                    <w:pStyle w:val="50"/>
                    <w:adjustRightInd w:val="0"/>
                    <w:snapToGrid w:val="0"/>
                    <w:spacing w:line="300" w:lineRule="exact"/>
                  </w:pPr>
                  <w:r>
                    <w:rPr>
                      <w:rFonts w:hint="eastAsia"/>
                    </w:rPr>
                    <w:t>工程组成</w:t>
                  </w:r>
                </w:p>
              </w:tc>
              <w:tc>
                <w:tcPr>
                  <w:tcW w:w="6220" w:type="dxa"/>
                  <w:gridSpan w:val="2"/>
                  <w:vAlign w:val="center"/>
                </w:tcPr>
                <w:p>
                  <w:pPr>
                    <w:pStyle w:val="50"/>
                    <w:spacing w:line="300" w:lineRule="exact"/>
                    <w:contextualSpacing/>
                  </w:pPr>
                  <w:r>
                    <w:rPr>
                      <w:rFonts w:hint="eastAsia"/>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restart"/>
                  <w:vAlign w:val="center"/>
                </w:tcPr>
                <w:p>
                  <w:pPr>
                    <w:pStyle w:val="50"/>
                    <w:adjustRightInd w:val="0"/>
                    <w:snapToGrid w:val="0"/>
                    <w:spacing w:line="300" w:lineRule="exact"/>
                  </w:pPr>
                  <w:r>
                    <w:rPr>
                      <w:rFonts w:hint="eastAsia"/>
                    </w:rPr>
                    <w:t>3</w:t>
                  </w:r>
                </w:p>
              </w:tc>
              <w:tc>
                <w:tcPr>
                  <w:tcW w:w="1074" w:type="dxa"/>
                  <w:vMerge w:val="restart"/>
                  <w:vAlign w:val="center"/>
                </w:tcPr>
                <w:p>
                  <w:pPr>
                    <w:pStyle w:val="50"/>
                    <w:adjustRightInd w:val="0"/>
                    <w:snapToGrid w:val="0"/>
                    <w:spacing w:line="300" w:lineRule="exact"/>
                  </w:pPr>
                  <w:r>
                    <w:rPr>
                      <w:rFonts w:hint="eastAsia"/>
                    </w:rPr>
                    <w:t>环保工程</w:t>
                  </w:r>
                </w:p>
              </w:tc>
              <w:tc>
                <w:tcPr>
                  <w:tcW w:w="1017" w:type="dxa"/>
                  <w:vAlign w:val="center"/>
                </w:tcPr>
                <w:p>
                  <w:pPr>
                    <w:pStyle w:val="50"/>
                    <w:spacing w:line="300" w:lineRule="exact"/>
                    <w:contextualSpacing/>
                  </w:pPr>
                  <w:r>
                    <w:rPr>
                      <w:rFonts w:hint="eastAsia"/>
                    </w:rPr>
                    <w:t>生态措施</w:t>
                  </w:r>
                </w:p>
              </w:tc>
              <w:tc>
                <w:tcPr>
                  <w:tcW w:w="5203" w:type="dxa"/>
                  <w:vAlign w:val="center"/>
                </w:tcPr>
                <w:p>
                  <w:pPr>
                    <w:pStyle w:val="50"/>
                    <w:spacing w:line="300" w:lineRule="exact"/>
                    <w:contextualSpacing/>
                    <w:jc w:val="both"/>
                  </w:pPr>
                  <w:r>
                    <w:rPr>
                      <w:rFonts w:hint="eastAsia"/>
                    </w:rPr>
                    <w:t>施工结束后对临时占地进行清理，并对占地进行平整，周围生态自然恢复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spacing w:line="300" w:lineRule="exact"/>
                    <w:contextualSpacing/>
                  </w:pPr>
                  <w:r>
                    <w:rPr>
                      <w:rFonts w:hint="eastAsia"/>
                    </w:rPr>
                    <w:t>噪声</w:t>
                  </w:r>
                </w:p>
              </w:tc>
              <w:tc>
                <w:tcPr>
                  <w:tcW w:w="5203" w:type="dxa"/>
                  <w:vAlign w:val="center"/>
                </w:tcPr>
                <w:p>
                  <w:pPr>
                    <w:pStyle w:val="50"/>
                    <w:spacing w:line="300" w:lineRule="exact"/>
                    <w:contextualSpacing/>
                    <w:jc w:val="both"/>
                  </w:pPr>
                  <w:r>
                    <w:rPr>
                      <w:rFonts w:hint="eastAsia"/>
                    </w:rPr>
                    <w:t>设备底部进行基础减震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restart"/>
                  <w:vAlign w:val="center"/>
                </w:tcPr>
                <w:p>
                  <w:pPr>
                    <w:pStyle w:val="50"/>
                    <w:adjustRightInd w:val="0"/>
                    <w:snapToGrid w:val="0"/>
                    <w:spacing w:line="300" w:lineRule="exact"/>
                    <w:rPr>
                      <w:b/>
                      <w:bCs/>
                    </w:rPr>
                  </w:pPr>
                  <w:r>
                    <w:rPr>
                      <w:rFonts w:hint="eastAsia"/>
                    </w:rPr>
                    <w:t>4</w:t>
                  </w:r>
                </w:p>
              </w:tc>
              <w:tc>
                <w:tcPr>
                  <w:tcW w:w="1074" w:type="dxa"/>
                  <w:vMerge w:val="restart"/>
                  <w:vAlign w:val="center"/>
                </w:tcPr>
                <w:p>
                  <w:pPr>
                    <w:pStyle w:val="50"/>
                    <w:adjustRightInd w:val="0"/>
                    <w:snapToGrid w:val="0"/>
                    <w:spacing w:line="300" w:lineRule="exact"/>
                  </w:pPr>
                  <w:r>
                    <w:rPr>
                      <w:rFonts w:hint="eastAsia"/>
                    </w:rPr>
                    <w:t>依托工程</w:t>
                  </w:r>
                </w:p>
              </w:tc>
              <w:tc>
                <w:tcPr>
                  <w:tcW w:w="1017" w:type="dxa"/>
                  <w:vAlign w:val="center"/>
                </w:tcPr>
                <w:p>
                  <w:pPr>
                    <w:pStyle w:val="50"/>
                    <w:spacing w:line="300" w:lineRule="exact"/>
                    <w:contextualSpacing/>
                  </w:pPr>
                  <w:r>
                    <w:rPr>
                      <w:rFonts w:hint="eastAsia"/>
                    </w:rPr>
                    <w:t>洗井废水</w:t>
                  </w:r>
                </w:p>
              </w:tc>
              <w:tc>
                <w:tcPr>
                  <w:tcW w:w="5203" w:type="dxa"/>
                  <w:vAlign w:val="center"/>
                </w:tcPr>
                <w:p>
                  <w:pPr>
                    <w:pStyle w:val="50"/>
                    <w:spacing w:line="300" w:lineRule="exact"/>
                    <w:contextualSpacing/>
                    <w:jc w:val="both"/>
                  </w:pPr>
                  <w:r>
                    <w:rPr>
                      <w:rFonts w:hint="eastAsia"/>
                    </w:rPr>
                    <w:t>依托沙南联合站</w:t>
                  </w:r>
                  <w:r>
                    <w:t>采出水</w:t>
                  </w:r>
                  <w:r>
                    <w:rPr>
                      <w:rFonts w:hint="eastAsia"/>
                    </w:rPr>
                    <w:t>处理</w:t>
                  </w:r>
                  <w:r>
                    <w:t>系统</w:t>
                  </w:r>
                  <w:r>
                    <w:rPr>
                      <w:rFonts w:hint="eastAsia"/>
                      <w:bCs/>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spacing w:line="300" w:lineRule="exact"/>
                    <w:contextualSpacing/>
                  </w:pPr>
                  <w:r>
                    <w:rPr>
                      <w:rFonts w:hint="eastAsia"/>
                    </w:rPr>
                    <w:t>采出液</w:t>
                  </w:r>
                </w:p>
              </w:tc>
              <w:tc>
                <w:tcPr>
                  <w:tcW w:w="5203" w:type="dxa"/>
                  <w:vAlign w:val="center"/>
                </w:tcPr>
                <w:p>
                  <w:pPr>
                    <w:pStyle w:val="54"/>
                    <w:spacing w:line="300" w:lineRule="exact"/>
                    <w:ind w:firstLine="0" w:firstLineChars="0"/>
                    <w:rPr>
                      <w:rFonts w:cs="Arial"/>
                      <w:kern w:val="2"/>
                      <w:sz w:val="21"/>
                      <w:szCs w:val="21"/>
                    </w:rPr>
                  </w:pPr>
                  <w:r>
                    <w:rPr>
                      <w:rFonts w:hint="eastAsia" w:cs="Arial"/>
                      <w:kern w:val="2"/>
                      <w:sz w:val="21"/>
                      <w:szCs w:val="21"/>
                    </w:rPr>
                    <w:t>依托沙南联合站原油处理系统处理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spacing w:line="300" w:lineRule="exact"/>
                    <w:contextualSpacing/>
                  </w:pPr>
                  <w:r>
                    <w:rPr>
                      <w:rFonts w:hint="eastAsia"/>
                    </w:rPr>
                    <w:t>生活垃圾</w:t>
                  </w:r>
                </w:p>
              </w:tc>
              <w:tc>
                <w:tcPr>
                  <w:tcW w:w="5203" w:type="dxa"/>
                  <w:vAlign w:val="center"/>
                </w:tcPr>
                <w:p>
                  <w:pPr>
                    <w:pStyle w:val="50"/>
                    <w:spacing w:line="300" w:lineRule="exact"/>
                    <w:contextualSpacing/>
                    <w:jc w:val="both"/>
                  </w:pPr>
                  <w:r>
                    <w:rPr>
                      <w:rFonts w:hint="eastAsia"/>
                    </w:rPr>
                    <w:t>井场及生活营地设垃圾收集箱，生活垃圾拉运至吉木萨尔县生活垃圾填埋场填埋处置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Merge w:val="continue"/>
                  <w:vAlign w:val="center"/>
                </w:tcPr>
                <w:p>
                  <w:pPr>
                    <w:pStyle w:val="50"/>
                    <w:adjustRightInd w:val="0"/>
                    <w:snapToGrid w:val="0"/>
                    <w:spacing w:line="300" w:lineRule="exact"/>
                  </w:pPr>
                </w:p>
              </w:tc>
              <w:tc>
                <w:tcPr>
                  <w:tcW w:w="1074" w:type="dxa"/>
                  <w:vMerge w:val="continue"/>
                  <w:vAlign w:val="center"/>
                </w:tcPr>
                <w:p>
                  <w:pPr>
                    <w:pStyle w:val="50"/>
                    <w:adjustRightInd w:val="0"/>
                    <w:snapToGrid w:val="0"/>
                    <w:spacing w:line="300" w:lineRule="exact"/>
                  </w:pPr>
                </w:p>
              </w:tc>
              <w:tc>
                <w:tcPr>
                  <w:tcW w:w="1017" w:type="dxa"/>
                  <w:vAlign w:val="center"/>
                </w:tcPr>
                <w:p>
                  <w:pPr>
                    <w:pStyle w:val="50"/>
                    <w:spacing w:line="300" w:lineRule="exact"/>
                    <w:contextualSpacing/>
                  </w:pPr>
                  <w:r>
                    <w:rPr>
                      <w:rFonts w:hint="eastAsia"/>
                    </w:rPr>
                    <w:t>生活污水</w:t>
                  </w:r>
                </w:p>
              </w:tc>
              <w:tc>
                <w:tcPr>
                  <w:tcW w:w="5203" w:type="dxa"/>
                  <w:vAlign w:val="center"/>
                </w:tcPr>
                <w:p>
                  <w:pPr>
                    <w:pStyle w:val="50"/>
                    <w:spacing w:line="300" w:lineRule="exact"/>
                    <w:contextualSpacing/>
                    <w:jc w:val="both"/>
                  </w:pPr>
                  <w:r>
                    <w:rPr>
                      <w:rFonts w:hint="eastAsia"/>
                    </w:rPr>
                    <w:t>排入生活营地</w:t>
                  </w:r>
                  <w:r>
                    <w:rPr>
                      <w:rFonts w:hint="eastAsia"/>
                      <w:bCs/>
                    </w:rPr>
                    <w:t>临时生活污水储集防渗池</w:t>
                  </w:r>
                  <w:r>
                    <w:rPr>
                      <w:rFonts w:hint="eastAsia"/>
                    </w:rPr>
                    <w:t>，完井后由吸污车清运至吉木萨尔县污水处理厂处理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70" w:type="dxa"/>
                  <w:vAlign w:val="center"/>
                </w:tcPr>
                <w:p>
                  <w:pPr>
                    <w:pStyle w:val="50"/>
                    <w:adjustRightInd w:val="0"/>
                    <w:snapToGrid w:val="0"/>
                    <w:spacing w:line="300" w:lineRule="exact"/>
                  </w:pPr>
                  <w:r>
                    <w:rPr>
                      <w:rFonts w:hint="eastAsia"/>
                    </w:rPr>
                    <w:t>5</w:t>
                  </w:r>
                </w:p>
              </w:tc>
              <w:tc>
                <w:tcPr>
                  <w:tcW w:w="1074" w:type="dxa"/>
                  <w:vAlign w:val="center"/>
                </w:tcPr>
                <w:p>
                  <w:pPr>
                    <w:pStyle w:val="50"/>
                    <w:adjustRightInd w:val="0"/>
                    <w:snapToGrid w:val="0"/>
                    <w:spacing w:line="300" w:lineRule="exact"/>
                  </w:pPr>
                  <w:r>
                    <w:rPr>
                      <w:rFonts w:hint="eastAsia" w:cs="宋体"/>
                    </w:rPr>
                    <w:t>储运工程</w:t>
                  </w:r>
                </w:p>
              </w:tc>
              <w:tc>
                <w:tcPr>
                  <w:tcW w:w="6220" w:type="dxa"/>
                  <w:gridSpan w:val="2"/>
                  <w:vAlign w:val="center"/>
                </w:tcPr>
                <w:p>
                  <w:pPr>
                    <w:pStyle w:val="50"/>
                    <w:spacing w:line="300" w:lineRule="exact"/>
                    <w:contextualSpacing/>
                    <w:jc w:val="both"/>
                  </w:pPr>
                  <w:r>
                    <w:rPr>
                      <w:rFonts w:hint="eastAsia" w:cs="宋体"/>
                    </w:rPr>
                    <w:t>洗井废水、岩屑、钻井液、柴油、采出液均为罐装，其他施工材料在井场专门区域堆放。</w:t>
                  </w:r>
                </w:p>
              </w:tc>
            </w:tr>
          </w:tbl>
          <w:p>
            <w:pPr>
              <w:rPr>
                <w:rFonts w:ascii="宋体" w:hAnsi="宋体" w:cs="宋体"/>
                <w:color w:val="FF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71"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kern w:val="0"/>
                <w:sz w:val="24"/>
              </w:rPr>
              <w:t>总平面及现场布置</w:t>
            </w:r>
          </w:p>
        </w:tc>
        <w:tc>
          <w:tcPr>
            <w:tcW w:w="8080" w:type="dxa"/>
            <w:vAlign w:val="center"/>
          </w:tcPr>
          <w:p>
            <w:pPr>
              <w:pStyle w:val="47"/>
              <w:ind w:firstLine="482"/>
              <w:rPr>
                <w:b/>
                <w:bCs/>
              </w:rPr>
            </w:pPr>
            <w:r>
              <w:rPr>
                <w:rFonts w:hint="eastAsia"/>
                <w:b/>
                <w:bCs/>
              </w:rPr>
              <w:t>1、钻井期井场平面布置</w:t>
            </w:r>
          </w:p>
          <w:p>
            <w:pPr>
              <w:pStyle w:val="47"/>
              <w:ind w:firstLine="480"/>
            </w:pPr>
            <w:r>
              <w:rPr>
                <w:rFonts w:hint="eastAsia"/>
              </w:rPr>
              <w:t>采用标准井场布置方案，砂石料垫平，以井口相对进场探临路方向为前场，相反方向为后场。前场主要布置录井房、地质房、废料场、材料爬犁、值班室、钻井液用房及材料房；后场布置净化罐、套装水罐、化工爬犁、钻井液不落地装备、远控台、消防房、管线盒、过桥、油水罐、配电房、钳工房及发电房，如附图</w:t>
            </w:r>
            <w:r>
              <w:t>4</w:t>
            </w:r>
            <w:r>
              <w:rPr>
                <w:rFonts w:hint="eastAsia"/>
              </w:rPr>
              <w:t>所示。</w:t>
            </w:r>
          </w:p>
          <w:p>
            <w:pPr>
              <w:pStyle w:val="47"/>
              <w:ind w:firstLine="482"/>
              <w:rPr>
                <w:b/>
                <w:bCs/>
              </w:rPr>
            </w:pPr>
            <w:r>
              <w:rPr>
                <w:rFonts w:hint="eastAsia"/>
                <w:b/>
                <w:bCs/>
              </w:rPr>
              <w:t>2、试油期井场平面布置</w:t>
            </w:r>
          </w:p>
          <w:p>
            <w:pPr>
              <w:pStyle w:val="47"/>
              <w:ind w:firstLine="480"/>
              <w:rPr>
                <w:kern w:val="2"/>
              </w:rPr>
            </w:pPr>
            <w:r>
              <w:rPr>
                <w:rFonts w:hint="eastAsia"/>
                <w:kern w:val="2"/>
              </w:rPr>
              <w:t>试油期设备在钻井场地内布置，包括井口采油树、方罐、放喷管线及罐、消防箱、发电机房及值班室等，不扩建井场。试油过程中在井场设一条放喷管线，伴生气经此燃烧放空，见附图</w:t>
            </w:r>
            <w:r>
              <w:rPr>
                <w:kern w:val="2"/>
              </w:rPr>
              <w:t>5</w:t>
            </w:r>
            <w:r>
              <w:rPr>
                <w:rFonts w:hint="eastAsia"/>
                <w:kern w:val="2"/>
              </w:rPr>
              <w:t>。</w:t>
            </w:r>
          </w:p>
          <w:p>
            <w:pPr>
              <w:pStyle w:val="47"/>
              <w:ind w:firstLine="480"/>
              <w:rPr>
                <w:kern w:val="2"/>
              </w:rPr>
            </w:pPr>
          </w:p>
          <w:p>
            <w:pPr>
              <w:pStyle w:val="47"/>
              <w:ind w:firstLine="480"/>
              <w:rPr>
                <w:kern w:val="2"/>
              </w:rPr>
            </w:pPr>
          </w:p>
          <w:p>
            <w:pPr>
              <w:pStyle w:val="47"/>
              <w:ind w:firstLine="480"/>
              <w:rPr>
                <w:kern w:val="2"/>
              </w:rPr>
            </w:pPr>
          </w:p>
          <w:p>
            <w:pPr>
              <w:pStyle w:val="47"/>
              <w:ind w:firstLine="480"/>
              <w:rPr>
                <w:kern w:val="2"/>
              </w:rPr>
            </w:pPr>
          </w:p>
          <w:p>
            <w:pPr>
              <w:pStyle w:val="47"/>
              <w:ind w:firstLine="480"/>
              <w:rPr>
                <w:kern w:val="2"/>
              </w:rPr>
            </w:pPr>
          </w:p>
          <w:p>
            <w:pPr>
              <w:pStyle w:val="47"/>
              <w:ind w:firstLine="480"/>
              <w:rPr>
                <w:kern w:val="2"/>
              </w:rPr>
            </w:pPr>
          </w:p>
          <w:p>
            <w:pPr>
              <w:pStyle w:val="47"/>
              <w:ind w:firstLine="480"/>
              <w:rPr>
                <w:kern w:val="2"/>
              </w:rPr>
            </w:pPr>
          </w:p>
          <w:p>
            <w:pPr>
              <w:pStyle w:val="47"/>
              <w:ind w:firstLine="480"/>
              <w:rPr>
                <w:kern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2"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kern w:val="0"/>
                <w:sz w:val="24"/>
              </w:rPr>
              <w:t>施工方案</w:t>
            </w:r>
          </w:p>
        </w:tc>
        <w:tc>
          <w:tcPr>
            <w:tcW w:w="8080" w:type="dxa"/>
            <w:vAlign w:val="center"/>
          </w:tcPr>
          <w:p>
            <w:pPr>
              <w:pStyle w:val="47"/>
              <w:ind w:firstLine="480"/>
            </w:pPr>
            <w:r>
              <w:rPr>
                <w:rFonts w:hint="eastAsia"/>
              </w:rPr>
              <w:t>本项目主要为探明区域含油气性质和储层分布，扩大勘探成果，施工分为钻井、试油、完井三部分。</w:t>
            </w:r>
          </w:p>
          <w:p>
            <w:pPr>
              <w:pStyle w:val="47"/>
              <w:ind w:firstLine="482"/>
              <w:rPr>
                <w:rFonts w:hAnsi="等线" w:cs="宋体"/>
                <w:b/>
                <w:bCs/>
              </w:rPr>
            </w:pPr>
            <w:r>
              <w:rPr>
                <w:rFonts w:hint="eastAsia" w:hAnsi="等线" w:cs="宋体"/>
                <w:b/>
                <w:bCs/>
              </w:rPr>
              <w:t>1、钻井施工方案</w:t>
            </w:r>
          </w:p>
          <w:p>
            <w:pPr>
              <w:pStyle w:val="47"/>
              <w:ind w:firstLine="480"/>
              <w:rPr>
                <w:rFonts w:cs="宋体"/>
              </w:rPr>
            </w:pPr>
            <w:r>
              <w:rPr>
                <w:rFonts w:hint="eastAsia" w:cs="宋体"/>
              </w:rPr>
              <w:t>（1）钻前准备</w:t>
            </w:r>
          </w:p>
          <w:p>
            <w:pPr>
              <w:pStyle w:val="47"/>
              <w:ind w:firstLine="480"/>
              <w:rPr>
                <w:rFonts w:cs="宋体"/>
                <w:bCs/>
                <w:lang w:bidi="zh-CN"/>
              </w:rPr>
            </w:pPr>
            <w:r>
              <w:rPr>
                <w:rFonts w:hint="eastAsia" w:cs="宋体"/>
                <w:bCs/>
              </w:rPr>
              <w:t>包括井场平整、铺垫、钻机基础建设、生活营地和井场探临路建设，以及设备进场</w:t>
            </w:r>
            <w:r>
              <w:rPr>
                <w:rFonts w:cs="宋体"/>
                <w:bCs/>
                <w:lang w:bidi="zh-CN"/>
              </w:rPr>
              <w:t>。</w:t>
            </w:r>
          </w:p>
          <w:p>
            <w:pPr>
              <w:pStyle w:val="47"/>
              <w:ind w:firstLine="480"/>
              <w:rPr>
                <w:rFonts w:cs="宋体"/>
              </w:rPr>
            </w:pPr>
            <w:r>
              <w:rPr>
                <w:rFonts w:hint="eastAsia" w:cs="宋体"/>
              </w:rPr>
              <w:t>（2）钻井工程</w:t>
            </w:r>
          </w:p>
          <w:p>
            <w:pPr>
              <w:pStyle w:val="47"/>
              <w:ind w:firstLine="480"/>
              <w:rPr>
                <w:rFonts w:cs="宋体"/>
              </w:rPr>
            </w:pPr>
            <w:r>
              <w:rPr>
                <w:rFonts w:hint="eastAsia" w:cs="宋体"/>
              </w:rPr>
              <w:t>①钻井流程</w:t>
            </w:r>
          </w:p>
          <w:p>
            <w:pPr>
              <w:pStyle w:val="47"/>
              <w:ind w:firstLine="480"/>
              <w:rPr>
                <w:rFonts w:cs="宋体"/>
              </w:rPr>
            </w:pPr>
            <w:r>
              <w:rPr>
                <w:rFonts w:hint="eastAsia" w:cs="宋体"/>
              </w:rPr>
              <w:t>钻前准备工作完成后，开始钻井。钻井是破岩和加深井眼的过程。埋设导管后下</w:t>
            </w:r>
            <w:r>
              <w:rPr>
                <w:rFonts w:hint="eastAsia" w:cs="宋体"/>
                <w:spacing w:val="-2"/>
              </w:rPr>
              <w:t>钻，钻达下表层套管深度后，下入表层套管并固井试压，</w:t>
            </w:r>
            <w:r>
              <w:rPr>
                <w:rFonts w:hint="eastAsia" w:cs="宋体"/>
              </w:rPr>
              <w:t>然后继续钻进，安全钻达目标深度后下油层套管，</w:t>
            </w:r>
            <w:r>
              <w:rPr>
                <w:rFonts w:hint="eastAsia" w:cs="宋体"/>
                <w:spacing w:val="-4"/>
              </w:rPr>
              <w:t>根据钻井设计要求，及时进行测井、录井、固井等其他作业。</w:t>
            </w:r>
          </w:p>
          <w:p>
            <w:pPr>
              <w:pStyle w:val="47"/>
              <w:ind w:firstLine="480"/>
              <w:rPr>
                <w:rFonts w:cs="宋体"/>
              </w:rPr>
            </w:pPr>
            <w:r>
              <w:rPr>
                <w:rFonts w:hint="eastAsia" w:cs="宋体"/>
              </w:rPr>
              <w:t>②井身结构</w:t>
            </w:r>
          </w:p>
          <w:p>
            <w:pPr>
              <w:pStyle w:val="47"/>
              <w:ind w:firstLine="480"/>
              <w:rPr>
                <w:rFonts w:cs="宋体"/>
              </w:rPr>
            </w:pPr>
            <w:r>
              <w:rPr>
                <w:rFonts w:hint="eastAsia"/>
                <w:szCs w:val="28"/>
              </w:rPr>
              <w:t>康10H井采用三开水平井井身结构，井身结构设计见</w:t>
            </w:r>
            <w:r>
              <w:rPr>
                <w:rFonts w:cs="宋体"/>
              </w:rPr>
              <w:t>表3</w:t>
            </w:r>
            <w:r>
              <w:rPr>
                <w:rFonts w:hint="eastAsia" w:cs="宋体"/>
              </w:rPr>
              <w:t>，井身结构如附图</w:t>
            </w:r>
            <w:r>
              <w:rPr>
                <w:rFonts w:cs="宋体"/>
              </w:rPr>
              <w:t>6</w:t>
            </w:r>
            <w:r>
              <w:rPr>
                <w:rFonts w:hint="eastAsia" w:hAnsi="等线" w:cs="宋体"/>
              </w:rPr>
              <w:t>所示</w:t>
            </w:r>
            <w:r>
              <w:rPr>
                <w:rFonts w:hint="eastAsia" w:cs="宋体"/>
              </w:rPr>
              <w:t>。</w:t>
            </w:r>
          </w:p>
          <w:p>
            <w:pPr>
              <w:pStyle w:val="5"/>
              <w:keepNext/>
              <w:rPr>
                <w:rFonts w:hAnsi="Times New Roman"/>
              </w:rPr>
            </w:pPr>
            <w:bookmarkStart w:id="10" w:name="_Hlk88066849"/>
            <w:r>
              <w:t>表3</w:t>
            </w:r>
            <w:r>
              <w:rPr>
                <w:rFonts w:hint="eastAsia" w:hAnsi="Times New Roman"/>
              </w:rPr>
              <w:t xml:space="preserve"> </w:t>
            </w:r>
            <w:r>
              <w:rPr>
                <w:rFonts w:hAnsi="Times New Roman"/>
              </w:rPr>
              <w:t xml:space="preserve"> </w:t>
            </w:r>
            <w:r>
              <w:rPr>
                <w:rFonts w:hint="eastAsia" w:hAnsi="Times New Roman"/>
              </w:rPr>
              <w:t>井身结构设计数据表</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049"/>
              <w:gridCol w:w="1871"/>
              <w:gridCol w:w="1445"/>
              <w:gridCol w:w="868"/>
              <w:gridCol w:w="1301"/>
              <w:gridCol w:w="13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49" w:type="dxa"/>
                  <w:vAlign w:val="center"/>
                </w:tcPr>
                <w:p>
                  <w:pPr>
                    <w:pStyle w:val="50"/>
                    <w:spacing w:line="300" w:lineRule="exact"/>
                  </w:pPr>
                  <w:r>
                    <w:t>井位编号</w:t>
                  </w:r>
                </w:p>
              </w:tc>
              <w:tc>
                <w:tcPr>
                  <w:tcW w:w="1871" w:type="dxa"/>
                  <w:vAlign w:val="center"/>
                </w:tcPr>
                <w:p>
                  <w:pPr>
                    <w:pStyle w:val="50"/>
                    <w:spacing w:line="300" w:lineRule="exact"/>
                  </w:pPr>
                  <w:r>
                    <w:t>开钻程序</w:t>
                  </w:r>
                </w:p>
              </w:tc>
              <w:tc>
                <w:tcPr>
                  <w:tcW w:w="1445" w:type="dxa"/>
                  <w:vAlign w:val="center"/>
                </w:tcPr>
                <w:p>
                  <w:pPr>
                    <w:pStyle w:val="50"/>
                    <w:spacing w:line="300" w:lineRule="exact"/>
                  </w:pPr>
                  <w:r>
                    <w:t>钻头尺寸</w:t>
                  </w:r>
                </w:p>
                <w:p>
                  <w:pPr>
                    <w:pStyle w:val="50"/>
                    <w:spacing w:line="300" w:lineRule="exact"/>
                  </w:pPr>
                  <w:r>
                    <w:t>(mm)</w:t>
                  </w:r>
                </w:p>
              </w:tc>
              <w:tc>
                <w:tcPr>
                  <w:tcW w:w="868" w:type="dxa"/>
                  <w:vAlign w:val="center"/>
                </w:tcPr>
                <w:p>
                  <w:pPr>
                    <w:pStyle w:val="50"/>
                    <w:spacing w:line="300" w:lineRule="exact"/>
                  </w:pPr>
                  <w:r>
                    <w:t>井深</w:t>
                  </w:r>
                </w:p>
                <w:p>
                  <w:pPr>
                    <w:pStyle w:val="50"/>
                    <w:spacing w:line="300" w:lineRule="exact"/>
                  </w:pPr>
                  <w:r>
                    <w:t>(m)</w:t>
                  </w:r>
                </w:p>
              </w:tc>
              <w:tc>
                <w:tcPr>
                  <w:tcW w:w="1301" w:type="dxa"/>
                  <w:vAlign w:val="center"/>
                </w:tcPr>
                <w:p>
                  <w:pPr>
                    <w:pStyle w:val="50"/>
                    <w:spacing w:line="300" w:lineRule="exact"/>
                  </w:pPr>
                  <w:r>
                    <w:t>套管尺寸</w:t>
                  </w:r>
                </w:p>
                <w:p>
                  <w:pPr>
                    <w:pStyle w:val="50"/>
                    <w:spacing w:line="300" w:lineRule="exact"/>
                  </w:pPr>
                  <w:r>
                    <w:t>(mm)</w:t>
                  </w:r>
                </w:p>
              </w:tc>
              <w:tc>
                <w:tcPr>
                  <w:tcW w:w="1330" w:type="dxa"/>
                  <w:vAlign w:val="center"/>
                </w:tcPr>
                <w:p>
                  <w:pPr>
                    <w:pStyle w:val="50"/>
                    <w:spacing w:line="300" w:lineRule="exact"/>
                  </w:pPr>
                  <w:r>
                    <w:rPr>
                      <w:rFonts w:hint="eastAsia"/>
                    </w:rPr>
                    <w:t>水泥浆</w:t>
                  </w:r>
                  <w:r>
                    <w:t>返高</w:t>
                  </w:r>
                </w:p>
                <w:p>
                  <w:pPr>
                    <w:pStyle w:val="50"/>
                    <w:spacing w:line="300" w:lineRule="exact"/>
                  </w:pPr>
                  <w: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49" w:type="dxa"/>
                  <w:vMerge w:val="restart"/>
                  <w:vAlign w:val="center"/>
                </w:tcPr>
                <w:p>
                  <w:pPr>
                    <w:pStyle w:val="50"/>
                    <w:spacing w:line="300" w:lineRule="exact"/>
                  </w:pPr>
                  <w:r>
                    <w:rPr>
                      <w:rFonts w:hint="eastAsia"/>
                    </w:rPr>
                    <w:t>康10H</w:t>
                  </w:r>
                </w:p>
              </w:tc>
              <w:tc>
                <w:tcPr>
                  <w:tcW w:w="1871" w:type="dxa"/>
                  <w:vAlign w:val="center"/>
                </w:tcPr>
                <w:p>
                  <w:pPr>
                    <w:pStyle w:val="50"/>
                    <w:spacing w:line="300" w:lineRule="exact"/>
                  </w:pPr>
                  <w:r>
                    <w:rPr>
                      <w:rFonts w:hint="eastAsia"/>
                    </w:rPr>
                    <w:t>一开</w:t>
                  </w:r>
                </w:p>
              </w:tc>
              <w:tc>
                <w:tcPr>
                  <w:tcW w:w="1445" w:type="dxa"/>
                  <w:vAlign w:val="center"/>
                </w:tcPr>
                <w:p>
                  <w:pPr>
                    <w:pStyle w:val="50"/>
                    <w:spacing w:line="300" w:lineRule="exact"/>
                  </w:pPr>
                  <w:r>
                    <w:t>444.5</w:t>
                  </w:r>
                </w:p>
              </w:tc>
              <w:tc>
                <w:tcPr>
                  <w:tcW w:w="868" w:type="dxa"/>
                  <w:vAlign w:val="center"/>
                </w:tcPr>
                <w:p>
                  <w:pPr>
                    <w:pStyle w:val="50"/>
                    <w:spacing w:line="300" w:lineRule="exact"/>
                  </w:pPr>
                  <w:r>
                    <w:t>500</w:t>
                  </w:r>
                </w:p>
              </w:tc>
              <w:tc>
                <w:tcPr>
                  <w:tcW w:w="1301" w:type="dxa"/>
                  <w:vAlign w:val="center"/>
                </w:tcPr>
                <w:p>
                  <w:pPr>
                    <w:pStyle w:val="50"/>
                    <w:spacing w:line="300" w:lineRule="exact"/>
                  </w:pPr>
                  <w:r>
                    <w:t>339.7</w:t>
                  </w:r>
                </w:p>
              </w:tc>
              <w:tc>
                <w:tcPr>
                  <w:tcW w:w="1330" w:type="dxa"/>
                  <w:vAlign w:val="center"/>
                </w:tcPr>
                <w:p>
                  <w:pPr>
                    <w:pStyle w:val="50"/>
                    <w:spacing w:line="300" w:lineRule="exact"/>
                  </w:pPr>
                  <w:r>
                    <w:rPr>
                      <w:rFonts w:hint="eastAsia"/>
                    </w:rPr>
                    <w:t>地面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49" w:type="dxa"/>
                  <w:vMerge w:val="continue"/>
                  <w:vAlign w:val="center"/>
                </w:tcPr>
                <w:p>
                  <w:pPr>
                    <w:pStyle w:val="50"/>
                    <w:spacing w:line="300" w:lineRule="exact"/>
                  </w:pPr>
                </w:p>
              </w:tc>
              <w:tc>
                <w:tcPr>
                  <w:tcW w:w="1871" w:type="dxa"/>
                  <w:vAlign w:val="center"/>
                </w:tcPr>
                <w:p>
                  <w:pPr>
                    <w:pStyle w:val="50"/>
                    <w:spacing w:line="300" w:lineRule="exact"/>
                  </w:pPr>
                  <w:r>
                    <w:rPr>
                      <w:rFonts w:hint="eastAsia"/>
                    </w:rPr>
                    <w:t>二开</w:t>
                  </w:r>
                </w:p>
              </w:tc>
              <w:tc>
                <w:tcPr>
                  <w:tcW w:w="1445" w:type="dxa"/>
                  <w:vAlign w:val="center"/>
                </w:tcPr>
                <w:p>
                  <w:pPr>
                    <w:pStyle w:val="50"/>
                    <w:spacing w:line="300" w:lineRule="exact"/>
                  </w:pPr>
                  <w:r>
                    <w:t>311.2</w:t>
                  </w:r>
                </w:p>
              </w:tc>
              <w:tc>
                <w:tcPr>
                  <w:tcW w:w="868" w:type="dxa"/>
                  <w:vAlign w:val="center"/>
                </w:tcPr>
                <w:p>
                  <w:pPr>
                    <w:pStyle w:val="50"/>
                    <w:spacing w:line="300" w:lineRule="exact"/>
                  </w:pPr>
                  <w:r>
                    <w:t>2860</w:t>
                  </w:r>
                </w:p>
              </w:tc>
              <w:tc>
                <w:tcPr>
                  <w:tcW w:w="1301" w:type="dxa"/>
                  <w:vAlign w:val="center"/>
                </w:tcPr>
                <w:p>
                  <w:pPr>
                    <w:pStyle w:val="50"/>
                    <w:spacing w:line="300" w:lineRule="exact"/>
                  </w:pPr>
                  <w:r>
                    <w:t>244.5</w:t>
                  </w:r>
                </w:p>
              </w:tc>
              <w:tc>
                <w:tcPr>
                  <w:tcW w:w="1330" w:type="dxa"/>
                  <w:vAlign w:val="center"/>
                </w:tcPr>
                <w:p>
                  <w:pPr>
                    <w:pStyle w:val="50"/>
                    <w:spacing w:line="300" w:lineRule="exact"/>
                  </w:pPr>
                  <w: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49" w:type="dxa"/>
                  <w:vMerge w:val="continue"/>
                  <w:vAlign w:val="center"/>
                </w:tcPr>
                <w:p>
                  <w:pPr>
                    <w:pStyle w:val="50"/>
                    <w:spacing w:line="300" w:lineRule="exact"/>
                  </w:pPr>
                </w:p>
              </w:tc>
              <w:tc>
                <w:tcPr>
                  <w:tcW w:w="1871" w:type="dxa"/>
                  <w:vAlign w:val="center"/>
                </w:tcPr>
                <w:p>
                  <w:pPr>
                    <w:pStyle w:val="50"/>
                    <w:spacing w:line="300" w:lineRule="exact"/>
                  </w:pPr>
                  <w:r>
                    <w:rPr>
                      <w:rFonts w:hint="eastAsia"/>
                    </w:rPr>
                    <w:t>三开</w:t>
                  </w:r>
                </w:p>
              </w:tc>
              <w:tc>
                <w:tcPr>
                  <w:tcW w:w="1445" w:type="dxa"/>
                  <w:vAlign w:val="center"/>
                </w:tcPr>
                <w:p>
                  <w:pPr>
                    <w:pStyle w:val="50"/>
                    <w:spacing w:line="300" w:lineRule="exact"/>
                  </w:pPr>
                  <w:r>
                    <w:t>215.9</w:t>
                  </w:r>
                </w:p>
              </w:tc>
              <w:tc>
                <w:tcPr>
                  <w:tcW w:w="868" w:type="dxa"/>
                  <w:vAlign w:val="center"/>
                </w:tcPr>
                <w:p>
                  <w:pPr>
                    <w:pStyle w:val="50"/>
                    <w:spacing w:line="300" w:lineRule="exact"/>
                  </w:pPr>
                  <w:r>
                    <w:t>4500</w:t>
                  </w:r>
                </w:p>
              </w:tc>
              <w:tc>
                <w:tcPr>
                  <w:tcW w:w="1301" w:type="dxa"/>
                  <w:vAlign w:val="center"/>
                </w:tcPr>
                <w:p>
                  <w:pPr>
                    <w:pStyle w:val="50"/>
                    <w:spacing w:line="300" w:lineRule="exact"/>
                  </w:pPr>
                  <w:r>
                    <w:t>139.7</w:t>
                  </w:r>
                </w:p>
              </w:tc>
              <w:tc>
                <w:tcPr>
                  <w:tcW w:w="1330" w:type="dxa"/>
                  <w:vAlign w:val="center"/>
                </w:tcPr>
                <w:p>
                  <w:pPr>
                    <w:pStyle w:val="50"/>
                    <w:spacing w:line="300" w:lineRule="exact"/>
                  </w:pPr>
                  <w:r>
                    <w:t>2300</w:t>
                  </w:r>
                </w:p>
              </w:tc>
            </w:tr>
            <w:bookmarkEnd w:id="10"/>
          </w:tbl>
          <w:p>
            <w:pPr>
              <w:pStyle w:val="47"/>
              <w:ind w:firstLine="480"/>
            </w:pPr>
            <w:r>
              <w:rPr>
                <w:rFonts w:hint="eastAsia"/>
              </w:rPr>
              <w:t>③钻井设备</w:t>
            </w:r>
          </w:p>
          <w:p>
            <w:pPr>
              <w:pStyle w:val="47"/>
              <w:ind w:firstLine="480"/>
              <w:rPr>
                <w:kern w:val="2"/>
              </w:rPr>
            </w:pPr>
            <w:r>
              <w:rPr>
                <w:rFonts w:hint="eastAsia"/>
                <w:snapToGrid w:val="0"/>
              </w:rPr>
              <w:t>钻井</w:t>
            </w:r>
            <w:r>
              <w:rPr>
                <w:snapToGrid w:val="0"/>
              </w:rPr>
              <w:t>设备包括提升系统、循环系统、动力系统、控制系统、仪器仪表等</w:t>
            </w:r>
            <w:r>
              <w:rPr>
                <w:rFonts w:hint="eastAsia"/>
                <w:snapToGrid w:val="0"/>
              </w:rPr>
              <w:t>，</w:t>
            </w:r>
            <w:r>
              <w:rPr>
                <w:rFonts w:hint="eastAsia"/>
                <w:kern w:val="2"/>
              </w:rPr>
              <w:t>详见</w:t>
            </w:r>
            <w:r>
              <w:rPr>
                <w:kern w:val="2"/>
              </w:rPr>
              <w:t>表4</w:t>
            </w:r>
            <w:r>
              <w:rPr>
                <w:rFonts w:hint="eastAsia"/>
                <w:kern w:val="2"/>
              </w:rPr>
              <w:t>。</w:t>
            </w:r>
            <w:bookmarkStart w:id="11" w:name="_Ref19636829"/>
          </w:p>
          <w:p>
            <w:pPr>
              <w:pStyle w:val="5"/>
            </w:pPr>
            <w:r>
              <w:t>表</w:t>
            </w:r>
            <w:bookmarkEnd w:id="11"/>
            <w:r>
              <w:t>4  钻井主要设备一览表</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762"/>
              <w:gridCol w:w="2256"/>
              <w:gridCol w:w="3427"/>
              <w:gridCol w:w="14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t>序号</w:t>
                  </w:r>
                </w:p>
              </w:tc>
              <w:tc>
                <w:tcPr>
                  <w:tcW w:w="2256" w:type="dxa"/>
                  <w:vAlign w:val="center"/>
                </w:tcPr>
                <w:p>
                  <w:pPr>
                    <w:pStyle w:val="50"/>
                    <w:spacing w:line="300" w:lineRule="exact"/>
                  </w:pPr>
                  <w:r>
                    <w:t>名    称</w:t>
                  </w:r>
                </w:p>
              </w:tc>
              <w:tc>
                <w:tcPr>
                  <w:tcW w:w="3427" w:type="dxa"/>
                  <w:vAlign w:val="center"/>
                </w:tcPr>
                <w:p>
                  <w:pPr>
                    <w:pStyle w:val="50"/>
                    <w:spacing w:line="300" w:lineRule="exact"/>
                  </w:pPr>
                  <w:r>
                    <w:t>型号</w:t>
                  </w:r>
                </w:p>
              </w:tc>
              <w:tc>
                <w:tcPr>
                  <w:tcW w:w="1419" w:type="dxa"/>
                  <w:vAlign w:val="center"/>
                </w:tcPr>
                <w:p>
                  <w:pPr>
                    <w:pStyle w:val="50"/>
                    <w:spacing w:line="300" w:lineRule="exact"/>
                  </w:pPr>
                  <w:r>
                    <w:rPr>
                      <w:rFonts w:hint="eastAsia"/>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rPr>
                      <w:rFonts w:hint="eastAsia"/>
                    </w:rPr>
                    <w:t>1</w:t>
                  </w:r>
                </w:p>
              </w:tc>
              <w:tc>
                <w:tcPr>
                  <w:tcW w:w="2256" w:type="dxa"/>
                  <w:vAlign w:val="center"/>
                </w:tcPr>
                <w:p>
                  <w:pPr>
                    <w:pStyle w:val="50"/>
                    <w:spacing w:line="300" w:lineRule="exact"/>
                  </w:pPr>
                  <w:r>
                    <w:t>钻   机</w:t>
                  </w:r>
                </w:p>
              </w:tc>
              <w:tc>
                <w:tcPr>
                  <w:tcW w:w="3427" w:type="dxa"/>
                  <w:vAlign w:val="center"/>
                </w:tcPr>
                <w:p>
                  <w:pPr>
                    <w:pStyle w:val="50"/>
                    <w:spacing w:line="300" w:lineRule="exact"/>
                  </w:pPr>
                  <w:r>
                    <w:t>ZJ70D</w:t>
                  </w:r>
                </w:p>
              </w:tc>
              <w:tc>
                <w:tcPr>
                  <w:tcW w:w="1419" w:type="dxa"/>
                  <w:vAlign w:val="center"/>
                </w:tcPr>
                <w:p>
                  <w:pPr>
                    <w:pStyle w:val="50"/>
                    <w:spacing w:line="300" w:lineRule="exact"/>
                  </w:pPr>
                  <w:r>
                    <w:rPr>
                      <w:rFonts w:hint="eastAsia"/>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rPr>
                      <w:rFonts w:hint="eastAsia"/>
                    </w:rPr>
                    <w:t>2</w:t>
                  </w:r>
                </w:p>
              </w:tc>
              <w:tc>
                <w:tcPr>
                  <w:tcW w:w="2256" w:type="dxa"/>
                  <w:vAlign w:val="center"/>
                </w:tcPr>
                <w:p>
                  <w:pPr>
                    <w:pStyle w:val="50"/>
                    <w:spacing w:line="300" w:lineRule="exact"/>
                  </w:pPr>
                  <w:r>
                    <w:t>井   架</w:t>
                  </w:r>
                </w:p>
              </w:tc>
              <w:tc>
                <w:tcPr>
                  <w:tcW w:w="3427" w:type="dxa"/>
                  <w:vAlign w:val="center"/>
                </w:tcPr>
                <w:p>
                  <w:pPr>
                    <w:pStyle w:val="50"/>
                    <w:spacing w:line="300" w:lineRule="exact"/>
                  </w:pPr>
                  <w:r>
                    <w:t>JJ450/45</w:t>
                  </w:r>
                  <w:r>
                    <w:rPr>
                      <w:rFonts w:hint="eastAsia"/>
                    </w:rPr>
                    <w:t>—</w:t>
                  </w:r>
                  <w:r>
                    <w:t>K8</w:t>
                  </w:r>
                </w:p>
              </w:tc>
              <w:tc>
                <w:tcPr>
                  <w:tcW w:w="1419" w:type="dxa"/>
                  <w:vAlign w:val="center"/>
                </w:tcPr>
                <w:p>
                  <w:pPr>
                    <w:pStyle w:val="50"/>
                    <w:spacing w:line="300" w:lineRule="exact"/>
                  </w:pPr>
                  <w:r>
                    <w:rPr>
                      <w:rFonts w:hint="eastAsia"/>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rPr>
                      <w:rFonts w:hint="eastAsia"/>
                    </w:rPr>
                    <w:t>3</w:t>
                  </w:r>
                </w:p>
              </w:tc>
              <w:tc>
                <w:tcPr>
                  <w:tcW w:w="2256" w:type="dxa"/>
                  <w:vAlign w:val="center"/>
                </w:tcPr>
                <w:p>
                  <w:pPr>
                    <w:pStyle w:val="50"/>
                    <w:spacing w:line="300" w:lineRule="exact"/>
                  </w:pPr>
                  <w:r>
                    <w:rPr>
                      <w:rFonts w:hint="eastAsia" w:cs="微软雅黑"/>
                    </w:rPr>
                    <w:t>钻井泵</w:t>
                  </w:r>
                </w:p>
              </w:tc>
              <w:tc>
                <w:tcPr>
                  <w:tcW w:w="3427" w:type="dxa"/>
                  <w:vAlign w:val="center"/>
                </w:tcPr>
                <w:p>
                  <w:pPr>
                    <w:pStyle w:val="50"/>
                    <w:spacing w:line="300" w:lineRule="exact"/>
                  </w:pPr>
                  <w:r>
                    <w:t>F</w:t>
                  </w:r>
                  <w:r>
                    <w:rPr>
                      <w:rFonts w:hint="eastAsia"/>
                    </w:rPr>
                    <w:t>—</w:t>
                  </w:r>
                  <w:r>
                    <w:t>1600HL</w:t>
                  </w:r>
                </w:p>
              </w:tc>
              <w:tc>
                <w:tcPr>
                  <w:tcW w:w="1419" w:type="dxa"/>
                  <w:vAlign w:val="center"/>
                </w:tcPr>
                <w:p>
                  <w:pPr>
                    <w:pStyle w:val="50"/>
                    <w:spacing w:line="300" w:lineRule="exact"/>
                  </w:pPr>
                  <w:r>
                    <w:t>3</w:t>
                  </w:r>
                  <w:r>
                    <w:rPr>
                      <w:rFonts w:hint="eastAsia"/>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rPr>
                      <w:rFonts w:hint="eastAsia"/>
                    </w:rPr>
                    <w:t>4</w:t>
                  </w:r>
                </w:p>
              </w:tc>
              <w:tc>
                <w:tcPr>
                  <w:tcW w:w="2256" w:type="dxa"/>
                  <w:vAlign w:val="center"/>
                </w:tcPr>
                <w:p>
                  <w:pPr>
                    <w:pStyle w:val="50"/>
                    <w:spacing w:line="300" w:lineRule="exact"/>
                    <w:rPr>
                      <w:rFonts w:cs="微软雅黑"/>
                    </w:rPr>
                  </w:pPr>
                  <w:r>
                    <w:rPr>
                      <w:rFonts w:hint="eastAsia" w:cs="微软雅黑"/>
                    </w:rPr>
                    <w:t>钻井液罐</w:t>
                  </w:r>
                </w:p>
              </w:tc>
              <w:tc>
                <w:tcPr>
                  <w:tcW w:w="3427" w:type="dxa"/>
                  <w:vAlign w:val="center"/>
                </w:tcPr>
                <w:p>
                  <w:pPr>
                    <w:pStyle w:val="50"/>
                    <w:spacing w:line="300" w:lineRule="exact"/>
                  </w:pPr>
                  <w:r>
                    <w:t>循环罐总容积350m</w:t>
                  </w:r>
                  <w:r>
                    <w:rPr>
                      <w:vertAlign w:val="superscript"/>
                    </w:rPr>
                    <w:t>3</w:t>
                  </w:r>
                  <w:r>
                    <w:rPr>
                      <w:rFonts w:hint="eastAsia"/>
                    </w:rPr>
                    <w:t>；</w:t>
                  </w:r>
                  <w:r>
                    <w:t>储备罐总容积240m</w:t>
                  </w:r>
                  <w:r>
                    <w:rPr>
                      <w:vertAlign w:val="superscript"/>
                    </w:rPr>
                    <w:t>3</w:t>
                  </w:r>
                </w:p>
              </w:tc>
              <w:tc>
                <w:tcPr>
                  <w:tcW w:w="1419" w:type="dxa"/>
                  <w:vAlign w:val="center"/>
                </w:tcPr>
                <w:p>
                  <w:pPr>
                    <w:pStyle w:val="50"/>
                    <w:spacing w:line="300" w:lineRule="exact"/>
                  </w:pPr>
                  <w:r>
                    <w:rPr>
                      <w:rFonts w:hint="eastAsia"/>
                    </w:rPr>
                    <w:t>1套</w:t>
                  </w:r>
                </w:p>
              </w:tc>
            </w:tr>
          </w:tbl>
          <w:p>
            <w:pPr>
              <w:spacing w:line="500" w:lineRule="exact"/>
              <w:jc w:val="center"/>
              <w:rPr>
                <w:rFonts w:ascii="黑体" w:hAnsi="黑体" w:eastAsia="黑体"/>
              </w:rPr>
            </w:pPr>
            <w:r>
              <w:rPr>
                <w:rFonts w:hint="eastAsia" w:ascii="黑体" w:hAnsi="黑体" w:eastAsia="黑体"/>
              </w:rPr>
              <w:t>续</w:t>
            </w:r>
            <w:r>
              <w:rPr>
                <w:rFonts w:ascii="黑体" w:hAnsi="黑体" w:eastAsia="黑体"/>
              </w:rPr>
              <w:t>表4  钻井主要设备一览表</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762"/>
              <w:gridCol w:w="2256"/>
              <w:gridCol w:w="3427"/>
              <w:gridCol w:w="14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t>序号</w:t>
                  </w:r>
                </w:p>
              </w:tc>
              <w:tc>
                <w:tcPr>
                  <w:tcW w:w="2256" w:type="dxa"/>
                  <w:vAlign w:val="center"/>
                </w:tcPr>
                <w:p>
                  <w:pPr>
                    <w:pStyle w:val="50"/>
                    <w:spacing w:line="300" w:lineRule="exact"/>
                    <w:rPr>
                      <w:rFonts w:cs="微软雅黑"/>
                    </w:rPr>
                  </w:pPr>
                  <w:r>
                    <w:t>名    称</w:t>
                  </w:r>
                </w:p>
              </w:tc>
              <w:tc>
                <w:tcPr>
                  <w:tcW w:w="3427" w:type="dxa"/>
                  <w:vAlign w:val="center"/>
                </w:tcPr>
                <w:p>
                  <w:pPr>
                    <w:pStyle w:val="50"/>
                    <w:spacing w:line="300" w:lineRule="exact"/>
                  </w:pPr>
                  <w:r>
                    <w:t>型号</w:t>
                  </w:r>
                </w:p>
              </w:tc>
              <w:tc>
                <w:tcPr>
                  <w:tcW w:w="1419" w:type="dxa"/>
                  <w:vAlign w:val="center"/>
                </w:tcPr>
                <w:p>
                  <w:pPr>
                    <w:pStyle w:val="50"/>
                    <w:spacing w:line="300" w:lineRule="exact"/>
                  </w:pPr>
                  <w:r>
                    <w:rPr>
                      <w:rFonts w:hint="eastAsia"/>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rPr>
                      <w:rFonts w:hint="eastAsia"/>
                    </w:rPr>
                    <w:t>5</w:t>
                  </w:r>
                </w:p>
              </w:tc>
              <w:tc>
                <w:tcPr>
                  <w:tcW w:w="2256" w:type="dxa"/>
                  <w:vAlign w:val="center"/>
                </w:tcPr>
                <w:p>
                  <w:pPr>
                    <w:pStyle w:val="50"/>
                    <w:spacing w:line="300" w:lineRule="exact"/>
                    <w:rPr>
                      <w:rFonts w:cs="微软雅黑"/>
                    </w:rPr>
                  </w:pPr>
                  <w:r>
                    <w:rPr>
                      <w:rFonts w:hint="eastAsia" w:cs="微软雅黑"/>
                    </w:rPr>
                    <w:t>柴油机</w:t>
                  </w:r>
                </w:p>
              </w:tc>
              <w:tc>
                <w:tcPr>
                  <w:tcW w:w="3427" w:type="dxa"/>
                  <w:vAlign w:val="center"/>
                </w:tcPr>
                <w:p>
                  <w:pPr>
                    <w:pStyle w:val="50"/>
                    <w:spacing w:line="300" w:lineRule="exact"/>
                  </w:pPr>
                  <w:r>
                    <w:t>G12V190PILG</w:t>
                  </w:r>
                  <w:r>
                    <w:rPr>
                      <w:rFonts w:hint="eastAsia"/>
                    </w:rPr>
                    <w:t>—</w:t>
                  </w:r>
                  <w:r>
                    <w:t>3</w:t>
                  </w:r>
                </w:p>
              </w:tc>
              <w:tc>
                <w:tcPr>
                  <w:tcW w:w="1419" w:type="dxa"/>
                  <w:vAlign w:val="center"/>
                </w:tcPr>
                <w:p>
                  <w:pPr>
                    <w:pStyle w:val="50"/>
                    <w:spacing w:line="300" w:lineRule="exact"/>
                  </w:pPr>
                  <w:r>
                    <w:rPr>
                      <w:rFonts w:hint="eastAsia"/>
                    </w:rPr>
                    <w:t>2台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rPr>
                      <w:rFonts w:hint="eastAsia"/>
                    </w:rPr>
                    <w:t>6</w:t>
                  </w:r>
                </w:p>
              </w:tc>
              <w:tc>
                <w:tcPr>
                  <w:tcW w:w="2256" w:type="dxa"/>
                  <w:vAlign w:val="center"/>
                </w:tcPr>
                <w:p>
                  <w:pPr>
                    <w:pStyle w:val="50"/>
                    <w:spacing w:line="300" w:lineRule="exact"/>
                    <w:rPr>
                      <w:rFonts w:cs="微软雅黑"/>
                    </w:rPr>
                  </w:pPr>
                  <w:r>
                    <w:rPr>
                      <w:rFonts w:hint="eastAsia"/>
                    </w:rPr>
                    <w:t>发电机</w:t>
                  </w:r>
                </w:p>
              </w:tc>
              <w:tc>
                <w:tcPr>
                  <w:tcW w:w="3427" w:type="dxa"/>
                  <w:vAlign w:val="center"/>
                </w:tcPr>
                <w:p>
                  <w:pPr>
                    <w:pStyle w:val="50"/>
                    <w:spacing w:line="300" w:lineRule="exact"/>
                  </w:pPr>
                  <w:r>
                    <w:t>C15/G12V190ZLD1/G12V190ZLD1</w:t>
                  </w:r>
                  <w:r>
                    <w:rPr>
                      <w:rFonts w:hint="eastAsia"/>
                    </w:rPr>
                    <w:t>—</w:t>
                  </w:r>
                  <w:r>
                    <w:t>2</w:t>
                  </w:r>
                </w:p>
              </w:tc>
              <w:tc>
                <w:tcPr>
                  <w:tcW w:w="1419" w:type="dxa"/>
                  <w:vAlign w:val="center"/>
                </w:tcPr>
                <w:p>
                  <w:pPr>
                    <w:pStyle w:val="50"/>
                    <w:spacing w:line="300" w:lineRule="exact"/>
                  </w:pPr>
                  <w:r>
                    <w:rPr>
                      <w:rFonts w:hint="eastAsia"/>
                    </w:rPr>
                    <w:t>2台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rPr>
                      <w:rFonts w:hint="eastAsia"/>
                    </w:rPr>
                    <w:t>7</w:t>
                  </w:r>
                </w:p>
              </w:tc>
              <w:tc>
                <w:tcPr>
                  <w:tcW w:w="2256" w:type="dxa"/>
                  <w:vAlign w:val="center"/>
                </w:tcPr>
                <w:p>
                  <w:pPr>
                    <w:pStyle w:val="50"/>
                    <w:spacing w:line="300" w:lineRule="exact"/>
                  </w:pPr>
                  <w:r>
                    <w:t>MCC房</w:t>
                  </w:r>
                </w:p>
              </w:tc>
              <w:tc>
                <w:tcPr>
                  <w:tcW w:w="3427" w:type="dxa"/>
                  <w:vAlign w:val="center"/>
                </w:tcPr>
                <w:p>
                  <w:pPr>
                    <w:pStyle w:val="50"/>
                    <w:spacing w:line="300" w:lineRule="exact"/>
                  </w:pPr>
                  <w:r>
                    <w:t>HH70LDB</w:t>
                  </w:r>
                </w:p>
              </w:tc>
              <w:tc>
                <w:tcPr>
                  <w:tcW w:w="1419" w:type="dxa"/>
                  <w:vAlign w:val="center"/>
                </w:tcPr>
                <w:p>
                  <w:pPr>
                    <w:pStyle w:val="50"/>
                    <w:spacing w:line="300" w:lineRule="exact"/>
                  </w:pPr>
                  <w:r>
                    <w:rPr>
                      <w:rFonts w:hint="eastAsia"/>
                    </w:rPr>
                    <w:t>1栋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t>8</w:t>
                  </w:r>
                </w:p>
              </w:tc>
              <w:tc>
                <w:tcPr>
                  <w:tcW w:w="2256" w:type="dxa"/>
                  <w:vAlign w:val="center"/>
                </w:tcPr>
                <w:p>
                  <w:pPr>
                    <w:pStyle w:val="50"/>
                    <w:spacing w:line="300" w:lineRule="exact"/>
                    <w:rPr>
                      <w:rFonts w:cs="微软雅黑"/>
                    </w:rPr>
                  </w:pPr>
                  <w:r>
                    <w:rPr>
                      <w:rFonts w:hint="eastAsia"/>
                    </w:rPr>
                    <w:t>钻井液不落地设备</w:t>
                  </w:r>
                </w:p>
              </w:tc>
              <w:tc>
                <w:tcPr>
                  <w:tcW w:w="3427" w:type="dxa"/>
                  <w:vAlign w:val="center"/>
                </w:tcPr>
                <w:p>
                  <w:pPr>
                    <w:pStyle w:val="50"/>
                    <w:spacing w:line="300" w:lineRule="exact"/>
                  </w:pPr>
                  <w:r>
                    <w:rPr>
                      <w:rFonts w:hint="eastAsia"/>
                    </w:rPr>
                    <w:t>/</w:t>
                  </w:r>
                </w:p>
              </w:tc>
              <w:tc>
                <w:tcPr>
                  <w:tcW w:w="1419" w:type="dxa"/>
                  <w:vAlign w:val="center"/>
                </w:tcPr>
                <w:p>
                  <w:pPr>
                    <w:pStyle w:val="50"/>
                    <w:spacing w:line="300" w:lineRule="exact"/>
                  </w:pPr>
                  <w:r>
                    <w:rPr>
                      <w:rFonts w:hint="eastAsia"/>
                    </w:rPr>
                    <w:t>1套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Merge w:val="restart"/>
                  <w:vAlign w:val="center"/>
                </w:tcPr>
                <w:p>
                  <w:pPr>
                    <w:pStyle w:val="50"/>
                    <w:spacing w:line="300" w:lineRule="exact"/>
                  </w:pPr>
                  <w:r>
                    <w:t>9</w:t>
                  </w:r>
                </w:p>
              </w:tc>
              <w:tc>
                <w:tcPr>
                  <w:tcW w:w="2256" w:type="dxa"/>
                  <w:vMerge w:val="restart"/>
                  <w:vAlign w:val="center"/>
                </w:tcPr>
                <w:p>
                  <w:pPr>
                    <w:pStyle w:val="50"/>
                    <w:spacing w:line="300" w:lineRule="exact"/>
                    <w:rPr>
                      <w:rFonts w:cs="微软雅黑"/>
                    </w:rPr>
                  </w:pPr>
                  <w:r>
                    <w:rPr>
                      <w:rFonts w:hint="eastAsia"/>
                    </w:rPr>
                    <w:t>井控系统</w:t>
                  </w:r>
                </w:p>
              </w:tc>
              <w:tc>
                <w:tcPr>
                  <w:tcW w:w="3427" w:type="dxa"/>
                  <w:vAlign w:val="center"/>
                </w:tcPr>
                <w:p>
                  <w:pPr>
                    <w:pStyle w:val="50"/>
                    <w:spacing w:line="300" w:lineRule="exact"/>
                  </w:pPr>
                  <w:r>
                    <w:rPr>
                      <w:rFonts w:hint="eastAsia"/>
                    </w:rPr>
                    <w:t>二开</w:t>
                  </w:r>
                </w:p>
              </w:tc>
              <w:tc>
                <w:tcPr>
                  <w:tcW w:w="1419" w:type="dxa"/>
                  <w:vAlign w:val="center"/>
                </w:tcPr>
                <w:p>
                  <w:pPr>
                    <w:pStyle w:val="50"/>
                    <w:spacing w:line="300" w:lineRule="exact"/>
                  </w:pPr>
                  <w:r>
                    <w:rPr>
                      <w:rFonts w:hint="eastAsia"/>
                    </w:rPr>
                    <w:t>1套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Merge w:val="continue"/>
                  <w:vAlign w:val="center"/>
                </w:tcPr>
                <w:p>
                  <w:pPr>
                    <w:pStyle w:val="50"/>
                    <w:spacing w:line="300" w:lineRule="exact"/>
                  </w:pPr>
                </w:p>
              </w:tc>
              <w:tc>
                <w:tcPr>
                  <w:tcW w:w="2256" w:type="dxa"/>
                  <w:vMerge w:val="continue"/>
                  <w:vAlign w:val="center"/>
                </w:tcPr>
                <w:p>
                  <w:pPr>
                    <w:pStyle w:val="50"/>
                    <w:spacing w:line="300" w:lineRule="exact"/>
                  </w:pPr>
                </w:p>
              </w:tc>
              <w:tc>
                <w:tcPr>
                  <w:tcW w:w="3427" w:type="dxa"/>
                  <w:vAlign w:val="center"/>
                </w:tcPr>
                <w:p>
                  <w:pPr>
                    <w:pStyle w:val="50"/>
                    <w:spacing w:line="300" w:lineRule="exact"/>
                  </w:pPr>
                  <w:r>
                    <w:rPr>
                      <w:rFonts w:hint="eastAsia"/>
                    </w:rPr>
                    <w:t>三开</w:t>
                  </w:r>
                </w:p>
              </w:tc>
              <w:tc>
                <w:tcPr>
                  <w:tcW w:w="1419" w:type="dxa"/>
                  <w:vAlign w:val="center"/>
                </w:tcPr>
                <w:p>
                  <w:pPr>
                    <w:pStyle w:val="50"/>
                    <w:spacing w:line="300" w:lineRule="exact"/>
                  </w:pPr>
                  <w:r>
                    <w:rPr>
                      <w:rFonts w:hint="eastAsia"/>
                    </w:rPr>
                    <w:t>1套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Merge w:val="restart"/>
                  <w:vAlign w:val="center"/>
                </w:tcPr>
                <w:p>
                  <w:pPr>
                    <w:pStyle w:val="50"/>
                    <w:spacing w:line="300" w:lineRule="exact"/>
                  </w:pPr>
                  <w:r>
                    <w:t>10</w:t>
                  </w:r>
                </w:p>
              </w:tc>
              <w:tc>
                <w:tcPr>
                  <w:tcW w:w="2256" w:type="dxa"/>
                  <w:vMerge w:val="restart"/>
                  <w:vAlign w:val="center"/>
                </w:tcPr>
                <w:p>
                  <w:pPr>
                    <w:pStyle w:val="50"/>
                    <w:spacing w:line="300" w:lineRule="exact"/>
                    <w:rPr>
                      <w:rFonts w:cs="微软雅黑"/>
                    </w:rPr>
                  </w:pPr>
                  <w:r>
                    <w:rPr>
                      <w:rFonts w:hint="eastAsia"/>
                    </w:rPr>
                    <w:t>硫化氢检测仪</w:t>
                  </w:r>
                </w:p>
              </w:tc>
              <w:tc>
                <w:tcPr>
                  <w:tcW w:w="3427" w:type="dxa"/>
                  <w:vAlign w:val="center"/>
                </w:tcPr>
                <w:p>
                  <w:pPr>
                    <w:pStyle w:val="50"/>
                    <w:spacing w:line="300" w:lineRule="exact"/>
                  </w:pPr>
                  <w:r>
                    <w:t>便携式</w:t>
                  </w:r>
                </w:p>
              </w:tc>
              <w:tc>
                <w:tcPr>
                  <w:tcW w:w="1419" w:type="dxa"/>
                  <w:vAlign w:val="center"/>
                </w:tcPr>
                <w:p>
                  <w:pPr>
                    <w:pStyle w:val="50"/>
                    <w:spacing w:line="300" w:lineRule="exact"/>
                  </w:pPr>
                  <w:r>
                    <w:t>≥1套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Merge w:val="continue"/>
                  <w:vAlign w:val="center"/>
                </w:tcPr>
                <w:p>
                  <w:pPr>
                    <w:pStyle w:val="50"/>
                    <w:spacing w:line="300" w:lineRule="exact"/>
                  </w:pPr>
                </w:p>
              </w:tc>
              <w:tc>
                <w:tcPr>
                  <w:tcW w:w="2256" w:type="dxa"/>
                  <w:vMerge w:val="continue"/>
                  <w:vAlign w:val="center"/>
                </w:tcPr>
                <w:p>
                  <w:pPr>
                    <w:pStyle w:val="50"/>
                    <w:spacing w:line="300" w:lineRule="exact"/>
                  </w:pPr>
                </w:p>
              </w:tc>
              <w:tc>
                <w:tcPr>
                  <w:tcW w:w="3427" w:type="dxa"/>
                  <w:vAlign w:val="center"/>
                </w:tcPr>
                <w:p>
                  <w:pPr>
                    <w:pStyle w:val="50"/>
                    <w:spacing w:line="300" w:lineRule="exact"/>
                  </w:pPr>
                  <w:r>
                    <w:t>固定式</w:t>
                  </w:r>
                </w:p>
              </w:tc>
              <w:tc>
                <w:tcPr>
                  <w:tcW w:w="1419" w:type="dxa"/>
                  <w:vAlign w:val="center"/>
                </w:tcPr>
                <w:p>
                  <w:pPr>
                    <w:pStyle w:val="50"/>
                    <w:spacing w:line="300" w:lineRule="exact"/>
                  </w:pPr>
                  <w:r>
                    <w:t>1套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t>11</w:t>
                  </w:r>
                </w:p>
              </w:tc>
              <w:tc>
                <w:tcPr>
                  <w:tcW w:w="2256" w:type="dxa"/>
                  <w:vAlign w:val="center"/>
                </w:tcPr>
                <w:p>
                  <w:pPr>
                    <w:pStyle w:val="50"/>
                    <w:spacing w:line="300" w:lineRule="exact"/>
                    <w:rPr>
                      <w:rFonts w:cs="微软雅黑"/>
                    </w:rPr>
                  </w:pPr>
                  <w:r>
                    <w:rPr>
                      <w:rFonts w:hint="eastAsia"/>
                    </w:rPr>
                    <w:t>液压大钳</w:t>
                  </w:r>
                </w:p>
              </w:tc>
              <w:tc>
                <w:tcPr>
                  <w:tcW w:w="3427" w:type="dxa"/>
                  <w:vAlign w:val="center"/>
                </w:tcPr>
                <w:p>
                  <w:pPr>
                    <w:pStyle w:val="50"/>
                    <w:spacing w:line="300" w:lineRule="exact"/>
                  </w:pPr>
                  <w:r>
                    <w:t>ZQ203/125</w:t>
                  </w:r>
                </w:p>
              </w:tc>
              <w:tc>
                <w:tcPr>
                  <w:tcW w:w="1419" w:type="dxa"/>
                  <w:vAlign w:val="center"/>
                </w:tcPr>
                <w:p>
                  <w:pPr>
                    <w:pStyle w:val="50"/>
                    <w:spacing w:line="300" w:lineRule="exact"/>
                  </w:pPr>
                  <w:r>
                    <w:rPr>
                      <w:rFonts w:hint="eastAsia"/>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762" w:type="dxa"/>
                  <w:vAlign w:val="center"/>
                </w:tcPr>
                <w:p>
                  <w:pPr>
                    <w:pStyle w:val="50"/>
                    <w:spacing w:line="300" w:lineRule="exact"/>
                  </w:pPr>
                  <w:r>
                    <w:t>12</w:t>
                  </w:r>
                </w:p>
              </w:tc>
              <w:tc>
                <w:tcPr>
                  <w:tcW w:w="2256" w:type="dxa"/>
                  <w:vAlign w:val="center"/>
                </w:tcPr>
                <w:p>
                  <w:pPr>
                    <w:pStyle w:val="50"/>
                    <w:spacing w:line="300" w:lineRule="exact"/>
                  </w:pPr>
                  <w:r>
                    <w:rPr>
                      <w:rFonts w:hint="eastAsia"/>
                    </w:rPr>
                    <w:t>柴油储罐</w:t>
                  </w:r>
                </w:p>
              </w:tc>
              <w:tc>
                <w:tcPr>
                  <w:tcW w:w="3427" w:type="dxa"/>
                  <w:vAlign w:val="center"/>
                </w:tcPr>
                <w:p>
                  <w:pPr>
                    <w:pStyle w:val="50"/>
                    <w:spacing w:line="300" w:lineRule="exact"/>
                  </w:pPr>
                  <w:r>
                    <w:t>20m</w:t>
                  </w:r>
                  <w:r>
                    <w:rPr>
                      <w:vertAlign w:val="superscript"/>
                    </w:rPr>
                    <w:t>3</w:t>
                  </w:r>
                </w:p>
              </w:tc>
              <w:tc>
                <w:tcPr>
                  <w:tcW w:w="1419" w:type="dxa"/>
                  <w:vAlign w:val="center"/>
                </w:tcPr>
                <w:p>
                  <w:pPr>
                    <w:pStyle w:val="50"/>
                    <w:spacing w:line="300" w:lineRule="exact"/>
                  </w:pPr>
                  <w:r>
                    <w:rPr>
                      <w:rFonts w:hint="eastAsia"/>
                    </w:rPr>
                    <w:t>1座</w:t>
                  </w:r>
                </w:p>
              </w:tc>
            </w:tr>
          </w:tbl>
          <w:p>
            <w:pPr>
              <w:pStyle w:val="47"/>
              <w:ind w:firstLine="480"/>
            </w:pPr>
            <w:r>
              <w:rPr>
                <w:rFonts w:hint="eastAsia"/>
              </w:rPr>
              <w:t>④钻井液体系</w:t>
            </w:r>
          </w:p>
          <w:p>
            <w:pPr>
              <w:pStyle w:val="47"/>
              <w:ind w:firstLine="480"/>
            </w:pPr>
            <w:r>
              <w:rPr>
                <w:rFonts w:hint="eastAsia"/>
                <w:snapToGrid w:val="0"/>
              </w:rPr>
              <w:t>一开采用坂土—</w:t>
            </w:r>
            <w:r>
              <w:rPr>
                <w:snapToGrid w:val="0"/>
              </w:rPr>
              <w:t>CMC</w:t>
            </w:r>
            <w:r>
              <w:rPr>
                <w:rFonts w:hint="eastAsia"/>
                <w:snapToGrid w:val="0"/>
              </w:rPr>
              <w:t>水基钻井液（主要成分为坂土、Na</w:t>
            </w:r>
            <w:r>
              <w:rPr>
                <w:rFonts w:hint="eastAsia"/>
                <w:snapToGrid w:val="0"/>
                <w:vertAlign w:val="subscript"/>
              </w:rPr>
              <w:t>2</w:t>
            </w:r>
            <w:r>
              <w:rPr>
                <w:rFonts w:hint="eastAsia"/>
                <w:snapToGrid w:val="0"/>
              </w:rPr>
              <w:t>CO</w:t>
            </w:r>
            <w:r>
              <w:rPr>
                <w:rFonts w:hint="eastAsia"/>
                <w:snapToGrid w:val="0"/>
                <w:vertAlign w:val="subscript"/>
              </w:rPr>
              <w:t>3</w:t>
            </w:r>
            <w:r>
              <w:rPr>
                <w:rFonts w:hint="eastAsia"/>
                <w:snapToGrid w:val="0"/>
              </w:rPr>
              <w:t>、重晶石、复配胺盐等），二开、三开使用油基钻井液（主要成分为白油、柴油、主乳化剂、有机土等）。钻井液体系及</w:t>
            </w:r>
            <w:r>
              <w:rPr>
                <w:rFonts w:hint="eastAsia"/>
              </w:rPr>
              <w:t>用量见</w:t>
            </w:r>
            <w:r>
              <w:t>表5</w:t>
            </w:r>
            <w:r>
              <w:rPr>
                <w:rFonts w:hint="eastAsia"/>
              </w:rPr>
              <w:t>。</w:t>
            </w:r>
          </w:p>
          <w:p>
            <w:pPr>
              <w:pStyle w:val="69"/>
              <w:spacing w:line="500" w:lineRule="exact"/>
              <w:rPr>
                <w:rFonts w:ascii="黑体" w:hAnsi="黑体"/>
              </w:rPr>
            </w:pPr>
            <w:bookmarkStart w:id="12" w:name="_Ref66721972"/>
            <w:r>
              <w:rPr>
                <w:rFonts w:hint="eastAsia" w:ascii="黑体" w:hAnsi="黑体"/>
              </w:rPr>
              <w:t>表</w:t>
            </w:r>
            <w:bookmarkEnd w:id="12"/>
            <w:r>
              <w:rPr>
                <w:rFonts w:ascii="黑体" w:hAnsi="黑体"/>
              </w:rPr>
              <w:t>5  钻井液</w:t>
            </w:r>
            <w:r>
              <w:rPr>
                <w:rFonts w:hint="eastAsia" w:ascii="黑体" w:hAnsi="黑体"/>
              </w:rPr>
              <w:t>用量</w:t>
            </w:r>
            <w:r>
              <w:rPr>
                <w:rFonts w:ascii="黑体" w:hAnsi="黑体"/>
              </w:rPr>
              <w:t>一览表</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75"/>
              <w:gridCol w:w="1405"/>
              <w:gridCol w:w="1916"/>
              <w:gridCol w:w="32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75" w:type="dxa"/>
                  <w:vAlign w:val="center"/>
                </w:tcPr>
                <w:p>
                  <w:pPr>
                    <w:spacing w:line="300" w:lineRule="exact"/>
                    <w:jc w:val="center"/>
                    <w:rPr>
                      <w:rFonts w:ascii="宋体" w:hAnsi="宋体"/>
                      <w:szCs w:val="21"/>
                    </w:rPr>
                  </w:pPr>
                  <w:r>
                    <w:rPr>
                      <w:rFonts w:hint="eastAsia" w:ascii="宋体" w:hAnsi="宋体"/>
                      <w:szCs w:val="21"/>
                    </w:rPr>
                    <w:t>钻井液性质</w:t>
                  </w:r>
                </w:p>
              </w:tc>
              <w:tc>
                <w:tcPr>
                  <w:tcW w:w="1405" w:type="dxa"/>
                  <w:vAlign w:val="center"/>
                </w:tcPr>
                <w:p>
                  <w:pPr>
                    <w:spacing w:line="300" w:lineRule="exact"/>
                    <w:jc w:val="center"/>
                    <w:rPr>
                      <w:rFonts w:ascii="宋体" w:hAnsi="宋体"/>
                      <w:szCs w:val="21"/>
                    </w:rPr>
                  </w:pPr>
                  <w:r>
                    <w:rPr>
                      <w:rFonts w:ascii="宋体" w:hAnsi="宋体"/>
                      <w:szCs w:val="21"/>
                    </w:rPr>
                    <w:t>开钻次序</w:t>
                  </w:r>
                </w:p>
              </w:tc>
              <w:tc>
                <w:tcPr>
                  <w:tcW w:w="1916" w:type="dxa"/>
                  <w:vAlign w:val="center"/>
                </w:tcPr>
                <w:p>
                  <w:pPr>
                    <w:spacing w:line="300" w:lineRule="exact"/>
                    <w:jc w:val="center"/>
                    <w:rPr>
                      <w:rFonts w:ascii="宋体" w:hAnsi="宋体"/>
                      <w:szCs w:val="21"/>
                    </w:rPr>
                  </w:pPr>
                  <w:r>
                    <w:rPr>
                      <w:rFonts w:hint="eastAsia" w:ascii="宋体" w:hAnsi="宋体" w:cs="宋体"/>
                      <w:kern w:val="0"/>
                      <w:szCs w:val="21"/>
                    </w:rPr>
                    <w:t>钻井液体系</w:t>
                  </w:r>
                </w:p>
              </w:tc>
              <w:tc>
                <w:tcPr>
                  <w:tcW w:w="3268" w:type="dxa"/>
                  <w:vAlign w:val="center"/>
                </w:tcPr>
                <w:p>
                  <w:pPr>
                    <w:spacing w:line="300" w:lineRule="exact"/>
                    <w:jc w:val="center"/>
                    <w:rPr>
                      <w:rFonts w:ascii="宋体" w:hAnsi="宋体"/>
                      <w:szCs w:val="21"/>
                    </w:rPr>
                  </w:pPr>
                  <w:r>
                    <w:rPr>
                      <w:rFonts w:hint="eastAsia" w:ascii="宋体" w:hAnsi="宋体"/>
                      <w:szCs w:val="21"/>
                    </w:rPr>
                    <w:t>钻井液用量（m</w:t>
                  </w:r>
                  <w:r>
                    <w:rPr>
                      <w:rFonts w:ascii="宋体" w:hAnsi="宋体"/>
                      <w:szCs w:val="21"/>
                      <w:vertAlign w:val="superscript"/>
                    </w:rPr>
                    <w:t>3</w:t>
                  </w:r>
                  <w:r>
                    <w:rPr>
                      <w:rFonts w:hint="eastAsia" w:ascii="宋体" w:hAnsi="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75" w:type="dxa"/>
                  <w:vAlign w:val="center"/>
                </w:tcPr>
                <w:p>
                  <w:pPr>
                    <w:spacing w:line="300" w:lineRule="exact"/>
                    <w:jc w:val="center"/>
                    <w:rPr>
                      <w:rFonts w:ascii="宋体" w:hAnsi="宋体"/>
                      <w:szCs w:val="21"/>
                    </w:rPr>
                  </w:pPr>
                  <w:r>
                    <w:rPr>
                      <w:rFonts w:hint="eastAsia" w:ascii="宋体" w:hAnsi="宋体"/>
                      <w:szCs w:val="21"/>
                    </w:rPr>
                    <w:t>水基钻井液</w:t>
                  </w:r>
                </w:p>
              </w:tc>
              <w:tc>
                <w:tcPr>
                  <w:tcW w:w="1405" w:type="dxa"/>
                  <w:vAlign w:val="center"/>
                </w:tcPr>
                <w:p>
                  <w:pPr>
                    <w:spacing w:line="300" w:lineRule="exact"/>
                    <w:jc w:val="center"/>
                    <w:rPr>
                      <w:rFonts w:ascii="宋体" w:hAnsi="宋体"/>
                      <w:szCs w:val="21"/>
                    </w:rPr>
                  </w:pPr>
                  <w:r>
                    <w:rPr>
                      <w:rFonts w:ascii="宋体" w:hAnsi="宋体"/>
                      <w:szCs w:val="21"/>
                    </w:rPr>
                    <w:t>一开</w:t>
                  </w:r>
                </w:p>
              </w:tc>
              <w:tc>
                <w:tcPr>
                  <w:tcW w:w="1916" w:type="dxa"/>
                  <w:vAlign w:val="center"/>
                </w:tcPr>
                <w:p>
                  <w:pPr>
                    <w:spacing w:line="300" w:lineRule="exact"/>
                    <w:jc w:val="center"/>
                    <w:rPr>
                      <w:rFonts w:ascii="宋体" w:hAnsi="宋体" w:cs="Arial"/>
                      <w:szCs w:val="21"/>
                    </w:rPr>
                  </w:pPr>
                  <w:r>
                    <w:rPr>
                      <w:rFonts w:hint="eastAsia" w:ascii="宋体" w:hAnsi="宋体" w:cs="宋体"/>
                      <w:color w:val="000000"/>
                      <w:kern w:val="0"/>
                      <w:szCs w:val="21"/>
                    </w:rPr>
                    <w:t>坂土—</w:t>
                  </w:r>
                  <w:r>
                    <w:rPr>
                      <w:rFonts w:ascii="宋体" w:hAnsi="宋体" w:cs="宋体"/>
                      <w:color w:val="000000"/>
                      <w:kern w:val="0"/>
                      <w:szCs w:val="21"/>
                    </w:rPr>
                    <w:t>CMC</w:t>
                  </w:r>
                </w:p>
              </w:tc>
              <w:tc>
                <w:tcPr>
                  <w:tcW w:w="3268" w:type="dxa"/>
                  <w:vAlign w:val="center"/>
                </w:tcPr>
                <w:p>
                  <w:pPr>
                    <w:spacing w:line="300" w:lineRule="exact"/>
                    <w:jc w:val="center"/>
                    <w:rPr>
                      <w:rFonts w:ascii="宋体" w:hAnsi="宋体"/>
                      <w:szCs w:val="21"/>
                    </w:rPr>
                  </w:pPr>
                  <w:r>
                    <w:rPr>
                      <w:rFonts w:ascii="宋体" w:hAnsi="宋体"/>
                      <w:szCs w:val="21"/>
                    </w:rPr>
                    <w:t>262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75" w:type="dxa"/>
                  <w:vMerge w:val="restart"/>
                  <w:vAlign w:val="center"/>
                </w:tcPr>
                <w:p>
                  <w:pPr>
                    <w:spacing w:line="300" w:lineRule="exact"/>
                    <w:jc w:val="center"/>
                    <w:rPr>
                      <w:rFonts w:ascii="宋体" w:hAnsi="宋体"/>
                      <w:szCs w:val="21"/>
                    </w:rPr>
                  </w:pPr>
                  <w:r>
                    <w:rPr>
                      <w:rFonts w:hint="eastAsia" w:ascii="宋体" w:hAnsi="宋体"/>
                      <w:szCs w:val="21"/>
                    </w:rPr>
                    <w:t>油基钻井液</w:t>
                  </w:r>
                </w:p>
              </w:tc>
              <w:tc>
                <w:tcPr>
                  <w:tcW w:w="1405" w:type="dxa"/>
                  <w:vAlign w:val="center"/>
                </w:tcPr>
                <w:p>
                  <w:pPr>
                    <w:spacing w:line="300" w:lineRule="exact"/>
                    <w:jc w:val="center"/>
                    <w:rPr>
                      <w:rFonts w:ascii="宋体" w:hAnsi="宋体"/>
                      <w:szCs w:val="21"/>
                    </w:rPr>
                  </w:pPr>
                  <w:r>
                    <w:rPr>
                      <w:rFonts w:ascii="宋体" w:hAnsi="宋体"/>
                      <w:szCs w:val="21"/>
                    </w:rPr>
                    <w:t>二开</w:t>
                  </w:r>
                </w:p>
              </w:tc>
              <w:tc>
                <w:tcPr>
                  <w:tcW w:w="1916" w:type="dxa"/>
                  <w:vAlign w:val="center"/>
                </w:tcPr>
                <w:p>
                  <w:pPr>
                    <w:spacing w:line="300" w:lineRule="exact"/>
                    <w:jc w:val="center"/>
                    <w:rPr>
                      <w:rFonts w:ascii="宋体" w:hAnsi="宋体"/>
                      <w:szCs w:val="21"/>
                    </w:rPr>
                  </w:pPr>
                  <w:r>
                    <w:rPr>
                      <w:rFonts w:hint="eastAsia" w:ascii="宋体" w:hAnsi="宋体" w:cs="宋体"/>
                      <w:color w:val="000000"/>
                      <w:kern w:val="0"/>
                      <w:szCs w:val="21"/>
                    </w:rPr>
                    <w:t>油基钻井液</w:t>
                  </w:r>
                </w:p>
              </w:tc>
              <w:tc>
                <w:tcPr>
                  <w:tcW w:w="3268" w:type="dxa"/>
                  <w:vAlign w:val="center"/>
                </w:tcPr>
                <w:p>
                  <w:pPr>
                    <w:spacing w:line="300" w:lineRule="exact"/>
                    <w:jc w:val="center"/>
                    <w:rPr>
                      <w:rFonts w:ascii="宋体" w:hAnsi="宋体"/>
                      <w:szCs w:val="21"/>
                    </w:rPr>
                  </w:pPr>
                  <w:r>
                    <w:rPr>
                      <w:rFonts w:ascii="宋体" w:hAnsi="宋体"/>
                      <w:szCs w:val="21"/>
                    </w:rPr>
                    <w:t>506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75" w:type="dxa"/>
                  <w:vMerge w:val="continue"/>
                  <w:vAlign w:val="center"/>
                </w:tcPr>
                <w:p>
                  <w:pPr>
                    <w:spacing w:line="300" w:lineRule="exact"/>
                    <w:jc w:val="center"/>
                    <w:rPr>
                      <w:rFonts w:ascii="宋体" w:hAnsi="宋体"/>
                      <w:szCs w:val="21"/>
                    </w:rPr>
                  </w:pPr>
                </w:p>
              </w:tc>
              <w:tc>
                <w:tcPr>
                  <w:tcW w:w="1405" w:type="dxa"/>
                  <w:vAlign w:val="center"/>
                </w:tcPr>
                <w:p>
                  <w:pPr>
                    <w:spacing w:line="300" w:lineRule="exact"/>
                    <w:jc w:val="center"/>
                    <w:rPr>
                      <w:rFonts w:ascii="宋体" w:hAnsi="宋体"/>
                      <w:szCs w:val="21"/>
                    </w:rPr>
                  </w:pPr>
                  <w:r>
                    <w:rPr>
                      <w:rFonts w:hint="eastAsia" w:ascii="宋体" w:hAnsi="宋体"/>
                      <w:szCs w:val="21"/>
                    </w:rPr>
                    <w:t>三开</w:t>
                  </w:r>
                </w:p>
              </w:tc>
              <w:tc>
                <w:tcPr>
                  <w:tcW w:w="1916" w:type="dxa"/>
                  <w:vAlign w:val="center"/>
                </w:tcPr>
                <w:p>
                  <w:pPr>
                    <w:spacing w:line="300" w:lineRule="exact"/>
                    <w:jc w:val="center"/>
                    <w:rPr>
                      <w:rFonts w:ascii="宋体" w:hAnsi="宋体"/>
                      <w:szCs w:val="21"/>
                    </w:rPr>
                  </w:pPr>
                  <w:r>
                    <w:rPr>
                      <w:rFonts w:hint="eastAsia" w:ascii="宋体" w:hAnsi="宋体" w:cs="宋体"/>
                      <w:color w:val="000000"/>
                      <w:kern w:val="0"/>
                      <w:szCs w:val="21"/>
                    </w:rPr>
                    <w:t>油基钻井液</w:t>
                  </w:r>
                </w:p>
              </w:tc>
              <w:tc>
                <w:tcPr>
                  <w:tcW w:w="3268" w:type="dxa"/>
                  <w:vAlign w:val="center"/>
                </w:tcPr>
                <w:p>
                  <w:pPr>
                    <w:spacing w:line="300" w:lineRule="exact"/>
                    <w:jc w:val="center"/>
                    <w:rPr>
                      <w:rFonts w:ascii="宋体" w:hAnsi="宋体"/>
                      <w:szCs w:val="21"/>
                    </w:rPr>
                  </w:pPr>
                  <w:r>
                    <w:rPr>
                      <w:rFonts w:ascii="宋体" w:hAnsi="宋体"/>
                      <w:szCs w:val="21"/>
                    </w:rPr>
                    <w:t>407</w:t>
                  </w:r>
                </w:p>
              </w:tc>
            </w:tr>
          </w:tbl>
          <w:p>
            <w:pPr>
              <w:widowControl/>
              <w:spacing w:line="500" w:lineRule="exact"/>
              <w:ind w:firstLine="482" w:firstLineChars="200"/>
              <w:rPr>
                <w:rFonts w:ascii="宋体" w:hAnsi="宋体" w:cs="宋体"/>
                <w:b/>
                <w:bCs/>
                <w:snapToGrid w:val="0"/>
                <w:sz w:val="24"/>
              </w:rPr>
            </w:pPr>
            <w:r>
              <w:rPr>
                <w:rFonts w:hint="eastAsia" w:ascii="宋体" w:hAnsi="宋体" w:cs="宋体"/>
                <w:b/>
                <w:bCs/>
                <w:snapToGrid w:val="0"/>
                <w:sz w:val="24"/>
              </w:rPr>
              <w:t>2、试油施工方案</w:t>
            </w:r>
          </w:p>
          <w:p>
            <w:pPr>
              <w:spacing w:line="500" w:lineRule="exact"/>
              <w:ind w:firstLine="480" w:firstLineChars="200"/>
              <w:rPr>
                <w:rFonts w:ascii="宋体" w:hAnsi="宋体" w:cs="宋体"/>
                <w:sz w:val="24"/>
              </w:rPr>
            </w:pPr>
            <w:r>
              <w:rPr>
                <w:rFonts w:hint="eastAsia" w:ascii="宋体" w:hAnsi="宋体" w:cs="宋体"/>
                <w:bCs/>
                <w:sz w:val="24"/>
              </w:rPr>
              <w:t>在钻井施工完毕后对目的层进行试油作业。</w:t>
            </w:r>
            <w:bookmarkStart w:id="13" w:name="_Ref19641660"/>
            <w:r>
              <w:rPr>
                <w:rFonts w:hint="eastAsia" w:ascii="宋体" w:hAnsi="宋体" w:cs="宋体"/>
                <w:bCs/>
                <w:sz w:val="24"/>
              </w:rPr>
              <w:t>包括通井（</w:t>
            </w:r>
            <w:r>
              <w:rPr>
                <w:rFonts w:hint="eastAsia" w:ascii="宋体" w:hAnsi="宋体" w:cs="宋体"/>
                <w:sz w:val="24"/>
              </w:rPr>
              <w:t>用钻杆或油管带通井规下入井内，清除井壁上附着的固体物质，如钢渣、固井残留水泥等，同时检查套管是否有影响试油工具通过的弯曲等</w:t>
            </w:r>
            <w:r>
              <w:rPr>
                <w:rFonts w:hint="eastAsia" w:ascii="宋体" w:hAnsi="宋体" w:cs="宋体"/>
                <w:bCs/>
                <w:sz w:val="24"/>
              </w:rPr>
              <w:t>）</w:t>
            </w:r>
            <w:bookmarkEnd w:id="13"/>
            <w:r>
              <w:rPr>
                <w:rFonts w:hint="eastAsia" w:ascii="宋体" w:hAnsi="宋体" w:cs="宋体"/>
                <w:bCs/>
                <w:sz w:val="24"/>
              </w:rPr>
              <w:t>、</w:t>
            </w:r>
            <w:r>
              <w:rPr>
                <w:rFonts w:hint="eastAsia" w:ascii="宋体" w:hAnsi="宋体" w:cs="宋体"/>
                <w:sz w:val="24"/>
              </w:rPr>
              <w:t>洗井（使用泵注设备，利用洗井液，通过井内管柱内外循环，清除套管壁杂物等）、试压（用气体或液体介质，对地面流程、井口设备、井下套管等进行耐压程度检验）、射孔（利用专用设备和射孔枪，对套管和井壁进行射孔，建立地层与井筒之间的通道）、压裂（用泵车将压裂液挤入油层，当把油层压出许多裂缝后，加入支撑剂，如石英砂等，充填进裂缝，提高油气层的渗透能力）等操作，然后在井口安装分离器，对获取的地层油、气、水进行取样。采出物进入地面方罐，伴生气经放喷管线燃烧放空。</w:t>
            </w:r>
          </w:p>
          <w:p>
            <w:pPr>
              <w:spacing w:line="500" w:lineRule="exact"/>
              <w:ind w:firstLine="480" w:firstLineChars="200"/>
              <w:rPr>
                <w:rFonts w:ascii="宋体" w:hAnsi="宋体" w:cs="宋体"/>
                <w:sz w:val="24"/>
              </w:rPr>
            </w:pPr>
            <w:r>
              <w:rPr>
                <w:rFonts w:hint="eastAsia" w:ascii="宋体" w:hAnsi="宋体" w:cs="宋体"/>
                <w:sz w:val="24"/>
              </w:rPr>
              <w:t>钻井及试油期总体工艺流程见图1。</w:t>
            </w:r>
          </w:p>
          <w:p>
            <w:pPr>
              <w:pStyle w:val="69"/>
            </w:pPr>
            <w:r>
              <w:rPr>
                <w:rFonts w:hint="eastAsia"/>
              </w:rPr>
              <w:drawing>
                <wp:anchor distT="0" distB="0" distL="114300" distR="114300" simplePos="0" relativeHeight="251663360" behindDoc="0" locked="0" layoutInCell="1" allowOverlap="1">
                  <wp:simplePos x="0" y="0"/>
                  <wp:positionH relativeFrom="column">
                    <wp:posOffset>86360</wp:posOffset>
                  </wp:positionH>
                  <wp:positionV relativeFrom="paragraph">
                    <wp:posOffset>29210</wp:posOffset>
                  </wp:positionV>
                  <wp:extent cx="4962525" cy="1240155"/>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62525" cy="1240155"/>
                          </a:xfrm>
                          <a:prstGeom prst="rect">
                            <a:avLst/>
                          </a:prstGeom>
                          <a:noFill/>
                        </pic:spPr>
                      </pic:pic>
                    </a:graphicData>
                  </a:graphic>
                </wp:anchor>
              </w:drawing>
            </w:r>
          </w:p>
          <w:p>
            <w:pPr>
              <w:pStyle w:val="69"/>
            </w:pPr>
          </w:p>
          <w:p>
            <w:pPr>
              <w:pStyle w:val="69"/>
            </w:pPr>
          </w:p>
          <w:p>
            <w:pPr>
              <w:pStyle w:val="69"/>
            </w:pPr>
          </w:p>
          <w:p>
            <w:pPr>
              <w:pStyle w:val="69"/>
              <w:rPr>
                <w:rFonts w:ascii="黑体" w:hAnsi="黑体"/>
              </w:rPr>
            </w:pPr>
            <w:r>
              <w:rPr>
                <w:rFonts w:hint="eastAsia" w:ascii="黑体" w:hAnsi="黑体"/>
              </w:rPr>
              <w:t>图1</w:t>
            </w:r>
            <w:r>
              <w:rPr>
                <w:rFonts w:ascii="黑体" w:hAnsi="黑体"/>
              </w:rPr>
              <w:t xml:space="preserve">  工艺流程和产污环节示意图</w:t>
            </w:r>
          </w:p>
          <w:p>
            <w:pPr>
              <w:spacing w:line="500" w:lineRule="exact"/>
              <w:ind w:firstLine="482" w:firstLineChars="200"/>
              <w:rPr>
                <w:rFonts w:ascii="宋体" w:hAnsi="宋体" w:cs="宋体"/>
                <w:b/>
                <w:sz w:val="24"/>
              </w:rPr>
            </w:pPr>
            <w:r>
              <w:rPr>
                <w:rFonts w:hint="eastAsia" w:ascii="宋体" w:hAnsi="宋体" w:cs="宋体"/>
                <w:b/>
                <w:sz w:val="24"/>
              </w:rPr>
              <w:t>3、完井施工方案</w:t>
            </w:r>
          </w:p>
          <w:p>
            <w:pPr>
              <w:widowControl/>
              <w:snapToGrid w:val="0"/>
              <w:spacing w:line="500" w:lineRule="exact"/>
              <w:ind w:firstLine="480" w:firstLineChars="200"/>
              <w:rPr>
                <w:rFonts w:ascii="宋体" w:hAnsi="宋体" w:cs="宋体"/>
                <w:kern w:val="0"/>
                <w:sz w:val="24"/>
              </w:rPr>
            </w:pPr>
            <w:r>
              <w:rPr>
                <w:rFonts w:hint="eastAsia" w:ascii="宋体" w:hAnsi="宋体" w:cs="宋体"/>
                <w:kern w:val="0"/>
                <w:sz w:val="24"/>
              </w:rPr>
              <w:t>试油作业结束后，若该井的</w:t>
            </w:r>
            <w:r>
              <w:rPr>
                <w:rFonts w:hint="eastAsia" w:ascii="宋体" w:hAnsi="宋体" w:cs="宋体"/>
                <w:sz w:val="24"/>
              </w:rPr>
              <w:t>油气产量</w:t>
            </w:r>
            <w:r>
              <w:rPr>
                <w:rFonts w:hint="eastAsia" w:ascii="宋体" w:hAnsi="宋体" w:cs="宋体"/>
                <w:kern w:val="0"/>
                <w:sz w:val="24"/>
              </w:rPr>
              <w:t>显示该井具备商业开采价值，则对其进行关井，后期根据油田开发要求转为开采井，并进行产能建设工程的环境影响评价。如该井不具备开采价值，则对地面设施进行拆除，对井口按照《废弃井封井回填技术指南》（试行）进行封井作业，撤去所有生产设施、平整井场；清理井场，将垃圾、物料清理干净。</w:t>
            </w:r>
          </w:p>
          <w:p>
            <w:pPr>
              <w:widowControl/>
              <w:snapToGrid w:val="0"/>
              <w:spacing w:line="500" w:lineRule="exact"/>
              <w:ind w:firstLine="482" w:firstLineChars="200"/>
              <w:rPr>
                <w:rFonts w:ascii="宋体" w:hAnsi="宋体" w:cs="宋体"/>
                <w:b/>
                <w:bCs/>
                <w:kern w:val="0"/>
                <w:sz w:val="24"/>
              </w:rPr>
            </w:pPr>
            <w:r>
              <w:rPr>
                <w:rFonts w:hint="eastAsia" w:ascii="宋体" w:hAnsi="宋体" w:cs="宋体"/>
                <w:b/>
                <w:bCs/>
                <w:kern w:val="0"/>
                <w:sz w:val="24"/>
              </w:rPr>
              <w:t>4、施工周期</w:t>
            </w:r>
            <w:r>
              <w:rPr>
                <w:rFonts w:ascii="宋体" w:hAnsi="宋体" w:cs="宋体"/>
                <w:b/>
                <w:bCs/>
                <w:kern w:val="0"/>
                <w:sz w:val="24"/>
              </w:rPr>
              <w:t>及组织定员</w:t>
            </w:r>
          </w:p>
          <w:p>
            <w:pPr>
              <w:widowControl/>
              <w:spacing w:line="500" w:lineRule="exact"/>
              <w:ind w:firstLine="480" w:firstLineChars="200"/>
              <w:rPr>
                <w:rFonts w:ascii="宋体" w:hAnsi="宋体" w:cs="宋体"/>
                <w:kern w:val="0"/>
                <w:sz w:val="24"/>
                <w:szCs w:val="18"/>
              </w:rPr>
            </w:pPr>
            <w:r>
              <w:rPr>
                <w:rFonts w:hint="eastAsia" w:ascii="宋体" w:hAnsi="宋体" w:cs="宋体"/>
                <w:kern w:val="0"/>
                <w:sz w:val="24"/>
                <w:szCs w:val="18"/>
              </w:rPr>
              <w:t>钻井</w:t>
            </w:r>
            <w:r>
              <w:rPr>
                <w:rFonts w:ascii="宋体" w:hAnsi="宋体" w:cs="宋体"/>
                <w:kern w:val="0"/>
                <w:sz w:val="24"/>
                <w:szCs w:val="18"/>
              </w:rPr>
              <w:t>期作业人员35人，钻井</w:t>
            </w:r>
            <w:r>
              <w:rPr>
                <w:rFonts w:hint="eastAsia" w:ascii="宋体" w:hAnsi="宋体" w:cs="宋体"/>
                <w:kern w:val="0"/>
                <w:sz w:val="24"/>
                <w:szCs w:val="18"/>
              </w:rPr>
              <w:t>周期</w:t>
            </w:r>
            <w:r>
              <w:rPr>
                <w:rFonts w:ascii="宋体" w:hAnsi="宋体" w:cs="宋体"/>
                <w:kern w:val="0"/>
                <w:sz w:val="24"/>
                <w:szCs w:val="18"/>
              </w:rPr>
              <w:t>为120天</w:t>
            </w:r>
            <w:r>
              <w:rPr>
                <w:rFonts w:hint="eastAsia" w:ascii="宋体" w:hAnsi="宋体" w:cs="宋体"/>
                <w:kern w:val="0"/>
                <w:sz w:val="24"/>
                <w:szCs w:val="18"/>
              </w:rPr>
              <w:t>；试油</w:t>
            </w:r>
            <w:r>
              <w:rPr>
                <w:rFonts w:ascii="宋体" w:hAnsi="宋体" w:cs="宋体"/>
                <w:kern w:val="0"/>
                <w:sz w:val="24"/>
                <w:szCs w:val="18"/>
              </w:rPr>
              <w:t>期作业人员2人，</w:t>
            </w:r>
            <w:r>
              <w:rPr>
                <w:rFonts w:hint="eastAsia" w:ascii="宋体" w:hAnsi="宋体" w:cs="宋体"/>
                <w:kern w:val="0"/>
                <w:sz w:val="24"/>
                <w:szCs w:val="18"/>
              </w:rPr>
              <w:t>试油周期</w:t>
            </w:r>
            <w:r>
              <w:rPr>
                <w:rFonts w:ascii="宋体" w:hAnsi="宋体" w:cs="宋体"/>
                <w:kern w:val="0"/>
                <w:sz w:val="24"/>
                <w:szCs w:val="18"/>
              </w:rPr>
              <w:t>为90天</w:t>
            </w:r>
            <w:r>
              <w:rPr>
                <w:rFonts w:hint="eastAsia" w:ascii="宋体" w:hAnsi="宋体" w:cs="宋体"/>
                <w:kern w:val="0"/>
                <w:sz w:val="24"/>
                <w:szCs w:val="18"/>
              </w:rPr>
              <w:t>。</w:t>
            </w:r>
          </w:p>
          <w:p>
            <w:pPr>
              <w:widowControl/>
              <w:spacing w:line="500" w:lineRule="exact"/>
              <w:ind w:firstLine="482" w:firstLineChars="200"/>
              <w:rPr>
                <w:rFonts w:ascii="宋体" w:hAnsi="宋体"/>
                <w:b/>
                <w:kern w:val="0"/>
                <w:sz w:val="24"/>
              </w:rPr>
            </w:pPr>
            <w:r>
              <w:rPr>
                <w:rFonts w:ascii="宋体" w:hAnsi="宋体"/>
                <w:b/>
                <w:kern w:val="0"/>
                <w:sz w:val="24"/>
              </w:rPr>
              <w:t>5、能源物料消耗</w:t>
            </w:r>
          </w:p>
          <w:p>
            <w:pPr>
              <w:widowControl/>
              <w:spacing w:line="460" w:lineRule="exact"/>
              <w:ind w:firstLine="480" w:firstLineChars="200"/>
              <w:rPr>
                <w:rFonts w:ascii="宋体" w:hAnsi="宋体"/>
                <w:kern w:val="0"/>
                <w:sz w:val="24"/>
              </w:rPr>
            </w:pPr>
            <w:r>
              <w:rPr>
                <w:rFonts w:ascii="宋体" w:hAnsi="宋体"/>
                <w:kern w:val="0"/>
                <w:sz w:val="24"/>
              </w:rPr>
              <w:t>施工期间主要物料消耗为钻井液、压裂液、柴油、水等，消耗情况如</w:t>
            </w:r>
            <w:r>
              <w:rPr>
                <w:rFonts w:hint="eastAsia" w:ascii="宋体" w:hAnsi="宋体"/>
                <w:kern w:val="0"/>
                <w:sz w:val="24"/>
              </w:rPr>
              <w:t>表</w:t>
            </w:r>
            <w:r>
              <w:rPr>
                <w:rFonts w:ascii="宋体" w:hAnsi="宋体"/>
                <w:kern w:val="0"/>
                <w:sz w:val="24"/>
              </w:rPr>
              <w:t>6所示。</w:t>
            </w:r>
            <w:bookmarkStart w:id="14" w:name="_Hlk15400228"/>
          </w:p>
          <w:p>
            <w:pPr>
              <w:pStyle w:val="5"/>
            </w:pPr>
            <w:r>
              <w:rPr>
                <w:rFonts w:hint="eastAsia"/>
              </w:rPr>
              <w:t>表</w:t>
            </w:r>
            <w:r>
              <w:t>6  井场主要材料用量一览表</w:t>
            </w:r>
            <w:bookmarkEnd w:id="14"/>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1575"/>
              <w:gridCol w:w="3026"/>
              <w:gridCol w:w="1700"/>
              <w:gridCol w:w="15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4601" w:type="dxa"/>
                  <w:gridSpan w:val="2"/>
                  <w:vAlign w:val="center"/>
                </w:tcPr>
                <w:p>
                  <w:pPr>
                    <w:widowControl/>
                    <w:spacing w:line="300" w:lineRule="exact"/>
                    <w:jc w:val="center"/>
                    <w:rPr>
                      <w:rFonts w:ascii="宋体" w:hAnsi="宋体" w:cs="宋体"/>
                      <w:szCs w:val="21"/>
                    </w:rPr>
                  </w:pPr>
                  <w:r>
                    <w:rPr>
                      <w:rFonts w:hint="eastAsia" w:ascii="宋体" w:hAnsi="宋体" w:cs="宋体"/>
                      <w:szCs w:val="21"/>
                    </w:rPr>
                    <w:t>物料名称</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单位</w:t>
                  </w:r>
                </w:p>
              </w:tc>
              <w:tc>
                <w:tcPr>
                  <w:tcW w:w="1563" w:type="dxa"/>
                  <w:vAlign w:val="center"/>
                </w:tcPr>
                <w:p>
                  <w:pPr>
                    <w:widowControl/>
                    <w:spacing w:line="300" w:lineRule="exact"/>
                    <w:jc w:val="center"/>
                    <w:rPr>
                      <w:rFonts w:ascii="宋体" w:hAnsi="宋体" w:cs="宋体"/>
                      <w:szCs w:val="21"/>
                    </w:rPr>
                  </w:pPr>
                  <w:r>
                    <w:rPr>
                      <w:rFonts w:hint="eastAsia" w:ascii="宋体" w:hAnsi="宋体" w:cs="宋体"/>
                      <w:szCs w:val="21"/>
                    </w:rPr>
                    <w:t>单井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4601" w:type="dxa"/>
                  <w:gridSpan w:val="2"/>
                  <w:vAlign w:val="center"/>
                </w:tcPr>
                <w:p>
                  <w:pPr>
                    <w:widowControl/>
                    <w:spacing w:line="300" w:lineRule="exact"/>
                    <w:jc w:val="center"/>
                    <w:rPr>
                      <w:rFonts w:ascii="宋体" w:hAnsi="宋体" w:cs="宋体"/>
                      <w:szCs w:val="21"/>
                    </w:rPr>
                  </w:pPr>
                  <w:r>
                    <w:rPr>
                      <w:rFonts w:hint="eastAsia" w:ascii="宋体" w:hAnsi="宋体" w:cs="宋体"/>
                      <w:szCs w:val="21"/>
                    </w:rPr>
                    <w:t>水基钻井液</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p>
              </w:tc>
              <w:tc>
                <w:tcPr>
                  <w:tcW w:w="1563" w:type="dxa"/>
                  <w:shd w:val="clear" w:color="auto" w:fill="auto"/>
                  <w:vAlign w:val="center"/>
                </w:tcPr>
                <w:p>
                  <w:pPr>
                    <w:widowControl/>
                    <w:spacing w:line="300" w:lineRule="exact"/>
                    <w:jc w:val="center"/>
                    <w:rPr>
                      <w:rFonts w:ascii="宋体" w:hAnsi="宋体" w:cs="宋体"/>
                      <w:szCs w:val="21"/>
                    </w:rPr>
                  </w:pPr>
                  <w:r>
                    <w:rPr>
                      <w:rFonts w:ascii="宋体" w:hAnsi="宋体" w:cs="宋体"/>
                      <w:szCs w:val="21"/>
                    </w:rPr>
                    <w:t>262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4601" w:type="dxa"/>
                  <w:gridSpan w:val="2"/>
                  <w:vAlign w:val="center"/>
                </w:tcPr>
                <w:p>
                  <w:pPr>
                    <w:widowControl/>
                    <w:spacing w:line="300" w:lineRule="exact"/>
                    <w:jc w:val="center"/>
                    <w:rPr>
                      <w:rFonts w:ascii="宋体" w:hAnsi="宋体" w:cs="宋体"/>
                      <w:szCs w:val="21"/>
                    </w:rPr>
                  </w:pPr>
                  <w:r>
                    <w:rPr>
                      <w:rFonts w:hint="eastAsia" w:ascii="宋体" w:hAnsi="宋体" w:cs="宋体"/>
                      <w:szCs w:val="21"/>
                    </w:rPr>
                    <w:t>油基钻井液</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p>
              </w:tc>
              <w:tc>
                <w:tcPr>
                  <w:tcW w:w="1563" w:type="dxa"/>
                  <w:shd w:val="clear" w:color="auto" w:fill="auto"/>
                  <w:vAlign w:val="center"/>
                </w:tcPr>
                <w:p>
                  <w:pPr>
                    <w:widowControl/>
                    <w:spacing w:line="300" w:lineRule="exact"/>
                    <w:jc w:val="center"/>
                    <w:rPr>
                      <w:rFonts w:ascii="宋体" w:hAnsi="宋体" w:cs="宋体"/>
                      <w:szCs w:val="21"/>
                    </w:rPr>
                  </w:pPr>
                  <w:r>
                    <w:rPr>
                      <w:rFonts w:ascii="宋体" w:hAnsi="宋体" w:cs="宋体"/>
                      <w:szCs w:val="21"/>
                    </w:rPr>
                    <w:t>913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4601" w:type="dxa"/>
                  <w:gridSpan w:val="2"/>
                  <w:vAlign w:val="center"/>
                </w:tcPr>
                <w:p>
                  <w:pPr>
                    <w:widowControl/>
                    <w:spacing w:line="300" w:lineRule="exact"/>
                    <w:jc w:val="center"/>
                    <w:rPr>
                      <w:rFonts w:ascii="宋体" w:hAnsi="宋体" w:cs="宋体"/>
                      <w:szCs w:val="21"/>
                    </w:rPr>
                  </w:pPr>
                  <w:r>
                    <w:rPr>
                      <w:rFonts w:hint="eastAsia" w:ascii="宋体" w:hAnsi="宋体" w:cs="宋体"/>
                      <w:szCs w:val="21"/>
                    </w:rPr>
                    <w:t>压裂液</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p>
              </w:tc>
              <w:tc>
                <w:tcPr>
                  <w:tcW w:w="1563" w:type="dxa"/>
                  <w:shd w:val="clear" w:color="auto" w:fill="auto"/>
                  <w:vAlign w:val="center"/>
                </w:tcPr>
                <w:p>
                  <w:pPr>
                    <w:widowControl/>
                    <w:spacing w:line="300" w:lineRule="exact"/>
                    <w:jc w:val="center"/>
                    <w:rPr>
                      <w:rFonts w:ascii="宋体" w:hAnsi="宋体" w:cs="宋体"/>
                      <w:szCs w:val="21"/>
                    </w:rPr>
                  </w:pPr>
                  <w:r>
                    <w:rPr>
                      <w:rFonts w:ascii="宋体" w:hAnsi="宋体" w:cs="宋体"/>
                      <w:szCs w:val="21"/>
                    </w:rPr>
                    <w:t>16000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1575" w:type="dxa"/>
                  <w:vMerge w:val="restart"/>
                  <w:vAlign w:val="center"/>
                </w:tcPr>
                <w:p>
                  <w:pPr>
                    <w:widowControl/>
                    <w:spacing w:line="300" w:lineRule="exact"/>
                    <w:jc w:val="center"/>
                    <w:rPr>
                      <w:rFonts w:ascii="宋体" w:hAnsi="宋体" w:cs="宋体"/>
                      <w:szCs w:val="21"/>
                    </w:rPr>
                  </w:pPr>
                  <w:r>
                    <w:rPr>
                      <w:rFonts w:hint="eastAsia" w:ascii="宋体" w:hAnsi="宋体" w:cs="宋体"/>
                      <w:szCs w:val="21"/>
                    </w:rPr>
                    <w:t>新鲜用水</w:t>
                  </w:r>
                </w:p>
              </w:tc>
              <w:tc>
                <w:tcPr>
                  <w:tcW w:w="3026" w:type="dxa"/>
                  <w:vAlign w:val="center"/>
                </w:tcPr>
                <w:p>
                  <w:pPr>
                    <w:widowControl/>
                    <w:spacing w:line="300" w:lineRule="exact"/>
                    <w:jc w:val="center"/>
                    <w:rPr>
                      <w:rFonts w:ascii="宋体" w:hAnsi="宋体" w:cs="宋体"/>
                      <w:szCs w:val="21"/>
                    </w:rPr>
                  </w:pPr>
                  <w:r>
                    <w:rPr>
                      <w:rFonts w:hint="eastAsia" w:ascii="宋体" w:hAnsi="宋体" w:cs="宋体"/>
                      <w:szCs w:val="21"/>
                    </w:rPr>
                    <w:t>洗井用水</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p>
              </w:tc>
              <w:tc>
                <w:tcPr>
                  <w:tcW w:w="1563" w:type="dxa"/>
                  <w:shd w:val="clear" w:color="auto" w:fill="auto"/>
                  <w:vAlign w:val="center"/>
                </w:tcPr>
                <w:p>
                  <w:pPr>
                    <w:widowControl/>
                    <w:spacing w:line="300" w:lineRule="exact"/>
                    <w:jc w:val="center"/>
                    <w:rPr>
                      <w:rFonts w:ascii="宋体" w:hAnsi="宋体" w:cs="宋体"/>
                      <w:szCs w:val="21"/>
                    </w:rPr>
                  </w:pPr>
                  <w:r>
                    <w:rPr>
                      <w:rFonts w:ascii="宋体" w:hAnsi="宋体" w:cs="宋体"/>
                      <w:szCs w:val="21"/>
                    </w:rPr>
                    <w:t>300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1575" w:type="dxa"/>
                  <w:vMerge w:val="continue"/>
                  <w:vAlign w:val="center"/>
                </w:tcPr>
                <w:p>
                  <w:pPr>
                    <w:widowControl/>
                    <w:spacing w:line="300" w:lineRule="exact"/>
                    <w:jc w:val="center"/>
                    <w:rPr>
                      <w:rFonts w:ascii="宋体" w:hAnsi="宋体" w:cs="宋体"/>
                      <w:szCs w:val="21"/>
                    </w:rPr>
                  </w:pPr>
                </w:p>
              </w:tc>
              <w:tc>
                <w:tcPr>
                  <w:tcW w:w="3026" w:type="dxa"/>
                  <w:vAlign w:val="center"/>
                </w:tcPr>
                <w:p>
                  <w:pPr>
                    <w:widowControl/>
                    <w:spacing w:line="300" w:lineRule="exact"/>
                    <w:jc w:val="center"/>
                    <w:rPr>
                      <w:rFonts w:ascii="宋体" w:hAnsi="宋体" w:cs="宋体"/>
                      <w:szCs w:val="21"/>
                    </w:rPr>
                  </w:pPr>
                  <w:r>
                    <w:rPr>
                      <w:rFonts w:hint="eastAsia" w:ascii="宋体" w:hAnsi="宋体" w:cs="宋体"/>
                      <w:szCs w:val="21"/>
                    </w:rPr>
                    <w:t>生活用水</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p>
              </w:tc>
              <w:tc>
                <w:tcPr>
                  <w:tcW w:w="1563" w:type="dxa"/>
                  <w:shd w:val="clear" w:color="auto" w:fill="auto"/>
                  <w:vAlign w:val="center"/>
                </w:tcPr>
                <w:p>
                  <w:pPr>
                    <w:widowControl/>
                    <w:spacing w:line="300" w:lineRule="exact"/>
                    <w:jc w:val="center"/>
                    <w:rPr>
                      <w:rFonts w:ascii="宋体" w:hAnsi="宋体" w:cs="宋体"/>
                      <w:szCs w:val="21"/>
                      <w:highlight w:val="yellow"/>
                    </w:rPr>
                  </w:pPr>
                  <w:r>
                    <w:rPr>
                      <w:rFonts w:ascii="宋体" w:hAnsi="宋体" w:cs="宋体"/>
                      <w:szCs w:val="21"/>
                    </w:rPr>
                    <w:t>84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1575" w:type="dxa"/>
                  <w:vMerge w:val="continue"/>
                  <w:vAlign w:val="center"/>
                </w:tcPr>
                <w:p>
                  <w:pPr>
                    <w:widowControl/>
                    <w:spacing w:line="300" w:lineRule="exact"/>
                    <w:jc w:val="center"/>
                    <w:rPr>
                      <w:rFonts w:ascii="宋体" w:hAnsi="宋体" w:cs="宋体"/>
                      <w:szCs w:val="21"/>
                    </w:rPr>
                  </w:pPr>
                </w:p>
              </w:tc>
              <w:tc>
                <w:tcPr>
                  <w:tcW w:w="3026" w:type="dxa"/>
                  <w:vAlign w:val="center"/>
                </w:tcPr>
                <w:p>
                  <w:pPr>
                    <w:widowControl/>
                    <w:spacing w:line="300" w:lineRule="exact"/>
                    <w:jc w:val="center"/>
                    <w:rPr>
                      <w:rFonts w:ascii="宋体" w:hAnsi="宋体" w:cs="宋体"/>
                      <w:szCs w:val="21"/>
                    </w:rPr>
                  </w:pPr>
                  <w:r>
                    <w:rPr>
                      <w:rFonts w:hint="eastAsia" w:ascii="宋体" w:hAnsi="宋体" w:cs="宋体"/>
                      <w:szCs w:val="21"/>
                    </w:rPr>
                    <w:t>总计</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3</w:t>
                  </w:r>
                </w:p>
              </w:tc>
              <w:tc>
                <w:tcPr>
                  <w:tcW w:w="1563" w:type="dxa"/>
                  <w:shd w:val="clear" w:color="auto" w:fill="auto"/>
                  <w:vAlign w:val="center"/>
                </w:tcPr>
                <w:p>
                  <w:pPr>
                    <w:widowControl/>
                    <w:spacing w:line="300" w:lineRule="exact"/>
                    <w:jc w:val="center"/>
                    <w:rPr>
                      <w:rFonts w:ascii="宋体" w:hAnsi="宋体" w:cs="宋体"/>
                      <w:szCs w:val="21"/>
                    </w:rPr>
                  </w:pPr>
                  <w:r>
                    <w:rPr>
                      <w:rFonts w:ascii="宋体" w:hAnsi="宋体" w:cs="宋体"/>
                      <w:szCs w:val="21"/>
                    </w:rPr>
                    <w:t>384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4601" w:type="dxa"/>
                  <w:gridSpan w:val="2"/>
                  <w:vAlign w:val="center"/>
                </w:tcPr>
                <w:p>
                  <w:pPr>
                    <w:widowControl/>
                    <w:spacing w:line="300" w:lineRule="exact"/>
                    <w:jc w:val="center"/>
                    <w:rPr>
                      <w:rFonts w:ascii="宋体" w:hAnsi="宋体" w:cs="宋体"/>
                      <w:szCs w:val="21"/>
                    </w:rPr>
                  </w:pPr>
                  <w:r>
                    <w:rPr>
                      <w:rFonts w:hint="eastAsia" w:ascii="宋体" w:hAnsi="宋体" w:cs="宋体"/>
                      <w:szCs w:val="21"/>
                    </w:rPr>
                    <w:t>柴  油</w:t>
                  </w:r>
                </w:p>
              </w:tc>
              <w:tc>
                <w:tcPr>
                  <w:tcW w:w="1700" w:type="dxa"/>
                  <w:vAlign w:val="center"/>
                </w:tcPr>
                <w:p>
                  <w:pPr>
                    <w:widowControl/>
                    <w:spacing w:line="300" w:lineRule="exact"/>
                    <w:jc w:val="center"/>
                    <w:rPr>
                      <w:rFonts w:ascii="宋体" w:hAnsi="宋体" w:cs="宋体"/>
                      <w:szCs w:val="21"/>
                    </w:rPr>
                  </w:pPr>
                  <w:r>
                    <w:rPr>
                      <w:rFonts w:hint="eastAsia" w:ascii="宋体" w:hAnsi="宋体" w:cs="宋体"/>
                      <w:szCs w:val="21"/>
                    </w:rPr>
                    <w:t>t</w:t>
                  </w:r>
                </w:p>
              </w:tc>
              <w:tc>
                <w:tcPr>
                  <w:tcW w:w="1563" w:type="dxa"/>
                  <w:shd w:val="clear" w:color="auto" w:fill="auto"/>
                  <w:vAlign w:val="center"/>
                </w:tcPr>
                <w:p>
                  <w:pPr>
                    <w:spacing w:line="300" w:lineRule="exact"/>
                    <w:jc w:val="center"/>
                    <w:rPr>
                      <w:rFonts w:ascii="宋体" w:hAnsi="宋体" w:cs="宋体"/>
                      <w:szCs w:val="21"/>
                    </w:rPr>
                  </w:pPr>
                  <w:r>
                    <w:rPr>
                      <w:rFonts w:ascii="宋体" w:hAnsi="宋体" w:cs="宋体"/>
                      <w:szCs w:val="21"/>
                    </w:rPr>
                    <w:t>380</w:t>
                  </w:r>
                </w:p>
              </w:tc>
            </w:tr>
          </w:tbl>
          <w:p>
            <w:pPr>
              <w:pStyle w:val="7"/>
              <w:spacing w:before="56" w:line="343" w:lineRule="auto"/>
              <w:ind w:right="85"/>
              <w:jc w:val="left"/>
              <w:rPr>
                <w:rFonts w:ascii="宋体" w:hAnsi="宋体" w:cs="宋体"/>
                <w:color w:val="FF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kern w:val="0"/>
                <w:sz w:val="24"/>
              </w:rPr>
              <w:t>其他</w:t>
            </w:r>
          </w:p>
        </w:tc>
        <w:tc>
          <w:tcPr>
            <w:tcW w:w="8080" w:type="dxa"/>
            <w:vAlign w:val="center"/>
          </w:tcPr>
          <w:p>
            <w:pPr>
              <w:pStyle w:val="47"/>
              <w:ind w:firstLine="480"/>
              <w:jc w:val="center"/>
            </w:pPr>
            <w:r>
              <w:rPr>
                <w:rFonts w:hint="eastAsia" w:cs="宋体"/>
                <w:kern w:val="2"/>
              </w:rPr>
              <w:t>无</w:t>
            </w:r>
          </w:p>
        </w:tc>
      </w:tr>
    </w:tbl>
    <w:p>
      <w:pPr>
        <w:widowControl/>
        <w:jc w:val="left"/>
        <w:rPr>
          <w:rFonts w:eastAsia="黑体"/>
          <w:bCs/>
          <w:snapToGrid w:val="0"/>
          <w:color w:val="000000"/>
          <w:kern w:val="44"/>
          <w:sz w:val="30"/>
          <w:szCs w:val="30"/>
        </w:rPr>
      </w:pPr>
      <w:r>
        <w:rPr>
          <w:snapToGrid w:val="0"/>
        </w:rPr>
        <w:br w:type="page"/>
      </w:r>
    </w:p>
    <w:p>
      <w:pPr>
        <w:pStyle w:val="2"/>
        <w:rPr>
          <w:snapToGrid w:val="0"/>
        </w:rPr>
      </w:pPr>
      <w:r>
        <w:rPr>
          <w:rFonts w:hint="eastAsia"/>
          <w:snapToGrid w:val="0"/>
        </w:rPr>
        <w:t>三、生态环境现状、保护目标及评价标准</w:t>
      </w:r>
    </w:p>
    <w:tbl>
      <w:tblPr>
        <w:tblStyle w:val="17"/>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92"/>
        <w:gridCol w:w="1134"/>
        <w:gridCol w:w="1843"/>
        <w:gridCol w:w="41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94" w:hRule="atLeast"/>
          <w:jc w:val="center"/>
        </w:trPr>
        <w:tc>
          <w:tcPr>
            <w:tcW w:w="699" w:type="dxa"/>
            <w:vAlign w:val="center"/>
          </w:tcPr>
          <w:p>
            <w:pPr>
              <w:adjustRightInd w:val="0"/>
              <w:snapToGrid w:val="0"/>
              <w:jc w:val="center"/>
              <w:rPr>
                <w:rFonts w:ascii="宋体" w:hAnsi="宋体" w:cs="宋体"/>
                <w:kern w:val="0"/>
                <w:szCs w:val="21"/>
              </w:rPr>
            </w:pPr>
            <w:r>
              <w:rPr>
                <w:rFonts w:hint="eastAsia" w:ascii="宋体" w:hAnsi="宋体" w:cs="宋体"/>
                <w:kern w:val="0"/>
                <w:sz w:val="24"/>
              </w:rPr>
              <w:t>生态环境现状</w:t>
            </w:r>
          </w:p>
        </w:tc>
        <w:tc>
          <w:tcPr>
            <w:tcW w:w="8080" w:type="dxa"/>
            <w:gridSpan w:val="4"/>
            <w:shd w:val="clear" w:color="auto" w:fill="auto"/>
            <w:vAlign w:val="center"/>
          </w:tcPr>
          <w:p>
            <w:pPr>
              <w:spacing w:line="500" w:lineRule="exact"/>
              <w:ind w:firstLine="482" w:firstLineChars="200"/>
              <w:rPr>
                <w:rFonts w:ascii="宋体" w:hAnsi="宋体" w:cs="宋体"/>
                <w:b/>
                <w:sz w:val="24"/>
              </w:rPr>
            </w:pPr>
            <w:r>
              <w:rPr>
                <w:rFonts w:hint="eastAsia" w:ascii="宋体" w:hAnsi="等线" w:cs="宋体"/>
                <w:b/>
                <w:sz w:val="24"/>
              </w:rPr>
              <w:t>1、新疆维吾尔自治区主体功能区规划</w:t>
            </w:r>
          </w:p>
          <w:p>
            <w:pPr>
              <w:spacing w:line="500" w:lineRule="exact"/>
              <w:ind w:firstLine="480" w:firstLineChars="200"/>
              <w:rPr>
                <w:rFonts w:ascii="宋体" w:hAnsi="宋体" w:cs="宋体"/>
                <w:bCs/>
                <w:sz w:val="24"/>
              </w:rPr>
            </w:pPr>
            <w:r>
              <w:rPr>
                <w:rFonts w:hint="eastAsia" w:ascii="宋体" w:hAnsi="宋体" w:cs="宋体"/>
                <w:bCs/>
                <w:sz w:val="24"/>
              </w:rPr>
              <w:t>本项目位于《新疆维吾尔自治区主体功能区规划》天山北坡地区重点开发区阜康市，项目的开发有利于空间利用效率提高、区域发展协调性增强及可持续发展能力提升，该区域有一定经济基础，资源环境承载能力较强，发展潜力较大，集聚人口和经济条件较好，符合主体功能区对项目区块的开发管制原则。</w:t>
            </w:r>
          </w:p>
          <w:p>
            <w:pPr>
              <w:spacing w:line="500" w:lineRule="exact"/>
              <w:ind w:firstLine="482" w:firstLineChars="200"/>
              <w:rPr>
                <w:rFonts w:ascii="宋体" w:hAnsi="宋体" w:cs="宋体"/>
                <w:b/>
                <w:sz w:val="24"/>
              </w:rPr>
            </w:pPr>
            <w:r>
              <w:rPr>
                <w:rFonts w:hint="eastAsia" w:ascii="宋体" w:hAnsi="宋体" w:cs="宋体"/>
                <w:b/>
                <w:sz w:val="24"/>
              </w:rPr>
              <w:t>2、生态功能区划</w:t>
            </w:r>
          </w:p>
          <w:p>
            <w:pPr>
              <w:spacing w:line="500" w:lineRule="exact"/>
              <w:ind w:firstLine="480" w:firstLineChars="200"/>
              <w:rPr>
                <w:rFonts w:ascii="宋体" w:hAnsi="宋体" w:cs="宋体"/>
                <w:sz w:val="24"/>
                <w:szCs w:val="21"/>
              </w:rPr>
            </w:pPr>
            <w:r>
              <w:rPr>
                <w:rFonts w:hint="eastAsia" w:ascii="宋体" w:hAnsi="宋体" w:cs="宋体"/>
                <w:sz w:val="24"/>
              </w:rPr>
              <w:t>根据《新疆生态功能区划简表》，项目位于</w:t>
            </w:r>
            <w:r>
              <w:rPr>
                <w:rFonts w:hint="eastAsia" w:ascii="宋体" w:hAnsi="宋体" w:cs="宋体"/>
                <w:bCs/>
                <w:sz w:val="24"/>
                <w:szCs w:val="21"/>
              </w:rPr>
              <w:t>准噶尔盆地温性荒漠与绿洲农业生态区</w:t>
            </w:r>
            <w:r>
              <w:rPr>
                <w:rFonts w:hint="eastAsia" w:ascii="宋体" w:hAnsi="宋体" w:cs="宋体"/>
                <w:sz w:val="24"/>
                <w:szCs w:val="21"/>
              </w:rPr>
              <w:t>（Ⅱ）——准噶尔盆地中部固定、半固定沙漠农业生态亚区（</w:t>
            </w:r>
            <w:r>
              <w:rPr>
                <w:rFonts w:ascii="宋体" w:hAnsi="宋体" w:cs="宋体"/>
                <w:sz w:val="24"/>
                <w:szCs w:val="21"/>
              </w:rPr>
              <w:t>Ⅱ</w:t>
            </w:r>
            <w:r>
              <w:rPr>
                <w:rFonts w:ascii="宋体" w:hAnsi="宋体" w:cs="宋体"/>
                <w:sz w:val="24"/>
                <w:szCs w:val="21"/>
                <w:vertAlign w:val="subscript"/>
              </w:rPr>
              <w:t>3</w:t>
            </w:r>
            <w:r>
              <w:rPr>
                <w:rFonts w:hint="eastAsia" w:ascii="宋体" w:hAnsi="宋体" w:cs="宋体"/>
                <w:sz w:val="24"/>
                <w:szCs w:val="21"/>
              </w:rPr>
              <w:t>）——</w:t>
            </w:r>
            <w:r>
              <w:rPr>
                <w:rFonts w:hint="eastAsia" w:ascii="宋体" w:hAnsi="宋体" w:cs="宋体"/>
                <w:bCs/>
                <w:sz w:val="24"/>
                <w:szCs w:val="21"/>
              </w:rPr>
              <w:t>古尔班通古特沙漠化敏感及植被保护生态功能区（</w:t>
            </w:r>
            <w:r>
              <w:rPr>
                <w:rFonts w:ascii="宋体" w:hAnsi="宋体" w:cs="宋体"/>
                <w:bCs/>
                <w:sz w:val="24"/>
                <w:szCs w:val="21"/>
              </w:rPr>
              <w:t>23</w:t>
            </w:r>
            <w:r>
              <w:rPr>
                <w:rFonts w:hint="eastAsia" w:ascii="宋体" w:hAnsi="宋体" w:cs="宋体"/>
                <w:bCs/>
                <w:sz w:val="24"/>
                <w:szCs w:val="21"/>
              </w:rPr>
              <w:t>）</w:t>
            </w:r>
            <w:r>
              <w:rPr>
                <w:rFonts w:hint="eastAsia" w:ascii="宋体" w:hAnsi="宋体" w:cs="宋体"/>
                <w:sz w:val="24"/>
                <w:szCs w:val="21"/>
              </w:rPr>
              <w:t>。</w:t>
            </w:r>
          </w:p>
          <w:p>
            <w:pPr>
              <w:spacing w:line="500" w:lineRule="exact"/>
              <w:ind w:firstLine="482" w:firstLineChars="200"/>
              <w:rPr>
                <w:rFonts w:ascii="宋体" w:hAnsi="宋体" w:cs="宋体"/>
                <w:b/>
                <w:sz w:val="24"/>
              </w:rPr>
            </w:pPr>
            <w:r>
              <w:rPr>
                <w:rFonts w:hint="eastAsia" w:ascii="宋体" w:hAnsi="宋体" w:cs="宋体"/>
                <w:b/>
                <w:sz w:val="24"/>
              </w:rPr>
              <w:t>3、生态环境现状</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）植被</w:t>
            </w:r>
          </w:p>
          <w:p>
            <w:pPr>
              <w:widowControl/>
              <w:snapToGrid w:val="0"/>
              <w:spacing w:line="500" w:lineRule="exact"/>
              <w:ind w:firstLine="464" w:firstLineChars="200"/>
              <w:rPr>
                <w:rFonts w:ascii="宋体" w:hAnsi="宋体" w:cs="宋体"/>
                <w:spacing w:val="-4"/>
                <w:kern w:val="0"/>
                <w:sz w:val="24"/>
              </w:rPr>
            </w:pPr>
            <w:r>
              <w:rPr>
                <w:rFonts w:ascii="宋体" w:hAnsi="宋体" w:cs="宋体"/>
                <w:spacing w:val="-4"/>
                <w:kern w:val="0"/>
                <w:sz w:val="24"/>
              </w:rPr>
              <w:t>本区属于中国植被地理区划中的新疆荒漠区</w:t>
            </w:r>
            <w:r>
              <w:rPr>
                <w:rFonts w:hint="eastAsia" w:ascii="宋体" w:hAnsi="宋体" w:cs="宋体"/>
                <w:spacing w:val="-4"/>
                <w:kern w:val="0"/>
                <w:sz w:val="24"/>
              </w:rPr>
              <w:t>—</w:t>
            </w:r>
            <w:r>
              <w:rPr>
                <w:rFonts w:ascii="宋体" w:hAnsi="宋体" w:cs="宋体"/>
                <w:spacing w:val="-4"/>
                <w:kern w:val="0"/>
                <w:sz w:val="24"/>
              </w:rPr>
              <w:t>北疆荒漠亚区</w:t>
            </w:r>
            <w:r>
              <w:rPr>
                <w:rFonts w:hint="eastAsia" w:ascii="宋体" w:hAnsi="宋体" w:cs="宋体"/>
                <w:spacing w:val="-4"/>
                <w:kern w:val="0"/>
                <w:sz w:val="24"/>
              </w:rPr>
              <w:t>—</w:t>
            </w:r>
            <w:r>
              <w:rPr>
                <w:rFonts w:ascii="宋体" w:hAnsi="宋体" w:cs="宋体"/>
                <w:spacing w:val="-4"/>
                <w:kern w:val="0"/>
                <w:sz w:val="24"/>
              </w:rPr>
              <w:t>准噶尔荒漠省</w:t>
            </w:r>
            <w:r>
              <w:rPr>
                <w:rFonts w:hint="eastAsia" w:ascii="宋体" w:hAnsi="宋体" w:cs="宋体"/>
                <w:spacing w:val="-4"/>
                <w:kern w:val="0"/>
                <w:sz w:val="24"/>
              </w:rPr>
              <w:t>—</w:t>
            </w:r>
            <w:r>
              <w:rPr>
                <w:rFonts w:ascii="宋体" w:hAnsi="宋体" w:cs="宋体"/>
                <w:spacing w:val="-4"/>
                <w:kern w:val="0"/>
                <w:sz w:val="24"/>
              </w:rPr>
              <w:t>准噶尔荒漠亚省，处于准噶尔盆地</w:t>
            </w:r>
            <w:r>
              <w:rPr>
                <w:rFonts w:hint="eastAsia" w:ascii="宋体" w:hAnsi="宋体" w:cs="宋体"/>
                <w:spacing w:val="-4"/>
                <w:kern w:val="0"/>
                <w:sz w:val="24"/>
              </w:rPr>
              <w:t>南缘。项目区常年干旱少雨，植被组成简单、种类贫乏。项目区内地表主要植被为盐爪爪、芦苇等草本植被。</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）土地利用类型</w:t>
            </w:r>
          </w:p>
          <w:p>
            <w:pPr>
              <w:pStyle w:val="54"/>
              <w:adjustRightInd w:val="0"/>
              <w:snapToGrid w:val="0"/>
              <w:ind w:firstLine="456"/>
              <w:rPr>
                <w:spacing w:val="-6"/>
              </w:rPr>
            </w:pPr>
            <w:r>
              <w:rPr>
                <w:rFonts w:hint="eastAsia"/>
                <w:spacing w:val="-6"/>
              </w:rPr>
              <w:t>本项目土地利用类型为其他草地。</w:t>
            </w:r>
          </w:p>
          <w:p>
            <w:pPr>
              <w:pStyle w:val="54"/>
              <w:adjustRightInd w:val="0"/>
              <w:snapToGrid w:val="0"/>
              <w:ind w:firstLine="480"/>
            </w:pPr>
            <w:r>
              <w:rPr>
                <w:rFonts w:hint="eastAsia"/>
              </w:rPr>
              <w:t>（3）土地沙化</w:t>
            </w:r>
          </w:p>
          <w:p>
            <w:pPr>
              <w:widowControl/>
              <w:snapToGrid w:val="0"/>
              <w:spacing w:line="500" w:lineRule="exact"/>
              <w:ind w:firstLine="464" w:firstLineChars="200"/>
              <w:rPr>
                <w:rFonts w:ascii="宋体" w:hAnsi="宋体" w:cs="宋体"/>
                <w:spacing w:val="-4"/>
                <w:kern w:val="0"/>
                <w:sz w:val="24"/>
              </w:rPr>
            </w:pPr>
            <w:r>
              <w:rPr>
                <w:rFonts w:ascii="宋体" w:hAnsi="宋体" w:cs="宋体"/>
                <w:spacing w:val="-4"/>
                <w:kern w:val="0"/>
                <w:sz w:val="24"/>
                <w:lang w:bidi="zh-CN"/>
              </w:rPr>
              <w:t>本项目位于准噶尔盆地，</w:t>
            </w:r>
            <w:r>
              <w:rPr>
                <w:rFonts w:hint="eastAsia" w:ascii="宋体" w:hAnsi="宋体" w:cs="宋体"/>
                <w:spacing w:val="-4"/>
                <w:kern w:val="0"/>
                <w:sz w:val="24"/>
                <w:lang w:bidi="zh-CN"/>
              </w:rPr>
              <w:t>项目</w:t>
            </w:r>
            <w:r>
              <w:rPr>
                <w:rFonts w:ascii="宋体" w:hAnsi="宋体" w:cs="宋体"/>
                <w:spacing w:val="-4"/>
                <w:kern w:val="0"/>
                <w:sz w:val="24"/>
                <w:lang w:bidi="zh-CN"/>
              </w:rPr>
              <w:t>地表</w:t>
            </w:r>
            <w:r>
              <w:rPr>
                <w:rFonts w:hint="eastAsia" w:ascii="宋体" w:hAnsi="宋体" w:cs="宋体"/>
                <w:spacing w:val="-4"/>
                <w:kern w:val="0"/>
                <w:sz w:val="24"/>
              </w:rPr>
              <w:t>为非沙化土地，详见附图</w:t>
            </w:r>
            <w:r>
              <w:rPr>
                <w:rFonts w:ascii="宋体" w:hAnsi="宋体" w:cs="宋体"/>
                <w:spacing w:val="-4"/>
                <w:kern w:val="0"/>
                <w:sz w:val="24"/>
              </w:rPr>
              <w:t>7</w:t>
            </w:r>
            <w:r>
              <w:rPr>
                <w:rFonts w:hint="eastAsia" w:ascii="宋体" w:hAnsi="宋体" w:cs="宋体"/>
                <w:spacing w:val="-4"/>
                <w:kern w:val="0"/>
                <w:sz w:val="24"/>
              </w:rPr>
              <w:t>。</w:t>
            </w:r>
          </w:p>
          <w:p>
            <w:pPr>
              <w:spacing w:line="500" w:lineRule="exact"/>
              <w:ind w:firstLine="466" w:firstLineChars="200"/>
              <w:rPr>
                <w:rFonts w:ascii="宋体" w:hAnsi="宋体" w:cs="宋体"/>
                <w:b/>
                <w:bCs/>
                <w:sz w:val="24"/>
              </w:rPr>
            </w:pPr>
            <w:r>
              <w:rPr>
                <w:rFonts w:hint="eastAsia" w:ascii="宋体" w:hAnsi="宋体" w:cs="宋体"/>
                <w:b/>
                <w:bCs/>
                <w:spacing w:val="-4"/>
                <w:kern w:val="0"/>
                <w:sz w:val="24"/>
              </w:rPr>
              <w:t>4、水土流失现状</w:t>
            </w:r>
          </w:p>
          <w:p>
            <w:pPr>
              <w:widowControl/>
              <w:snapToGrid w:val="0"/>
              <w:spacing w:line="500" w:lineRule="exact"/>
              <w:ind w:firstLine="464" w:firstLineChars="200"/>
              <w:rPr>
                <w:rFonts w:ascii="宋体" w:hAnsi="宋体" w:cs="宋体"/>
                <w:spacing w:val="-4"/>
                <w:kern w:val="0"/>
                <w:sz w:val="24"/>
                <w:lang w:bidi="zh-CN"/>
              </w:rPr>
            </w:pPr>
            <w:r>
              <w:rPr>
                <w:rFonts w:hint="eastAsia" w:ascii="宋体" w:hAnsi="宋体" w:cs="宋体"/>
                <w:spacing w:val="-4"/>
                <w:kern w:val="0"/>
                <w:sz w:val="24"/>
                <w:lang w:bidi="zh-CN"/>
              </w:rPr>
              <w:t>根据《新疆维吾尔自治区水土保持规划（2</w:t>
            </w:r>
            <w:r>
              <w:rPr>
                <w:rFonts w:ascii="宋体" w:hAnsi="宋体" w:cs="宋体"/>
                <w:spacing w:val="-4"/>
                <w:kern w:val="0"/>
                <w:sz w:val="24"/>
                <w:lang w:bidi="zh-CN"/>
              </w:rPr>
              <w:t>018</w:t>
            </w:r>
            <w:r>
              <w:rPr>
                <w:rFonts w:hint="eastAsia" w:ascii="宋体" w:hAnsi="宋体" w:cs="宋体"/>
                <w:spacing w:val="-4"/>
                <w:kern w:val="0"/>
                <w:sz w:val="24"/>
                <w:lang w:bidi="zh-CN"/>
              </w:rPr>
              <w:t>—</w:t>
            </w:r>
            <w:r>
              <w:rPr>
                <w:rFonts w:ascii="宋体" w:hAnsi="宋体" w:cs="宋体"/>
                <w:spacing w:val="-4"/>
                <w:kern w:val="0"/>
                <w:sz w:val="24"/>
                <w:lang w:bidi="zh-CN"/>
              </w:rPr>
              <w:t>2030</w:t>
            </w:r>
            <w:r>
              <w:rPr>
                <w:rFonts w:hint="eastAsia" w:ascii="宋体" w:hAnsi="宋体" w:cs="宋体"/>
                <w:spacing w:val="-4"/>
                <w:kern w:val="0"/>
                <w:sz w:val="24"/>
                <w:lang w:bidi="zh-CN"/>
              </w:rPr>
              <w:t>年）》，</w:t>
            </w:r>
            <w:r>
              <w:rPr>
                <w:rFonts w:ascii="宋体" w:hAnsi="宋体" w:cs="宋体"/>
                <w:spacing w:val="-4"/>
                <w:kern w:val="0"/>
                <w:sz w:val="24"/>
              </w:rPr>
              <w:t>本项目</w:t>
            </w:r>
            <w:r>
              <w:rPr>
                <w:rFonts w:hint="eastAsia" w:ascii="宋体" w:hAnsi="宋体" w:cs="宋体"/>
                <w:spacing w:val="-4"/>
                <w:kern w:val="0"/>
                <w:sz w:val="24"/>
              </w:rPr>
              <w:t>位于新疆维吾尔自治区水土流失重点治理区（Ⅱ）——天山北坡诸小河流域重点治理区（</w:t>
            </w:r>
            <w:r>
              <w:rPr>
                <w:rFonts w:ascii="宋体" w:hAnsi="宋体" w:cs="宋体"/>
                <w:spacing w:val="-4"/>
                <w:kern w:val="0"/>
                <w:sz w:val="24"/>
              </w:rPr>
              <w:t>Ⅱ</w:t>
            </w:r>
            <w:r>
              <w:rPr>
                <w:rFonts w:ascii="宋体" w:hAnsi="宋体" w:cs="宋体"/>
                <w:spacing w:val="-4"/>
                <w:kern w:val="0"/>
                <w:sz w:val="24"/>
                <w:vertAlign w:val="subscript"/>
              </w:rPr>
              <w:t>2</w:t>
            </w:r>
            <w:r>
              <w:rPr>
                <w:rFonts w:hint="eastAsia" w:ascii="宋体" w:hAnsi="宋体" w:cs="宋体"/>
                <w:spacing w:val="-4"/>
                <w:kern w:val="0"/>
                <w:sz w:val="24"/>
              </w:rPr>
              <w:t>）——昌吉回族自治州阜康市。该区域水土流失类型主要为风力侵蚀。</w:t>
            </w:r>
          </w:p>
          <w:p>
            <w:pPr>
              <w:widowControl/>
              <w:snapToGrid w:val="0"/>
              <w:spacing w:line="500" w:lineRule="exact"/>
              <w:ind w:firstLine="466" w:firstLineChars="200"/>
              <w:rPr>
                <w:rFonts w:ascii="宋体" w:hAnsi="宋体" w:cs="宋体"/>
                <w:b/>
                <w:bCs/>
                <w:spacing w:val="-4"/>
                <w:kern w:val="0"/>
                <w:sz w:val="24"/>
              </w:rPr>
            </w:pPr>
            <w:r>
              <w:rPr>
                <w:rFonts w:ascii="宋体" w:hAnsi="宋体" w:cs="宋体"/>
                <w:b/>
                <w:bCs/>
                <w:spacing w:val="-4"/>
                <w:kern w:val="0"/>
                <w:sz w:val="24"/>
              </w:rPr>
              <w:t>5</w:t>
            </w:r>
            <w:r>
              <w:rPr>
                <w:rFonts w:hint="eastAsia" w:ascii="宋体" w:hAnsi="宋体" w:cs="宋体"/>
                <w:b/>
                <w:bCs/>
                <w:spacing w:val="-4"/>
                <w:kern w:val="0"/>
                <w:sz w:val="24"/>
              </w:rPr>
              <w:t>、区域环境质量现状</w:t>
            </w:r>
          </w:p>
          <w:p>
            <w:pPr>
              <w:spacing w:line="460" w:lineRule="exact"/>
              <w:ind w:firstLine="496" w:firstLineChars="200"/>
              <w:rPr>
                <w:rFonts w:ascii="宋体" w:hAnsi="宋体"/>
                <w:spacing w:val="4"/>
                <w:kern w:val="0"/>
                <w:sz w:val="24"/>
              </w:rPr>
            </w:pPr>
            <w:r>
              <w:rPr>
                <w:rFonts w:hint="eastAsia" w:ascii="宋体" w:hAnsi="宋体"/>
                <w:spacing w:val="4"/>
                <w:kern w:val="0"/>
                <w:sz w:val="24"/>
              </w:rPr>
              <w:t>项目区西南侧3.5km处有黄山河，2</w:t>
            </w:r>
            <w:r>
              <w:rPr>
                <w:rFonts w:ascii="宋体" w:hAnsi="宋体"/>
                <w:spacing w:val="4"/>
                <w:kern w:val="0"/>
                <w:sz w:val="24"/>
              </w:rPr>
              <w:t>00</w:t>
            </w:r>
            <w:r>
              <w:rPr>
                <w:rFonts w:hint="eastAsia" w:ascii="宋体" w:hAnsi="宋体"/>
                <w:spacing w:val="4"/>
                <w:kern w:val="0"/>
                <w:sz w:val="24"/>
              </w:rPr>
              <w:t>m范围内无声环境敏感目标，地下水、土壤均为Ⅳ类项目，参照《建设项目环境影响报告表编制技术指南（污染影响类）》（试行）及相关环境影响评价技术导则，仅对大气环境质量现状进行调查评价。根据中华人民共和国生态环境部环境工程评估中心发布的“环境空气质量模型技术支持服务系统”</w:t>
            </w:r>
            <w:r>
              <w:rPr>
                <w:rFonts w:hint="eastAsia" w:ascii="宋体" w:hAnsi="宋体"/>
                <w:bCs/>
                <w:spacing w:val="4"/>
                <w:kern w:val="0"/>
                <w:sz w:val="24"/>
              </w:rPr>
              <w:t>相关数据</w:t>
            </w:r>
            <w:r>
              <w:rPr>
                <w:rFonts w:hint="eastAsia" w:ascii="宋体" w:hAnsi="宋体"/>
                <w:spacing w:val="4"/>
                <w:kern w:val="0"/>
                <w:sz w:val="24"/>
              </w:rPr>
              <w:t>，</w:t>
            </w:r>
            <w:r>
              <w:rPr>
                <w:rFonts w:hint="eastAsia" w:ascii="宋体" w:hAnsi="宋体"/>
                <w:spacing w:val="4"/>
                <w:sz w:val="24"/>
              </w:rPr>
              <w:t>项目所在区域昌吉回族自治州六项基本污染物中，SO</w:t>
            </w:r>
            <w:r>
              <w:rPr>
                <w:rFonts w:hint="eastAsia" w:ascii="宋体" w:hAnsi="宋体"/>
                <w:spacing w:val="4"/>
                <w:sz w:val="24"/>
                <w:vertAlign w:val="subscript"/>
              </w:rPr>
              <w:t>2</w:t>
            </w:r>
            <w:r>
              <w:rPr>
                <w:rFonts w:hint="eastAsia" w:ascii="宋体" w:hAnsi="宋体"/>
                <w:spacing w:val="4"/>
                <w:sz w:val="24"/>
              </w:rPr>
              <w:t>、NO</w:t>
            </w:r>
            <w:r>
              <w:rPr>
                <w:rFonts w:hint="eastAsia" w:ascii="宋体" w:hAnsi="宋体"/>
                <w:spacing w:val="4"/>
                <w:sz w:val="24"/>
                <w:vertAlign w:val="subscript"/>
              </w:rPr>
              <w:t>2</w:t>
            </w:r>
            <w:r>
              <w:rPr>
                <w:rFonts w:hint="eastAsia" w:ascii="宋体" w:hAnsi="宋体"/>
                <w:spacing w:val="4"/>
                <w:sz w:val="24"/>
              </w:rPr>
              <w:t>、CO、O</w:t>
            </w:r>
            <w:r>
              <w:rPr>
                <w:rFonts w:hint="eastAsia" w:ascii="宋体" w:hAnsi="宋体"/>
                <w:spacing w:val="4"/>
                <w:sz w:val="24"/>
                <w:vertAlign w:val="subscript"/>
              </w:rPr>
              <w:t>3</w:t>
            </w:r>
            <w:r>
              <w:rPr>
                <w:rFonts w:hint="eastAsia" w:ascii="宋体" w:hAnsi="宋体"/>
                <w:spacing w:val="4"/>
                <w:sz w:val="24"/>
              </w:rPr>
              <w:t>的现状浓度均符合《环境空气质量标准》（GB3095—2012）二级标准。PM</w:t>
            </w:r>
            <w:r>
              <w:rPr>
                <w:rFonts w:hint="eastAsia" w:ascii="宋体" w:hAnsi="宋体"/>
                <w:spacing w:val="4"/>
                <w:sz w:val="24"/>
                <w:vertAlign w:val="subscript"/>
              </w:rPr>
              <w:t>2.5</w:t>
            </w:r>
            <w:r>
              <w:rPr>
                <w:rFonts w:hint="eastAsia" w:ascii="宋体" w:hAnsi="宋体"/>
                <w:spacing w:val="4"/>
                <w:sz w:val="24"/>
              </w:rPr>
              <w:t>、PM</w:t>
            </w:r>
            <w:r>
              <w:rPr>
                <w:rFonts w:hint="eastAsia" w:ascii="宋体" w:hAnsi="宋体"/>
                <w:spacing w:val="4"/>
                <w:sz w:val="24"/>
                <w:vertAlign w:val="subscript"/>
              </w:rPr>
              <w:t>10</w:t>
            </w:r>
            <w:r>
              <w:rPr>
                <w:rFonts w:hint="eastAsia" w:ascii="宋体" w:hAnsi="宋体"/>
                <w:spacing w:val="4"/>
                <w:sz w:val="24"/>
              </w:rPr>
              <w:t>的现状浓度超标，超标倍数分别为0.26倍、0.51倍。</w:t>
            </w:r>
            <w:r>
              <w:rPr>
                <w:rFonts w:hint="eastAsia" w:ascii="宋体" w:hAnsi="宋体"/>
                <w:spacing w:val="4"/>
                <w:kern w:val="0"/>
                <w:sz w:val="24"/>
              </w:rPr>
              <w:t>项目区为环境空气质量不达标区，详见表7。</w:t>
            </w:r>
          </w:p>
          <w:p>
            <w:pPr>
              <w:spacing w:line="460" w:lineRule="exact"/>
              <w:ind w:firstLine="420" w:firstLineChars="200"/>
              <w:jc w:val="center"/>
              <w:rPr>
                <w:rFonts w:ascii="黑体" w:hAnsi="黑体" w:eastAsia="黑体" w:cs="宋体"/>
                <w:spacing w:val="4"/>
                <w:kern w:val="0"/>
                <w:sz w:val="24"/>
              </w:rPr>
            </w:pPr>
            <w:r>
              <w:rPr>
                <w:rFonts w:hint="eastAsia" w:ascii="黑体" w:hAnsi="黑体" w:eastAsia="黑体"/>
                <w:szCs w:val="21"/>
              </w:rPr>
              <w:t>表7  大气质量及评价结果一览表</w:t>
            </w:r>
          </w:p>
          <w:tbl>
            <w:tblPr>
              <w:tblStyle w:val="17"/>
              <w:tblW w:w="786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956"/>
              <w:gridCol w:w="2054"/>
              <w:gridCol w:w="1276"/>
              <w:gridCol w:w="1277"/>
              <w:gridCol w:w="1136"/>
              <w:gridCol w:w="116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jc w:val="center"/>
              </w:trPr>
              <w:tc>
                <w:tcPr>
                  <w:tcW w:w="956" w:type="dxa"/>
                  <w:tcBorders>
                    <w:top w:val="single" w:color="auto" w:sz="12" w:space="0"/>
                    <w:left w:val="nil"/>
                    <w:bottom w:val="single" w:color="auto" w:sz="6" w:space="0"/>
                    <w:right w:val="single" w:color="auto" w:sz="6" w:space="0"/>
                  </w:tcBorders>
                  <w:vAlign w:val="center"/>
                </w:tcPr>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监测因子</w:t>
                  </w:r>
                </w:p>
              </w:tc>
              <w:tc>
                <w:tcPr>
                  <w:tcW w:w="2054" w:type="dxa"/>
                  <w:tcBorders>
                    <w:top w:val="single" w:color="auto" w:sz="12" w:space="0"/>
                    <w:left w:val="single" w:color="auto" w:sz="6" w:space="0"/>
                    <w:bottom w:val="single" w:color="auto" w:sz="6" w:space="0"/>
                    <w:right w:val="single" w:color="auto" w:sz="6" w:space="0"/>
                  </w:tcBorders>
                  <w:vAlign w:val="center"/>
                </w:tcPr>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年评价指标</w:t>
                  </w:r>
                </w:p>
              </w:tc>
              <w:tc>
                <w:tcPr>
                  <w:tcW w:w="1276" w:type="dxa"/>
                  <w:tcBorders>
                    <w:top w:val="single" w:color="auto" w:sz="12" w:space="0"/>
                    <w:left w:val="single" w:color="auto" w:sz="6" w:space="0"/>
                    <w:bottom w:val="single" w:color="auto" w:sz="6" w:space="0"/>
                    <w:right w:val="single" w:color="auto" w:sz="6" w:space="0"/>
                  </w:tcBorders>
                  <w:vAlign w:val="center"/>
                </w:tcPr>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现状浓度</w:t>
                  </w:r>
                </w:p>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（μg/m</w:t>
                  </w:r>
                  <w:r>
                    <w:rPr>
                      <w:rFonts w:hint="eastAsia" w:ascii="宋体" w:hAnsi="宋体"/>
                      <w:spacing w:val="-4"/>
                      <w:kern w:val="0"/>
                      <w:szCs w:val="21"/>
                      <w:vertAlign w:val="superscript"/>
                    </w:rPr>
                    <w:t>3</w:t>
                  </w:r>
                  <w:r>
                    <w:rPr>
                      <w:rFonts w:hint="eastAsia" w:ascii="宋体" w:hAnsi="宋体"/>
                      <w:spacing w:val="-4"/>
                      <w:kern w:val="0"/>
                      <w:szCs w:val="21"/>
                    </w:rPr>
                    <w:t>）</w:t>
                  </w:r>
                </w:p>
              </w:tc>
              <w:tc>
                <w:tcPr>
                  <w:tcW w:w="1277" w:type="dxa"/>
                  <w:tcBorders>
                    <w:top w:val="single" w:color="auto" w:sz="12" w:space="0"/>
                    <w:left w:val="single" w:color="auto" w:sz="6" w:space="0"/>
                    <w:bottom w:val="single" w:color="auto" w:sz="6" w:space="0"/>
                    <w:right w:val="single" w:color="auto" w:sz="6" w:space="0"/>
                  </w:tcBorders>
                  <w:vAlign w:val="center"/>
                </w:tcPr>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标准值</w:t>
                  </w:r>
                </w:p>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（μg/m</w:t>
                  </w:r>
                  <w:r>
                    <w:rPr>
                      <w:rFonts w:hint="eastAsia" w:ascii="宋体" w:hAnsi="宋体"/>
                      <w:spacing w:val="-4"/>
                      <w:kern w:val="0"/>
                      <w:szCs w:val="21"/>
                      <w:vertAlign w:val="superscript"/>
                    </w:rPr>
                    <w:t>3</w:t>
                  </w:r>
                  <w:r>
                    <w:rPr>
                      <w:rFonts w:hint="eastAsia" w:ascii="宋体" w:hAnsi="宋体"/>
                      <w:spacing w:val="-4"/>
                      <w:kern w:val="0"/>
                      <w:szCs w:val="21"/>
                    </w:rPr>
                    <w:t>）</w:t>
                  </w:r>
                </w:p>
              </w:tc>
              <w:tc>
                <w:tcPr>
                  <w:tcW w:w="1136" w:type="dxa"/>
                  <w:tcBorders>
                    <w:top w:val="single" w:color="auto" w:sz="12" w:space="0"/>
                    <w:left w:val="single" w:color="auto" w:sz="6" w:space="0"/>
                    <w:bottom w:val="single" w:color="auto" w:sz="6" w:space="0"/>
                    <w:right w:val="single" w:color="auto" w:sz="6" w:space="0"/>
                  </w:tcBorders>
                  <w:vAlign w:val="center"/>
                </w:tcPr>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占标率</w:t>
                  </w:r>
                </w:p>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w:t>
                  </w:r>
                </w:p>
              </w:tc>
              <w:tc>
                <w:tcPr>
                  <w:tcW w:w="1165" w:type="dxa"/>
                  <w:tcBorders>
                    <w:top w:val="single" w:color="auto" w:sz="12" w:space="0"/>
                    <w:left w:val="single" w:color="auto" w:sz="6" w:space="0"/>
                    <w:bottom w:val="single" w:color="auto" w:sz="6" w:space="0"/>
                    <w:right w:val="nil"/>
                  </w:tcBorders>
                  <w:vAlign w:val="center"/>
                </w:tcPr>
                <w:p>
                  <w:pPr>
                    <w:widowControl/>
                    <w:snapToGrid w:val="0"/>
                    <w:spacing w:line="300" w:lineRule="exact"/>
                    <w:jc w:val="center"/>
                    <w:rPr>
                      <w:rFonts w:ascii="宋体" w:hAnsi="宋体"/>
                      <w:spacing w:val="-4"/>
                      <w:kern w:val="0"/>
                      <w:szCs w:val="21"/>
                    </w:rPr>
                  </w:pPr>
                  <w:r>
                    <w:rPr>
                      <w:rFonts w:hint="eastAsia" w:ascii="宋体" w:hAnsi="宋体"/>
                      <w:spacing w:val="-4"/>
                      <w:kern w:val="0"/>
                      <w:szCs w:val="21"/>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jc w:val="center"/>
              </w:trPr>
              <w:tc>
                <w:tcPr>
                  <w:tcW w:w="956" w:type="dxa"/>
                  <w:tcBorders>
                    <w:top w:val="single" w:color="auto" w:sz="6" w:space="0"/>
                    <w:left w:val="nil"/>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szCs w:val="21"/>
                    </w:rPr>
                    <w:t>SO</w:t>
                  </w:r>
                  <w:r>
                    <w:rPr>
                      <w:rFonts w:hint="eastAsia" w:ascii="宋体" w:hAnsi="宋体"/>
                      <w:szCs w:val="21"/>
                      <w:vertAlign w:val="subscript"/>
                    </w:rPr>
                    <w:t>2</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szCs w:val="21"/>
                    </w:rPr>
                    <w:t>年平均值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8</w:t>
                  </w:r>
                </w:p>
              </w:tc>
              <w:tc>
                <w:tcPr>
                  <w:tcW w:w="1277"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60</w:t>
                  </w:r>
                </w:p>
              </w:tc>
              <w:tc>
                <w:tcPr>
                  <w:tcW w:w="113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13.3</w:t>
                  </w:r>
                </w:p>
              </w:tc>
              <w:tc>
                <w:tcPr>
                  <w:tcW w:w="1165" w:type="dxa"/>
                  <w:tcBorders>
                    <w:top w:val="single" w:color="auto" w:sz="6" w:space="0"/>
                    <w:left w:val="single" w:color="auto" w:sz="6" w:space="0"/>
                    <w:bottom w:val="single" w:color="auto" w:sz="6" w:space="0"/>
                    <w:right w:val="nil"/>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jc w:val="center"/>
              </w:trPr>
              <w:tc>
                <w:tcPr>
                  <w:tcW w:w="956" w:type="dxa"/>
                  <w:tcBorders>
                    <w:top w:val="single" w:color="auto" w:sz="6" w:space="0"/>
                    <w:left w:val="nil"/>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NO</w:t>
                  </w:r>
                  <w:r>
                    <w:rPr>
                      <w:rFonts w:hint="eastAsia" w:ascii="宋体" w:hAnsi="宋体"/>
                      <w:kern w:val="0"/>
                      <w:szCs w:val="21"/>
                      <w:vertAlign w:val="subscript"/>
                    </w:rPr>
                    <w:t>2</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年平均值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33</w:t>
                  </w:r>
                </w:p>
              </w:tc>
              <w:tc>
                <w:tcPr>
                  <w:tcW w:w="1277"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40</w:t>
                  </w:r>
                </w:p>
              </w:tc>
              <w:tc>
                <w:tcPr>
                  <w:tcW w:w="113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82.5</w:t>
                  </w:r>
                </w:p>
              </w:tc>
              <w:tc>
                <w:tcPr>
                  <w:tcW w:w="1165" w:type="dxa"/>
                  <w:tcBorders>
                    <w:top w:val="single" w:color="auto" w:sz="6" w:space="0"/>
                    <w:left w:val="single" w:color="auto" w:sz="6" w:space="0"/>
                    <w:bottom w:val="single" w:color="auto" w:sz="6" w:space="0"/>
                    <w:right w:val="nil"/>
                  </w:tcBorders>
                  <w:vAlign w:val="center"/>
                </w:tcPr>
                <w:p>
                  <w:pPr>
                    <w:widowControl/>
                    <w:overflowPunct w:val="0"/>
                    <w:autoSpaceDE w:val="0"/>
                    <w:autoSpaceDN w:val="0"/>
                    <w:adjustRightInd w:val="0"/>
                    <w:spacing w:line="300" w:lineRule="exact"/>
                    <w:jc w:val="center"/>
                    <w:textAlignment w:val="baseline"/>
                    <w:rPr>
                      <w:rFonts w:ascii="宋体" w:hAnsi="宋体"/>
                      <w:spacing w:val="-4"/>
                      <w:kern w:val="0"/>
                      <w:szCs w:val="21"/>
                    </w:rPr>
                  </w:pPr>
                  <w:r>
                    <w:rPr>
                      <w:rFonts w:hint="eastAsia" w:ascii="宋体" w:hAnsi="宋体"/>
                      <w:kern w:val="0"/>
                      <w:szCs w:val="21"/>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jc w:val="center"/>
              </w:trPr>
              <w:tc>
                <w:tcPr>
                  <w:tcW w:w="956" w:type="dxa"/>
                  <w:tcBorders>
                    <w:top w:val="single" w:color="auto" w:sz="6" w:space="0"/>
                    <w:left w:val="nil"/>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PM</w:t>
                  </w:r>
                  <w:r>
                    <w:rPr>
                      <w:rFonts w:hint="eastAsia" w:ascii="宋体" w:hAnsi="宋体"/>
                      <w:kern w:val="0"/>
                      <w:szCs w:val="21"/>
                      <w:vertAlign w:val="subscript"/>
                    </w:rPr>
                    <w:t>10</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年平均值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88</w:t>
                  </w:r>
                </w:p>
              </w:tc>
              <w:tc>
                <w:tcPr>
                  <w:tcW w:w="1277"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70</w:t>
                  </w:r>
                </w:p>
              </w:tc>
              <w:tc>
                <w:tcPr>
                  <w:tcW w:w="113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126.0</w:t>
                  </w:r>
                </w:p>
              </w:tc>
              <w:tc>
                <w:tcPr>
                  <w:tcW w:w="1165" w:type="dxa"/>
                  <w:tcBorders>
                    <w:top w:val="single" w:color="auto" w:sz="6" w:space="0"/>
                    <w:left w:val="single" w:color="auto" w:sz="6" w:space="0"/>
                    <w:bottom w:val="single" w:color="auto" w:sz="6" w:space="0"/>
                    <w:right w:val="nil"/>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jc w:val="center"/>
              </w:trPr>
              <w:tc>
                <w:tcPr>
                  <w:tcW w:w="956" w:type="dxa"/>
                  <w:tcBorders>
                    <w:top w:val="single" w:color="auto" w:sz="6" w:space="0"/>
                    <w:left w:val="nil"/>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PM</w:t>
                  </w:r>
                  <w:r>
                    <w:rPr>
                      <w:rFonts w:hint="eastAsia" w:ascii="宋体" w:hAnsi="宋体"/>
                      <w:kern w:val="0"/>
                      <w:szCs w:val="21"/>
                      <w:vertAlign w:val="subscript"/>
                    </w:rPr>
                    <w:t>2.5</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年平均值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53</w:t>
                  </w:r>
                </w:p>
              </w:tc>
              <w:tc>
                <w:tcPr>
                  <w:tcW w:w="1277"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35</w:t>
                  </w:r>
                </w:p>
              </w:tc>
              <w:tc>
                <w:tcPr>
                  <w:tcW w:w="113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151.4</w:t>
                  </w:r>
                </w:p>
              </w:tc>
              <w:tc>
                <w:tcPr>
                  <w:tcW w:w="1165" w:type="dxa"/>
                  <w:tcBorders>
                    <w:top w:val="single" w:color="auto" w:sz="6" w:space="0"/>
                    <w:left w:val="single" w:color="auto" w:sz="6" w:space="0"/>
                    <w:bottom w:val="single" w:color="auto" w:sz="6" w:space="0"/>
                    <w:right w:val="nil"/>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jc w:val="center"/>
              </w:trPr>
              <w:tc>
                <w:tcPr>
                  <w:tcW w:w="956" w:type="dxa"/>
                  <w:tcBorders>
                    <w:top w:val="single" w:color="auto" w:sz="6" w:space="0"/>
                    <w:left w:val="nil"/>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CO</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24小时平均第95百分位数</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2.5（mg/m</w:t>
                  </w:r>
                  <w:r>
                    <w:rPr>
                      <w:rFonts w:hint="eastAsia" w:ascii="宋体" w:hAnsi="宋体"/>
                      <w:kern w:val="0"/>
                      <w:szCs w:val="21"/>
                      <w:vertAlign w:val="superscript"/>
                    </w:rPr>
                    <w:t>3</w:t>
                  </w:r>
                  <w:r>
                    <w:rPr>
                      <w:rFonts w:hint="eastAsia" w:ascii="宋体" w:hAnsi="宋体"/>
                      <w:kern w:val="0"/>
                      <w:szCs w:val="21"/>
                    </w:rPr>
                    <w:t>）</w:t>
                  </w:r>
                </w:p>
              </w:tc>
              <w:tc>
                <w:tcPr>
                  <w:tcW w:w="1277"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4（mg/m</w:t>
                  </w:r>
                  <w:r>
                    <w:rPr>
                      <w:rFonts w:hint="eastAsia" w:ascii="宋体" w:hAnsi="宋体"/>
                      <w:kern w:val="0"/>
                      <w:szCs w:val="21"/>
                      <w:vertAlign w:val="superscript"/>
                    </w:rPr>
                    <w:t>3</w:t>
                  </w:r>
                  <w:r>
                    <w:rPr>
                      <w:rFonts w:hint="eastAsia" w:ascii="宋体" w:hAnsi="宋体"/>
                      <w:kern w:val="0"/>
                      <w:szCs w:val="21"/>
                    </w:rPr>
                    <w:t>）</w:t>
                  </w:r>
                </w:p>
              </w:tc>
              <w:tc>
                <w:tcPr>
                  <w:tcW w:w="1136" w:type="dxa"/>
                  <w:tcBorders>
                    <w:top w:val="single" w:color="auto" w:sz="6" w:space="0"/>
                    <w:left w:val="single" w:color="auto" w:sz="6" w:space="0"/>
                    <w:bottom w:val="single" w:color="auto" w:sz="6"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62.5</w:t>
                  </w:r>
                </w:p>
              </w:tc>
              <w:tc>
                <w:tcPr>
                  <w:tcW w:w="1165" w:type="dxa"/>
                  <w:tcBorders>
                    <w:top w:val="single" w:color="auto" w:sz="6" w:space="0"/>
                    <w:left w:val="single" w:color="auto" w:sz="6" w:space="0"/>
                    <w:bottom w:val="single" w:color="auto" w:sz="6" w:space="0"/>
                    <w:right w:val="nil"/>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663" w:hRule="atLeast"/>
                <w:jc w:val="center"/>
              </w:trPr>
              <w:tc>
                <w:tcPr>
                  <w:tcW w:w="956" w:type="dxa"/>
                  <w:tcBorders>
                    <w:top w:val="single" w:color="auto" w:sz="6" w:space="0"/>
                    <w:left w:val="nil"/>
                    <w:bottom w:val="single" w:color="auto" w:sz="12"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O</w:t>
                  </w:r>
                  <w:r>
                    <w:rPr>
                      <w:rFonts w:hint="eastAsia" w:ascii="宋体" w:hAnsi="宋体"/>
                      <w:kern w:val="0"/>
                      <w:szCs w:val="21"/>
                      <w:vertAlign w:val="subscript"/>
                    </w:rPr>
                    <w:t>3</w:t>
                  </w:r>
                </w:p>
              </w:tc>
              <w:tc>
                <w:tcPr>
                  <w:tcW w:w="2054" w:type="dxa"/>
                  <w:tcBorders>
                    <w:top w:val="single" w:color="auto" w:sz="6" w:space="0"/>
                    <w:left w:val="single" w:color="auto" w:sz="6" w:space="0"/>
                    <w:bottom w:val="single" w:color="auto" w:sz="12"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最大8小时平均第90百分位数</w:t>
                  </w:r>
                </w:p>
              </w:tc>
              <w:tc>
                <w:tcPr>
                  <w:tcW w:w="1276" w:type="dxa"/>
                  <w:tcBorders>
                    <w:top w:val="single" w:color="auto" w:sz="6" w:space="0"/>
                    <w:left w:val="single" w:color="auto" w:sz="6" w:space="0"/>
                    <w:bottom w:val="single" w:color="auto" w:sz="12"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131</w:t>
                  </w:r>
                </w:p>
              </w:tc>
              <w:tc>
                <w:tcPr>
                  <w:tcW w:w="1277" w:type="dxa"/>
                  <w:tcBorders>
                    <w:top w:val="single" w:color="auto" w:sz="6" w:space="0"/>
                    <w:left w:val="single" w:color="auto" w:sz="6" w:space="0"/>
                    <w:bottom w:val="single" w:color="auto" w:sz="12"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160</w:t>
                  </w:r>
                </w:p>
              </w:tc>
              <w:tc>
                <w:tcPr>
                  <w:tcW w:w="1136" w:type="dxa"/>
                  <w:tcBorders>
                    <w:top w:val="single" w:color="auto" w:sz="6" w:space="0"/>
                    <w:left w:val="single" w:color="auto" w:sz="6" w:space="0"/>
                    <w:bottom w:val="single" w:color="auto" w:sz="12" w:space="0"/>
                    <w:right w:val="single" w:color="auto" w:sz="6" w:space="0"/>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81.9</w:t>
                  </w:r>
                </w:p>
              </w:tc>
              <w:tc>
                <w:tcPr>
                  <w:tcW w:w="1165" w:type="dxa"/>
                  <w:tcBorders>
                    <w:top w:val="single" w:color="auto" w:sz="6" w:space="0"/>
                    <w:left w:val="single" w:color="auto" w:sz="6" w:space="0"/>
                    <w:bottom w:val="single" w:color="auto" w:sz="12" w:space="0"/>
                    <w:right w:val="nil"/>
                  </w:tcBorders>
                  <w:vAlign w:val="center"/>
                </w:tcPr>
                <w:p>
                  <w:pPr>
                    <w:widowControl/>
                    <w:overflowPunct w:val="0"/>
                    <w:autoSpaceDE w:val="0"/>
                    <w:autoSpaceDN w:val="0"/>
                    <w:adjustRightInd w:val="0"/>
                    <w:spacing w:line="300" w:lineRule="exact"/>
                    <w:jc w:val="center"/>
                    <w:textAlignment w:val="baseline"/>
                    <w:rPr>
                      <w:rFonts w:ascii="宋体" w:hAnsi="宋体"/>
                      <w:kern w:val="0"/>
                      <w:szCs w:val="21"/>
                    </w:rPr>
                  </w:pPr>
                  <w:r>
                    <w:rPr>
                      <w:rFonts w:hint="eastAsia" w:ascii="宋体" w:hAnsi="宋体"/>
                      <w:kern w:val="0"/>
                      <w:szCs w:val="21"/>
                    </w:rPr>
                    <w:t>达标</w:t>
                  </w:r>
                </w:p>
              </w:tc>
            </w:tr>
          </w:tbl>
          <w:p>
            <w:pPr>
              <w:pStyle w:val="54"/>
              <w:adjustRightInd w:val="0"/>
              <w:snapToGrid w:val="0"/>
              <w:ind w:firstLine="480"/>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75"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bCs/>
                <w:kern w:val="0"/>
                <w:sz w:val="24"/>
              </w:rPr>
              <w:t>与项目有关的原有环境污染和生态破坏问题</w:t>
            </w:r>
          </w:p>
        </w:tc>
        <w:tc>
          <w:tcPr>
            <w:tcW w:w="8080" w:type="dxa"/>
            <w:gridSpan w:val="4"/>
            <w:shd w:val="clear" w:color="auto" w:fill="auto"/>
            <w:vAlign w:val="center"/>
          </w:tcPr>
          <w:p>
            <w:pPr>
              <w:spacing w:line="500" w:lineRule="exact"/>
              <w:ind w:firstLine="480" w:firstLineChars="200"/>
              <w:rPr>
                <w:rFonts w:ascii="宋体" w:hAnsi="等线" w:cs="宋体"/>
                <w:bCs/>
                <w:sz w:val="24"/>
              </w:rPr>
            </w:pPr>
            <w:r>
              <w:rPr>
                <w:rFonts w:hint="eastAsia" w:ascii="宋体" w:hAnsi="等线" w:cs="宋体"/>
                <w:bCs/>
                <w:sz w:val="24"/>
              </w:rPr>
              <w:t>本项目为新建项目，无与本项目有关的原有环境污染和生态破坏问题。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98"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kern w:val="0"/>
                <w:sz w:val="24"/>
              </w:rPr>
              <w:t>生态环境保护目标</w:t>
            </w:r>
          </w:p>
        </w:tc>
        <w:tc>
          <w:tcPr>
            <w:tcW w:w="8080" w:type="dxa"/>
            <w:gridSpan w:val="4"/>
            <w:vAlign w:val="center"/>
          </w:tcPr>
          <w:p>
            <w:pPr>
              <w:pStyle w:val="54"/>
              <w:adjustRightInd w:val="0"/>
              <w:snapToGrid w:val="0"/>
              <w:ind w:firstLine="482"/>
              <w:rPr>
                <w:b/>
                <w:bCs/>
              </w:rPr>
            </w:pPr>
            <w:r>
              <w:rPr>
                <w:rFonts w:hint="eastAsia"/>
                <w:b/>
                <w:bCs/>
              </w:rPr>
              <w:t>1、评价范围</w:t>
            </w:r>
          </w:p>
          <w:p>
            <w:pPr>
              <w:pStyle w:val="54"/>
              <w:adjustRightInd w:val="0"/>
              <w:snapToGrid w:val="0"/>
              <w:ind w:firstLine="480"/>
            </w:pPr>
            <w:r>
              <w:rPr>
                <w:rFonts w:hint="eastAsia"/>
              </w:rPr>
              <w:t>（1）生态环境</w:t>
            </w:r>
          </w:p>
          <w:p>
            <w:pPr>
              <w:pStyle w:val="54"/>
              <w:adjustRightInd w:val="0"/>
              <w:snapToGrid w:val="0"/>
              <w:ind w:firstLine="480"/>
            </w:pPr>
            <w:r>
              <w:rPr>
                <w:rFonts w:hint="eastAsia"/>
              </w:rPr>
              <w:t>本项目位于新疆维吾尔自治区水土流失重点治理区，周围无其他自然保护区、世界文化和自然遗产地等特殊生态敏感区，也无风景名胜区、森林公园、地质公园等重要生态敏感区，项目占地面积</w:t>
            </w:r>
            <w:r>
              <w:t>15550</w:t>
            </w:r>
            <w:r>
              <w:rPr>
                <w:rFonts w:hint="eastAsia"/>
              </w:rPr>
              <w:t>m</w:t>
            </w:r>
            <w:r>
              <w:rPr>
                <w:rFonts w:hint="eastAsia"/>
                <w:vertAlign w:val="superscript"/>
              </w:rPr>
              <w:t>2</w:t>
            </w:r>
            <w:r>
              <w:rPr>
                <w:rFonts w:hint="eastAsia"/>
              </w:rPr>
              <w:t>，小于2km</w:t>
            </w:r>
            <w:r>
              <w:rPr>
                <w:rFonts w:hint="eastAsia"/>
                <w:vertAlign w:val="superscript"/>
              </w:rPr>
              <w:t>2</w:t>
            </w:r>
            <w:r>
              <w:rPr>
                <w:rFonts w:hint="eastAsia"/>
              </w:rPr>
              <w:t>，根据《环境影响评价技术导则 生态影响》（HJ19—2011），确定生态环境评价等级为三级，项目对生态的影响主要是占地造成的植被损失、土壤结构改变，因此评价范围确定为项目占地范围。</w:t>
            </w:r>
          </w:p>
          <w:p>
            <w:pPr>
              <w:pStyle w:val="54"/>
              <w:adjustRightInd w:val="0"/>
              <w:snapToGrid w:val="0"/>
              <w:ind w:firstLine="480"/>
            </w:pPr>
            <w:r>
              <w:rPr>
                <w:rFonts w:hint="eastAsia"/>
              </w:rPr>
              <w:t>（2）大气环境</w:t>
            </w:r>
          </w:p>
          <w:p>
            <w:pPr>
              <w:pStyle w:val="54"/>
              <w:adjustRightInd w:val="0"/>
              <w:snapToGrid w:val="0"/>
              <w:ind w:firstLine="480"/>
            </w:pPr>
            <w:r>
              <w:rPr>
                <w:rFonts w:hint="eastAsia"/>
              </w:rPr>
              <w:t>项目施工期短暂且无运营期，钻井、试油活动结束后大气环境影响即消失，故本次大气环境影响评价等级确定为三级，不设置大气环境评价范围。</w:t>
            </w:r>
          </w:p>
          <w:p>
            <w:pPr>
              <w:pStyle w:val="54"/>
              <w:adjustRightInd w:val="0"/>
              <w:snapToGrid w:val="0"/>
              <w:ind w:firstLine="480"/>
            </w:pPr>
            <w:r>
              <w:rPr>
                <w:rFonts w:hint="eastAsia"/>
              </w:rPr>
              <w:t>（2）水环境</w:t>
            </w:r>
          </w:p>
          <w:p>
            <w:pPr>
              <w:pStyle w:val="54"/>
              <w:adjustRightInd w:val="0"/>
              <w:snapToGrid w:val="0"/>
              <w:ind w:firstLine="464"/>
            </w:pPr>
            <w:r>
              <w:rPr>
                <w:rFonts w:hint="eastAsia"/>
                <w:spacing w:val="-4"/>
              </w:rPr>
              <w:t>根据《环境影响评价技术导则 地表水环境》（H</w:t>
            </w:r>
            <w:r>
              <w:rPr>
                <w:spacing w:val="-4"/>
              </w:rPr>
              <w:t>J 2.3</w:t>
            </w:r>
            <w:r>
              <w:rPr>
                <w:rFonts w:hint="eastAsia"/>
                <w:spacing w:val="-4"/>
              </w:rPr>
              <w:t>—</w:t>
            </w:r>
            <w:r>
              <w:rPr>
                <w:spacing w:val="-4"/>
              </w:rPr>
              <w:t>2018</w:t>
            </w:r>
            <w:r>
              <w:rPr>
                <w:rFonts w:hint="eastAsia"/>
                <w:spacing w:val="-4"/>
              </w:rPr>
              <w:t>）内容，项目施工期间地表水不直接排放，评价等级确定为三级B</w:t>
            </w:r>
            <w:r>
              <w:rPr>
                <w:rFonts w:hint="eastAsia"/>
              </w:rPr>
              <w:t>；根据《环境影响评价技术导则 地下水环境》（H</w:t>
            </w:r>
            <w:r>
              <w:t>J 610</w:t>
            </w:r>
            <w:r>
              <w:rPr>
                <w:rFonts w:hint="eastAsia"/>
              </w:rPr>
              <w:t>—</w:t>
            </w:r>
            <w:r>
              <w:t>2016</w:t>
            </w:r>
            <w:r>
              <w:rPr>
                <w:rFonts w:hint="eastAsia"/>
              </w:rPr>
              <w:t>）附录A判定，本项目为</w:t>
            </w:r>
            <w:r>
              <w:fldChar w:fldCharType="begin"/>
            </w:r>
            <w:r>
              <w:instrText xml:space="preserve"> </w:instrText>
            </w:r>
            <w:r>
              <w:rPr>
                <w:rFonts w:hint="eastAsia"/>
              </w:rPr>
              <w:instrText xml:space="preserve">= 4 \* ROMAN</w:instrText>
            </w:r>
            <w:r>
              <w:instrText xml:space="preserve"> </w:instrText>
            </w:r>
            <w:r>
              <w:fldChar w:fldCharType="separate"/>
            </w:r>
            <w:r>
              <w:t>IV</w:t>
            </w:r>
            <w:r>
              <w:fldChar w:fldCharType="end"/>
            </w:r>
            <w:r>
              <w:rPr>
                <w:rFonts w:hint="eastAsia"/>
              </w:rPr>
              <w:t>类建设项目，不开展地下水环境影响评价。故本项目不设置地表水环境及地下水环境评价范围。</w:t>
            </w:r>
          </w:p>
          <w:p>
            <w:pPr>
              <w:pStyle w:val="54"/>
              <w:ind w:firstLine="480"/>
            </w:pPr>
            <w:r>
              <w:rPr>
                <w:rFonts w:hint="eastAsia"/>
              </w:rPr>
              <w:t>（3）声环境</w:t>
            </w:r>
          </w:p>
          <w:p>
            <w:pPr>
              <w:pStyle w:val="54"/>
              <w:ind w:firstLine="480"/>
            </w:pPr>
            <w:r>
              <w:rPr>
                <w:rFonts w:hint="eastAsia"/>
              </w:rPr>
              <w:t>根据《环境影响评价技术导则 声环境》（HJ2.4-2009）的相关要求，项目区位于声环境2类功能区，评价等级确定为二级。本项目周边200m范围内无声环境保护目标。</w:t>
            </w:r>
          </w:p>
          <w:p>
            <w:pPr>
              <w:pStyle w:val="54"/>
              <w:adjustRightInd w:val="0"/>
              <w:snapToGrid w:val="0"/>
              <w:ind w:firstLine="480"/>
            </w:pPr>
            <w:r>
              <w:rPr>
                <w:rFonts w:hint="eastAsia"/>
              </w:rPr>
              <w:t>（4）土壤环境</w:t>
            </w:r>
          </w:p>
          <w:p>
            <w:pPr>
              <w:pStyle w:val="54"/>
              <w:adjustRightInd w:val="0"/>
              <w:snapToGrid w:val="0"/>
              <w:ind w:firstLine="464"/>
              <w:rPr>
                <w:spacing w:val="-4"/>
              </w:rPr>
            </w:pPr>
            <w:r>
              <w:rPr>
                <w:rFonts w:hint="eastAsia"/>
                <w:spacing w:val="-4"/>
              </w:rPr>
              <w:t>根据《环境影响评价技术导则 土壤环境（试行）》（H</w:t>
            </w:r>
            <w:r>
              <w:rPr>
                <w:spacing w:val="-4"/>
              </w:rPr>
              <w:t>J 964</w:t>
            </w:r>
            <w:r>
              <w:rPr>
                <w:rFonts w:hint="eastAsia"/>
                <w:spacing w:val="-4"/>
              </w:rPr>
              <w:t>—</w:t>
            </w:r>
            <w:r>
              <w:rPr>
                <w:spacing w:val="-4"/>
              </w:rPr>
              <w:t>2018</w:t>
            </w:r>
            <w:r>
              <w:rPr>
                <w:rFonts w:hint="eastAsia"/>
                <w:spacing w:val="-4"/>
              </w:rPr>
              <w:t>）附录A判定，本项目为</w:t>
            </w:r>
            <w:r>
              <w:rPr>
                <w:spacing w:val="-4"/>
              </w:rPr>
              <w:fldChar w:fldCharType="begin"/>
            </w:r>
            <w:r>
              <w:rPr>
                <w:spacing w:val="-4"/>
              </w:rPr>
              <w:instrText xml:space="preserve"> </w:instrText>
            </w:r>
            <w:r>
              <w:rPr>
                <w:rFonts w:hint="eastAsia"/>
                <w:spacing w:val="-4"/>
              </w:rPr>
              <w:instrText xml:space="preserve">= 4 \* ROMAN</w:instrText>
            </w:r>
            <w:r>
              <w:rPr>
                <w:spacing w:val="-4"/>
              </w:rPr>
              <w:instrText xml:space="preserve"> </w:instrText>
            </w:r>
            <w:r>
              <w:rPr>
                <w:spacing w:val="-4"/>
              </w:rPr>
              <w:fldChar w:fldCharType="separate"/>
            </w:r>
            <w:r>
              <w:rPr>
                <w:spacing w:val="-4"/>
              </w:rPr>
              <w:t>IV</w:t>
            </w:r>
            <w:r>
              <w:rPr>
                <w:spacing w:val="-4"/>
              </w:rPr>
              <w:fldChar w:fldCharType="end"/>
            </w:r>
            <w:r>
              <w:rPr>
                <w:rFonts w:hint="eastAsia"/>
                <w:spacing w:val="-4"/>
              </w:rPr>
              <w:t>类建设项目，故无需开展土壤环境现状评价，不设土壤环境评价范围。</w:t>
            </w:r>
          </w:p>
          <w:p>
            <w:pPr>
              <w:pStyle w:val="54"/>
              <w:adjustRightInd w:val="0"/>
              <w:snapToGrid w:val="0"/>
              <w:ind w:firstLine="480"/>
            </w:pPr>
            <w:r>
              <w:rPr>
                <w:rFonts w:hint="eastAsia"/>
              </w:rPr>
              <w:t>（5）环境风险</w:t>
            </w:r>
          </w:p>
          <w:p>
            <w:pPr>
              <w:pStyle w:val="54"/>
              <w:ind w:firstLine="480"/>
            </w:pPr>
            <w:r>
              <w:rPr>
                <w:rFonts w:hint="eastAsia"/>
              </w:rPr>
              <w:t>根据《建设项目环境风险评价技术导则》（HJ 169—2018），本项目钻井期涉及的危险物质为柴油及白油，试油期涉及的危险物质为柴油、原油和伴生气，按照导则附录B，柴油、原油属于“油类物质”，临界量为2500t，伴生气主要成分为甲烷，临界量10t。</w:t>
            </w:r>
          </w:p>
          <w:p>
            <w:pPr>
              <w:pStyle w:val="54"/>
              <w:adjustRightInd w:val="0"/>
              <w:snapToGrid w:val="0"/>
              <w:ind w:firstLine="480"/>
            </w:pPr>
            <w:r>
              <w:rPr>
                <w:lang w:bidi="zh-CN"/>
              </w:rPr>
              <w:t>根据历史油藏评价结果预期，试油期伴生气的产生量低，风险物质在线量远低于其对应的临界量；柴油在井场的日常储量为20t；试油期井场设置方罐4个，每个方罐容积为20m</w:t>
            </w:r>
            <w:r>
              <w:rPr>
                <w:vertAlign w:val="superscript"/>
                <w:lang w:bidi="zh-CN"/>
              </w:rPr>
              <w:t>3</w:t>
            </w:r>
            <w:r>
              <w:rPr>
                <w:lang w:bidi="zh-CN"/>
              </w:rPr>
              <w:t>，本项目原油平均密度为0.87g/cm</w:t>
            </w:r>
            <w:r>
              <w:rPr>
                <w:vertAlign w:val="superscript"/>
                <w:lang w:bidi="zh-CN"/>
              </w:rPr>
              <w:t>3</w:t>
            </w:r>
            <w:r>
              <w:rPr>
                <w:lang w:bidi="zh-CN"/>
              </w:rPr>
              <w:t>，则采出液中原油最大量约69.6t，根据</w:t>
            </w:r>
            <w:r>
              <w:rPr>
                <w:rFonts w:hint="eastAsia"/>
                <w:lang w:bidi="zh-CN"/>
              </w:rPr>
              <w:t>《建设项目环境风险评价技术导则》（HJ 169—2018）</w:t>
            </w:r>
            <w:r>
              <w:rPr>
                <w:lang w:bidi="zh-CN"/>
              </w:rPr>
              <w:t>附录C计算，本项目</w:t>
            </w:r>
            <w:r>
              <w:rPr>
                <w:rFonts w:hint="eastAsia"/>
                <w:lang w:bidi="zh-CN"/>
              </w:rPr>
              <w:t>钻井期及试油</w:t>
            </w:r>
            <w:r>
              <w:rPr>
                <w:lang w:bidi="zh-CN"/>
              </w:rPr>
              <w:t>期Q＜1，故本项目风险潜势为Ⅰ，仅需要进行简单分析。</w:t>
            </w:r>
            <w:r>
              <w:rPr>
                <w:rFonts w:hint="eastAsia"/>
              </w:rPr>
              <w:t>不设环境风险评价范围。</w:t>
            </w:r>
          </w:p>
          <w:p>
            <w:pPr>
              <w:pStyle w:val="54"/>
              <w:ind w:firstLine="482"/>
              <w:rPr>
                <w:b/>
                <w:bCs/>
              </w:rPr>
            </w:pPr>
            <w:r>
              <w:rPr>
                <w:rFonts w:hint="eastAsia"/>
                <w:b/>
                <w:bCs/>
              </w:rPr>
              <w:t>2、评价等级</w:t>
            </w:r>
          </w:p>
          <w:p>
            <w:pPr>
              <w:pStyle w:val="54"/>
              <w:ind w:firstLine="480"/>
            </w:pPr>
            <w:r>
              <w:rPr>
                <w:rFonts w:hint="eastAsia"/>
              </w:rPr>
              <w:t>本项目各环境要素评价等级详见表</w:t>
            </w:r>
            <w:r>
              <w:t>8</w:t>
            </w:r>
            <w:r>
              <w:rPr>
                <w:rFonts w:hint="eastAsia"/>
              </w:rPr>
              <w:t>。</w:t>
            </w:r>
          </w:p>
          <w:p>
            <w:pPr>
              <w:pStyle w:val="54"/>
              <w:adjustRightInd w:val="0"/>
              <w:snapToGrid w:val="0"/>
              <w:ind w:firstLine="420"/>
              <w:jc w:val="center"/>
              <w:rPr>
                <w:rFonts w:ascii="黑体" w:hAnsi="黑体" w:eastAsia="黑体"/>
                <w:color w:val="000000" w:themeColor="text1"/>
                <w:sz w:val="21"/>
                <w:szCs w:val="21"/>
                <w:lang w:bidi="zh-CN"/>
                <w14:textFill>
                  <w14:solidFill>
                    <w14:schemeClr w14:val="tx1"/>
                  </w14:solidFill>
                </w14:textFill>
              </w:rPr>
            </w:pPr>
            <w:r>
              <w:rPr>
                <w:rFonts w:hint="eastAsia" w:ascii="黑体" w:hAnsi="黑体" w:eastAsia="黑体"/>
                <w:color w:val="000000" w:themeColor="text1"/>
                <w:sz w:val="21"/>
                <w:szCs w:val="21"/>
                <w:lang w:bidi="zh-CN"/>
                <w14:textFill>
                  <w14:solidFill>
                    <w14:schemeClr w14:val="tx1"/>
                  </w14:solidFill>
                </w14:textFill>
              </w:rPr>
              <w:t>表</w:t>
            </w:r>
            <w:r>
              <w:rPr>
                <w:rFonts w:ascii="黑体" w:hAnsi="黑体" w:eastAsia="黑体"/>
                <w:color w:val="000000" w:themeColor="text1"/>
                <w:sz w:val="21"/>
                <w:szCs w:val="21"/>
                <w:lang w:bidi="zh-CN"/>
                <w14:textFill>
                  <w14:solidFill>
                    <w14:schemeClr w14:val="tx1"/>
                  </w14:solidFill>
                </w14:textFill>
              </w:rPr>
              <w:t xml:space="preserve">8  </w:t>
            </w:r>
            <w:r>
              <w:rPr>
                <w:rFonts w:hint="eastAsia" w:ascii="黑体" w:hAnsi="黑体" w:eastAsia="黑体"/>
                <w:color w:val="000000" w:themeColor="text1"/>
                <w:sz w:val="21"/>
                <w:szCs w:val="21"/>
                <w:lang w:bidi="zh-CN"/>
                <w14:textFill>
                  <w14:solidFill>
                    <w14:schemeClr w14:val="tx1"/>
                  </w14:solidFill>
                </w14:textFill>
              </w:rPr>
              <w:t>评级等级一览表</w:t>
            </w:r>
          </w:p>
          <w:tbl>
            <w:tblPr>
              <w:tblStyle w:val="18"/>
              <w:tblW w:w="78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977"/>
              <w:gridCol w:w="1134"/>
              <w:gridCol w:w="22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环境要素</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判定依据</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评价等级</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评价范围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生    态</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项目占地面积</w:t>
                  </w:r>
                  <w:r>
                    <w:rPr>
                      <w:rFonts w:ascii="宋体" w:hAnsi="宋体"/>
                    </w:rPr>
                    <w:t>15550</w:t>
                  </w:r>
                  <w:r>
                    <w:rPr>
                      <w:rFonts w:hint="eastAsia" w:ascii="宋体" w:hAnsi="宋体"/>
                    </w:rPr>
                    <w:t>m</w:t>
                  </w:r>
                  <w:r>
                    <w:rPr>
                      <w:rFonts w:hint="eastAsia" w:ascii="宋体" w:hAnsi="宋体"/>
                      <w:vertAlign w:val="superscript"/>
                    </w:rPr>
                    <w:t>2</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三级</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项目占地范围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大    气</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施工期短暂且无运营期，钻井、试油活动结束后大气环境影响即消失</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三级</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不设置评价范围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地 表 水</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废水间接排放</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三级B</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不设置评价范围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地 下 水</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Ⅳ类项目</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不设置评价范围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声 环 境</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项目区位于声环境2类功能区</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二级</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井场外延200m的范围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土壤环境</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Ⅳ类项目</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不设置评价范围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8"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环境风险</w:t>
                  </w:r>
                </w:p>
              </w:tc>
              <w:tc>
                <w:tcPr>
                  <w:tcW w:w="2977"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项目钻井、试油期Q＜1，风险潜势为Ⅰ</w:t>
                  </w:r>
                </w:p>
              </w:tc>
              <w:tc>
                <w:tcPr>
                  <w:tcW w:w="1134"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简单分析</w:t>
                  </w:r>
                </w:p>
              </w:tc>
              <w:tc>
                <w:tcPr>
                  <w:tcW w:w="2295" w:type="dxa"/>
                  <w:vAlign w:val="center"/>
                </w:tcPr>
                <w:p>
                  <w:pPr>
                    <w:adjustRightInd w:val="0"/>
                    <w:snapToGrid w:val="0"/>
                    <w:spacing w:line="300" w:lineRule="exact"/>
                    <w:jc w:val="center"/>
                    <w:rPr>
                      <w:rFonts w:ascii="宋体" w:hAnsi="宋体" w:cs="宋体"/>
                      <w:color w:val="FF0000"/>
                      <w:szCs w:val="21"/>
                    </w:rPr>
                  </w:pPr>
                  <w:r>
                    <w:rPr>
                      <w:rFonts w:hint="eastAsia" w:ascii="宋体" w:hAnsi="宋体"/>
                    </w:rPr>
                    <w:t>不设置评价范围</w:t>
                  </w:r>
                </w:p>
              </w:tc>
            </w:tr>
          </w:tbl>
          <w:p>
            <w:pPr>
              <w:pStyle w:val="54"/>
              <w:ind w:firstLine="482"/>
              <w:rPr>
                <w:b/>
                <w:bCs/>
              </w:rPr>
            </w:pPr>
            <w:r>
              <w:rPr>
                <w:rFonts w:hint="eastAsia"/>
                <w:b/>
                <w:bCs/>
              </w:rPr>
              <w:t>3、保护目标</w:t>
            </w:r>
          </w:p>
          <w:p>
            <w:pPr>
              <w:pStyle w:val="54"/>
              <w:ind w:firstLine="480"/>
            </w:pPr>
            <w:r>
              <w:rPr>
                <w:rFonts w:hint="eastAsia"/>
              </w:rPr>
              <w:t>根据上述评价范围进行筛选识别，保护目标及保护级别详见表</w:t>
            </w:r>
            <w:r>
              <w:t>9</w:t>
            </w:r>
            <w:r>
              <w:rPr>
                <w:rFonts w:hint="eastAsia"/>
              </w:rPr>
              <w:t>。</w:t>
            </w:r>
          </w:p>
          <w:p>
            <w:pPr>
              <w:pStyle w:val="54"/>
              <w:adjustRightInd w:val="0"/>
              <w:snapToGrid w:val="0"/>
              <w:ind w:firstLine="420"/>
              <w:jc w:val="center"/>
              <w:rPr>
                <w:rFonts w:ascii="黑体" w:hAnsi="黑体" w:eastAsia="黑体"/>
                <w:color w:val="000000" w:themeColor="text1"/>
                <w:sz w:val="21"/>
                <w:szCs w:val="21"/>
                <w:lang w:bidi="zh-CN"/>
                <w14:textFill>
                  <w14:solidFill>
                    <w14:schemeClr w14:val="tx1"/>
                  </w14:solidFill>
                </w14:textFill>
              </w:rPr>
            </w:pPr>
            <w:r>
              <w:rPr>
                <w:rFonts w:hint="eastAsia" w:ascii="黑体" w:hAnsi="黑体" w:eastAsia="黑体"/>
                <w:color w:val="000000" w:themeColor="text1"/>
                <w:sz w:val="21"/>
                <w:szCs w:val="21"/>
                <w:lang w:bidi="zh-CN"/>
                <w14:textFill>
                  <w14:solidFill>
                    <w14:schemeClr w14:val="tx1"/>
                  </w14:solidFill>
                </w14:textFill>
              </w:rPr>
              <w:t>表</w:t>
            </w:r>
            <w:r>
              <w:rPr>
                <w:rFonts w:ascii="黑体" w:hAnsi="黑体" w:eastAsia="黑体"/>
                <w:color w:val="000000" w:themeColor="text1"/>
                <w:sz w:val="21"/>
                <w:szCs w:val="21"/>
                <w:lang w:bidi="zh-CN"/>
                <w14:textFill>
                  <w14:solidFill>
                    <w14:schemeClr w14:val="tx1"/>
                  </w14:solidFill>
                </w14:textFill>
              </w:rPr>
              <w:t xml:space="preserve">9  </w:t>
            </w:r>
            <w:r>
              <w:rPr>
                <w:rFonts w:hint="eastAsia" w:ascii="黑体" w:hAnsi="黑体" w:eastAsia="黑体"/>
                <w:color w:val="000000" w:themeColor="text1"/>
                <w:sz w:val="21"/>
                <w:szCs w:val="21"/>
                <w:lang w:bidi="zh-CN"/>
                <w14:textFill>
                  <w14:solidFill>
                    <w14:schemeClr w14:val="tx1"/>
                  </w14:solidFill>
                </w14:textFill>
              </w:rPr>
              <w:t>保护目标一览表</w:t>
            </w:r>
          </w:p>
          <w:tbl>
            <w:tblPr>
              <w:tblStyle w:val="18"/>
              <w:tblW w:w="78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310"/>
              <w:gridCol w:w="1311"/>
              <w:gridCol w:w="1311"/>
              <w:gridCol w:w="1311"/>
              <w:gridCol w:w="1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0" w:type="dxa"/>
                  <w:vAlign w:val="center"/>
                </w:tcPr>
                <w:p>
                  <w:pPr>
                    <w:adjustRightInd w:val="0"/>
                    <w:snapToGrid w:val="0"/>
                    <w:spacing w:line="300" w:lineRule="exact"/>
                    <w:jc w:val="center"/>
                    <w:rPr>
                      <w:rFonts w:ascii="宋体" w:hAnsi="宋体"/>
                      <w:szCs w:val="21"/>
                    </w:rPr>
                  </w:pPr>
                  <w:r>
                    <w:rPr>
                      <w:rFonts w:hint="eastAsia" w:ascii="宋体" w:hAnsi="宋体"/>
                      <w:szCs w:val="21"/>
                    </w:rPr>
                    <w:t>保护要素</w:t>
                  </w:r>
                </w:p>
              </w:tc>
              <w:tc>
                <w:tcPr>
                  <w:tcW w:w="1310" w:type="dxa"/>
                  <w:vAlign w:val="center"/>
                </w:tcPr>
                <w:p>
                  <w:pPr>
                    <w:adjustRightInd w:val="0"/>
                    <w:snapToGrid w:val="0"/>
                    <w:spacing w:line="300" w:lineRule="exact"/>
                    <w:jc w:val="center"/>
                    <w:rPr>
                      <w:rFonts w:ascii="宋体" w:hAnsi="宋体"/>
                      <w:szCs w:val="21"/>
                    </w:rPr>
                  </w:pPr>
                  <w:r>
                    <w:rPr>
                      <w:rFonts w:hint="eastAsia" w:ascii="宋体" w:hAnsi="宋体"/>
                      <w:szCs w:val="21"/>
                    </w:rPr>
                    <w:t>保护对象</w:t>
                  </w:r>
                </w:p>
              </w:tc>
              <w:tc>
                <w:tcPr>
                  <w:tcW w:w="1311" w:type="dxa"/>
                  <w:vAlign w:val="center"/>
                </w:tcPr>
                <w:p>
                  <w:pPr>
                    <w:adjustRightInd w:val="0"/>
                    <w:snapToGrid w:val="0"/>
                    <w:spacing w:line="300" w:lineRule="exact"/>
                    <w:jc w:val="center"/>
                    <w:rPr>
                      <w:rFonts w:ascii="宋体" w:hAnsi="宋体"/>
                      <w:szCs w:val="21"/>
                    </w:rPr>
                  </w:pPr>
                  <w:r>
                    <w:rPr>
                      <w:rFonts w:hint="eastAsia" w:ascii="宋体" w:hAnsi="宋体"/>
                      <w:szCs w:val="21"/>
                    </w:rPr>
                    <w:t>数量规模</w:t>
                  </w:r>
                </w:p>
              </w:tc>
              <w:tc>
                <w:tcPr>
                  <w:tcW w:w="1311" w:type="dxa"/>
                  <w:vAlign w:val="center"/>
                </w:tcPr>
                <w:p>
                  <w:pPr>
                    <w:adjustRightInd w:val="0"/>
                    <w:snapToGrid w:val="0"/>
                    <w:spacing w:line="300" w:lineRule="exact"/>
                    <w:jc w:val="center"/>
                    <w:rPr>
                      <w:rFonts w:ascii="宋体" w:hAnsi="宋体"/>
                      <w:szCs w:val="21"/>
                    </w:rPr>
                  </w:pPr>
                  <w:r>
                    <w:rPr>
                      <w:rFonts w:hint="eastAsia" w:ascii="宋体" w:hAnsi="宋体"/>
                      <w:szCs w:val="21"/>
                    </w:rPr>
                    <w:t>距离</w:t>
                  </w:r>
                </w:p>
              </w:tc>
              <w:tc>
                <w:tcPr>
                  <w:tcW w:w="1311" w:type="dxa"/>
                  <w:vAlign w:val="center"/>
                </w:tcPr>
                <w:p>
                  <w:pPr>
                    <w:adjustRightInd w:val="0"/>
                    <w:snapToGrid w:val="0"/>
                    <w:spacing w:line="300" w:lineRule="exact"/>
                    <w:jc w:val="center"/>
                    <w:rPr>
                      <w:rFonts w:ascii="宋体" w:hAnsi="宋体"/>
                      <w:szCs w:val="21"/>
                    </w:rPr>
                  </w:pPr>
                  <w:r>
                    <w:rPr>
                      <w:rFonts w:hint="eastAsia" w:ascii="宋体" w:hAnsi="宋体"/>
                      <w:szCs w:val="21"/>
                    </w:rPr>
                    <w:t>方位</w:t>
                  </w:r>
                </w:p>
              </w:tc>
              <w:tc>
                <w:tcPr>
                  <w:tcW w:w="1311" w:type="dxa"/>
                  <w:vAlign w:val="center"/>
                </w:tcPr>
                <w:p>
                  <w:pPr>
                    <w:adjustRightInd w:val="0"/>
                    <w:snapToGrid w:val="0"/>
                    <w:spacing w:line="300" w:lineRule="exact"/>
                    <w:jc w:val="center"/>
                    <w:rPr>
                      <w:rFonts w:ascii="宋体" w:hAnsi="宋体"/>
                      <w:szCs w:val="21"/>
                    </w:rPr>
                  </w:pPr>
                  <w:r>
                    <w:rPr>
                      <w:rFonts w:hint="eastAsia" w:ascii="宋体" w:hAnsi="宋体"/>
                      <w:szCs w:val="21"/>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0" w:type="dxa"/>
                  <w:vMerge w:val="restart"/>
                  <w:vAlign w:val="center"/>
                </w:tcPr>
                <w:p>
                  <w:pPr>
                    <w:pStyle w:val="54"/>
                    <w:spacing w:line="300" w:lineRule="exact"/>
                    <w:ind w:firstLine="0" w:firstLineChars="0"/>
                    <w:jc w:val="center"/>
                    <w:rPr>
                      <w:sz w:val="21"/>
                      <w:szCs w:val="21"/>
                    </w:rPr>
                  </w:pPr>
                  <w:r>
                    <w:rPr>
                      <w:rFonts w:hint="eastAsia"/>
                      <w:sz w:val="21"/>
                      <w:szCs w:val="21"/>
                    </w:rPr>
                    <w:t>生态环境</w:t>
                  </w:r>
                </w:p>
              </w:tc>
              <w:tc>
                <w:tcPr>
                  <w:tcW w:w="1310" w:type="dxa"/>
                  <w:vAlign w:val="center"/>
                </w:tcPr>
                <w:p>
                  <w:pPr>
                    <w:pStyle w:val="54"/>
                    <w:spacing w:line="300" w:lineRule="exact"/>
                    <w:ind w:firstLine="0" w:firstLineChars="0"/>
                    <w:jc w:val="center"/>
                    <w:rPr>
                      <w:sz w:val="21"/>
                      <w:szCs w:val="21"/>
                    </w:rPr>
                  </w:pPr>
                  <w:r>
                    <w:rPr>
                      <w:rFonts w:hint="eastAsia"/>
                      <w:sz w:val="21"/>
                      <w:szCs w:val="21"/>
                    </w:rPr>
                    <w:t>野生植被</w:t>
                  </w:r>
                </w:p>
              </w:tc>
              <w:tc>
                <w:tcPr>
                  <w:tcW w:w="1311" w:type="dxa"/>
                  <w:vAlign w:val="center"/>
                </w:tcPr>
                <w:p>
                  <w:pPr>
                    <w:pStyle w:val="54"/>
                    <w:spacing w:line="300" w:lineRule="exact"/>
                    <w:ind w:firstLine="0" w:firstLineChars="0"/>
                    <w:jc w:val="center"/>
                    <w:rPr>
                      <w:sz w:val="21"/>
                      <w:szCs w:val="21"/>
                    </w:rPr>
                  </w:pPr>
                  <w:r>
                    <w:rPr>
                      <w:rFonts w:hint="eastAsia"/>
                      <w:sz w:val="21"/>
                      <w:szCs w:val="21"/>
                    </w:rPr>
                    <w:t>盖度</w:t>
                  </w:r>
                  <w:r>
                    <w:rPr>
                      <w:sz w:val="21"/>
                      <w:szCs w:val="21"/>
                    </w:rPr>
                    <w:t>10</w:t>
                  </w:r>
                  <w:r>
                    <w:rPr>
                      <w:rFonts w:hint="eastAsia"/>
                      <w:sz w:val="21"/>
                      <w:szCs w:val="21"/>
                    </w:rPr>
                    <w:t>%</w:t>
                  </w:r>
                </w:p>
              </w:tc>
              <w:tc>
                <w:tcPr>
                  <w:tcW w:w="2622" w:type="dxa"/>
                  <w:gridSpan w:val="2"/>
                  <w:vAlign w:val="center"/>
                </w:tcPr>
                <w:p>
                  <w:pPr>
                    <w:pStyle w:val="54"/>
                    <w:spacing w:line="300" w:lineRule="exact"/>
                    <w:ind w:firstLine="0" w:firstLineChars="0"/>
                    <w:jc w:val="center"/>
                    <w:rPr>
                      <w:sz w:val="21"/>
                      <w:szCs w:val="21"/>
                    </w:rPr>
                  </w:pPr>
                  <w:r>
                    <w:rPr>
                      <w:rFonts w:hint="eastAsia"/>
                      <w:sz w:val="21"/>
                      <w:szCs w:val="21"/>
                    </w:rPr>
                    <w:t>项目占地范围内</w:t>
                  </w:r>
                </w:p>
              </w:tc>
              <w:tc>
                <w:tcPr>
                  <w:tcW w:w="1311" w:type="dxa"/>
                  <w:vAlign w:val="center"/>
                </w:tcPr>
                <w:p>
                  <w:pPr>
                    <w:pStyle w:val="54"/>
                    <w:spacing w:line="300" w:lineRule="exact"/>
                    <w:ind w:firstLine="0" w:firstLineChars="0"/>
                    <w:jc w:val="center"/>
                    <w:rPr>
                      <w:sz w:val="21"/>
                      <w:szCs w:val="21"/>
                    </w:rPr>
                  </w:pPr>
                  <w:r>
                    <w:rPr>
                      <w:rFonts w:hint="eastAsia"/>
                      <w:sz w:val="21"/>
                      <w:szCs w:val="21"/>
                    </w:rPr>
                    <w:t>禁止踩踏、碾压、砍伐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0" w:type="dxa"/>
                  <w:vMerge w:val="continue"/>
                  <w:vAlign w:val="center"/>
                </w:tcPr>
                <w:p>
                  <w:pPr>
                    <w:pStyle w:val="54"/>
                    <w:spacing w:line="300" w:lineRule="exact"/>
                    <w:ind w:firstLine="0" w:firstLineChars="0"/>
                    <w:jc w:val="center"/>
                    <w:rPr>
                      <w:sz w:val="21"/>
                      <w:szCs w:val="21"/>
                    </w:rPr>
                  </w:pPr>
                </w:p>
              </w:tc>
              <w:tc>
                <w:tcPr>
                  <w:tcW w:w="1310" w:type="dxa"/>
                  <w:vAlign w:val="center"/>
                </w:tcPr>
                <w:p>
                  <w:pPr>
                    <w:pStyle w:val="54"/>
                    <w:spacing w:line="300" w:lineRule="exact"/>
                    <w:ind w:firstLine="0" w:firstLineChars="0"/>
                    <w:jc w:val="center"/>
                    <w:rPr>
                      <w:sz w:val="21"/>
                      <w:szCs w:val="21"/>
                    </w:rPr>
                  </w:pPr>
                  <w:r>
                    <w:rPr>
                      <w:rFonts w:hint="eastAsia"/>
                      <w:sz w:val="21"/>
                      <w:szCs w:val="21"/>
                    </w:rPr>
                    <w:t>水土流失</w:t>
                  </w:r>
                </w:p>
              </w:tc>
              <w:tc>
                <w:tcPr>
                  <w:tcW w:w="3933" w:type="dxa"/>
                  <w:gridSpan w:val="3"/>
                  <w:vAlign w:val="center"/>
                </w:tcPr>
                <w:p>
                  <w:pPr>
                    <w:pStyle w:val="54"/>
                    <w:spacing w:line="300" w:lineRule="exact"/>
                    <w:ind w:firstLine="0" w:firstLineChars="0"/>
                    <w:jc w:val="center"/>
                    <w:rPr>
                      <w:sz w:val="21"/>
                      <w:szCs w:val="21"/>
                    </w:rPr>
                  </w:pPr>
                  <w:r>
                    <w:rPr>
                      <w:rFonts w:hint="eastAsia"/>
                      <w:sz w:val="21"/>
                      <w:szCs w:val="21"/>
                    </w:rPr>
                    <w:t>项目占地范围内</w:t>
                  </w:r>
                </w:p>
              </w:tc>
              <w:tc>
                <w:tcPr>
                  <w:tcW w:w="1311" w:type="dxa"/>
                  <w:vAlign w:val="center"/>
                </w:tcPr>
                <w:p>
                  <w:pPr>
                    <w:pStyle w:val="54"/>
                    <w:spacing w:line="300" w:lineRule="exact"/>
                    <w:ind w:firstLine="0" w:firstLineChars="0"/>
                    <w:jc w:val="center"/>
                    <w:rPr>
                      <w:sz w:val="21"/>
                      <w:szCs w:val="21"/>
                    </w:rPr>
                  </w:pPr>
                  <w:r>
                    <w:rPr>
                      <w:rFonts w:hint="eastAsia"/>
                      <w:sz w:val="21"/>
                      <w:szCs w:val="21"/>
                    </w:rPr>
                    <w:t>自治区重点治理区</w:t>
                  </w:r>
                </w:p>
              </w:tc>
            </w:tr>
          </w:tbl>
          <w:p>
            <w:pPr>
              <w:adjustRightInd w:val="0"/>
              <w:snapToGrid w:val="0"/>
              <w:spacing w:line="30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699" w:type="dxa"/>
            <w:vMerge w:val="restart"/>
            <w:vAlign w:val="center"/>
          </w:tcPr>
          <w:p>
            <w:pPr>
              <w:adjustRightInd w:val="0"/>
              <w:snapToGrid w:val="0"/>
              <w:jc w:val="center"/>
              <w:rPr>
                <w:rFonts w:ascii="宋体" w:hAnsi="宋体" w:cs="宋体"/>
                <w:kern w:val="0"/>
                <w:sz w:val="24"/>
              </w:rPr>
            </w:pPr>
            <w:r>
              <w:rPr>
                <w:rFonts w:hint="eastAsia" w:ascii="宋体" w:hAnsi="宋体" w:cs="宋体"/>
                <w:kern w:val="0"/>
                <w:sz w:val="24"/>
              </w:rPr>
              <w:t>评价</w:t>
            </w:r>
          </w:p>
          <w:p>
            <w:pPr>
              <w:adjustRightInd w:val="0"/>
              <w:snapToGrid w:val="0"/>
              <w:jc w:val="center"/>
              <w:rPr>
                <w:rFonts w:ascii="宋体" w:hAnsi="宋体" w:cs="宋体"/>
                <w:kern w:val="0"/>
                <w:szCs w:val="21"/>
              </w:rPr>
            </w:pPr>
            <w:r>
              <w:rPr>
                <w:rFonts w:hint="eastAsia" w:ascii="宋体" w:hAnsi="宋体" w:cs="宋体"/>
                <w:kern w:val="0"/>
                <w:sz w:val="24"/>
              </w:rPr>
              <w:t>标准</w:t>
            </w:r>
          </w:p>
        </w:tc>
        <w:tc>
          <w:tcPr>
            <w:tcW w:w="3969" w:type="dxa"/>
            <w:gridSpan w:val="3"/>
            <w:vAlign w:val="center"/>
          </w:tcPr>
          <w:p>
            <w:pPr>
              <w:spacing w:line="300" w:lineRule="exact"/>
              <w:jc w:val="center"/>
              <w:rPr>
                <w:rFonts w:ascii="宋体" w:hAnsi="宋体" w:cs="宋体"/>
                <w:color w:val="FF0000"/>
                <w:szCs w:val="21"/>
              </w:rPr>
            </w:pPr>
            <w:r>
              <w:rPr>
                <w:rFonts w:hint="eastAsia" w:ascii="宋体" w:hAnsi="宋体" w:cs="宋体"/>
              </w:rPr>
              <w:t>环境要素</w:t>
            </w:r>
          </w:p>
        </w:tc>
        <w:tc>
          <w:tcPr>
            <w:tcW w:w="4111" w:type="dxa"/>
            <w:vAlign w:val="center"/>
          </w:tcPr>
          <w:p>
            <w:pPr>
              <w:spacing w:line="300" w:lineRule="exact"/>
              <w:jc w:val="center"/>
              <w:rPr>
                <w:rFonts w:ascii="宋体" w:hAnsi="宋体" w:cs="宋体"/>
                <w:color w:val="FF0000"/>
                <w:szCs w:val="21"/>
              </w:rPr>
            </w:pPr>
            <w:r>
              <w:rPr>
                <w:rFonts w:hint="eastAsia" w:ascii="宋体" w:hAnsi="宋体" w:cs="宋体"/>
                <w:szCs w:val="21"/>
              </w:rPr>
              <w:t>评价标准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restart"/>
            <w:vAlign w:val="center"/>
          </w:tcPr>
          <w:p>
            <w:pPr>
              <w:spacing w:line="300" w:lineRule="exact"/>
              <w:jc w:val="center"/>
              <w:rPr>
                <w:rFonts w:ascii="宋体" w:hAnsi="宋体" w:cs="宋体"/>
                <w:color w:val="FF0000"/>
                <w:szCs w:val="21"/>
              </w:rPr>
            </w:pPr>
            <w:r>
              <w:rPr>
                <w:rFonts w:hint="eastAsia" w:ascii="宋体" w:hAnsi="宋体" w:cs="宋体"/>
              </w:rPr>
              <w:t>环境质量标准</w:t>
            </w:r>
          </w:p>
        </w:tc>
        <w:tc>
          <w:tcPr>
            <w:tcW w:w="1134" w:type="dxa"/>
            <w:vAlign w:val="center"/>
          </w:tcPr>
          <w:p>
            <w:pPr>
              <w:spacing w:line="300" w:lineRule="exact"/>
              <w:jc w:val="center"/>
              <w:rPr>
                <w:rFonts w:ascii="宋体" w:hAnsi="宋体" w:cs="宋体"/>
                <w:color w:val="FF0000"/>
                <w:szCs w:val="21"/>
              </w:rPr>
            </w:pPr>
            <w:r>
              <w:rPr>
                <w:rFonts w:hint="eastAsia" w:ascii="宋体" w:hAnsi="宋体" w:cs="宋体"/>
              </w:rPr>
              <w:t>环境空气</w:t>
            </w:r>
          </w:p>
        </w:tc>
        <w:tc>
          <w:tcPr>
            <w:tcW w:w="1843" w:type="dxa"/>
            <w:vAlign w:val="center"/>
          </w:tcPr>
          <w:p>
            <w:pPr>
              <w:spacing w:line="300" w:lineRule="exact"/>
              <w:jc w:val="center"/>
              <w:rPr>
                <w:rFonts w:ascii="宋体" w:hAnsi="宋体" w:cs="宋体"/>
                <w:color w:val="FF0000"/>
                <w:szCs w:val="21"/>
              </w:rPr>
            </w:pPr>
            <w:r>
              <w:rPr>
                <w:rFonts w:hint="eastAsia" w:ascii="宋体" w:hAnsi="宋体" w:cs="宋体"/>
              </w:rPr>
              <w:t>基本污染物</w:t>
            </w:r>
          </w:p>
        </w:tc>
        <w:tc>
          <w:tcPr>
            <w:tcW w:w="4111" w:type="dxa"/>
            <w:vAlign w:val="center"/>
          </w:tcPr>
          <w:p>
            <w:pPr>
              <w:spacing w:line="300" w:lineRule="exact"/>
              <w:jc w:val="center"/>
              <w:rPr>
                <w:rFonts w:ascii="宋体" w:hAnsi="宋体" w:cs="宋体"/>
              </w:rPr>
            </w:pPr>
            <w:r>
              <w:rPr>
                <w:rFonts w:hint="eastAsia" w:ascii="宋体" w:hAnsi="宋体" w:cs="宋体"/>
              </w:rPr>
              <w:t>《环境空气质量标准》（</w:t>
            </w:r>
            <w:r>
              <w:rPr>
                <w:rFonts w:ascii="宋体" w:hAnsi="宋体" w:cs="宋体"/>
              </w:rPr>
              <w:t>GB 3095</w:t>
            </w:r>
            <w:r>
              <w:rPr>
                <w:rFonts w:hint="eastAsia" w:ascii="宋体" w:hAnsi="宋体" w:cs="宋体"/>
              </w:rPr>
              <w:t>—</w:t>
            </w:r>
            <w:r>
              <w:rPr>
                <w:rFonts w:ascii="宋体" w:hAnsi="宋体" w:cs="宋体"/>
              </w:rPr>
              <w:t>2012）</w:t>
            </w:r>
          </w:p>
          <w:p>
            <w:pPr>
              <w:spacing w:line="300" w:lineRule="exact"/>
              <w:jc w:val="center"/>
              <w:rPr>
                <w:rFonts w:ascii="宋体" w:hAnsi="宋体" w:cs="宋体"/>
                <w:color w:val="FF0000"/>
                <w:szCs w:val="21"/>
              </w:rPr>
            </w:pPr>
            <w:r>
              <w:rPr>
                <w:rFonts w:hint="eastAsia" w:ascii="宋体" w:hAnsi="宋体" w:cs="宋体"/>
              </w:rPr>
              <w:t>二级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continue"/>
            <w:vAlign w:val="center"/>
          </w:tcPr>
          <w:p>
            <w:pPr>
              <w:spacing w:line="300" w:lineRule="exact"/>
              <w:jc w:val="center"/>
              <w:rPr>
                <w:rFonts w:ascii="宋体" w:hAnsi="宋体" w:cs="宋体"/>
              </w:rPr>
            </w:pPr>
          </w:p>
        </w:tc>
        <w:tc>
          <w:tcPr>
            <w:tcW w:w="1134" w:type="dxa"/>
            <w:vAlign w:val="center"/>
          </w:tcPr>
          <w:p>
            <w:pPr>
              <w:spacing w:line="300" w:lineRule="exact"/>
              <w:jc w:val="center"/>
              <w:rPr>
                <w:rFonts w:ascii="宋体" w:hAnsi="宋体" w:cs="宋体"/>
              </w:rPr>
            </w:pPr>
            <w:r>
              <w:rPr>
                <w:rFonts w:hint="eastAsia" w:ascii="宋体" w:hAnsi="宋体" w:cs="宋体"/>
              </w:rPr>
              <w:t>声环境</w:t>
            </w:r>
          </w:p>
        </w:tc>
        <w:tc>
          <w:tcPr>
            <w:tcW w:w="1843" w:type="dxa"/>
            <w:vAlign w:val="center"/>
          </w:tcPr>
          <w:p>
            <w:pPr>
              <w:spacing w:line="300" w:lineRule="exact"/>
              <w:jc w:val="center"/>
              <w:rPr>
                <w:rFonts w:ascii="宋体" w:hAnsi="宋体" w:cs="宋体"/>
              </w:rPr>
            </w:pPr>
            <w:r>
              <w:rPr>
                <w:rFonts w:hint="eastAsia" w:ascii="宋体" w:hAnsi="宋体" w:cs="宋体"/>
              </w:rPr>
              <w:t>噪声</w:t>
            </w:r>
          </w:p>
        </w:tc>
        <w:tc>
          <w:tcPr>
            <w:tcW w:w="4111" w:type="dxa"/>
            <w:vAlign w:val="center"/>
          </w:tcPr>
          <w:p>
            <w:pPr>
              <w:spacing w:line="300" w:lineRule="exact"/>
              <w:jc w:val="center"/>
              <w:rPr>
                <w:rFonts w:ascii="宋体" w:hAnsi="宋体" w:cs="宋体"/>
              </w:rPr>
            </w:pPr>
            <w:r>
              <w:rPr>
                <w:rFonts w:hint="eastAsia" w:ascii="宋体" w:hAnsi="宋体" w:cs="宋体"/>
              </w:rPr>
              <w:t>《声环境质量标准》（G</w:t>
            </w:r>
            <w:r>
              <w:rPr>
                <w:rFonts w:ascii="宋体" w:hAnsi="宋体" w:cs="宋体"/>
              </w:rPr>
              <w:t>B 3096</w:t>
            </w:r>
            <w:r>
              <w:rPr>
                <w:rFonts w:hint="eastAsia" w:ascii="宋体" w:hAnsi="宋体" w:cs="宋体"/>
              </w:rPr>
              <w:t>—</w:t>
            </w:r>
            <w:r>
              <w:rPr>
                <w:rFonts w:ascii="宋体" w:hAnsi="宋体" w:cs="宋体"/>
              </w:rPr>
              <w:t>2008</w:t>
            </w:r>
            <w:r>
              <w:rPr>
                <w:rFonts w:hint="eastAsia" w:ascii="宋体" w:hAnsi="宋体" w:cs="宋体"/>
              </w:rPr>
              <w:t>）</w:t>
            </w:r>
          </w:p>
          <w:p>
            <w:pPr>
              <w:spacing w:line="300" w:lineRule="exact"/>
              <w:jc w:val="center"/>
              <w:rPr>
                <w:rFonts w:ascii="宋体" w:hAnsi="宋体" w:cs="宋体"/>
              </w:rPr>
            </w:pPr>
            <w:r>
              <w:rPr>
                <w:rFonts w:hint="eastAsia" w:ascii="宋体" w:hAnsi="宋体" w:cs="宋体"/>
              </w:rPr>
              <w:t>2类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restart"/>
            <w:vAlign w:val="center"/>
          </w:tcPr>
          <w:p>
            <w:pPr>
              <w:spacing w:line="300" w:lineRule="exact"/>
              <w:jc w:val="center"/>
              <w:rPr>
                <w:rFonts w:ascii="宋体" w:hAnsi="宋体" w:cs="宋体"/>
                <w:color w:val="FF0000"/>
                <w:szCs w:val="21"/>
              </w:rPr>
            </w:pPr>
            <w:r>
              <w:rPr>
                <w:rFonts w:hint="eastAsia" w:ascii="宋体" w:hAnsi="宋体" w:cs="宋体"/>
              </w:rPr>
              <w:t>污染排放标准</w:t>
            </w:r>
          </w:p>
        </w:tc>
        <w:tc>
          <w:tcPr>
            <w:tcW w:w="1134" w:type="dxa"/>
            <w:vMerge w:val="restart"/>
            <w:vAlign w:val="center"/>
          </w:tcPr>
          <w:p>
            <w:pPr>
              <w:spacing w:line="300" w:lineRule="exact"/>
              <w:jc w:val="center"/>
              <w:rPr>
                <w:rFonts w:ascii="宋体" w:hAnsi="宋体" w:cs="宋体"/>
                <w:color w:val="FF0000"/>
                <w:szCs w:val="21"/>
              </w:rPr>
            </w:pPr>
            <w:r>
              <w:rPr>
                <w:rFonts w:hint="eastAsia" w:ascii="宋体" w:hAnsi="宋体" w:cs="宋体"/>
              </w:rPr>
              <w:t>废气</w:t>
            </w:r>
          </w:p>
        </w:tc>
        <w:tc>
          <w:tcPr>
            <w:tcW w:w="1843" w:type="dxa"/>
            <w:vAlign w:val="center"/>
          </w:tcPr>
          <w:p>
            <w:pPr>
              <w:spacing w:line="300" w:lineRule="exact"/>
              <w:jc w:val="center"/>
              <w:rPr>
                <w:rFonts w:ascii="宋体" w:hAnsi="宋体" w:cs="宋体"/>
                <w:color w:val="FF0000"/>
                <w:szCs w:val="21"/>
              </w:rPr>
            </w:pPr>
            <w:r>
              <w:rPr>
                <w:rFonts w:hint="eastAsia" w:ascii="宋体" w:hAnsi="宋体" w:cs="宋体"/>
              </w:rPr>
              <w:t>施工期柴油机、发电机排放废气</w:t>
            </w:r>
          </w:p>
        </w:tc>
        <w:tc>
          <w:tcPr>
            <w:tcW w:w="4111" w:type="dxa"/>
            <w:vAlign w:val="center"/>
          </w:tcPr>
          <w:p>
            <w:pPr>
              <w:spacing w:line="300" w:lineRule="exact"/>
              <w:jc w:val="center"/>
              <w:rPr>
                <w:rFonts w:ascii="宋体" w:hAnsi="宋体" w:cs="宋体"/>
                <w:color w:val="FF0000"/>
                <w:szCs w:val="21"/>
              </w:rPr>
            </w:pPr>
            <w:r>
              <w:rPr>
                <w:rFonts w:hint="eastAsia" w:ascii="宋体" w:hAnsi="宋体" w:cs="宋体"/>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continue"/>
            <w:vAlign w:val="center"/>
          </w:tcPr>
          <w:p>
            <w:pPr>
              <w:spacing w:line="300" w:lineRule="exact"/>
              <w:jc w:val="center"/>
              <w:rPr>
                <w:rFonts w:ascii="宋体" w:hAnsi="宋体" w:cs="宋体"/>
                <w:color w:val="FF0000"/>
                <w:szCs w:val="21"/>
              </w:rPr>
            </w:pPr>
          </w:p>
        </w:tc>
        <w:tc>
          <w:tcPr>
            <w:tcW w:w="1134" w:type="dxa"/>
            <w:vMerge w:val="continue"/>
            <w:vAlign w:val="center"/>
          </w:tcPr>
          <w:p>
            <w:pPr>
              <w:spacing w:line="300" w:lineRule="exact"/>
              <w:jc w:val="center"/>
              <w:rPr>
                <w:rFonts w:ascii="宋体" w:hAnsi="宋体" w:cs="宋体"/>
                <w:color w:val="FF0000"/>
                <w:szCs w:val="21"/>
              </w:rPr>
            </w:pPr>
          </w:p>
        </w:tc>
        <w:tc>
          <w:tcPr>
            <w:tcW w:w="1843" w:type="dxa"/>
            <w:vAlign w:val="center"/>
          </w:tcPr>
          <w:p>
            <w:pPr>
              <w:spacing w:line="300" w:lineRule="exact"/>
              <w:jc w:val="center"/>
              <w:rPr>
                <w:rFonts w:ascii="宋体" w:hAnsi="宋体" w:cs="宋体"/>
                <w:color w:val="FF0000"/>
                <w:szCs w:val="21"/>
              </w:rPr>
            </w:pPr>
            <w:r>
              <w:rPr>
                <w:rFonts w:hint="eastAsia" w:ascii="宋体" w:hAnsi="宋体" w:cs="宋体"/>
              </w:rPr>
              <w:t>试油期非甲烷总烃</w:t>
            </w:r>
          </w:p>
        </w:tc>
        <w:tc>
          <w:tcPr>
            <w:tcW w:w="4111" w:type="dxa"/>
            <w:vAlign w:val="center"/>
          </w:tcPr>
          <w:p>
            <w:pPr>
              <w:spacing w:line="300" w:lineRule="exact"/>
              <w:jc w:val="center"/>
              <w:rPr>
                <w:rFonts w:ascii="宋体" w:hAnsi="宋体" w:cs="宋体"/>
                <w:color w:val="FF0000"/>
                <w:szCs w:val="21"/>
              </w:rPr>
            </w:pPr>
            <w:r>
              <w:rPr>
                <w:rFonts w:hint="eastAsia" w:ascii="宋体" w:hAnsi="宋体" w:cs="宋体"/>
              </w:rPr>
              <w:t>《陆上石油天然气开采工业大气污染物排放标准》（GB39728—2020）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continue"/>
            <w:vAlign w:val="center"/>
          </w:tcPr>
          <w:p>
            <w:pPr>
              <w:spacing w:line="300" w:lineRule="exact"/>
              <w:jc w:val="center"/>
              <w:rPr>
                <w:rFonts w:ascii="宋体" w:hAnsi="宋体" w:cs="宋体"/>
                <w:color w:val="FF0000"/>
                <w:szCs w:val="21"/>
              </w:rPr>
            </w:pPr>
          </w:p>
        </w:tc>
        <w:tc>
          <w:tcPr>
            <w:tcW w:w="1134" w:type="dxa"/>
            <w:vAlign w:val="center"/>
          </w:tcPr>
          <w:p>
            <w:pPr>
              <w:spacing w:line="300" w:lineRule="exact"/>
              <w:jc w:val="center"/>
              <w:rPr>
                <w:rFonts w:ascii="宋体" w:hAnsi="宋体" w:cs="宋体"/>
                <w:color w:val="FF0000"/>
                <w:szCs w:val="21"/>
              </w:rPr>
            </w:pPr>
            <w:r>
              <w:rPr>
                <w:rFonts w:hint="eastAsia" w:ascii="宋体" w:hAnsi="宋体" w:cs="宋体"/>
              </w:rPr>
              <w:t>噪声</w:t>
            </w:r>
          </w:p>
        </w:tc>
        <w:tc>
          <w:tcPr>
            <w:tcW w:w="1843" w:type="dxa"/>
            <w:vAlign w:val="center"/>
          </w:tcPr>
          <w:p>
            <w:pPr>
              <w:spacing w:line="300" w:lineRule="exact"/>
              <w:jc w:val="center"/>
              <w:rPr>
                <w:rFonts w:ascii="宋体" w:hAnsi="宋体" w:cs="宋体"/>
                <w:color w:val="FF0000"/>
                <w:szCs w:val="21"/>
              </w:rPr>
            </w:pPr>
            <w:r>
              <w:rPr>
                <w:rFonts w:hint="eastAsia" w:ascii="宋体" w:hAnsi="宋体" w:cs="宋体"/>
              </w:rPr>
              <w:t>施工期井场噪声</w:t>
            </w:r>
          </w:p>
        </w:tc>
        <w:tc>
          <w:tcPr>
            <w:tcW w:w="4111" w:type="dxa"/>
            <w:vAlign w:val="center"/>
          </w:tcPr>
          <w:p>
            <w:pPr>
              <w:spacing w:line="300" w:lineRule="exact"/>
              <w:jc w:val="center"/>
              <w:rPr>
                <w:rFonts w:ascii="宋体" w:hAnsi="宋体" w:cs="宋体"/>
                <w:color w:val="FF0000"/>
                <w:szCs w:val="21"/>
              </w:rPr>
            </w:pPr>
            <w:r>
              <w:rPr>
                <w:rFonts w:hint="eastAsia" w:ascii="宋体" w:hAnsi="宋体" w:cs="宋体"/>
              </w:rPr>
              <w:t>《建筑施工场界环境噪声排放标准》（</w:t>
            </w:r>
            <w:r>
              <w:rPr>
                <w:rFonts w:ascii="宋体" w:hAnsi="宋体" w:cs="宋体"/>
              </w:rPr>
              <w:t>GB12523</w:t>
            </w:r>
            <w:r>
              <w:rPr>
                <w:rFonts w:hint="eastAsia" w:ascii="宋体" w:hAnsi="宋体" w:cs="宋体"/>
              </w:rPr>
              <w:t>—</w:t>
            </w:r>
            <w:r>
              <w:rPr>
                <w:rFonts w:ascii="宋体" w:hAnsi="宋体" w:cs="宋体"/>
              </w:rPr>
              <w:t>2011）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continue"/>
            <w:vAlign w:val="center"/>
          </w:tcPr>
          <w:p>
            <w:pPr>
              <w:spacing w:line="300" w:lineRule="exact"/>
              <w:jc w:val="center"/>
              <w:rPr>
                <w:rFonts w:ascii="宋体" w:hAnsi="宋体" w:cs="宋体"/>
                <w:color w:val="FF0000"/>
                <w:szCs w:val="21"/>
              </w:rPr>
            </w:pPr>
          </w:p>
        </w:tc>
        <w:tc>
          <w:tcPr>
            <w:tcW w:w="1134" w:type="dxa"/>
            <w:vAlign w:val="center"/>
          </w:tcPr>
          <w:p>
            <w:pPr>
              <w:spacing w:line="300" w:lineRule="exact"/>
              <w:jc w:val="center"/>
              <w:rPr>
                <w:rFonts w:ascii="宋体" w:hAnsi="宋体" w:cs="宋体"/>
              </w:rPr>
            </w:pPr>
            <w:r>
              <w:rPr>
                <w:rFonts w:hint="eastAsia" w:ascii="宋体" w:hAnsi="宋体" w:cs="宋体"/>
              </w:rPr>
              <w:t>废水</w:t>
            </w:r>
          </w:p>
        </w:tc>
        <w:tc>
          <w:tcPr>
            <w:tcW w:w="1843" w:type="dxa"/>
            <w:vAlign w:val="center"/>
          </w:tcPr>
          <w:p>
            <w:pPr>
              <w:spacing w:line="300" w:lineRule="exact"/>
              <w:jc w:val="center"/>
              <w:rPr>
                <w:rFonts w:ascii="宋体" w:hAnsi="宋体" w:cs="宋体"/>
              </w:rPr>
            </w:pPr>
            <w:r>
              <w:rPr>
                <w:rFonts w:hint="eastAsia" w:ascii="宋体" w:hAnsi="宋体" w:cs="宋体"/>
              </w:rPr>
              <w:t>试油废水</w:t>
            </w:r>
          </w:p>
        </w:tc>
        <w:tc>
          <w:tcPr>
            <w:tcW w:w="4111" w:type="dxa"/>
            <w:vAlign w:val="center"/>
          </w:tcPr>
          <w:p>
            <w:pPr>
              <w:spacing w:line="300" w:lineRule="exact"/>
              <w:jc w:val="center"/>
              <w:rPr>
                <w:rFonts w:ascii="宋体" w:hAnsi="宋体" w:cs="宋体"/>
              </w:rPr>
            </w:pPr>
            <w:r>
              <w:rPr>
                <w:rFonts w:hint="eastAsia" w:ascii="宋体" w:hAnsi="宋体" w:cs="宋体"/>
                <w:bCs/>
              </w:rPr>
              <w:t>《碎屑岩油藏注水水质推荐指标及分析方法》（SY/T5329—2012）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restart"/>
            <w:vAlign w:val="center"/>
          </w:tcPr>
          <w:p>
            <w:pPr>
              <w:spacing w:line="300" w:lineRule="exact"/>
              <w:jc w:val="center"/>
              <w:rPr>
                <w:rFonts w:ascii="宋体" w:hAnsi="宋体" w:cs="宋体"/>
                <w:szCs w:val="21"/>
              </w:rPr>
            </w:pPr>
            <w:r>
              <w:rPr>
                <w:rFonts w:hint="eastAsia" w:ascii="宋体" w:hAnsi="宋体" w:cs="宋体"/>
                <w:szCs w:val="21"/>
              </w:rPr>
              <w:t>控制</w:t>
            </w:r>
          </w:p>
          <w:p>
            <w:pPr>
              <w:spacing w:line="300" w:lineRule="exact"/>
              <w:jc w:val="center"/>
              <w:rPr>
                <w:rFonts w:ascii="宋体" w:hAnsi="宋体" w:cs="宋体"/>
                <w:szCs w:val="21"/>
              </w:rPr>
            </w:pPr>
            <w:r>
              <w:rPr>
                <w:rFonts w:hint="eastAsia" w:ascii="宋体" w:hAnsi="宋体" w:cs="宋体"/>
                <w:szCs w:val="21"/>
              </w:rPr>
              <w:t>标准</w:t>
            </w:r>
          </w:p>
        </w:tc>
        <w:tc>
          <w:tcPr>
            <w:tcW w:w="1134" w:type="dxa"/>
            <w:vAlign w:val="center"/>
          </w:tcPr>
          <w:p>
            <w:pPr>
              <w:spacing w:line="300" w:lineRule="exact"/>
              <w:jc w:val="center"/>
              <w:rPr>
                <w:rFonts w:ascii="宋体" w:hAnsi="宋体" w:cs="宋体"/>
                <w:szCs w:val="21"/>
              </w:rPr>
            </w:pPr>
            <w:r>
              <w:rPr>
                <w:rFonts w:hint="eastAsia" w:ascii="宋体" w:hAnsi="宋体" w:cs="宋体"/>
              </w:rPr>
              <w:t>危险废物</w:t>
            </w:r>
          </w:p>
        </w:tc>
        <w:tc>
          <w:tcPr>
            <w:tcW w:w="1843" w:type="dxa"/>
            <w:vAlign w:val="center"/>
          </w:tcPr>
          <w:p>
            <w:pPr>
              <w:spacing w:line="300" w:lineRule="exact"/>
              <w:jc w:val="center"/>
              <w:rPr>
                <w:rFonts w:ascii="宋体" w:hAnsi="宋体" w:cs="宋体"/>
              </w:rPr>
            </w:pPr>
            <w:r>
              <w:rPr>
                <w:rFonts w:hint="eastAsia" w:ascii="宋体" w:hAnsi="宋体" w:cs="宋体"/>
              </w:rPr>
              <w:t>油基岩屑</w:t>
            </w:r>
          </w:p>
        </w:tc>
        <w:tc>
          <w:tcPr>
            <w:tcW w:w="4111" w:type="dxa"/>
            <w:vAlign w:val="center"/>
          </w:tcPr>
          <w:p>
            <w:pPr>
              <w:spacing w:line="300" w:lineRule="exact"/>
              <w:jc w:val="center"/>
              <w:rPr>
                <w:rFonts w:ascii="宋体" w:hAnsi="宋体" w:cs="宋体"/>
              </w:rPr>
            </w:pPr>
            <w:r>
              <w:rPr>
                <w:rFonts w:hint="eastAsia" w:ascii="宋体" w:hAnsi="宋体" w:cs="宋体"/>
              </w:rPr>
              <w:t>《危险废物贮存污染控制标准》</w:t>
            </w:r>
          </w:p>
          <w:p>
            <w:pPr>
              <w:spacing w:line="300" w:lineRule="exact"/>
              <w:jc w:val="center"/>
              <w:rPr>
                <w:rFonts w:ascii="宋体" w:hAnsi="宋体" w:cs="宋体"/>
              </w:rPr>
            </w:pPr>
            <w:r>
              <w:rPr>
                <w:rFonts w:hint="eastAsia" w:ascii="宋体" w:hAnsi="宋体" w:cs="宋体"/>
              </w:rPr>
              <w:t>（GB18597—2001）及其修改单</w:t>
            </w:r>
          </w:p>
          <w:p>
            <w:pPr>
              <w:spacing w:line="300" w:lineRule="exact"/>
              <w:jc w:val="center"/>
              <w:rPr>
                <w:rFonts w:ascii="宋体" w:hAnsi="宋体" w:cs="宋体"/>
              </w:rPr>
            </w:pPr>
            <w:r>
              <w:rPr>
                <w:rFonts w:hint="eastAsia" w:ascii="宋体" w:hAnsi="宋体" w:cs="宋体"/>
              </w:rPr>
              <w:t>《危险废物收集贮存运输技术规范》（HJ2025—2012）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699" w:type="dxa"/>
            <w:vMerge w:val="continue"/>
            <w:vAlign w:val="center"/>
          </w:tcPr>
          <w:p>
            <w:pPr>
              <w:adjustRightInd w:val="0"/>
              <w:snapToGrid w:val="0"/>
              <w:jc w:val="center"/>
              <w:rPr>
                <w:rFonts w:ascii="宋体" w:hAnsi="宋体" w:cs="宋体"/>
                <w:kern w:val="0"/>
                <w:sz w:val="24"/>
              </w:rPr>
            </w:pPr>
          </w:p>
        </w:tc>
        <w:tc>
          <w:tcPr>
            <w:tcW w:w="992" w:type="dxa"/>
            <w:vMerge w:val="continue"/>
            <w:vAlign w:val="center"/>
          </w:tcPr>
          <w:p>
            <w:pPr>
              <w:spacing w:line="300" w:lineRule="exact"/>
              <w:jc w:val="center"/>
              <w:rPr>
                <w:rFonts w:ascii="宋体" w:hAnsi="宋体" w:cs="宋体"/>
                <w:color w:val="FF0000"/>
                <w:szCs w:val="21"/>
              </w:rPr>
            </w:pPr>
          </w:p>
        </w:tc>
        <w:tc>
          <w:tcPr>
            <w:tcW w:w="1134" w:type="dxa"/>
            <w:vAlign w:val="center"/>
          </w:tcPr>
          <w:p>
            <w:pPr>
              <w:spacing w:line="300" w:lineRule="exact"/>
              <w:jc w:val="center"/>
              <w:rPr>
                <w:rFonts w:ascii="宋体" w:hAnsi="宋体" w:cs="宋体"/>
                <w:color w:val="FF0000"/>
                <w:szCs w:val="21"/>
              </w:rPr>
            </w:pPr>
            <w:r>
              <w:rPr>
                <w:rFonts w:hint="eastAsia" w:ascii="宋体" w:hAnsi="宋体" w:cs="宋体"/>
                <w:szCs w:val="21"/>
              </w:rPr>
              <w:t>一般固废</w:t>
            </w:r>
          </w:p>
        </w:tc>
        <w:tc>
          <w:tcPr>
            <w:tcW w:w="1843" w:type="dxa"/>
            <w:vAlign w:val="center"/>
          </w:tcPr>
          <w:p>
            <w:pPr>
              <w:spacing w:line="300" w:lineRule="exact"/>
              <w:jc w:val="center"/>
              <w:rPr>
                <w:rFonts w:ascii="宋体" w:hAnsi="宋体" w:cs="宋体"/>
                <w:color w:val="FF0000"/>
                <w:szCs w:val="21"/>
              </w:rPr>
            </w:pPr>
            <w:r>
              <w:rPr>
                <w:rFonts w:hint="eastAsia" w:ascii="宋体" w:hAnsi="宋体" w:cs="宋体"/>
              </w:rPr>
              <w:t>水基岩屑</w:t>
            </w:r>
          </w:p>
        </w:tc>
        <w:tc>
          <w:tcPr>
            <w:tcW w:w="4111" w:type="dxa"/>
            <w:vAlign w:val="center"/>
          </w:tcPr>
          <w:p>
            <w:pPr>
              <w:spacing w:line="300" w:lineRule="exact"/>
              <w:jc w:val="center"/>
              <w:rPr>
                <w:rFonts w:ascii="宋体" w:hAnsi="宋体" w:cs="宋体"/>
                <w:color w:val="FF0000"/>
                <w:szCs w:val="21"/>
              </w:rPr>
            </w:pPr>
            <w:r>
              <w:rPr>
                <w:rFonts w:hint="eastAsia" w:ascii="宋体" w:hAnsi="宋体" w:cs="宋体"/>
              </w:rPr>
              <w:t>《一般工业固体废物贮存和填埋污染控制标准》（GB1859</w:t>
            </w:r>
            <w:r>
              <w:rPr>
                <w:rFonts w:ascii="宋体" w:hAnsi="宋体" w:cs="宋体"/>
              </w:rPr>
              <w:t>9</w:t>
            </w:r>
            <w:r>
              <w:rPr>
                <w:rFonts w:hint="eastAsia" w:ascii="宋体" w:hAnsi="宋体" w:cs="宋体"/>
              </w:rPr>
              <w:t>—20</w:t>
            </w:r>
            <w:r>
              <w:rPr>
                <w:rFonts w:ascii="宋体" w:hAnsi="宋体" w:cs="宋体"/>
              </w:rPr>
              <w:t>20</w:t>
            </w:r>
            <w:r>
              <w:rPr>
                <w:rFonts w:hint="eastAsia" w:ascii="宋体" w:hAnsi="宋体" w:cs="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31" w:hRule="atLeast"/>
          <w:jc w:val="center"/>
        </w:trPr>
        <w:tc>
          <w:tcPr>
            <w:tcW w:w="699" w:type="dxa"/>
            <w:vAlign w:val="center"/>
          </w:tcPr>
          <w:p>
            <w:pPr>
              <w:adjustRightInd w:val="0"/>
              <w:snapToGrid w:val="0"/>
              <w:jc w:val="center"/>
              <w:rPr>
                <w:rFonts w:ascii="宋体" w:hAnsi="宋体" w:cs="宋体"/>
                <w:kern w:val="0"/>
                <w:sz w:val="24"/>
              </w:rPr>
            </w:pPr>
            <w:r>
              <w:rPr>
                <w:rFonts w:hint="eastAsia" w:ascii="宋体" w:hAnsi="宋体" w:cs="宋体"/>
                <w:kern w:val="0"/>
                <w:sz w:val="24"/>
              </w:rPr>
              <w:t>其他</w:t>
            </w:r>
          </w:p>
        </w:tc>
        <w:tc>
          <w:tcPr>
            <w:tcW w:w="8080" w:type="dxa"/>
            <w:gridSpan w:val="4"/>
            <w:vAlign w:val="center"/>
          </w:tcPr>
          <w:p>
            <w:pPr>
              <w:spacing w:line="500" w:lineRule="exact"/>
              <w:ind w:firstLine="480" w:firstLineChars="200"/>
              <w:rPr>
                <w:rFonts w:ascii="宋体" w:hAnsi="宋体" w:cs="宋体"/>
              </w:rPr>
            </w:pPr>
            <w:r>
              <w:rPr>
                <w:rFonts w:hint="eastAsia" w:ascii="宋体" w:hAnsi="宋体" w:cs="宋体"/>
                <w:sz w:val="24"/>
              </w:rPr>
              <w:t>本项目钻试周期短，污染物产生量少，钻试期结束后影响即消失，故不提出污染物排放总量控制指标。</w:t>
            </w:r>
          </w:p>
        </w:tc>
      </w:tr>
    </w:tbl>
    <w:p>
      <w:pPr>
        <w:pStyle w:val="2"/>
        <w:rPr>
          <w:snapToGrid w:val="0"/>
        </w:rPr>
        <w:sectPr>
          <w:type w:val="nextColumn"/>
          <w:pgSz w:w="11907" w:h="16840"/>
          <w:pgMar w:top="1418" w:right="1588" w:bottom="1418" w:left="1588" w:header="851" w:footer="1077" w:gutter="0"/>
          <w:cols w:space="720" w:num="1"/>
          <w:docGrid w:linePitch="312" w:charSpace="0"/>
        </w:sectPr>
      </w:pPr>
    </w:p>
    <w:p>
      <w:pPr>
        <w:pStyle w:val="2"/>
        <w:rPr>
          <w:snapToGrid w:val="0"/>
        </w:rPr>
      </w:pPr>
      <w:r>
        <w:rPr>
          <w:rFonts w:hint="eastAsia"/>
          <w:snapToGrid w:val="0"/>
        </w:rPr>
        <w:t>四、生态环境影响分析</w:t>
      </w:r>
    </w:p>
    <w:tbl>
      <w:tblPr>
        <w:tblStyle w:val="17"/>
        <w:tblW w:w="87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8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tcMar>
              <w:left w:w="28" w:type="dxa"/>
              <w:right w:w="28" w:type="dxa"/>
            </w:tcMar>
            <w:vAlign w:val="center"/>
          </w:tcPr>
          <w:p>
            <w:pPr>
              <w:pStyle w:val="14"/>
              <w:adjustRightInd w:val="0"/>
              <w:snapToGrid w:val="0"/>
              <w:spacing w:before="0" w:beforeAutospacing="0" w:after="0" w:afterAutospacing="0"/>
              <w:jc w:val="center"/>
              <w:rPr>
                <w:rFonts w:cs="宋体"/>
                <w:bCs/>
                <w:kern w:val="2"/>
              </w:rPr>
            </w:pPr>
            <w:bookmarkStart w:id="15" w:name="_Hlk49796138"/>
            <w:r>
              <w:rPr>
                <w:rFonts w:hint="eastAsia" w:cs="宋体"/>
                <w:bCs/>
                <w:spacing w:val="10"/>
                <w:kern w:val="2"/>
              </w:rPr>
              <w:t>施工期生态环境影响分析</w:t>
            </w:r>
            <w:bookmarkEnd w:id="15"/>
          </w:p>
        </w:tc>
        <w:tc>
          <w:tcPr>
            <w:tcW w:w="7863" w:type="dxa"/>
            <w:vAlign w:val="center"/>
          </w:tcPr>
          <w:p>
            <w:pPr>
              <w:pStyle w:val="56"/>
              <w:ind w:firstLineChars="200"/>
              <w:rPr>
                <w:rFonts w:ascii="宋体" w:cs="宋体"/>
              </w:rPr>
            </w:pPr>
            <w:r>
              <w:rPr>
                <w:rFonts w:hint="eastAsia" w:ascii="宋体" w:cs="宋体"/>
              </w:rPr>
              <w:t>1、生态环境影响分析</w:t>
            </w:r>
          </w:p>
          <w:p>
            <w:pPr>
              <w:pStyle w:val="55"/>
              <w:adjustRightInd w:val="0"/>
              <w:snapToGrid w:val="0"/>
              <w:spacing w:line="500" w:lineRule="exact"/>
              <w:ind w:firstLineChars="200"/>
              <w:rPr>
                <w:rFonts w:ascii="宋体" w:cs="宋体"/>
              </w:rPr>
            </w:pPr>
            <w:r>
              <w:rPr>
                <w:rFonts w:hint="eastAsia" w:ascii="宋体" w:cs="宋体"/>
              </w:rPr>
              <w:t>（1）占地分析</w:t>
            </w:r>
          </w:p>
          <w:p>
            <w:pPr>
              <w:pStyle w:val="54"/>
              <w:ind w:firstLine="480"/>
              <w:rPr>
                <w:rFonts w:cs="Times New Roman"/>
              </w:rPr>
            </w:pPr>
            <w:r>
              <w:rPr>
                <w:rFonts w:hint="eastAsia"/>
              </w:rPr>
              <w:t>本项目占地均为临时占地，占地类型为草地。主要包括探临道路、井场、放喷管线、生活营地等，总计</w:t>
            </w:r>
            <w:r>
              <w:t>15550</w:t>
            </w:r>
            <w:r>
              <w:rPr>
                <w:rFonts w:hint="eastAsia"/>
              </w:rPr>
              <w:t>m</w:t>
            </w:r>
            <w:r>
              <w:rPr>
                <w:rFonts w:hint="eastAsia"/>
                <w:vertAlign w:val="superscript"/>
              </w:rPr>
              <w:t>2</w:t>
            </w:r>
            <w:r>
              <w:rPr>
                <w:rFonts w:hint="eastAsia"/>
              </w:rPr>
              <w:t>，</w:t>
            </w:r>
            <w:r>
              <w:rPr>
                <w:rFonts w:hint="eastAsia" w:cs="Times New Roman"/>
              </w:rPr>
              <w:t>详情见</w:t>
            </w:r>
            <w:r>
              <w:rPr>
                <w:rFonts w:cs="Times New Roman"/>
              </w:rPr>
              <w:t>表10。</w:t>
            </w:r>
          </w:p>
          <w:p>
            <w:pPr>
              <w:pStyle w:val="54"/>
              <w:ind w:firstLine="420"/>
              <w:jc w:val="center"/>
              <w:rPr>
                <w:rFonts w:ascii="黑体" w:hAnsi="黑体" w:eastAsia="黑体" w:cs="Times New Roman"/>
                <w:sz w:val="21"/>
                <w:szCs w:val="21"/>
              </w:rPr>
            </w:pPr>
            <w:r>
              <w:rPr>
                <w:rFonts w:hint="eastAsia" w:ascii="黑体" w:hAnsi="黑体" w:eastAsia="黑体" w:cs="Times New Roman"/>
                <w:sz w:val="21"/>
                <w:szCs w:val="21"/>
              </w:rPr>
              <w:t>表</w:t>
            </w:r>
            <w:r>
              <w:rPr>
                <w:rFonts w:ascii="黑体" w:hAnsi="黑体" w:eastAsia="黑体" w:cs="Times New Roman"/>
                <w:sz w:val="21"/>
                <w:szCs w:val="21"/>
              </w:rPr>
              <w:t xml:space="preserve">10  </w:t>
            </w:r>
            <w:r>
              <w:rPr>
                <w:rFonts w:hint="eastAsia" w:ascii="黑体" w:hAnsi="黑体" w:eastAsia="黑体" w:cs="Times New Roman"/>
                <w:sz w:val="21"/>
                <w:szCs w:val="21"/>
              </w:rPr>
              <w:t>工程占地一览表</w:t>
            </w:r>
          </w:p>
          <w:tbl>
            <w:tblPr>
              <w:tblStyle w:val="17"/>
              <w:tblW w:w="7647"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978"/>
              <w:gridCol w:w="1630"/>
              <w:gridCol w:w="1860"/>
              <w:gridCol w:w="1104"/>
              <w:gridCol w:w="1228"/>
              <w:gridCol w:w="84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978" w:type="dxa"/>
                  <w:vAlign w:val="center"/>
                </w:tcPr>
                <w:p>
                  <w:pPr>
                    <w:pStyle w:val="50"/>
                    <w:spacing w:line="300" w:lineRule="exact"/>
                  </w:pPr>
                  <w:r>
                    <w:rPr>
                      <w:rFonts w:hint="eastAsia"/>
                    </w:rPr>
                    <w:t>井号</w:t>
                  </w:r>
                </w:p>
              </w:tc>
              <w:tc>
                <w:tcPr>
                  <w:tcW w:w="1630" w:type="dxa"/>
                  <w:vAlign w:val="center"/>
                </w:tcPr>
                <w:p>
                  <w:pPr>
                    <w:pStyle w:val="50"/>
                    <w:spacing w:line="300" w:lineRule="exact"/>
                  </w:pPr>
                  <w:r>
                    <w:rPr>
                      <w:rFonts w:hint="eastAsia"/>
                    </w:rPr>
                    <w:t>施工井场</w:t>
                  </w:r>
                </w:p>
                <w:p>
                  <w:pPr>
                    <w:pStyle w:val="50"/>
                    <w:spacing w:line="300" w:lineRule="exact"/>
                  </w:pPr>
                  <w:r>
                    <w:rPr>
                      <w:rFonts w:hint="eastAsia"/>
                    </w:rPr>
                    <w:t>（m×m）</w:t>
                  </w:r>
                </w:p>
              </w:tc>
              <w:tc>
                <w:tcPr>
                  <w:tcW w:w="1860" w:type="dxa"/>
                  <w:vAlign w:val="center"/>
                </w:tcPr>
                <w:p>
                  <w:pPr>
                    <w:pStyle w:val="50"/>
                    <w:spacing w:line="300" w:lineRule="exact"/>
                  </w:pPr>
                  <w:r>
                    <w:rPr>
                      <w:rFonts w:hint="eastAsia"/>
                    </w:rPr>
                    <w:t>放喷管线</w:t>
                  </w:r>
                </w:p>
                <w:p>
                  <w:pPr>
                    <w:pStyle w:val="50"/>
                    <w:spacing w:line="300" w:lineRule="exact"/>
                  </w:pPr>
                  <w:r>
                    <w:rPr>
                      <w:rFonts w:hint="eastAsia"/>
                    </w:rPr>
                    <w:t>（m×m）</w:t>
                  </w:r>
                </w:p>
              </w:tc>
              <w:tc>
                <w:tcPr>
                  <w:tcW w:w="1104" w:type="dxa"/>
                  <w:vAlign w:val="center"/>
                </w:tcPr>
                <w:p>
                  <w:pPr>
                    <w:pStyle w:val="50"/>
                    <w:spacing w:line="300" w:lineRule="exact"/>
                  </w:pPr>
                  <w:r>
                    <w:rPr>
                      <w:rFonts w:hint="eastAsia"/>
                    </w:rPr>
                    <w:t>生活营地</w:t>
                  </w:r>
                </w:p>
                <w:p>
                  <w:pPr>
                    <w:pStyle w:val="50"/>
                    <w:spacing w:line="300" w:lineRule="exact"/>
                  </w:pPr>
                  <w:r>
                    <w:rPr>
                      <w:rFonts w:hint="eastAsia"/>
                    </w:rPr>
                    <w:t>（m×m）</w:t>
                  </w:r>
                </w:p>
              </w:tc>
              <w:tc>
                <w:tcPr>
                  <w:tcW w:w="1228" w:type="dxa"/>
                  <w:vAlign w:val="center"/>
                </w:tcPr>
                <w:p>
                  <w:pPr>
                    <w:pStyle w:val="50"/>
                    <w:spacing w:line="300" w:lineRule="exact"/>
                  </w:pPr>
                  <w:r>
                    <w:rPr>
                      <w:rFonts w:hint="eastAsia"/>
                    </w:rPr>
                    <w:t>探临道路（m×m）</w:t>
                  </w:r>
                </w:p>
              </w:tc>
              <w:tc>
                <w:tcPr>
                  <w:tcW w:w="847" w:type="dxa"/>
                  <w:vAlign w:val="center"/>
                </w:tcPr>
                <w:p>
                  <w:pPr>
                    <w:pStyle w:val="50"/>
                    <w:spacing w:line="300" w:lineRule="exact"/>
                  </w:pPr>
                  <w:r>
                    <w:rPr>
                      <w:rFonts w:hint="eastAsia"/>
                    </w:rPr>
                    <w:t>总占地面积（m</w:t>
                  </w:r>
                  <w:r>
                    <w:rPr>
                      <w:rFonts w:hint="eastAsia"/>
                      <w:vertAlign w:val="superscript"/>
                    </w:rPr>
                    <w:t>2</w:t>
                  </w:r>
                  <w:r>
                    <w:rPr>
                      <w:rFonts w:hint="eastAsia"/>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482" w:hRule="atLeast"/>
                <w:jc w:val="center"/>
              </w:trPr>
              <w:tc>
                <w:tcPr>
                  <w:tcW w:w="978" w:type="dxa"/>
                  <w:noWrap/>
                  <w:vAlign w:val="center"/>
                </w:tcPr>
                <w:p>
                  <w:pPr>
                    <w:pStyle w:val="50"/>
                    <w:spacing w:line="300" w:lineRule="exact"/>
                  </w:pPr>
                  <w:r>
                    <w:rPr>
                      <w:rFonts w:hint="eastAsia"/>
                    </w:rPr>
                    <w:t>康10H</w:t>
                  </w:r>
                </w:p>
              </w:tc>
              <w:tc>
                <w:tcPr>
                  <w:tcW w:w="1630" w:type="dxa"/>
                  <w:vAlign w:val="center"/>
                </w:tcPr>
                <w:p>
                  <w:pPr>
                    <w:pStyle w:val="50"/>
                    <w:spacing w:line="300" w:lineRule="exact"/>
                  </w:pPr>
                  <w:r>
                    <w:rPr>
                      <w:kern w:val="0"/>
                    </w:rPr>
                    <w:t>120</w:t>
                  </w:r>
                  <w:r>
                    <w:rPr>
                      <w:rFonts w:hint="eastAsia"/>
                      <w:kern w:val="0"/>
                    </w:rPr>
                    <w:t>×</w:t>
                  </w:r>
                  <w:r>
                    <w:rPr>
                      <w:kern w:val="0"/>
                    </w:rPr>
                    <w:t>80</w:t>
                  </w:r>
                </w:p>
              </w:tc>
              <w:tc>
                <w:tcPr>
                  <w:tcW w:w="1860" w:type="dxa"/>
                  <w:vAlign w:val="center"/>
                </w:tcPr>
                <w:p>
                  <w:pPr>
                    <w:pStyle w:val="50"/>
                    <w:spacing w:line="300" w:lineRule="exact"/>
                  </w:pPr>
                  <w:r>
                    <w:rPr>
                      <w:lang w:bidi="zh-CN"/>
                    </w:rPr>
                    <w:t>35×2+35×3</w:t>
                  </w:r>
                </w:p>
              </w:tc>
              <w:tc>
                <w:tcPr>
                  <w:tcW w:w="1104" w:type="dxa"/>
                  <w:vAlign w:val="center"/>
                </w:tcPr>
                <w:p>
                  <w:pPr>
                    <w:pStyle w:val="50"/>
                    <w:spacing w:line="300" w:lineRule="exact"/>
                  </w:pPr>
                  <w:r>
                    <w:rPr>
                      <w:rFonts w:hint="eastAsia"/>
                    </w:rPr>
                    <w:t>5</w:t>
                  </w:r>
                  <w:r>
                    <w:t>5</w:t>
                  </w:r>
                  <w:r>
                    <w:rPr>
                      <w:rFonts w:hint="eastAsia"/>
                    </w:rPr>
                    <w:t>×</w:t>
                  </w:r>
                  <w:r>
                    <w:t>35</w:t>
                  </w:r>
                </w:p>
              </w:tc>
              <w:tc>
                <w:tcPr>
                  <w:tcW w:w="1228" w:type="dxa"/>
                  <w:vAlign w:val="center"/>
                </w:tcPr>
                <w:p>
                  <w:pPr>
                    <w:pStyle w:val="50"/>
                    <w:spacing w:line="300" w:lineRule="exact"/>
                  </w:pPr>
                  <w:r>
                    <w:t>550</w:t>
                  </w:r>
                  <w:r>
                    <w:rPr>
                      <w:rFonts w:hint="eastAsia"/>
                    </w:rPr>
                    <w:t>×</w:t>
                  </w:r>
                  <w:r>
                    <w:t>7</w:t>
                  </w:r>
                </w:p>
              </w:tc>
              <w:tc>
                <w:tcPr>
                  <w:tcW w:w="847" w:type="dxa"/>
                  <w:vAlign w:val="center"/>
                </w:tcPr>
                <w:p>
                  <w:pPr>
                    <w:pStyle w:val="50"/>
                    <w:spacing w:line="300" w:lineRule="exact"/>
                  </w:pPr>
                  <w:r>
                    <w:t>15550</w:t>
                  </w:r>
                </w:p>
              </w:tc>
            </w:tr>
          </w:tbl>
          <w:p>
            <w:pPr>
              <w:pStyle w:val="54"/>
              <w:ind w:firstLine="480"/>
            </w:pPr>
            <w:r>
              <w:rPr>
                <w:rFonts w:hint="eastAsia"/>
              </w:rPr>
              <w:t>（2）对植被的影响分析</w:t>
            </w:r>
          </w:p>
          <w:p>
            <w:pPr>
              <w:pStyle w:val="54"/>
              <w:ind w:firstLine="480"/>
            </w:pPr>
            <w:r>
              <w:rPr>
                <w:rFonts w:hint="eastAsia"/>
              </w:rPr>
              <w:t>钻前工程建设及各施工阶段的人类活动是造成植被破坏的主要原因，对植被主要影响形式是对土地的占用、施工阶段清场过程中对地表植被的清理及施工过程中的辗压。</w:t>
            </w:r>
            <w:r>
              <w:rPr>
                <w:lang w:bidi="zh-CN"/>
              </w:rPr>
              <w:t>在完井后的2～3年中，将影响占地范围内的植被初级生产力。</w:t>
            </w:r>
            <w:r>
              <w:rPr>
                <w:rFonts w:hint="eastAsia"/>
              </w:rPr>
              <w:t>施工时尽量避开植被密集区域，避免破坏荒漠植物，最大限度避免破坏野生动物的活动场所和生存环境。对于无法避让的情况，应及时缴纳补偿费。井场施工过程中有部分地表土地被各种钻井设备或砾石覆盖，工程结束后应对临时占地进行平整，使其重新回到原来的自然状态，使植被后期能够自然恢复。</w:t>
            </w:r>
          </w:p>
          <w:p>
            <w:pPr>
              <w:pStyle w:val="54"/>
              <w:ind w:firstLine="480"/>
            </w:pPr>
            <w:r>
              <w:rPr>
                <w:rFonts w:hint="eastAsia"/>
              </w:rPr>
              <w:t>（</w:t>
            </w:r>
            <w:r>
              <w:t>3</w:t>
            </w:r>
            <w:r>
              <w:rPr>
                <w:rFonts w:hint="eastAsia"/>
              </w:rPr>
              <w:t>）土壤环境影响分析</w:t>
            </w:r>
          </w:p>
          <w:p>
            <w:pPr>
              <w:pStyle w:val="54"/>
              <w:ind w:firstLine="480"/>
            </w:pPr>
            <w:r>
              <w:rPr>
                <w:rFonts w:hint="eastAsia"/>
              </w:rPr>
              <w:t>施工过程中不可避免的会对土壤造成人为扰动，产生破坏性影响。钻井井场、临时道路及生活营地等占地，施工材料堆积、挖掘、辗压、踩踏等均会改变原有的土壤结构和理化性质，使土壤紧实度增高，土壤团粒结构破坏等变化，不利于野生植被的恢复。但是施工结束后，临时占地得到释放，生活营地占地范围内由于挖掘和机械碾压等施工活动较少，对土壤的影响程度较轻，且影响特征部分可逆，影响时间短，对原有的土壤结构和理化性质影响不大。</w:t>
            </w:r>
          </w:p>
          <w:p>
            <w:pPr>
              <w:pStyle w:val="54"/>
              <w:ind w:firstLine="482"/>
              <w:rPr>
                <w:b/>
                <w:bCs/>
              </w:rPr>
            </w:pPr>
            <w:r>
              <w:rPr>
                <w:rFonts w:hint="eastAsia"/>
                <w:b/>
                <w:bCs/>
              </w:rPr>
              <w:t>2、水土流失影响分析</w:t>
            </w:r>
          </w:p>
          <w:p>
            <w:pPr>
              <w:pStyle w:val="54"/>
              <w:ind w:firstLine="480"/>
            </w:pPr>
            <w:r>
              <w:rPr>
                <w:rFonts w:hint="eastAsia"/>
              </w:rPr>
              <w:t>项目建设将破坏地表原有稳定结构，施工作业范围内的土壤地表表层遭到破坏，下层的粉细物质暴露在地层表面，在风力的作用下，风蚀量会明显加大，这种影响在短时间内不会完全恢复。但</w:t>
            </w:r>
            <w:r>
              <w:t>随着时间的延长、土壤结构的变化</w:t>
            </w:r>
            <w:r>
              <w:rPr>
                <w:rFonts w:hint="eastAsia"/>
              </w:rPr>
              <w:t>以及</w:t>
            </w:r>
            <w:r>
              <w:t>地表植被的恢复，</w:t>
            </w:r>
            <w:r>
              <w:rPr>
                <w:rFonts w:hint="eastAsia"/>
              </w:rPr>
              <w:t>风蚀量会随着地表新保护层的逐渐形成而减弱，</w:t>
            </w:r>
            <w:r>
              <w:t>水土流失的程度会慢慢减轻</w:t>
            </w:r>
            <w:r>
              <w:rPr>
                <w:rFonts w:hint="eastAsia"/>
              </w:rPr>
              <w:t>。</w:t>
            </w:r>
          </w:p>
          <w:p>
            <w:pPr>
              <w:pStyle w:val="54"/>
              <w:ind w:firstLine="480"/>
            </w:pPr>
            <w:r>
              <w:rPr>
                <w:rFonts w:hint="eastAsia"/>
              </w:rPr>
              <w:t>项目在建设过程中，应避免在大风天气作业，堆放的土方应压实并采用苫布遮盖，避免风蚀从而造成水土流失。</w:t>
            </w:r>
          </w:p>
          <w:p>
            <w:pPr>
              <w:widowControl/>
              <w:snapToGrid w:val="0"/>
              <w:spacing w:line="500" w:lineRule="exact"/>
              <w:ind w:firstLine="482" w:firstLineChars="200"/>
              <w:jc w:val="left"/>
              <w:rPr>
                <w:rFonts w:ascii="宋体" w:hAnsi="宋体" w:cs="宋体"/>
                <w:b/>
                <w:bCs/>
                <w:sz w:val="24"/>
              </w:rPr>
            </w:pPr>
            <w:r>
              <w:rPr>
                <w:rFonts w:ascii="宋体" w:hAnsi="宋体" w:cs="宋体"/>
                <w:b/>
                <w:bCs/>
                <w:sz w:val="24"/>
              </w:rPr>
              <w:t>3</w:t>
            </w:r>
            <w:r>
              <w:rPr>
                <w:rFonts w:hint="eastAsia" w:ascii="宋体" w:hAnsi="宋体" w:cs="宋体"/>
                <w:b/>
                <w:bCs/>
                <w:sz w:val="24"/>
              </w:rPr>
              <w:t>、大气环境影响分析</w:t>
            </w:r>
          </w:p>
          <w:p>
            <w:pPr>
              <w:pStyle w:val="47"/>
              <w:ind w:firstLine="480"/>
            </w:pPr>
            <w:r>
              <w:rPr>
                <w:rFonts w:hint="eastAsia"/>
              </w:rPr>
              <w:t>施工期间大气环境主要受车辆尾气、施工扬尘、柴油机、发电机及各类施工机械燃料燃烧烟气、伴生气放空产生的燃烧烟气等影响。</w:t>
            </w:r>
          </w:p>
          <w:p>
            <w:pPr>
              <w:pStyle w:val="47"/>
              <w:ind w:firstLine="480"/>
            </w:pPr>
            <w:r>
              <w:rPr>
                <w:rFonts w:hint="eastAsia"/>
              </w:rPr>
              <w:t>（</w:t>
            </w:r>
            <w:r>
              <w:t>1</w:t>
            </w:r>
            <w:r>
              <w:rPr>
                <w:rFonts w:hint="eastAsia"/>
              </w:rPr>
              <w:t>）车辆尾气、施工扬尘</w:t>
            </w:r>
          </w:p>
          <w:p>
            <w:pPr>
              <w:pStyle w:val="47"/>
              <w:ind w:firstLine="480"/>
            </w:pPr>
            <w:r>
              <w:rPr>
                <w:rFonts w:hint="eastAsia"/>
              </w:rPr>
              <w:t>本工程车辆行驶过程，对该区域产生间断性、不连续的车辆尾气排放。汽车油料为国家合格产品，其尾气排放的污染物均符合国家标准，对周围环境的影响较小。</w:t>
            </w:r>
          </w:p>
          <w:p>
            <w:pPr>
              <w:pStyle w:val="47"/>
              <w:ind w:firstLine="480"/>
            </w:pPr>
            <w:r>
              <w:rPr>
                <w:rFonts w:hint="eastAsia"/>
              </w:rPr>
              <w:t>本工程施工期内，在钻井和道路等地面工程建设过程中产生的扬尘，土壤被扰动后导致的尘土，施工运输车辆运输中产生的扬尘等，对环境空气会造成一定的影响。但一般施工的扬尘比重较大，易于沉降，其影响将限制在较小的范围内，对周围大气环境影响较小。</w:t>
            </w:r>
          </w:p>
          <w:p>
            <w:pPr>
              <w:pStyle w:val="47"/>
              <w:ind w:firstLine="480"/>
            </w:pPr>
            <w:r>
              <w:rPr>
                <w:rFonts w:hint="eastAsia"/>
              </w:rPr>
              <w:t>（</w:t>
            </w:r>
            <w:r>
              <w:t>2</w:t>
            </w:r>
            <w:r>
              <w:rPr>
                <w:rFonts w:hint="eastAsia"/>
              </w:rPr>
              <w:t>）柴油机、发电机废气</w:t>
            </w:r>
          </w:p>
          <w:p>
            <w:pPr>
              <w:pStyle w:val="47"/>
              <w:ind w:firstLine="480"/>
            </w:pPr>
            <w:r>
              <w:rPr>
                <w:rFonts w:hint="eastAsia"/>
              </w:rPr>
              <w:t>本工程在钻井作业中，采用柴油机、发电机为钻机提供动力和照明等，其污染物主要为NO</w:t>
            </w:r>
            <w:r>
              <w:rPr>
                <w:rFonts w:hint="eastAsia"/>
                <w:vertAlign w:val="subscript"/>
              </w:rPr>
              <w:t>x</w:t>
            </w:r>
            <w:r>
              <w:rPr>
                <w:rFonts w:hint="eastAsia"/>
              </w:rPr>
              <w:t>、CO和烃类（包含挥发性有机物VOCs）。</w:t>
            </w:r>
          </w:p>
          <w:p>
            <w:pPr>
              <w:pStyle w:val="47"/>
              <w:wordWrap w:val="0"/>
              <w:ind w:firstLine="480"/>
            </w:pPr>
            <w:r>
              <w:t>根据</w:t>
            </w:r>
            <w:r>
              <w:rPr>
                <w:rFonts w:hint="eastAsia"/>
              </w:rPr>
              <w:t>国家环境工程评估中心编制的</w:t>
            </w:r>
            <w:r>
              <w:t>《社会区域类环境影响评价》一书中</w:t>
            </w:r>
            <w:r>
              <w:rPr>
                <w:rFonts w:hint="eastAsia"/>
              </w:rPr>
              <w:t>提供的资料</w:t>
            </w:r>
            <w:r>
              <w:t>，柴油</w:t>
            </w:r>
            <w:r>
              <w:rPr>
                <w:rFonts w:hint="eastAsia"/>
              </w:rPr>
              <w:t>燃烧</w:t>
            </w:r>
            <w:r>
              <w:t>产污系数为</w:t>
            </w:r>
            <w:r>
              <w:rPr>
                <w:rFonts w:hint="eastAsia"/>
              </w:rPr>
              <w:t>；</w:t>
            </w:r>
            <w:r>
              <w:t>SO</w:t>
            </w:r>
            <w:r>
              <w:rPr>
                <w:vertAlign w:val="subscript"/>
              </w:rPr>
              <w:t>2</w:t>
            </w:r>
            <w:r>
              <w:rPr>
                <w:rFonts w:hint="eastAsia"/>
              </w:rPr>
              <w:t>：</w:t>
            </w:r>
            <w:r>
              <w:t>2.24kg/t，NO</w:t>
            </w:r>
            <w:r>
              <w:rPr>
                <w:vertAlign w:val="subscript"/>
              </w:rPr>
              <w:t>x</w:t>
            </w:r>
            <w:r>
              <w:rPr>
                <w:rFonts w:hint="eastAsia"/>
              </w:rPr>
              <w:t>：</w:t>
            </w:r>
            <w:r>
              <w:t>2.92kg/t，总烃</w:t>
            </w:r>
            <w:r>
              <w:rPr>
                <w:rFonts w:hint="eastAsia"/>
              </w:rPr>
              <w:t>：</w:t>
            </w:r>
            <w:r>
              <w:t>2.13kg/t</w:t>
            </w:r>
            <w:r>
              <w:rPr>
                <w:rFonts w:hint="eastAsia"/>
              </w:rPr>
              <w:t>，本项目柴油消耗量约</w:t>
            </w:r>
            <w:r>
              <w:t>380</w:t>
            </w:r>
            <w:r>
              <w:rPr>
                <w:rFonts w:hint="eastAsia"/>
              </w:rPr>
              <w:t>t，</w:t>
            </w:r>
            <w:bookmarkStart w:id="16" w:name="_Hlk15402090"/>
            <w:r>
              <w:rPr>
                <w:rFonts w:hint="eastAsia"/>
              </w:rPr>
              <w:t>则钻井期及试油期污染物排放总量约为；</w:t>
            </w:r>
            <w:r>
              <w:t>SO</w:t>
            </w:r>
            <w:r>
              <w:rPr>
                <w:vertAlign w:val="subscript"/>
              </w:rPr>
              <w:t>2</w:t>
            </w:r>
            <w:r>
              <w:rPr>
                <w:rFonts w:hint="eastAsia"/>
              </w:rPr>
              <w:t>：</w:t>
            </w:r>
            <w:r>
              <w:t>0.85</w:t>
            </w:r>
            <w:r>
              <w:rPr>
                <w:rFonts w:hint="eastAsia"/>
              </w:rPr>
              <w:t>t、</w:t>
            </w:r>
            <w:r>
              <w:t>NO</w:t>
            </w:r>
            <w:r>
              <w:rPr>
                <w:vertAlign w:val="subscript"/>
              </w:rPr>
              <w:t>x</w:t>
            </w:r>
            <w:r>
              <w:rPr>
                <w:rFonts w:hint="eastAsia"/>
              </w:rPr>
              <w:t>：</w:t>
            </w:r>
            <w:r>
              <w:t>1.11t</w:t>
            </w:r>
            <w:r>
              <w:rPr>
                <w:rFonts w:hint="eastAsia"/>
              </w:rPr>
              <w:t>、</w:t>
            </w:r>
            <w:r>
              <w:t>总烃</w:t>
            </w:r>
            <w:r>
              <w:rPr>
                <w:rFonts w:hint="eastAsia"/>
              </w:rPr>
              <w:t>：</w:t>
            </w:r>
            <w:r>
              <w:t>0.81t</w:t>
            </w:r>
            <w:r>
              <w:rPr>
                <w:rFonts w:hint="eastAsia"/>
              </w:rPr>
              <w:t>。</w:t>
            </w:r>
            <w:bookmarkEnd w:id="16"/>
            <w:r>
              <w:rPr>
                <w:rFonts w:hint="eastAsia"/>
              </w:rPr>
              <w:t>施工期间，柴油机、发电机使用时间较短，废气排放量不大，周围扩散条件良好，因此</w:t>
            </w:r>
            <w:r>
              <w:rPr>
                <w:rFonts w:hint="eastAsia" w:cs="宋体"/>
                <w:bCs/>
              </w:rPr>
              <w:t>对项目区的大气环境影响不大</w:t>
            </w:r>
            <w:r>
              <w:rPr>
                <w:rFonts w:hint="eastAsia"/>
              </w:rPr>
              <w:t>。</w:t>
            </w:r>
          </w:p>
          <w:p>
            <w:pPr>
              <w:pStyle w:val="47"/>
              <w:ind w:firstLine="480"/>
              <w:rPr>
                <w:szCs w:val="18"/>
                <w:lang w:bidi="zh-CN"/>
              </w:rPr>
            </w:pPr>
            <w:r>
              <w:rPr>
                <w:rFonts w:hint="eastAsia"/>
                <w:szCs w:val="18"/>
                <w:lang w:bidi="zh-CN"/>
              </w:rPr>
              <w:t>（</w:t>
            </w:r>
            <w:r>
              <w:rPr>
                <w:szCs w:val="18"/>
                <w:lang w:bidi="zh-CN"/>
              </w:rPr>
              <w:t>3</w:t>
            </w:r>
            <w:r>
              <w:rPr>
                <w:rFonts w:hint="eastAsia"/>
                <w:szCs w:val="18"/>
                <w:lang w:bidi="zh-CN"/>
              </w:rPr>
              <w:t>）伴生气燃烧</w:t>
            </w:r>
          </w:p>
          <w:p>
            <w:pPr>
              <w:pStyle w:val="47"/>
              <w:ind w:firstLine="480"/>
              <w:rPr>
                <w:szCs w:val="18"/>
                <w:lang w:bidi="zh-CN"/>
              </w:rPr>
            </w:pPr>
            <w:r>
              <w:rPr>
                <w:rFonts w:hint="eastAsia"/>
                <w:szCs w:val="18"/>
                <w:lang w:bidi="zh-CN"/>
              </w:rPr>
              <w:t>试油过程中伴生气经过液气分离后经放喷管线燃烧后排放，属于阶段性排放，随着试油的结束而停止排放，且项目周边无集中居民区，地域空旷、扩散条件良好。</w:t>
            </w:r>
          </w:p>
          <w:p>
            <w:pPr>
              <w:pStyle w:val="47"/>
              <w:ind w:firstLine="480"/>
              <w:rPr>
                <w:szCs w:val="18"/>
                <w:lang w:bidi="zh-CN"/>
              </w:rPr>
            </w:pPr>
            <w:r>
              <w:rPr>
                <w:rFonts w:hint="eastAsia"/>
                <w:szCs w:val="18"/>
                <w:lang w:bidi="zh-CN"/>
              </w:rPr>
              <w:t>综上所述，本项目对大气环境影响不大。</w:t>
            </w:r>
          </w:p>
          <w:p>
            <w:pPr>
              <w:widowControl/>
              <w:snapToGrid w:val="0"/>
              <w:spacing w:line="500" w:lineRule="exact"/>
              <w:ind w:firstLine="482" w:firstLineChars="200"/>
              <w:jc w:val="left"/>
              <w:rPr>
                <w:rFonts w:ascii="宋体" w:hAnsi="宋体" w:cs="宋体"/>
                <w:b/>
                <w:bCs/>
                <w:sz w:val="24"/>
              </w:rPr>
            </w:pPr>
            <w:r>
              <w:rPr>
                <w:rFonts w:ascii="宋体" w:hAnsi="宋体" w:cs="宋体"/>
                <w:b/>
                <w:bCs/>
                <w:sz w:val="24"/>
              </w:rPr>
              <w:t>4</w:t>
            </w:r>
            <w:r>
              <w:rPr>
                <w:rFonts w:hint="eastAsia" w:ascii="宋体" w:hAnsi="宋体" w:cs="宋体"/>
                <w:b/>
                <w:bCs/>
                <w:sz w:val="24"/>
              </w:rPr>
              <w:t>、水环境影响分析</w:t>
            </w:r>
          </w:p>
          <w:p>
            <w:pPr>
              <w:pStyle w:val="47"/>
              <w:ind w:firstLine="480"/>
              <w:rPr>
                <w:szCs w:val="18"/>
              </w:rPr>
            </w:pPr>
            <w:r>
              <w:rPr>
                <w:rFonts w:hint="eastAsia"/>
                <w:szCs w:val="18"/>
              </w:rPr>
              <w:t>（1）废水影响</w:t>
            </w:r>
          </w:p>
          <w:p>
            <w:pPr>
              <w:pStyle w:val="47"/>
              <w:ind w:firstLine="480"/>
              <w:rPr>
                <w:szCs w:val="18"/>
              </w:rPr>
            </w:pPr>
            <w:r>
              <w:rPr>
                <w:rFonts w:hint="eastAsia"/>
                <w:szCs w:val="18"/>
              </w:rPr>
              <w:t>本项目废水主要为生活污水和试油期洗井废水。</w:t>
            </w:r>
          </w:p>
          <w:p>
            <w:pPr>
              <w:pStyle w:val="47"/>
              <w:wordWrap w:val="0"/>
              <w:ind w:firstLine="480"/>
              <w:rPr>
                <w:szCs w:val="18"/>
              </w:rPr>
            </w:pPr>
            <w:r>
              <w:rPr>
                <w:szCs w:val="18"/>
              </w:rPr>
              <w:t>本</w:t>
            </w:r>
            <w:r>
              <w:rPr>
                <w:rFonts w:hint="eastAsia"/>
                <w:szCs w:val="18"/>
              </w:rPr>
              <w:t>项目</w:t>
            </w:r>
            <w:r>
              <w:rPr>
                <w:szCs w:val="18"/>
              </w:rPr>
              <w:t>作业人数在各阶段有所不同，生活用水量按每人每天20L计，</w:t>
            </w:r>
            <w:r>
              <w:rPr>
                <w:rFonts w:hint="eastAsia"/>
                <w:szCs w:val="18"/>
              </w:rPr>
              <w:t>则施工期间</w:t>
            </w:r>
            <w:r>
              <w:rPr>
                <w:szCs w:val="18"/>
              </w:rPr>
              <w:t>生活用水</w:t>
            </w:r>
            <w:r>
              <w:rPr>
                <w:rFonts w:hint="eastAsia"/>
                <w:szCs w:val="18"/>
              </w:rPr>
              <w:t>消耗量为8</w:t>
            </w:r>
            <w:r>
              <w:rPr>
                <w:szCs w:val="18"/>
              </w:rPr>
              <w:t>4</w:t>
            </w:r>
            <w:r>
              <w:rPr>
                <w:rFonts w:hint="eastAsia"/>
                <w:szCs w:val="18"/>
              </w:rPr>
              <w:t>m³，</w:t>
            </w:r>
            <w:r>
              <w:rPr>
                <w:szCs w:val="18"/>
              </w:rPr>
              <w:t>排放量按耗水量的80%计算，</w:t>
            </w:r>
            <w:r>
              <w:rPr>
                <w:rFonts w:hint="eastAsia"/>
                <w:szCs w:val="18"/>
              </w:rPr>
              <w:t>则</w:t>
            </w:r>
            <w:r>
              <w:rPr>
                <w:szCs w:val="18"/>
              </w:rPr>
              <w:t>本工程</w:t>
            </w:r>
            <w:r>
              <w:rPr>
                <w:rFonts w:hint="eastAsia"/>
                <w:szCs w:val="18"/>
              </w:rPr>
              <w:t>钻井</w:t>
            </w:r>
            <w:r>
              <w:rPr>
                <w:szCs w:val="18"/>
              </w:rPr>
              <w:t>过程中生活污水总产生量</w:t>
            </w:r>
            <w:r>
              <w:rPr>
                <w:rFonts w:hint="eastAsia"/>
                <w:szCs w:val="18"/>
              </w:rPr>
              <w:t>约</w:t>
            </w:r>
            <w:r>
              <w:rPr>
                <w:szCs w:val="18"/>
              </w:rPr>
              <w:t>为</w:t>
            </w:r>
            <w:r>
              <w:rPr>
                <w:rFonts w:hint="eastAsia"/>
                <w:szCs w:val="18"/>
              </w:rPr>
              <w:t>6</w:t>
            </w:r>
            <w:r>
              <w:rPr>
                <w:szCs w:val="18"/>
              </w:rPr>
              <w:t>7m</w:t>
            </w:r>
            <w:r>
              <w:rPr>
                <w:szCs w:val="18"/>
                <w:vertAlign w:val="superscript"/>
              </w:rPr>
              <w:t>3</w:t>
            </w:r>
            <w:r>
              <w:rPr>
                <w:szCs w:val="18"/>
              </w:rPr>
              <w:t>，其中主要的污染物为COD、BOD、SS、氨氮等，化学需氧量（COD</w:t>
            </w:r>
            <w:r>
              <w:rPr>
                <w:szCs w:val="18"/>
                <w:vertAlign w:val="subscript"/>
              </w:rPr>
              <w:t>cr</w:t>
            </w:r>
            <w:r>
              <w:rPr>
                <w:szCs w:val="18"/>
              </w:rPr>
              <w:t>）浓度350mg/L、氨氮（NH</w:t>
            </w:r>
            <w:r>
              <w:rPr>
                <w:szCs w:val="18"/>
                <w:vertAlign w:val="subscript"/>
              </w:rPr>
              <w:t>3</w:t>
            </w:r>
            <w:r>
              <w:rPr>
                <w:rFonts w:hint="eastAsia"/>
                <w:szCs w:val="18"/>
              </w:rPr>
              <w:t>—</w:t>
            </w:r>
            <w:r>
              <w:rPr>
                <w:szCs w:val="18"/>
              </w:rPr>
              <w:t>N）浓度30mg/L、悬浮物（SS）浓度200mg/L。生活营地设置临时储集</w:t>
            </w:r>
            <w:r>
              <w:rPr>
                <w:rFonts w:hint="eastAsia"/>
                <w:szCs w:val="18"/>
              </w:rPr>
              <w:t>防渗</w:t>
            </w:r>
            <w:r>
              <w:rPr>
                <w:szCs w:val="18"/>
              </w:rPr>
              <w:t>池用于收集生活污水，</w:t>
            </w:r>
            <w:r>
              <w:rPr>
                <w:rFonts w:hint="eastAsia" w:cs="宋体"/>
              </w:rPr>
              <w:t>施工结束后生活污水由吸污车将池中的生活污水清运</w:t>
            </w:r>
            <w:r>
              <w:rPr>
                <w:szCs w:val="18"/>
              </w:rPr>
              <w:t>至</w:t>
            </w:r>
            <w:r>
              <w:rPr>
                <w:rFonts w:hint="eastAsia"/>
                <w:szCs w:val="18"/>
              </w:rPr>
              <w:t>吉木萨尔县污水处理厂</w:t>
            </w:r>
            <w:r>
              <w:rPr>
                <w:szCs w:val="18"/>
              </w:rPr>
              <w:t>处理。不会对</w:t>
            </w:r>
            <w:r>
              <w:rPr>
                <w:rFonts w:hint="eastAsia"/>
                <w:szCs w:val="18"/>
              </w:rPr>
              <w:t>水</w:t>
            </w:r>
            <w:r>
              <w:rPr>
                <w:szCs w:val="18"/>
              </w:rPr>
              <w:t>环境产生不利影响。</w:t>
            </w:r>
          </w:p>
          <w:p>
            <w:pPr>
              <w:pStyle w:val="47"/>
              <w:ind w:firstLine="480"/>
              <w:rPr>
                <w:szCs w:val="18"/>
              </w:rPr>
            </w:pPr>
            <w:r>
              <w:rPr>
                <w:rFonts w:hint="eastAsia"/>
                <w:lang w:bidi="zh-CN"/>
              </w:rPr>
              <w:t>试油期间洗井用水量</w:t>
            </w:r>
            <w:r>
              <w:rPr>
                <w:lang w:bidi="zh-CN"/>
              </w:rPr>
              <w:t>300</w:t>
            </w:r>
            <w:r>
              <w:rPr>
                <w:rFonts w:hint="eastAsia"/>
                <w:lang w:bidi="zh-CN"/>
              </w:rPr>
              <w:t>m³，全部返回井场设置的储罐，则洗井废水产生量</w:t>
            </w:r>
            <w:r>
              <w:rPr>
                <w:lang w:bidi="zh-CN"/>
              </w:rPr>
              <w:t>3</w:t>
            </w:r>
            <w:r>
              <w:rPr>
                <w:rFonts w:hint="eastAsia"/>
                <w:lang w:bidi="zh-CN"/>
              </w:rPr>
              <w:t>00m</w:t>
            </w:r>
            <w:r>
              <w:rPr>
                <w:rFonts w:hint="eastAsia"/>
                <w:vertAlign w:val="superscript"/>
                <w:lang w:bidi="zh-CN"/>
              </w:rPr>
              <w:t>3</w:t>
            </w:r>
            <w:r>
              <w:rPr>
                <w:rFonts w:hint="eastAsia"/>
                <w:lang w:bidi="zh-CN"/>
              </w:rPr>
              <w:t>，主要污染物为石油类、悬浮物等。</w:t>
            </w:r>
            <w:r>
              <w:rPr>
                <w:rFonts w:hint="eastAsia"/>
                <w:szCs w:val="18"/>
              </w:rPr>
              <w:t>洗井</w:t>
            </w:r>
            <w:r>
              <w:rPr>
                <w:szCs w:val="18"/>
              </w:rPr>
              <w:t>废水严禁直接外排，该废水全部回收，</w:t>
            </w:r>
            <w:r>
              <w:rPr>
                <w:lang w:bidi="zh-CN"/>
              </w:rPr>
              <w:t>井场设专用储罐，由罐车运至</w:t>
            </w:r>
            <w:r>
              <w:rPr>
                <w:rFonts w:hint="eastAsia"/>
                <w:lang w:bidi="zh-CN"/>
              </w:rPr>
              <w:t>沙南联合站采出水处理系统</w:t>
            </w:r>
            <w:r>
              <w:rPr>
                <w:lang w:bidi="zh-CN"/>
              </w:rPr>
              <w:t>处理</w:t>
            </w:r>
            <w:r>
              <w:rPr>
                <w:rFonts w:hint="eastAsia"/>
                <w:lang w:bidi="zh-CN"/>
              </w:rPr>
              <w:t>，</w:t>
            </w:r>
            <w:r>
              <w:rPr>
                <w:szCs w:val="18"/>
              </w:rPr>
              <w:t>不会对</w:t>
            </w:r>
            <w:r>
              <w:rPr>
                <w:rFonts w:hint="eastAsia"/>
                <w:szCs w:val="18"/>
              </w:rPr>
              <w:t>水</w:t>
            </w:r>
            <w:r>
              <w:rPr>
                <w:szCs w:val="18"/>
              </w:rPr>
              <w:t>环境产生不利影响。</w:t>
            </w:r>
          </w:p>
          <w:p>
            <w:pPr>
              <w:pStyle w:val="47"/>
              <w:ind w:firstLine="480"/>
              <w:rPr>
                <w:lang w:bidi="zh-CN"/>
              </w:rPr>
            </w:pPr>
            <w:r>
              <w:rPr>
                <w:rFonts w:hint="eastAsia"/>
                <w:szCs w:val="18"/>
              </w:rPr>
              <w:t>（2）固体废物影响</w:t>
            </w:r>
          </w:p>
          <w:p>
            <w:pPr>
              <w:pStyle w:val="47"/>
              <w:ind w:firstLine="480"/>
              <w:rPr>
                <w:szCs w:val="18"/>
              </w:rPr>
            </w:pPr>
            <w:r>
              <w:rPr>
                <w:szCs w:val="18"/>
              </w:rPr>
              <w:t>钻井过程中的固体废物均可得到有效的处置，正常情况下不会形成地表径流</w:t>
            </w:r>
            <w:r>
              <w:rPr>
                <w:rFonts w:hint="eastAsia"/>
                <w:szCs w:val="18"/>
              </w:rPr>
              <w:t>，</w:t>
            </w:r>
            <w:r>
              <w:rPr>
                <w:szCs w:val="18"/>
              </w:rPr>
              <w:t>或因雨水的冲刷而随地表径流漫流。项目区</w:t>
            </w:r>
            <w:r>
              <w:rPr>
                <w:rFonts w:hint="eastAsia"/>
                <w:szCs w:val="18"/>
              </w:rPr>
              <w:t>周边</w:t>
            </w:r>
            <w:r>
              <w:rPr>
                <w:szCs w:val="18"/>
              </w:rPr>
              <w:t>无地表水体，钻井过程中各种污染物质不存在进入地表水体</w:t>
            </w:r>
            <w:r>
              <w:rPr>
                <w:rFonts w:hint="eastAsia"/>
                <w:szCs w:val="18"/>
              </w:rPr>
              <w:t>导致</w:t>
            </w:r>
            <w:r>
              <w:rPr>
                <w:szCs w:val="18"/>
              </w:rPr>
              <w:t>污染地表水水质的可能。</w:t>
            </w:r>
          </w:p>
          <w:p>
            <w:pPr>
              <w:pStyle w:val="47"/>
              <w:ind w:firstLine="480"/>
              <w:rPr>
                <w:szCs w:val="18"/>
              </w:rPr>
            </w:pPr>
            <w:r>
              <w:rPr>
                <w:rFonts w:hint="eastAsia"/>
                <w:szCs w:val="18"/>
              </w:rPr>
              <w:t>（</w:t>
            </w:r>
            <w:r>
              <w:rPr>
                <w:szCs w:val="18"/>
              </w:rPr>
              <w:t>3）</w:t>
            </w:r>
            <w:r>
              <w:rPr>
                <w:rFonts w:hint="eastAsia"/>
                <w:szCs w:val="18"/>
              </w:rPr>
              <w:t>地下水影响分析</w:t>
            </w:r>
          </w:p>
          <w:p>
            <w:pPr>
              <w:pStyle w:val="47"/>
              <w:ind w:firstLine="480"/>
              <w:rPr>
                <w:szCs w:val="18"/>
              </w:rPr>
            </w:pPr>
            <w:r>
              <w:rPr>
                <w:rFonts w:hint="eastAsia"/>
                <w:szCs w:val="18"/>
              </w:rPr>
              <w:t>本项目试油废水全部进入井场储罐中，送至沙南联合站</w:t>
            </w:r>
            <w:r>
              <w:rPr>
                <w:szCs w:val="18"/>
              </w:rPr>
              <w:t>采出水</w:t>
            </w:r>
            <w:r>
              <w:rPr>
                <w:rFonts w:hint="eastAsia"/>
                <w:szCs w:val="18"/>
              </w:rPr>
              <w:t>处理</w:t>
            </w:r>
            <w:r>
              <w:rPr>
                <w:szCs w:val="18"/>
              </w:rPr>
              <w:t>系统</w:t>
            </w:r>
            <w:r>
              <w:rPr>
                <w:rFonts w:hint="eastAsia"/>
                <w:szCs w:val="18"/>
              </w:rPr>
              <w:t>处理；项目生活污水排放量较少，生活营地设置</w:t>
            </w:r>
            <w:r>
              <w:rPr>
                <w:szCs w:val="18"/>
              </w:rPr>
              <w:t>临时储集</w:t>
            </w:r>
            <w:r>
              <w:rPr>
                <w:rFonts w:hint="eastAsia"/>
                <w:szCs w:val="18"/>
              </w:rPr>
              <w:t>防渗</w:t>
            </w:r>
            <w:r>
              <w:rPr>
                <w:szCs w:val="18"/>
              </w:rPr>
              <w:t>池</w:t>
            </w:r>
            <w:r>
              <w:rPr>
                <w:rFonts w:hint="eastAsia"/>
                <w:szCs w:val="18"/>
              </w:rPr>
              <w:t>用于收集生活污水，施工结束后清运至吉木萨尔县污水处理厂处理，不会对地下水环境产生不利影响。</w:t>
            </w:r>
          </w:p>
          <w:p>
            <w:pPr>
              <w:pStyle w:val="47"/>
              <w:ind w:firstLine="480"/>
              <w:rPr>
                <w:szCs w:val="18"/>
              </w:rPr>
            </w:pPr>
            <w:r>
              <w:rPr>
                <w:rFonts w:hint="eastAsia" w:ascii="等线" w:hAnsi="等线"/>
              </w:rPr>
              <w:t>施工期间各井场油罐、发电机、材料堆场等关键区域均采用防渗膜防渗，钻井</w:t>
            </w:r>
            <w:r>
              <w:rPr>
                <w:rFonts w:ascii="等线" w:hAnsi="等线"/>
              </w:rPr>
              <w:t>采用下套管注水泥固井</w:t>
            </w:r>
            <w:r>
              <w:rPr>
                <w:rFonts w:hint="eastAsia" w:ascii="等线" w:hAnsi="等线"/>
              </w:rPr>
              <w:t>的</w:t>
            </w:r>
            <w:r>
              <w:rPr>
                <w:rFonts w:ascii="等线" w:hAnsi="等线"/>
              </w:rPr>
              <w:t>完井方式进行了水泥固井，对含水层进行了固封处理，</w:t>
            </w:r>
            <w:r>
              <w:rPr>
                <w:rFonts w:hint="eastAsia" w:ascii="等线" w:hAnsi="等线"/>
              </w:rPr>
              <w:t>可</w:t>
            </w:r>
            <w:r>
              <w:rPr>
                <w:rFonts w:ascii="等线" w:hAnsi="等线"/>
              </w:rPr>
              <w:t>有效保护地下水层</w:t>
            </w:r>
            <w:r>
              <w:rPr>
                <w:rFonts w:hint="eastAsia" w:ascii="等线" w:hAnsi="等线"/>
              </w:rPr>
              <w:t>。</w:t>
            </w:r>
          </w:p>
          <w:p>
            <w:pPr>
              <w:pStyle w:val="47"/>
              <w:ind w:firstLine="480"/>
            </w:pPr>
            <w:r>
              <w:rPr>
                <w:rFonts w:hint="eastAsia" w:ascii="等线" w:hAnsi="等线"/>
              </w:rPr>
              <w:t>综上所述，本项目对水环境影响很小。</w:t>
            </w:r>
          </w:p>
          <w:p>
            <w:pPr>
              <w:widowControl/>
              <w:snapToGrid w:val="0"/>
              <w:spacing w:line="500" w:lineRule="exact"/>
              <w:ind w:firstLine="482" w:firstLineChars="200"/>
              <w:jc w:val="left"/>
              <w:rPr>
                <w:rFonts w:ascii="宋体" w:hAnsi="宋体" w:cs="宋体"/>
                <w:b/>
                <w:bCs/>
                <w:sz w:val="24"/>
              </w:rPr>
            </w:pPr>
            <w:r>
              <w:rPr>
                <w:rFonts w:ascii="宋体" w:hAnsi="宋体"/>
                <w:b/>
                <w:bCs/>
                <w:sz w:val="24"/>
              </w:rPr>
              <w:t>5</w:t>
            </w:r>
            <w:r>
              <w:rPr>
                <w:rFonts w:hint="eastAsia" w:ascii="宋体" w:hAnsi="宋体"/>
                <w:b/>
                <w:bCs/>
                <w:sz w:val="24"/>
              </w:rPr>
              <w:t>、</w:t>
            </w:r>
            <w:r>
              <w:rPr>
                <w:rFonts w:hint="eastAsia" w:ascii="宋体" w:hAnsi="宋体" w:cs="宋体"/>
                <w:b/>
                <w:bCs/>
                <w:sz w:val="24"/>
              </w:rPr>
              <w:t>声环境影响分析</w:t>
            </w:r>
          </w:p>
          <w:p>
            <w:pPr>
              <w:pStyle w:val="47"/>
              <w:ind w:firstLine="480"/>
            </w:pPr>
            <w:r>
              <w:rPr>
                <w:rFonts w:hint="eastAsia" w:cs="宋体"/>
                <w:kern w:val="2"/>
              </w:rPr>
              <w:t>施工期噪声来源于井场、生活营地及道路建设等钻前作业、钻井作业及试油作业等施工活动。噪声源主要包括柴油发电机、柴油机、钻井液循环泵，以及各类施工机械，如挖土机、推土机、轮式装载车等，贯穿于整个施工过程，待施工结束后影响将消失。项目</w:t>
            </w:r>
            <w:r>
              <w:rPr>
                <w:rFonts w:cs="宋体"/>
                <w:kern w:val="2"/>
              </w:rPr>
              <w:t>20</w:t>
            </w:r>
            <w:r>
              <w:rPr>
                <w:rFonts w:hint="eastAsia" w:cs="宋体"/>
                <w:kern w:val="2"/>
              </w:rPr>
              <w:t>0m范围内无声环境敏感目标，施工活动产生的噪声对周围声环境影响很小。</w:t>
            </w:r>
          </w:p>
          <w:p>
            <w:pPr>
              <w:pStyle w:val="47"/>
              <w:ind w:firstLine="482"/>
              <w:rPr>
                <w:b/>
                <w:bCs/>
              </w:rPr>
            </w:pPr>
            <w:r>
              <w:rPr>
                <w:b/>
                <w:bCs/>
              </w:rPr>
              <w:t>6</w:t>
            </w:r>
            <w:r>
              <w:rPr>
                <w:rFonts w:hint="eastAsia"/>
                <w:b/>
                <w:bCs/>
              </w:rPr>
              <w:t>、固体废物影响分析</w:t>
            </w:r>
          </w:p>
          <w:p>
            <w:pPr>
              <w:pStyle w:val="54"/>
              <w:ind w:firstLine="480"/>
            </w:pPr>
            <w:r>
              <w:rPr>
                <w:rFonts w:hint="eastAsia"/>
              </w:rPr>
              <w:t>本项目固体废物主要为钻井岩屑、生活垃圾及废防渗膜。</w:t>
            </w:r>
          </w:p>
          <w:p>
            <w:pPr>
              <w:pStyle w:val="54"/>
              <w:ind w:firstLine="480"/>
            </w:pPr>
            <w:r>
              <w:rPr>
                <w:rFonts w:hint="eastAsia"/>
              </w:rPr>
              <w:t>（</w:t>
            </w:r>
            <w:r>
              <w:t>1</w:t>
            </w:r>
            <w:r>
              <w:rPr>
                <w:rFonts w:hint="eastAsia"/>
              </w:rPr>
              <w:t>）钻井岩屑</w:t>
            </w:r>
          </w:p>
          <w:p>
            <w:pPr>
              <w:pStyle w:val="54"/>
              <w:ind w:firstLine="480"/>
            </w:pPr>
            <w:r>
              <w:rPr>
                <w:rFonts w:hint="eastAsia"/>
              </w:rPr>
              <w:t>钻井过程中，岩石经钻头和钻井液的研磨而破碎成岩屑，随钻井液排出井口，进入钻井液不落地系统，处理后岩屑与钻井液分离，液体回收利用，固体岩屑暂存井场方罐。岩屑产生、排放量与井身结构有关，可按下式计算：</w:t>
            </w:r>
          </w:p>
          <w:p>
            <w:pPr>
              <w:pStyle w:val="54"/>
              <w:ind w:firstLine="480"/>
              <w:jc w:val="center"/>
              <w:rPr>
                <w:rFonts w:cs="Times New Roman"/>
              </w:rPr>
            </w:pPr>
            <w:r>
              <w:rPr>
                <w:rFonts w:cs="Times New Roman"/>
              </w:rPr>
              <w:t>W=1/4×π×D</w:t>
            </w:r>
            <w:r>
              <w:rPr>
                <w:rFonts w:cs="Times New Roman"/>
                <w:vertAlign w:val="superscript"/>
              </w:rPr>
              <w:t>2</w:t>
            </w:r>
            <w:r>
              <w:rPr>
                <w:rFonts w:cs="Times New Roman"/>
              </w:rPr>
              <w:t>×h×P</w:t>
            </w:r>
          </w:p>
          <w:p>
            <w:pPr>
              <w:pStyle w:val="54"/>
              <w:ind w:firstLine="480"/>
            </w:pPr>
            <w:r>
              <w:rPr>
                <w:rFonts w:hint="eastAsia"/>
              </w:rPr>
              <w:t>式中：W——产生的岩屑量，m</w:t>
            </w:r>
            <w:r>
              <w:rPr>
                <w:rFonts w:hint="eastAsia"/>
                <w:vertAlign w:val="superscript"/>
              </w:rPr>
              <w:t>3</w:t>
            </w:r>
            <w:r>
              <w:rPr>
                <w:rFonts w:hint="eastAsia"/>
              </w:rPr>
              <w:t>；</w:t>
            </w:r>
          </w:p>
          <w:p>
            <w:pPr>
              <w:pStyle w:val="54"/>
              <w:ind w:firstLine="480"/>
            </w:pPr>
            <w:r>
              <w:rPr>
                <w:rFonts w:hint="eastAsia"/>
              </w:rPr>
              <w:t xml:space="preserve">      D——井眼平均井径，m；</w:t>
            </w:r>
          </w:p>
          <w:p>
            <w:pPr>
              <w:pStyle w:val="54"/>
              <w:ind w:firstLine="480"/>
            </w:pPr>
            <w:r>
              <w:rPr>
                <w:rFonts w:hint="eastAsia"/>
              </w:rPr>
              <w:t xml:space="preserve">      h——裸眼长度，m；</w:t>
            </w:r>
          </w:p>
          <w:p>
            <w:pPr>
              <w:pStyle w:val="54"/>
              <w:ind w:firstLine="480"/>
            </w:pPr>
            <w:r>
              <w:rPr>
                <w:rFonts w:hint="eastAsia"/>
              </w:rPr>
              <w:t xml:space="preserve">      P——膨胀系数，使用水基钻井液体系时取1.8，油基钻井液体系取4。</w:t>
            </w:r>
          </w:p>
          <w:p>
            <w:pPr>
              <w:pStyle w:val="54"/>
              <w:ind w:firstLine="480"/>
            </w:pPr>
            <w:r>
              <w:rPr>
                <w:rFonts w:hint="eastAsia"/>
              </w:rPr>
              <w:t>根据井身结构计算项目岩屑产生量，水基岩屑按体积计，油基钻井岩屑按质量计，密度取ρ=2.5g/cm</w:t>
            </w:r>
            <w:r>
              <w:rPr>
                <w:rFonts w:hint="eastAsia"/>
                <w:vertAlign w:val="superscript"/>
              </w:rPr>
              <w:t>3</w:t>
            </w:r>
            <w:r>
              <w:rPr>
                <w:rFonts w:hint="eastAsia"/>
              </w:rPr>
              <w:t>。岩屑产生量详见</w:t>
            </w:r>
            <w:r>
              <w:fldChar w:fldCharType="begin"/>
            </w:r>
            <w:r>
              <w:instrText xml:space="preserve"> REF _Ref19642107 \h  \* MERGEFORMAT </w:instrText>
            </w:r>
            <w:r>
              <w:fldChar w:fldCharType="separate"/>
            </w:r>
            <w:r>
              <w:t>表</w:t>
            </w:r>
            <w:r>
              <w:fldChar w:fldCharType="end"/>
            </w:r>
            <w:r>
              <w:t>11。</w:t>
            </w:r>
          </w:p>
          <w:p>
            <w:pPr>
              <w:pStyle w:val="54"/>
              <w:ind w:firstLine="420"/>
              <w:jc w:val="center"/>
              <w:rPr>
                <w:rFonts w:ascii="黑体" w:hAnsi="黑体" w:eastAsia="黑体"/>
                <w:sz w:val="21"/>
                <w:szCs w:val="21"/>
              </w:rPr>
            </w:pPr>
            <w:bookmarkStart w:id="17" w:name="_Ref19642107"/>
            <w:r>
              <w:rPr>
                <w:rFonts w:ascii="黑体" w:hAnsi="黑体" w:eastAsia="黑体"/>
                <w:sz w:val="21"/>
                <w:szCs w:val="21"/>
              </w:rPr>
              <w:t>表</w:t>
            </w:r>
            <w:bookmarkEnd w:id="17"/>
            <w:r>
              <w:rPr>
                <w:rFonts w:ascii="黑体" w:hAnsi="黑体" w:eastAsia="黑体"/>
                <w:sz w:val="21"/>
                <w:szCs w:val="21"/>
              </w:rPr>
              <w:t xml:space="preserve">11  </w:t>
            </w:r>
            <w:r>
              <w:rPr>
                <w:rFonts w:hint="eastAsia" w:ascii="黑体" w:hAnsi="黑体" w:eastAsia="黑体"/>
                <w:sz w:val="21"/>
                <w:szCs w:val="21"/>
              </w:rPr>
              <w:t>钻井岩屑产生量一览表</w:t>
            </w:r>
          </w:p>
          <w:tbl>
            <w:tblPr>
              <w:tblStyle w:val="17"/>
              <w:tblW w:w="764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1529"/>
              <w:gridCol w:w="1226"/>
              <w:gridCol w:w="1350"/>
              <w:gridCol w:w="861"/>
              <w:gridCol w:w="1489"/>
              <w:gridCol w:w="118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trPr>
              <w:tc>
                <w:tcPr>
                  <w:tcW w:w="1529" w:type="dxa"/>
                  <w:vMerge w:val="restart"/>
                  <w:vAlign w:val="center"/>
                </w:tcPr>
                <w:p>
                  <w:pPr>
                    <w:pStyle w:val="50"/>
                    <w:spacing w:line="300" w:lineRule="exact"/>
                    <w:rPr>
                      <w:rFonts w:cs="宋体"/>
                    </w:rPr>
                  </w:pPr>
                  <w:r>
                    <w:rPr>
                      <w:rFonts w:hint="eastAsia" w:cs="宋体"/>
                    </w:rPr>
                    <w:t>井号</w:t>
                  </w:r>
                </w:p>
              </w:tc>
              <w:tc>
                <w:tcPr>
                  <w:tcW w:w="2576" w:type="dxa"/>
                  <w:gridSpan w:val="2"/>
                  <w:vAlign w:val="center"/>
                </w:tcPr>
                <w:p>
                  <w:pPr>
                    <w:pStyle w:val="50"/>
                    <w:spacing w:line="300" w:lineRule="exact"/>
                    <w:rPr>
                      <w:rFonts w:cs="宋体"/>
                    </w:rPr>
                  </w:pPr>
                  <w:r>
                    <w:rPr>
                      <w:rFonts w:hint="eastAsia" w:cs="宋体"/>
                    </w:rPr>
                    <w:t>水基钻井岩屑</w:t>
                  </w:r>
                </w:p>
              </w:tc>
              <w:tc>
                <w:tcPr>
                  <w:tcW w:w="3539" w:type="dxa"/>
                  <w:gridSpan w:val="3"/>
                  <w:noWrap/>
                  <w:vAlign w:val="center"/>
                </w:tcPr>
                <w:p>
                  <w:pPr>
                    <w:pStyle w:val="50"/>
                    <w:spacing w:line="300" w:lineRule="exact"/>
                    <w:rPr>
                      <w:rFonts w:cs="宋体"/>
                    </w:rPr>
                  </w:pPr>
                  <w:r>
                    <w:rPr>
                      <w:rFonts w:hint="eastAsia" w:cs="宋体"/>
                    </w:rPr>
                    <w:t>油基钻井岩屑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trPr>
              <w:tc>
                <w:tcPr>
                  <w:tcW w:w="1529" w:type="dxa"/>
                  <w:vMerge w:val="continue"/>
                  <w:vAlign w:val="center"/>
                </w:tcPr>
                <w:p>
                  <w:pPr>
                    <w:pStyle w:val="50"/>
                    <w:spacing w:line="300" w:lineRule="exact"/>
                    <w:ind w:firstLine="480"/>
                    <w:rPr>
                      <w:rFonts w:cs="宋体"/>
                    </w:rPr>
                  </w:pPr>
                </w:p>
              </w:tc>
              <w:tc>
                <w:tcPr>
                  <w:tcW w:w="1226" w:type="dxa"/>
                  <w:vAlign w:val="center"/>
                </w:tcPr>
                <w:p>
                  <w:pPr>
                    <w:pStyle w:val="50"/>
                    <w:spacing w:line="300" w:lineRule="exact"/>
                    <w:rPr>
                      <w:rFonts w:cs="宋体"/>
                    </w:rPr>
                  </w:pPr>
                  <w:r>
                    <w:rPr>
                      <w:rFonts w:hint="eastAsia" w:cs="宋体"/>
                    </w:rPr>
                    <w:t>井段</w:t>
                  </w:r>
                </w:p>
              </w:tc>
              <w:tc>
                <w:tcPr>
                  <w:tcW w:w="1350" w:type="dxa"/>
                  <w:vAlign w:val="center"/>
                </w:tcPr>
                <w:p>
                  <w:pPr>
                    <w:pStyle w:val="50"/>
                    <w:spacing w:line="300" w:lineRule="exact"/>
                    <w:rPr>
                      <w:rFonts w:cs="宋体"/>
                    </w:rPr>
                  </w:pPr>
                  <w:r>
                    <w:rPr>
                      <w:rFonts w:hint="eastAsia" w:cs="宋体"/>
                    </w:rPr>
                    <w:t>体积（m</w:t>
                  </w:r>
                  <w:r>
                    <w:rPr>
                      <w:rFonts w:hint="eastAsia" w:cs="宋体"/>
                      <w:vertAlign w:val="superscript"/>
                    </w:rPr>
                    <w:t>3</w:t>
                  </w:r>
                  <w:r>
                    <w:rPr>
                      <w:rFonts w:hint="eastAsia" w:cs="宋体"/>
                    </w:rPr>
                    <w:t>）</w:t>
                  </w:r>
                </w:p>
              </w:tc>
              <w:tc>
                <w:tcPr>
                  <w:tcW w:w="861" w:type="dxa"/>
                  <w:vAlign w:val="center"/>
                </w:tcPr>
                <w:p>
                  <w:pPr>
                    <w:pStyle w:val="50"/>
                    <w:spacing w:line="300" w:lineRule="exact"/>
                    <w:rPr>
                      <w:rFonts w:cs="宋体"/>
                    </w:rPr>
                  </w:pPr>
                  <w:r>
                    <w:rPr>
                      <w:rFonts w:hint="eastAsia" w:cs="宋体"/>
                    </w:rPr>
                    <w:t>井段</w:t>
                  </w:r>
                </w:p>
              </w:tc>
              <w:tc>
                <w:tcPr>
                  <w:tcW w:w="1489" w:type="dxa"/>
                  <w:tcBorders>
                    <w:right w:val="single" w:color="auto" w:sz="4" w:space="0"/>
                  </w:tcBorders>
                  <w:vAlign w:val="center"/>
                </w:tcPr>
                <w:p>
                  <w:pPr>
                    <w:pStyle w:val="50"/>
                    <w:spacing w:line="300" w:lineRule="exact"/>
                    <w:rPr>
                      <w:rFonts w:cs="宋体"/>
                    </w:rPr>
                  </w:pPr>
                  <w:r>
                    <w:rPr>
                      <w:rFonts w:hint="eastAsia" w:cs="宋体"/>
                    </w:rPr>
                    <w:t>体积（m</w:t>
                  </w:r>
                  <w:r>
                    <w:rPr>
                      <w:rFonts w:hint="eastAsia" w:cs="宋体"/>
                      <w:vertAlign w:val="superscript"/>
                    </w:rPr>
                    <w:t>3</w:t>
                  </w:r>
                  <w:r>
                    <w:rPr>
                      <w:rFonts w:hint="eastAsia" w:cs="宋体"/>
                    </w:rPr>
                    <w:t>）</w:t>
                  </w:r>
                </w:p>
              </w:tc>
              <w:tc>
                <w:tcPr>
                  <w:tcW w:w="1189" w:type="dxa"/>
                  <w:tcBorders>
                    <w:left w:val="single" w:color="auto" w:sz="4" w:space="0"/>
                  </w:tcBorders>
                  <w:vAlign w:val="center"/>
                </w:tcPr>
                <w:p>
                  <w:pPr>
                    <w:pStyle w:val="50"/>
                    <w:spacing w:line="300" w:lineRule="exact"/>
                    <w:rPr>
                      <w:rFonts w:cs="宋体"/>
                    </w:rPr>
                  </w:pPr>
                  <w:r>
                    <w:rPr>
                      <w:rFonts w:hint="eastAsia" w:cs="宋体"/>
                    </w:rPr>
                    <w:t>质量（t）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trPr>
              <w:tc>
                <w:tcPr>
                  <w:tcW w:w="1529" w:type="dxa"/>
                  <w:vMerge w:val="restart"/>
                  <w:vAlign w:val="center"/>
                </w:tcPr>
                <w:p>
                  <w:pPr>
                    <w:pStyle w:val="50"/>
                    <w:spacing w:line="300" w:lineRule="exact"/>
                    <w:rPr>
                      <w:rFonts w:cs="宋体"/>
                    </w:rPr>
                  </w:pPr>
                  <w:r>
                    <w:rPr>
                      <w:rFonts w:hint="eastAsia" w:cs="宋体"/>
                    </w:rPr>
                    <w:t>康10H</w:t>
                  </w:r>
                </w:p>
              </w:tc>
              <w:tc>
                <w:tcPr>
                  <w:tcW w:w="1226" w:type="dxa"/>
                  <w:vMerge w:val="restart"/>
                  <w:vAlign w:val="center"/>
                </w:tcPr>
                <w:p>
                  <w:pPr>
                    <w:pStyle w:val="50"/>
                    <w:spacing w:line="300" w:lineRule="exact"/>
                    <w:rPr>
                      <w:rFonts w:cs="宋体"/>
                    </w:rPr>
                  </w:pPr>
                  <w:r>
                    <w:rPr>
                      <w:rFonts w:hint="eastAsia" w:cs="宋体"/>
                    </w:rPr>
                    <w:t>一开</w:t>
                  </w:r>
                </w:p>
              </w:tc>
              <w:tc>
                <w:tcPr>
                  <w:tcW w:w="1350" w:type="dxa"/>
                  <w:vMerge w:val="restart"/>
                  <w:vAlign w:val="center"/>
                </w:tcPr>
                <w:p>
                  <w:pPr>
                    <w:pStyle w:val="50"/>
                    <w:spacing w:line="300" w:lineRule="exact"/>
                    <w:rPr>
                      <w:rFonts w:cs="宋体"/>
                    </w:rPr>
                  </w:pPr>
                  <w:r>
                    <w:rPr>
                      <w:rFonts w:hint="eastAsia" w:cs="宋体"/>
                    </w:rPr>
                    <w:t>140</w:t>
                  </w:r>
                </w:p>
              </w:tc>
              <w:tc>
                <w:tcPr>
                  <w:tcW w:w="861" w:type="dxa"/>
                  <w:noWrap/>
                  <w:vAlign w:val="center"/>
                </w:tcPr>
                <w:p>
                  <w:pPr>
                    <w:pStyle w:val="50"/>
                    <w:spacing w:line="300" w:lineRule="exact"/>
                    <w:rPr>
                      <w:rFonts w:cs="宋体"/>
                    </w:rPr>
                  </w:pPr>
                  <w:r>
                    <w:rPr>
                      <w:rFonts w:hint="eastAsia" w:cs="宋体"/>
                    </w:rPr>
                    <w:t>二开</w:t>
                  </w:r>
                </w:p>
              </w:tc>
              <w:tc>
                <w:tcPr>
                  <w:tcW w:w="1489" w:type="dxa"/>
                  <w:tcBorders>
                    <w:right w:val="single" w:color="auto" w:sz="4" w:space="0"/>
                  </w:tcBorders>
                  <w:noWrap/>
                  <w:vAlign w:val="center"/>
                </w:tcPr>
                <w:p>
                  <w:pPr>
                    <w:pStyle w:val="50"/>
                    <w:spacing w:line="300" w:lineRule="exact"/>
                    <w:rPr>
                      <w:rFonts w:cs="宋体"/>
                    </w:rPr>
                  </w:pPr>
                  <w:r>
                    <w:rPr>
                      <w:rFonts w:cs="宋体"/>
                    </w:rPr>
                    <w:t>718</w:t>
                  </w:r>
                </w:p>
              </w:tc>
              <w:tc>
                <w:tcPr>
                  <w:tcW w:w="1189" w:type="dxa"/>
                  <w:tcBorders>
                    <w:left w:val="single" w:color="auto" w:sz="4" w:space="0"/>
                  </w:tcBorders>
                  <w:vAlign w:val="center"/>
                </w:tcPr>
                <w:p>
                  <w:pPr>
                    <w:pStyle w:val="50"/>
                    <w:spacing w:line="300" w:lineRule="exact"/>
                    <w:rPr>
                      <w:rFonts w:cs="宋体"/>
                    </w:rPr>
                  </w:pPr>
                  <w:r>
                    <w:rPr>
                      <w:rFonts w:cs="宋体"/>
                    </w:rPr>
                    <w:t>1795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trPr>
              <w:tc>
                <w:tcPr>
                  <w:tcW w:w="1529" w:type="dxa"/>
                  <w:vMerge w:val="continue"/>
                  <w:vAlign w:val="center"/>
                </w:tcPr>
                <w:p>
                  <w:pPr>
                    <w:pStyle w:val="50"/>
                    <w:spacing w:line="300" w:lineRule="exact"/>
                    <w:ind w:firstLine="480"/>
                    <w:rPr>
                      <w:rFonts w:cs="宋体"/>
                    </w:rPr>
                  </w:pPr>
                </w:p>
              </w:tc>
              <w:tc>
                <w:tcPr>
                  <w:tcW w:w="1226" w:type="dxa"/>
                  <w:vMerge w:val="continue"/>
                  <w:vAlign w:val="center"/>
                </w:tcPr>
                <w:p>
                  <w:pPr>
                    <w:pStyle w:val="50"/>
                    <w:spacing w:line="300" w:lineRule="exact"/>
                    <w:ind w:firstLine="480"/>
                    <w:rPr>
                      <w:rFonts w:cs="宋体"/>
                    </w:rPr>
                  </w:pPr>
                </w:p>
              </w:tc>
              <w:tc>
                <w:tcPr>
                  <w:tcW w:w="1350" w:type="dxa"/>
                  <w:vMerge w:val="continue"/>
                  <w:vAlign w:val="center"/>
                </w:tcPr>
                <w:p>
                  <w:pPr>
                    <w:pStyle w:val="50"/>
                    <w:spacing w:line="300" w:lineRule="exact"/>
                    <w:ind w:firstLine="480"/>
                    <w:rPr>
                      <w:rFonts w:cs="宋体"/>
                    </w:rPr>
                  </w:pPr>
                </w:p>
              </w:tc>
              <w:tc>
                <w:tcPr>
                  <w:tcW w:w="861" w:type="dxa"/>
                  <w:noWrap/>
                  <w:vAlign w:val="center"/>
                </w:tcPr>
                <w:p>
                  <w:pPr>
                    <w:pStyle w:val="50"/>
                    <w:spacing w:line="300" w:lineRule="exact"/>
                    <w:rPr>
                      <w:rFonts w:cs="宋体"/>
                    </w:rPr>
                  </w:pPr>
                  <w:r>
                    <w:rPr>
                      <w:rFonts w:hint="eastAsia" w:cs="宋体"/>
                    </w:rPr>
                    <w:t>三开</w:t>
                  </w:r>
                </w:p>
              </w:tc>
              <w:tc>
                <w:tcPr>
                  <w:tcW w:w="1489" w:type="dxa"/>
                  <w:tcBorders>
                    <w:right w:val="single" w:color="auto" w:sz="4" w:space="0"/>
                  </w:tcBorders>
                  <w:noWrap/>
                  <w:vAlign w:val="center"/>
                </w:tcPr>
                <w:p>
                  <w:pPr>
                    <w:pStyle w:val="50"/>
                    <w:spacing w:line="300" w:lineRule="exact"/>
                    <w:rPr>
                      <w:rFonts w:cs="宋体"/>
                    </w:rPr>
                  </w:pPr>
                  <w:r>
                    <w:rPr>
                      <w:rFonts w:cs="宋体"/>
                    </w:rPr>
                    <w:t>241</w:t>
                  </w:r>
                </w:p>
              </w:tc>
              <w:tc>
                <w:tcPr>
                  <w:tcW w:w="1189" w:type="dxa"/>
                  <w:tcBorders>
                    <w:left w:val="single" w:color="auto" w:sz="4" w:space="0"/>
                  </w:tcBorders>
                  <w:vAlign w:val="center"/>
                </w:tcPr>
                <w:p>
                  <w:pPr>
                    <w:pStyle w:val="50"/>
                    <w:spacing w:line="300" w:lineRule="exact"/>
                    <w:rPr>
                      <w:rFonts w:cs="宋体"/>
                    </w:rPr>
                  </w:pPr>
                  <w:r>
                    <w:rPr>
                      <w:rFonts w:cs="宋体"/>
                    </w:rPr>
                    <w:t>603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trPr>
              <w:tc>
                <w:tcPr>
                  <w:tcW w:w="1529" w:type="dxa"/>
                  <w:noWrap/>
                  <w:vAlign w:val="center"/>
                </w:tcPr>
                <w:p>
                  <w:pPr>
                    <w:pStyle w:val="50"/>
                    <w:spacing w:line="300" w:lineRule="exact"/>
                    <w:rPr>
                      <w:rFonts w:cs="宋体"/>
                    </w:rPr>
                  </w:pPr>
                  <w:r>
                    <w:rPr>
                      <w:rFonts w:hint="eastAsia" w:cs="宋体"/>
                    </w:rPr>
                    <w:t>合计</w:t>
                  </w:r>
                </w:p>
              </w:tc>
              <w:tc>
                <w:tcPr>
                  <w:tcW w:w="1226" w:type="dxa"/>
                  <w:noWrap/>
                  <w:vAlign w:val="center"/>
                </w:tcPr>
                <w:p>
                  <w:pPr>
                    <w:pStyle w:val="50"/>
                    <w:spacing w:line="300" w:lineRule="exact"/>
                    <w:rPr>
                      <w:rFonts w:cs="宋体"/>
                    </w:rPr>
                  </w:pPr>
                  <w:r>
                    <w:rPr>
                      <w:rFonts w:hint="eastAsia" w:cs="宋体"/>
                    </w:rPr>
                    <w:t>/</w:t>
                  </w:r>
                </w:p>
              </w:tc>
              <w:tc>
                <w:tcPr>
                  <w:tcW w:w="1350" w:type="dxa"/>
                  <w:noWrap/>
                  <w:vAlign w:val="center"/>
                </w:tcPr>
                <w:p>
                  <w:pPr>
                    <w:pStyle w:val="50"/>
                    <w:spacing w:line="300" w:lineRule="exact"/>
                    <w:rPr>
                      <w:rFonts w:cs="宋体"/>
                    </w:rPr>
                  </w:pPr>
                  <w:r>
                    <w:rPr>
                      <w:rFonts w:hint="eastAsia" w:cs="宋体"/>
                    </w:rPr>
                    <w:t>140</w:t>
                  </w:r>
                </w:p>
              </w:tc>
              <w:tc>
                <w:tcPr>
                  <w:tcW w:w="861" w:type="dxa"/>
                  <w:noWrap/>
                  <w:vAlign w:val="center"/>
                </w:tcPr>
                <w:p>
                  <w:pPr>
                    <w:pStyle w:val="50"/>
                    <w:spacing w:line="300" w:lineRule="exact"/>
                    <w:rPr>
                      <w:rFonts w:cs="宋体"/>
                    </w:rPr>
                  </w:pPr>
                  <w:r>
                    <w:rPr>
                      <w:rFonts w:hint="eastAsia" w:cs="宋体"/>
                    </w:rPr>
                    <w:t>/</w:t>
                  </w:r>
                </w:p>
              </w:tc>
              <w:tc>
                <w:tcPr>
                  <w:tcW w:w="1489" w:type="dxa"/>
                  <w:tcBorders>
                    <w:right w:val="single" w:color="auto" w:sz="4" w:space="0"/>
                  </w:tcBorders>
                  <w:noWrap/>
                  <w:vAlign w:val="center"/>
                </w:tcPr>
                <w:p>
                  <w:pPr>
                    <w:pStyle w:val="50"/>
                    <w:spacing w:line="300" w:lineRule="exact"/>
                    <w:rPr>
                      <w:rFonts w:cs="宋体"/>
                    </w:rPr>
                  </w:pPr>
                  <w:r>
                    <w:rPr>
                      <w:rFonts w:cs="宋体"/>
                    </w:rPr>
                    <w:t>959</w:t>
                  </w:r>
                </w:p>
              </w:tc>
              <w:tc>
                <w:tcPr>
                  <w:tcW w:w="1189" w:type="dxa"/>
                  <w:tcBorders>
                    <w:left w:val="single" w:color="auto" w:sz="4" w:space="0"/>
                  </w:tcBorders>
                  <w:vAlign w:val="center"/>
                </w:tcPr>
                <w:p>
                  <w:pPr>
                    <w:pStyle w:val="50"/>
                    <w:spacing w:line="300" w:lineRule="exact"/>
                    <w:rPr>
                      <w:rFonts w:cs="宋体"/>
                    </w:rPr>
                  </w:pPr>
                  <w:r>
                    <w:rPr>
                      <w:rFonts w:cs="宋体"/>
                    </w:rPr>
                    <w:t>2398</w:t>
                  </w:r>
                </w:p>
              </w:tc>
            </w:tr>
          </w:tbl>
          <w:p>
            <w:pPr>
              <w:pStyle w:val="47"/>
              <w:ind w:firstLine="480"/>
            </w:pPr>
            <w:r>
              <w:rPr>
                <w:rFonts w:hint="eastAsia"/>
              </w:rPr>
              <w:t>本项目产生的水基钻井岩屑共计</w:t>
            </w:r>
            <w:r>
              <w:t>140</w:t>
            </w:r>
            <w:r>
              <w:rPr>
                <w:rFonts w:hint="eastAsia"/>
              </w:rPr>
              <w:t>m</w:t>
            </w:r>
            <w:r>
              <w:rPr>
                <w:rFonts w:hint="eastAsia"/>
                <w:vertAlign w:val="superscript"/>
              </w:rPr>
              <w:t>3</w:t>
            </w:r>
            <w:r>
              <w:rPr>
                <w:rFonts w:hint="eastAsia"/>
              </w:rPr>
              <w:t>，油基钻井岩屑共计</w:t>
            </w:r>
            <w:r>
              <w:rPr>
                <w:rFonts w:cs="宋体"/>
              </w:rPr>
              <w:t>2398</w:t>
            </w:r>
            <w:r>
              <w:rPr>
                <w:rFonts w:hint="eastAsia"/>
              </w:rPr>
              <w:t>t。</w:t>
            </w:r>
          </w:p>
          <w:p>
            <w:pPr>
              <w:pStyle w:val="47"/>
              <w:ind w:firstLine="480"/>
            </w:pPr>
            <w:r>
              <w:rPr>
                <w:rFonts w:hint="eastAsia"/>
              </w:rPr>
              <w:t>井场设钻井液不落地设备，</w:t>
            </w:r>
            <w:r>
              <w:rPr>
                <w:rFonts w:hint="eastAsia"/>
                <w:szCs w:val="21"/>
              </w:rPr>
              <w:t>水基钻井岩屑、油基钻井岩屑均采用一套不落地系统进行固液分离处理。</w:t>
            </w:r>
            <w:r>
              <w:rPr>
                <w:rFonts w:hint="eastAsia"/>
              </w:rPr>
              <w:t>分离出的液相回用于钻井，分离出的水基钻井岩屑进岩屑专用方罐，由岩屑处置单位直接拉运进行处理，满足《油气田钻井固体废弃物综合利用污染物控制要求》（DB65/T3997—2017）相关要求后进行综合利用；油基钻井岩屑属于</w:t>
            </w:r>
            <w:r>
              <w:rPr>
                <w:rFonts w:hint="eastAsia" w:cs="宋体"/>
              </w:rPr>
              <w:t>《国家危险废物名录》（2021年版）HW08类危险废物，代码：071—002—08，危险特性为毒性。油基岩屑</w:t>
            </w:r>
            <w:r>
              <w:rPr>
                <w:rFonts w:hint="eastAsia"/>
              </w:rPr>
              <w:t>进入油基岩屑专用方罐后交由具有相关危险废物处置资质的单位负责接收、转运以及处置。</w:t>
            </w:r>
          </w:p>
          <w:p>
            <w:pPr>
              <w:pStyle w:val="47"/>
              <w:ind w:firstLine="360" w:firstLineChars="150"/>
            </w:pPr>
            <w:r>
              <w:rPr>
                <w:rFonts w:hint="eastAsia"/>
              </w:rPr>
              <w:t>（</w:t>
            </w:r>
            <w:r>
              <w:t>2</w:t>
            </w:r>
            <w:r>
              <w:rPr>
                <w:rFonts w:hint="eastAsia"/>
              </w:rPr>
              <w:t>）生活垃圾</w:t>
            </w:r>
          </w:p>
          <w:p>
            <w:pPr>
              <w:pStyle w:val="47"/>
              <w:ind w:firstLine="480"/>
            </w:pPr>
            <w:r>
              <w:rPr>
                <w:rFonts w:hint="eastAsia"/>
              </w:rPr>
              <w:t>钻井期生活垃圾按</w:t>
            </w:r>
            <w:r>
              <w:t>平均每人每天产生生活垃圾0.8kg</w:t>
            </w:r>
            <w:r>
              <w:rPr>
                <w:rFonts w:hint="eastAsia"/>
              </w:rPr>
              <w:t>计算</w:t>
            </w:r>
            <w:r>
              <w:t>，</w:t>
            </w:r>
            <w:r>
              <w:rPr>
                <w:rFonts w:hint="eastAsia"/>
              </w:rPr>
              <w:t>钻井过程中产生的</w:t>
            </w:r>
            <w:r>
              <w:t>生活垃圾</w:t>
            </w:r>
            <w:r>
              <w:rPr>
                <w:rFonts w:hint="eastAsia"/>
              </w:rPr>
              <w:t>总量约</w:t>
            </w:r>
            <w:r>
              <w:t>3.36</w:t>
            </w:r>
            <w:r>
              <w:rPr>
                <w:rFonts w:hint="eastAsia"/>
              </w:rPr>
              <w:t>t，集中收集后送至吉木萨尔县生活垃圾填埋场填埋处置</w:t>
            </w:r>
            <w:r>
              <w:t>。</w:t>
            </w:r>
          </w:p>
          <w:p>
            <w:pPr>
              <w:pStyle w:val="47"/>
              <w:ind w:firstLine="480"/>
            </w:pPr>
            <w:r>
              <w:rPr>
                <w:rFonts w:hint="eastAsia"/>
              </w:rPr>
              <w:t>（3）废防渗膜</w:t>
            </w:r>
          </w:p>
          <w:p>
            <w:pPr>
              <w:pStyle w:val="47"/>
              <w:ind w:firstLine="480"/>
            </w:pPr>
            <w:r>
              <w:rPr>
                <w:rFonts w:hint="eastAsia"/>
              </w:rPr>
              <w:t>井场油罐、发电机、岩屑罐区、材料堆场等关键部位及生活污水储集防渗池均采用防渗膜防渗。场地清理时拆除的未破损的防渗膜由施工单位集中回收利用，破损的废防渗膜属于危险废物（HW08类危险废物，废物代码：</w:t>
            </w:r>
            <w:r>
              <w:t>900</w:t>
            </w:r>
            <w:r>
              <w:rPr>
                <w:rFonts w:hint="eastAsia"/>
              </w:rPr>
              <w:t>—</w:t>
            </w:r>
            <w:r>
              <w:t>249</w:t>
            </w:r>
            <w:r>
              <w:rPr>
                <w:rFonts w:hint="eastAsia"/>
              </w:rPr>
              <w:t>—08），</w:t>
            </w:r>
            <w:r>
              <w:rPr>
                <w:rFonts w:hint="eastAsia" w:cs="宋体"/>
                <w:lang w:val="zh-CN"/>
              </w:rPr>
              <w:t>危险特性为毒性和易燃性，</w:t>
            </w:r>
            <w:r>
              <w:rPr>
                <w:rFonts w:hint="eastAsia" w:cs="宋体"/>
              </w:rPr>
              <w:t>集中收集后</w:t>
            </w:r>
            <w:r>
              <w:rPr>
                <w:rFonts w:hint="eastAsia"/>
              </w:rPr>
              <w:t>与油基钻井岩屑一同交由具有相关危险废物处置资质的单位接收、转运以及处置。</w:t>
            </w:r>
          </w:p>
          <w:p>
            <w:pPr>
              <w:pStyle w:val="47"/>
              <w:ind w:firstLine="480"/>
            </w:pPr>
            <w:r>
              <w:rPr>
                <w:rFonts w:hint="eastAsia"/>
              </w:rPr>
              <w:t>综上所述，本项目产生的各类固体废物均可得到妥善处置，不会对周围环境造成不良影响。</w:t>
            </w:r>
          </w:p>
          <w:p>
            <w:pPr>
              <w:pStyle w:val="47"/>
              <w:ind w:firstLine="482"/>
              <w:rPr>
                <w:rFonts w:cs="宋体"/>
                <w:b/>
                <w:bCs/>
                <w:szCs w:val="21"/>
              </w:rPr>
            </w:pPr>
            <w:r>
              <w:rPr>
                <w:rFonts w:cs="宋体"/>
                <w:b/>
                <w:bCs/>
                <w:szCs w:val="21"/>
              </w:rPr>
              <w:t>7</w:t>
            </w:r>
            <w:r>
              <w:rPr>
                <w:rFonts w:hint="eastAsia" w:cs="宋体"/>
                <w:b/>
                <w:bCs/>
                <w:szCs w:val="21"/>
              </w:rPr>
              <w:t>、环境风险影响分析</w:t>
            </w:r>
          </w:p>
          <w:p>
            <w:pPr>
              <w:pStyle w:val="47"/>
              <w:ind w:firstLine="480"/>
              <w:rPr>
                <w:rFonts w:cs="宋体"/>
                <w:szCs w:val="21"/>
              </w:rPr>
            </w:pPr>
            <w:r>
              <w:rPr>
                <w:rFonts w:hint="eastAsia" w:cs="宋体"/>
                <w:szCs w:val="21"/>
              </w:rPr>
              <w:t>（</w:t>
            </w:r>
            <w:r>
              <w:rPr>
                <w:rFonts w:cs="宋体"/>
                <w:szCs w:val="21"/>
              </w:rPr>
              <w:t>1</w:t>
            </w:r>
            <w:r>
              <w:rPr>
                <w:rFonts w:hint="eastAsia" w:cs="宋体"/>
                <w:szCs w:val="21"/>
              </w:rPr>
              <w:t>）环境敏感目标概况</w:t>
            </w:r>
          </w:p>
          <w:p>
            <w:pPr>
              <w:pStyle w:val="47"/>
              <w:ind w:firstLine="480"/>
              <w:rPr>
                <w:rFonts w:cs="宋体"/>
                <w:szCs w:val="21"/>
              </w:rPr>
            </w:pPr>
            <w:r>
              <w:rPr>
                <w:rFonts w:hint="eastAsia" w:cs="宋体"/>
                <w:szCs w:val="21"/>
              </w:rPr>
              <w:t>本项目钻井期涉及的危险物质为柴油及白油，试油期涉及的危险物质为柴油、原油和伴生气（主要包括天然气）。项目钻井、试油期Q＜1，环境风险潜势为Ⅰ级，仅进行简单分析，不设风险评价范围，项目区内无环境风险敏感目标。</w:t>
            </w:r>
          </w:p>
          <w:p>
            <w:pPr>
              <w:pStyle w:val="47"/>
              <w:ind w:firstLine="439" w:firstLineChars="183"/>
              <w:rPr>
                <w:rFonts w:cs="宋体"/>
                <w:szCs w:val="21"/>
              </w:rPr>
            </w:pPr>
            <w:r>
              <w:rPr>
                <w:rFonts w:hint="eastAsia" w:cs="宋体"/>
                <w:szCs w:val="21"/>
              </w:rPr>
              <w:t>（</w:t>
            </w:r>
            <w:r>
              <w:rPr>
                <w:rFonts w:cs="宋体"/>
                <w:szCs w:val="21"/>
              </w:rPr>
              <w:t>2</w:t>
            </w:r>
            <w:r>
              <w:rPr>
                <w:rFonts w:hint="eastAsia" w:cs="宋体"/>
                <w:szCs w:val="21"/>
              </w:rPr>
              <w:t>）环境风险识别</w:t>
            </w:r>
          </w:p>
          <w:p>
            <w:pPr>
              <w:pStyle w:val="47"/>
              <w:ind w:firstLine="480"/>
              <w:rPr>
                <w:rFonts w:cs="宋体"/>
                <w:bCs/>
                <w:szCs w:val="21"/>
              </w:rPr>
            </w:pPr>
            <w:r>
              <w:rPr>
                <w:rFonts w:hint="eastAsia" w:cs="宋体"/>
                <w:bCs/>
                <w:szCs w:val="21"/>
              </w:rPr>
              <w:t>①危险物质识别</w:t>
            </w:r>
          </w:p>
          <w:p>
            <w:pPr>
              <w:pStyle w:val="47"/>
              <w:ind w:firstLine="480"/>
              <w:rPr>
                <w:rFonts w:cs="宋体"/>
                <w:szCs w:val="21"/>
                <w:lang w:bidi="zh-CN"/>
              </w:rPr>
            </w:pPr>
            <w:r>
              <w:rPr>
                <w:rFonts w:cs="宋体"/>
                <w:szCs w:val="21"/>
                <w:lang w:bidi="zh-CN"/>
              </w:rPr>
              <w:t>本工程涉及的环境风险物质主要为原油、天然气</w:t>
            </w:r>
            <w:r>
              <w:rPr>
                <w:rFonts w:hint="eastAsia" w:cs="宋体"/>
                <w:szCs w:val="21"/>
                <w:lang w:bidi="zh-CN"/>
              </w:rPr>
              <w:t>、</w:t>
            </w:r>
            <w:r>
              <w:rPr>
                <w:rFonts w:cs="宋体"/>
                <w:szCs w:val="21"/>
                <w:lang w:bidi="zh-CN"/>
              </w:rPr>
              <w:t>柴油</w:t>
            </w:r>
            <w:r>
              <w:rPr>
                <w:rFonts w:hint="eastAsia" w:cs="宋体"/>
                <w:szCs w:val="21"/>
                <w:lang w:bidi="zh-CN"/>
              </w:rPr>
              <w:t>及白油</w:t>
            </w:r>
            <w:r>
              <w:rPr>
                <w:rFonts w:cs="宋体"/>
                <w:szCs w:val="21"/>
                <w:lang w:bidi="zh-CN"/>
              </w:rPr>
              <w:t>。其主要物化、毒理性质、危险等级划分</w:t>
            </w:r>
            <w:r>
              <w:rPr>
                <w:rFonts w:hint="eastAsia" w:cs="宋体"/>
                <w:szCs w:val="21"/>
                <w:lang w:bidi="zh-CN"/>
              </w:rPr>
              <w:t>及影响途径</w:t>
            </w:r>
            <w:r>
              <w:rPr>
                <w:rFonts w:cs="宋体"/>
                <w:szCs w:val="21"/>
                <w:lang w:bidi="zh-CN"/>
              </w:rPr>
              <w:t>见表12。</w:t>
            </w:r>
          </w:p>
          <w:p>
            <w:pPr>
              <w:pStyle w:val="47"/>
              <w:ind w:firstLine="0" w:firstLineChars="0"/>
              <w:jc w:val="center"/>
              <w:rPr>
                <w:rFonts w:ascii="黑体" w:hAnsi="黑体" w:eastAsia="黑体" w:cs="宋体"/>
                <w:sz w:val="21"/>
                <w:szCs w:val="21"/>
                <w:lang w:bidi="zh-CN"/>
              </w:rPr>
            </w:pPr>
            <w:r>
              <w:rPr>
                <w:rFonts w:hint="eastAsia" w:ascii="黑体" w:hAnsi="黑体" w:eastAsia="黑体" w:cs="宋体"/>
                <w:sz w:val="21"/>
                <w:szCs w:val="21"/>
                <w:lang w:bidi="zh-CN"/>
              </w:rPr>
              <w:t>表</w:t>
            </w:r>
            <w:r>
              <w:rPr>
                <w:rFonts w:ascii="黑体" w:hAnsi="黑体" w:eastAsia="黑体" w:cs="宋体"/>
                <w:sz w:val="21"/>
                <w:szCs w:val="21"/>
                <w:lang w:bidi="zh-CN"/>
              </w:rPr>
              <w:t xml:space="preserve">12  </w:t>
            </w:r>
            <w:r>
              <w:rPr>
                <w:rFonts w:ascii="黑体" w:hAnsi="黑体" w:eastAsia="黑体" w:cs="宋体"/>
                <w:sz w:val="21"/>
                <w:szCs w:val="21"/>
                <w:lang w:val="zh-CN" w:bidi="zh-CN"/>
              </w:rPr>
              <w:t>原油、天然气</w:t>
            </w:r>
            <w:r>
              <w:rPr>
                <w:rFonts w:hint="eastAsia" w:ascii="黑体" w:hAnsi="黑体" w:eastAsia="黑体" w:cs="宋体"/>
                <w:sz w:val="21"/>
                <w:szCs w:val="21"/>
                <w:lang w:val="zh-CN" w:bidi="zh-CN"/>
              </w:rPr>
              <w:t>、</w:t>
            </w:r>
            <w:r>
              <w:rPr>
                <w:rFonts w:ascii="黑体" w:hAnsi="黑体" w:eastAsia="黑体" w:cs="宋体"/>
                <w:sz w:val="21"/>
                <w:szCs w:val="21"/>
                <w:lang w:val="zh-CN" w:bidi="zh-CN"/>
              </w:rPr>
              <w:t>柴油</w:t>
            </w:r>
            <w:r>
              <w:rPr>
                <w:rFonts w:hint="eastAsia" w:ascii="黑体" w:hAnsi="黑体" w:eastAsia="黑体" w:cs="宋体"/>
                <w:sz w:val="21"/>
                <w:szCs w:val="21"/>
                <w:lang w:val="zh-CN" w:bidi="zh-CN"/>
              </w:rPr>
              <w:t>和白油</w:t>
            </w:r>
            <w:r>
              <w:rPr>
                <w:rFonts w:ascii="黑体" w:hAnsi="黑体" w:eastAsia="黑体" w:cs="宋体"/>
                <w:sz w:val="21"/>
                <w:szCs w:val="21"/>
                <w:lang w:val="zh-CN" w:bidi="zh-CN"/>
              </w:rPr>
              <w:t>的理化性质及危险级别分类</w:t>
            </w:r>
            <w:r>
              <w:rPr>
                <w:rFonts w:hint="eastAsia" w:ascii="黑体" w:hAnsi="黑体" w:eastAsia="黑体" w:cs="宋体"/>
                <w:sz w:val="21"/>
                <w:szCs w:val="21"/>
                <w:lang w:val="zh-CN" w:bidi="zh-CN"/>
              </w:rPr>
              <w:t>等</w:t>
            </w:r>
            <w:r>
              <w:rPr>
                <w:rFonts w:ascii="黑体" w:hAnsi="黑体" w:eastAsia="黑体" w:cs="宋体"/>
                <w:sz w:val="21"/>
                <w:szCs w:val="21"/>
                <w:lang w:val="zh-CN" w:bidi="zh-CN"/>
              </w:rPr>
              <w:t>情况</w:t>
            </w:r>
          </w:p>
          <w:tbl>
            <w:tblPr>
              <w:tblStyle w:val="18"/>
              <w:tblW w:w="764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9"/>
              <w:gridCol w:w="443"/>
              <w:gridCol w:w="1051"/>
              <w:gridCol w:w="2508"/>
              <w:gridCol w:w="1854"/>
              <w:gridCol w:w="681"/>
              <w:gridCol w:w="6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9"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序号</w:t>
                  </w:r>
                </w:p>
              </w:tc>
              <w:tc>
                <w:tcPr>
                  <w:tcW w:w="443"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名称</w:t>
                  </w:r>
                </w:p>
              </w:tc>
              <w:tc>
                <w:tcPr>
                  <w:tcW w:w="1051"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组分</w:t>
                  </w:r>
                </w:p>
              </w:tc>
              <w:tc>
                <w:tcPr>
                  <w:tcW w:w="2508"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危险性</w:t>
                  </w:r>
                </w:p>
              </w:tc>
              <w:tc>
                <w:tcPr>
                  <w:tcW w:w="1854"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燃烧爆炸特性参数</w:t>
                  </w:r>
                </w:p>
              </w:tc>
              <w:tc>
                <w:tcPr>
                  <w:tcW w:w="681"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危险级别</w:t>
                  </w:r>
                </w:p>
              </w:tc>
              <w:tc>
                <w:tcPr>
                  <w:tcW w:w="681"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影响途径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9"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1</w:t>
                  </w:r>
                </w:p>
              </w:tc>
              <w:tc>
                <w:tcPr>
                  <w:tcW w:w="443"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原油</w:t>
                  </w:r>
                </w:p>
              </w:tc>
              <w:tc>
                <w:tcPr>
                  <w:tcW w:w="1051" w:type="dxa"/>
                  <w:vAlign w:val="center"/>
                </w:tcPr>
                <w:p>
                  <w:pPr>
                    <w:pStyle w:val="47"/>
                    <w:wordWrap w:val="0"/>
                    <w:spacing w:line="240" w:lineRule="exact"/>
                    <w:ind w:firstLine="0" w:firstLineChars="0"/>
                    <w:jc w:val="center"/>
                    <w:rPr>
                      <w:rFonts w:cs="宋体"/>
                      <w:sz w:val="21"/>
                      <w:szCs w:val="21"/>
                    </w:rPr>
                  </w:pPr>
                  <w:r>
                    <w:rPr>
                      <w:rFonts w:cs="宋体"/>
                      <w:sz w:val="21"/>
                      <w:szCs w:val="21"/>
                      <w:lang w:bidi="zh-CN"/>
                    </w:rPr>
                    <w:t>各种烃类和非烃类化合物所组成的复杂混合物</w:t>
                  </w:r>
                </w:p>
              </w:tc>
              <w:tc>
                <w:tcPr>
                  <w:tcW w:w="2508"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原油本身无明显毒性。遇热分解出有毒烟雾，人体大量吸入可引起危害：有刺激和麻痹作用，急性中毒者有上呼吸道刺激症状。</w:t>
                  </w:r>
                </w:p>
              </w:tc>
              <w:tc>
                <w:tcPr>
                  <w:tcW w:w="1854" w:type="dxa"/>
                  <w:vAlign w:val="center"/>
                </w:tcPr>
                <w:p>
                  <w:pPr>
                    <w:wordWrap w:val="0"/>
                    <w:spacing w:line="240" w:lineRule="exact"/>
                    <w:jc w:val="center"/>
                    <w:rPr>
                      <w:rFonts w:ascii="宋体" w:hAnsi="宋体"/>
                    </w:rPr>
                  </w:pPr>
                  <w:r>
                    <w:rPr>
                      <w:rFonts w:hint="eastAsia" w:ascii="宋体" w:hAnsi="宋体"/>
                    </w:rPr>
                    <w:t>热值：41870KJ/kg；沸点：300～325℃；闪点：23.5℃；爆炸极限：1.1～6.4%（v）；自燃燃点：380～530℃</w:t>
                  </w:r>
                </w:p>
              </w:tc>
              <w:tc>
                <w:tcPr>
                  <w:tcW w:w="681" w:type="dxa"/>
                  <w:vAlign w:val="center"/>
                </w:tcPr>
                <w:p>
                  <w:pPr>
                    <w:pStyle w:val="47"/>
                    <w:wordWrap w:val="0"/>
                    <w:spacing w:line="240" w:lineRule="exact"/>
                    <w:ind w:firstLine="0" w:firstLineChars="0"/>
                    <w:jc w:val="center"/>
                    <w:rPr>
                      <w:rFonts w:cs="宋体"/>
                      <w:sz w:val="21"/>
                      <w:szCs w:val="21"/>
                    </w:rPr>
                  </w:pPr>
                  <w:r>
                    <w:rPr>
                      <w:rFonts w:cs="宋体"/>
                      <w:sz w:val="21"/>
                      <w:szCs w:val="21"/>
                      <w:lang w:bidi="zh-CN"/>
                    </w:rPr>
                    <w:t>高闪点液体</w:t>
                  </w:r>
                </w:p>
              </w:tc>
              <w:tc>
                <w:tcPr>
                  <w:tcW w:w="681" w:type="dxa"/>
                  <w:vAlign w:val="center"/>
                </w:tcPr>
                <w:p>
                  <w:pPr>
                    <w:pStyle w:val="47"/>
                    <w:wordWrap w:val="0"/>
                    <w:spacing w:line="240" w:lineRule="exact"/>
                    <w:ind w:firstLine="0" w:firstLineChars="0"/>
                    <w:jc w:val="center"/>
                    <w:rPr>
                      <w:rFonts w:cs="宋体"/>
                      <w:sz w:val="21"/>
                      <w:szCs w:val="21"/>
                      <w:lang w:bidi="zh-CN"/>
                    </w:rPr>
                  </w:pPr>
                  <w:r>
                    <w:rPr>
                      <w:rFonts w:hint="eastAsia" w:cs="宋体"/>
                      <w:sz w:val="21"/>
                      <w:szCs w:val="21"/>
                      <w:lang w:bidi="zh-CN"/>
                    </w:rPr>
                    <w:t>大气、地下水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9"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2</w:t>
                  </w:r>
                </w:p>
              </w:tc>
              <w:tc>
                <w:tcPr>
                  <w:tcW w:w="443"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天然气</w:t>
                  </w:r>
                </w:p>
              </w:tc>
              <w:tc>
                <w:tcPr>
                  <w:tcW w:w="1051" w:type="dxa"/>
                  <w:vAlign w:val="center"/>
                </w:tcPr>
                <w:p>
                  <w:pPr>
                    <w:pStyle w:val="47"/>
                    <w:tabs>
                      <w:tab w:val="left" w:pos="630"/>
                    </w:tabs>
                    <w:wordWrap w:val="0"/>
                    <w:spacing w:line="240" w:lineRule="exact"/>
                    <w:ind w:firstLine="0" w:firstLineChars="0"/>
                    <w:jc w:val="center"/>
                    <w:rPr>
                      <w:rFonts w:cs="宋体"/>
                      <w:sz w:val="21"/>
                      <w:szCs w:val="21"/>
                    </w:rPr>
                  </w:pPr>
                  <w:r>
                    <w:rPr>
                      <w:rFonts w:hint="eastAsia" w:cs="宋体"/>
                      <w:sz w:val="21"/>
                      <w:szCs w:val="21"/>
                    </w:rPr>
                    <w:t>主要成分包括甲烷、乙烷等</w:t>
                  </w:r>
                </w:p>
              </w:tc>
              <w:tc>
                <w:tcPr>
                  <w:tcW w:w="2508"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伴生气中主要包括天然气。天然气中含有的甲烷，是一种无毒气体，当空气中大量弥漫这种气体时会使人因氧气不足而呼吸困难，进而失去知觉、昏迷甚至残废。</w:t>
                  </w:r>
                </w:p>
              </w:tc>
              <w:tc>
                <w:tcPr>
                  <w:tcW w:w="1854"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热值：50009KJ/kg；爆炸极限：5～14%（v）；自燃燃点：482～632℃</w:t>
                  </w:r>
                </w:p>
              </w:tc>
              <w:tc>
                <w:tcPr>
                  <w:tcW w:w="681" w:type="dxa"/>
                  <w:vAlign w:val="center"/>
                </w:tcPr>
                <w:p>
                  <w:pPr>
                    <w:pStyle w:val="47"/>
                    <w:wordWrap w:val="0"/>
                    <w:spacing w:line="240" w:lineRule="exact"/>
                    <w:ind w:firstLine="0" w:firstLineChars="0"/>
                    <w:jc w:val="center"/>
                    <w:rPr>
                      <w:rFonts w:cs="宋体"/>
                      <w:sz w:val="21"/>
                      <w:szCs w:val="21"/>
                    </w:rPr>
                  </w:pPr>
                  <w:r>
                    <w:rPr>
                      <w:rFonts w:cs="宋体"/>
                      <w:sz w:val="21"/>
                      <w:szCs w:val="21"/>
                      <w:lang w:bidi="zh-CN"/>
                    </w:rPr>
                    <w:t>易燃气体</w:t>
                  </w:r>
                </w:p>
              </w:tc>
              <w:tc>
                <w:tcPr>
                  <w:tcW w:w="681" w:type="dxa"/>
                  <w:vAlign w:val="center"/>
                </w:tcPr>
                <w:p>
                  <w:pPr>
                    <w:pStyle w:val="47"/>
                    <w:wordWrap w:val="0"/>
                    <w:spacing w:line="240" w:lineRule="exact"/>
                    <w:ind w:firstLine="0" w:firstLineChars="0"/>
                    <w:jc w:val="center"/>
                    <w:rPr>
                      <w:rFonts w:cs="宋体"/>
                      <w:sz w:val="21"/>
                      <w:szCs w:val="21"/>
                      <w:lang w:bidi="zh-CN"/>
                    </w:rPr>
                  </w:pPr>
                  <w:r>
                    <w:rPr>
                      <w:rFonts w:hint="eastAsia" w:cs="宋体"/>
                      <w:sz w:val="21"/>
                      <w:szCs w:val="21"/>
                      <w:lang w:bidi="zh-CN"/>
                    </w:rPr>
                    <w:t>大气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9"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3</w:t>
                  </w:r>
                </w:p>
              </w:tc>
              <w:tc>
                <w:tcPr>
                  <w:tcW w:w="443"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柴油</w:t>
                  </w:r>
                </w:p>
              </w:tc>
              <w:tc>
                <w:tcPr>
                  <w:tcW w:w="1051" w:type="dxa"/>
                  <w:vAlign w:val="center"/>
                </w:tcPr>
                <w:p>
                  <w:pPr>
                    <w:pStyle w:val="47"/>
                    <w:tabs>
                      <w:tab w:val="left" w:pos="630"/>
                    </w:tabs>
                    <w:wordWrap w:val="0"/>
                    <w:spacing w:line="240" w:lineRule="exact"/>
                    <w:ind w:firstLine="0" w:firstLineChars="0"/>
                    <w:jc w:val="center"/>
                    <w:rPr>
                      <w:rFonts w:cs="宋体"/>
                      <w:sz w:val="21"/>
                      <w:szCs w:val="21"/>
                    </w:rPr>
                  </w:pPr>
                  <w:r>
                    <w:rPr>
                      <w:rFonts w:hint="eastAsia" w:cs="宋体"/>
                      <w:sz w:val="21"/>
                      <w:szCs w:val="21"/>
                    </w:rPr>
                    <w:t>复杂烃类(碳原子数约</w:t>
                  </w:r>
                  <w:r>
                    <w:rPr>
                      <w:rFonts w:cs="宋体"/>
                      <w:sz w:val="21"/>
                      <w:szCs w:val="21"/>
                    </w:rPr>
                    <w:t>1</w:t>
                  </w:r>
                  <w:r>
                    <w:rPr>
                      <w:rFonts w:hint="eastAsia" w:cs="宋体"/>
                      <w:sz w:val="21"/>
                      <w:szCs w:val="21"/>
                    </w:rPr>
                    <w:t>0～22)混合物</w:t>
                  </w:r>
                </w:p>
              </w:tc>
              <w:tc>
                <w:tcPr>
                  <w:tcW w:w="2508"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柴油的毒性类似于煤油，但由于添加剂(如硫化酯类)的影响，毒性比煤油略大，主要有麻醉和刺激作用。柴油的雾滴吸入后可致吸入性肺炎，皮肤接触柴油可致接触性皮炎。</w:t>
                  </w:r>
                </w:p>
              </w:tc>
              <w:tc>
                <w:tcPr>
                  <w:tcW w:w="1854"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热值：3.3×10</w:t>
                  </w:r>
                  <w:r>
                    <w:rPr>
                      <w:rFonts w:cs="宋体"/>
                      <w:sz w:val="21"/>
                      <w:szCs w:val="21"/>
                      <w:vertAlign w:val="superscript"/>
                    </w:rPr>
                    <w:t>4</w:t>
                  </w:r>
                  <w:r>
                    <w:rPr>
                      <w:rFonts w:cs="宋体"/>
                      <w:sz w:val="21"/>
                      <w:szCs w:val="21"/>
                    </w:rPr>
                    <w:t>K</w:t>
                  </w:r>
                  <w:r>
                    <w:rPr>
                      <w:rFonts w:hint="eastAsia" w:cs="宋体"/>
                      <w:sz w:val="21"/>
                      <w:szCs w:val="21"/>
                    </w:rPr>
                    <w:t>J/L；沸点范围：180～370℃和350～410℃；两类闪点：</w:t>
                  </w:r>
                  <w:r>
                    <w:rPr>
                      <w:rFonts w:cs="宋体"/>
                      <w:sz w:val="21"/>
                      <w:szCs w:val="21"/>
                    </w:rPr>
                    <w:t>3</w:t>
                  </w:r>
                  <w:r>
                    <w:rPr>
                      <w:rFonts w:hint="eastAsia" w:cs="宋体"/>
                      <w:sz w:val="21"/>
                      <w:szCs w:val="21"/>
                    </w:rPr>
                    <w:t>8℃</w:t>
                  </w:r>
                </w:p>
              </w:tc>
              <w:tc>
                <w:tcPr>
                  <w:tcW w:w="681" w:type="dxa"/>
                  <w:vAlign w:val="center"/>
                </w:tcPr>
                <w:p>
                  <w:pPr>
                    <w:pStyle w:val="47"/>
                    <w:wordWrap w:val="0"/>
                    <w:spacing w:line="240" w:lineRule="exact"/>
                    <w:ind w:firstLine="0" w:firstLineChars="0"/>
                    <w:jc w:val="center"/>
                    <w:rPr>
                      <w:rFonts w:cs="宋体"/>
                      <w:sz w:val="21"/>
                      <w:szCs w:val="21"/>
                      <w:lang w:bidi="zh-CN"/>
                    </w:rPr>
                  </w:pPr>
                  <w:r>
                    <w:rPr>
                      <w:rFonts w:cs="宋体"/>
                      <w:sz w:val="21"/>
                      <w:szCs w:val="21"/>
                      <w:lang w:bidi="zh-CN"/>
                    </w:rPr>
                    <w:t>高闪点液体</w:t>
                  </w:r>
                </w:p>
              </w:tc>
              <w:tc>
                <w:tcPr>
                  <w:tcW w:w="681" w:type="dxa"/>
                  <w:vAlign w:val="center"/>
                </w:tcPr>
                <w:p>
                  <w:pPr>
                    <w:pStyle w:val="47"/>
                    <w:wordWrap w:val="0"/>
                    <w:spacing w:line="240" w:lineRule="exact"/>
                    <w:ind w:firstLine="0" w:firstLineChars="0"/>
                    <w:jc w:val="center"/>
                    <w:rPr>
                      <w:rFonts w:cs="宋体"/>
                      <w:sz w:val="21"/>
                      <w:szCs w:val="21"/>
                      <w:lang w:bidi="zh-CN"/>
                    </w:rPr>
                  </w:pPr>
                  <w:r>
                    <w:rPr>
                      <w:rFonts w:hint="eastAsia" w:cs="宋体"/>
                      <w:sz w:val="21"/>
                      <w:szCs w:val="21"/>
                      <w:lang w:bidi="zh-CN"/>
                    </w:rPr>
                    <w:t>大气、地下水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9" w:type="dxa"/>
                  <w:vAlign w:val="center"/>
                </w:tcPr>
                <w:p>
                  <w:pPr>
                    <w:pStyle w:val="47"/>
                    <w:wordWrap w:val="0"/>
                    <w:spacing w:line="240" w:lineRule="exact"/>
                    <w:ind w:firstLine="0" w:firstLineChars="0"/>
                    <w:jc w:val="center"/>
                    <w:rPr>
                      <w:rFonts w:cs="宋体"/>
                      <w:sz w:val="21"/>
                      <w:szCs w:val="21"/>
                    </w:rPr>
                  </w:pPr>
                  <w:r>
                    <w:rPr>
                      <w:rFonts w:cs="宋体"/>
                      <w:sz w:val="21"/>
                      <w:szCs w:val="21"/>
                    </w:rPr>
                    <w:t>4</w:t>
                  </w:r>
                </w:p>
              </w:tc>
              <w:tc>
                <w:tcPr>
                  <w:tcW w:w="443"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白油</w:t>
                  </w:r>
                </w:p>
              </w:tc>
              <w:tc>
                <w:tcPr>
                  <w:tcW w:w="1051" w:type="dxa"/>
                  <w:vAlign w:val="center"/>
                </w:tcPr>
                <w:p>
                  <w:pPr>
                    <w:pStyle w:val="47"/>
                    <w:tabs>
                      <w:tab w:val="left" w:pos="630"/>
                    </w:tabs>
                    <w:wordWrap w:val="0"/>
                    <w:spacing w:line="240" w:lineRule="exact"/>
                    <w:ind w:firstLine="0" w:firstLineChars="0"/>
                    <w:jc w:val="center"/>
                    <w:rPr>
                      <w:rFonts w:cs="宋体"/>
                      <w:sz w:val="21"/>
                      <w:szCs w:val="21"/>
                    </w:rPr>
                  </w:pPr>
                  <w:r>
                    <w:rPr>
                      <w:rFonts w:hint="eastAsia" w:cs="宋体"/>
                      <w:sz w:val="21"/>
                      <w:szCs w:val="21"/>
                    </w:rPr>
                    <w:t>主要成分为C16～C31的正异构烷烃的混合物</w:t>
                  </w:r>
                </w:p>
              </w:tc>
              <w:tc>
                <w:tcPr>
                  <w:tcW w:w="2508"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吸入呼吸道可引起吸入性肺炎；溅入眼内可导致角膜溃疡、穿孔，甚至失明；皮肤接触致急性接触性皮炎，甚至灼伤；吞咽引起急性肠胃炎。</w:t>
                  </w:r>
                </w:p>
              </w:tc>
              <w:tc>
                <w:tcPr>
                  <w:tcW w:w="1854" w:type="dxa"/>
                  <w:vAlign w:val="center"/>
                </w:tcPr>
                <w:p>
                  <w:pPr>
                    <w:pStyle w:val="47"/>
                    <w:wordWrap w:val="0"/>
                    <w:spacing w:line="240" w:lineRule="exact"/>
                    <w:ind w:firstLine="0" w:firstLineChars="0"/>
                    <w:jc w:val="center"/>
                    <w:rPr>
                      <w:rFonts w:cs="宋体"/>
                      <w:sz w:val="21"/>
                      <w:szCs w:val="21"/>
                    </w:rPr>
                  </w:pPr>
                  <w:r>
                    <w:rPr>
                      <w:rFonts w:hint="eastAsia" w:cs="宋体"/>
                      <w:sz w:val="21"/>
                      <w:szCs w:val="21"/>
                    </w:rPr>
                    <w:t>爆炸界限：—</w:t>
                  </w:r>
                  <w:r>
                    <w:rPr>
                      <w:rFonts w:cs="宋体"/>
                      <w:sz w:val="21"/>
                      <w:szCs w:val="21"/>
                    </w:rPr>
                    <w:t>50</w:t>
                  </w:r>
                  <w:r>
                    <w:rPr>
                      <w:rFonts w:hint="eastAsia" w:cs="宋体"/>
                      <w:sz w:val="21"/>
                      <w:szCs w:val="21"/>
                    </w:rPr>
                    <w:t>℃；自燃温度：2</w:t>
                  </w:r>
                  <w:r>
                    <w:rPr>
                      <w:rFonts w:cs="宋体"/>
                      <w:sz w:val="21"/>
                      <w:szCs w:val="21"/>
                    </w:rPr>
                    <w:t>92</w:t>
                  </w:r>
                  <w:r>
                    <w:rPr>
                      <w:rFonts w:hint="eastAsia" w:cs="宋体"/>
                      <w:sz w:val="21"/>
                      <w:szCs w:val="21"/>
                    </w:rPr>
                    <w:t>℃；闪火点：1</w:t>
                  </w:r>
                  <w:r>
                    <w:rPr>
                      <w:rFonts w:cs="宋体"/>
                      <w:sz w:val="21"/>
                      <w:szCs w:val="21"/>
                    </w:rPr>
                    <w:t>64</w:t>
                  </w:r>
                  <w:r>
                    <w:rPr>
                      <w:rFonts w:hint="eastAsia" w:cs="宋体"/>
                      <w:sz w:val="21"/>
                      <w:szCs w:val="21"/>
                    </w:rPr>
                    <w:t>～</w:t>
                  </w:r>
                  <w:r>
                    <w:rPr>
                      <w:rFonts w:cs="宋体"/>
                      <w:sz w:val="21"/>
                      <w:szCs w:val="21"/>
                    </w:rPr>
                    <w:t>235</w:t>
                  </w:r>
                  <w:r>
                    <w:rPr>
                      <w:rFonts w:hint="eastAsia" w:cs="宋体"/>
                      <w:sz w:val="21"/>
                      <w:szCs w:val="21"/>
                    </w:rPr>
                    <w:t>℃</w:t>
                  </w:r>
                </w:p>
              </w:tc>
              <w:tc>
                <w:tcPr>
                  <w:tcW w:w="681" w:type="dxa"/>
                  <w:vAlign w:val="center"/>
                </w:tcPr>
                <w:p>
                  <w:pPr>
                    <w:pStyle w:val="47"/>
                    <w:wordWrap w:val="0"/>
                    <w:spacing w:line="240" w:lineRule="exact"/>
                    <w:ind w:firstLine="0" w:firstLineChars="0"/>
                    <w:jc w:val="center"/>
                    <w:rPr>
                      <w:rFonts w:cs="宋体"/>
                      <w:sz w:val="21"/>
                      <w:szCs w:val="21"/>
                      <w:lang w:bidi="zh-CN"/>
                    </w:rPr>
                  </w:pPr>
                  <w:r>
                    <w:rPr>
                      <w:rFonts w:cs="宋体"/>
                      <w:sz w:val="21"/>
                      <w:szCs w:val="21"/>
                      <w:lang w:bidi="zh-CN"/>
                    </w:rPr>
                    <w:t>易燃</w:t>
                  </w:r>
                  <w:r>
                    <w:rPr>
                      <w:rFonts w:hint="eastAsia" w:cs="宋体"/>
                      <w:sz w:val="21"/>
                      <w:szCs w:val="21"/>
                      <w:lang w:bidi="zh-CN"/>
                    </w:rPr>
                    <w:t>液体</w:t>
                  </w:r>
                </w:p>
              </w:tc>
              <w:tc>
                <w:tcPr>
                  <w:tcW w:w="681" w:type="dxa"/>
                  <w:vAlign w:val="center"/>
                </w:tcPr>
                <w:p>
                  <w:pPr>
                    <w:pStyle w:val="47"/>
                    <w:wordWrap w:val="0"/>
                    <w:spacing w:line="240" w:lineRule="exact"/>
                    <w:ind w:firstLine="0" w:firstLineChars="0"/>
                    <w:jc w:val="center"/>
                    <w:rPr>
                      <w:rFonts w:cs="宋体"/>
                      <w:sz w:val="21"/>
                      <w:szCs w:val="21"/>
                      <w:lang w:bidi="zh-CN"/>
                    </w:rPr>
                  </w:pPr>
                  <w:r>
                    <w:rPr>
                      <w:rFonts w:hint="eastAsia" w:cs="宋体"/>
                      <w:sz w:val="21"/>
                      <w:szCs w:val="21"/>
                      <w:lang w:bidi="zh-CN"/>
                    </w:rPr>
                    <w:t>大气、地下水</w:t>
                  </w:r>
                </w:p>
              </w:tc>
            </w:tr>
          </w:tbl>
          <w:p>
            <w:pPr>
              <w:pStyle w:val="47"/>
              <w:ind w:firstLine="480"/>
              <w:rPr>
                <w:rFonts w:cs="宋体"/>
                <w:szCs w:val="21"/>
              </w:rPr>
            </w:pPr>
            <w:r>
              <w:rPr>
                <w:rFonts w:hint="eastAsia" w:cs="宋体"/>
                <w:bCs/>
                <w:szCs w:val="21"/>
              </w:rPr>
              <w:t>②生产设施风险识别</w:t>
            </w:r>
          </w:p>
          <w:p>
            <w:pPr>
              <w:pStyle w:val="54"/>
              <w:adjustRightInd w:val="0"/>
              <w:snapToGrid w:val="0"/>
              <w:ind w:firstLine="480"/>
              <w:rPr>
                <w:bCs/>
              </w:rPr>
            </w:pPr>
            <w:r>
              <w:rPr>
                <w:rFonts w:hint="eastAsia"/>
                <w:bCs/>
              </w:rPr>
              <w:t>a</w:t>
            </w:r>
            <w:r>
              <w:rPr>
                <w:bCs/>
              </w:rPr>
              <w:t>.</w:t>
            </w:r>
            <w:r>
              <w:rPr>
                <w:rFonts w:hint="eastAsia"/>
                <w:bCs/>
              </w:rPr>
              <w:t>井喷及井漏事故风险</w:t>
            </w:r>
          </w:p>
          <w:p>
            <w:pPr>
              <w:pStyle w:val="54"/>
              <w:adjustRightInd w:val="0"/>
              <w:snapToGrid w:val="0"/>
              <w:ind w:firstLine="480"/>
              <w:rPr>
                <w:bCs/>
              </w:rPr>
            </w:pPr>
            <w:r>
              <w:rPr>
                <w:rFonts w:hint="eastAsia"/>
                <w:bCs/>
              </w:rPr>
              <w:t>若井底压力小于地层压力，地层流体将进入井筒并推动钻井液外溢，即发生井喷。此时，如果对地下油、气压力平衡控制不当，不能及时控制溢流，会造成油、气、水或其他混合物迅速喷到地面，即发生井喷。井喷会引发油气泄漏及火灾爆炸，对空气环境、水环境及生态环境造成危害，致使人员伤亡、财产损失。</w:t>
            </w:r>
          </w:p>
          <w:p>
            <w:pPr>
              <w:pStyle w:val="54"/>
              <w:adjustRightInd w:val="0"/>
              <w:snapToGrid w:val="0"/>
              <w:ind w:firstLine="480"/>
              <w:rPr>
                <w:bCs/>
              </w:rPr>
            </w:pPr>
            <w:r>
              <w:rPr>
                <w:rFonts w:hint="eastAsia"/>
                <w:bCs/>
              </w:rPr>
              <w:t>钻井施工表层套管下入深度不够或固井质量不好可能引发井漏事故。</w:t>
            </w:r>
          </w:p>
          <w:p>
            <w:pPr>
              <w:pStyle w:val="54"/>
              <w:adjustRightInd w:val="0"/>
              <w:snapToGrid w:val="0"/>
              <w:ind w:firstLine="480"/>
              <w:rPr>
                <w:bCs/>
              </w:rPr>
            </w:pPr>
            <w:r>
              <w:rPr>
                <w:bCs/>
              </w:rPr>
              <w:t>b.</w:t>
            </w:r>
            <w:r>
              <w:rPr>
                <w:rFonts w:hint="eastAsia"/>
                <w:bCs/>
              </w:rPr>
              <w:t>储罐泄漏风险</w:t>
            </w:r>
          </w:p>
          <w:p>
            <w:pPr>
              <w:pStyle w:val="54"/>
              <w:adjustRightInd w:val="0"/>
              <w:snapToGrid w:val="0"/>
              <w:ind w:firstLine="480"/>
              <w:rPr>
                <w:bCs/>
              </w:rPr>
            </w:pPr>
            <w:r>
              <w:rPr>
                <w:rFonts w:hint="eastAsia"/>
                <w:bCs/>
              </w:rPr>
              <w:t>钻试期井场设有柴油储罐、洗井废水储罐和采出物储罐等，若储罐因质量、操作运行和管理等方面存在缺陷和失误，可能会发生泄漏，对周围地下水、土壤、大气等环境造成污染。</w:t>
            </w:r>
          </w:p>
          <w:p>
            <w:pPr>
              <w:pStyle w:val="54"/>
              <w:adjustRightInd w:val="0"/>
              <w:snapToGrid w:val="0"/>
              <w:ind w:firstLine="480"/>
              <w:rPr>
                <w:bCs/>
              </w:rPr>
            </w:pPr>
            <w:r>
              <w:rPr>
                <w:rFonts w:hint="eastAsia"/>
                <w:bCs/>
              </w:rPr>
              <w:t>试油期采出液由罐车拉运至沙南联合站原油处理系统，项目钻试期使用的柴油燃料采用柴油罐车拉运至井场，运输过程中因车辆本身的设计、制造、操作、管理等各环节有存在缺陷的可能性，可能发生泄漏事故的风险。事故发生时罐车内液体溢出，对周围环境造成直接污染，泄漏的油气如遇到明火还可能发生火灾、爆炸事故。</w:t>
            </w:r>
          </w:p>
          <w:p>
            <w:pPr>
              <w:pStyle w:val="54"/>
              <w:adjustRightInd w:val="0"/>
              <w:snapToGrid w:val="0"/>
              <w:ind w:firstLine="480"/>
            </w:pPr>
            <w:r>
              <w:rPr>
                <w:rFonts w:hint="eastAsia"/>
              </w:rPr>
              <w:t>（3）环境风险分析</w:t>
            </w:r>
          </w:p>
          <w:p>
            <w:pPr>
              <w:pStyle w:val="54"/>
              <w:adjustRightInd w:val="0"/>
              <w:snapToGrid w:val="0"/>
              <w:ind w:firstLine="480"/>
              <w:rPr>
                <w:bCs/>
              </w:rPr>
            </w:pPr>
            <w:r>
              <w:rPr>
                <w:rFonts w:hint="eastAsia"/>
                <w:bCs/>
              </w:rPr>
              <w:t>①井喷及井漏事故影响分析</w:t>
            </w:r>
          </w:p>
          <w:p>
            <w:pPr>
              <w:pStyle w:val="54"/>
              <w:adjustRightInd w:val="0"/>
              <w:snapToGrid w:val="0"/>
              <w:ind w:firstLine="480"/>
              <w:rPr>
                <w:bCs/>
              </w:rPr>
            </w:pPr>
            <w:r>
              <w:rPr>
                <w:rFonts w:hint="eastAsia"/>
                <w:bCs/>
              </w:rPr>
              <w:t>井场主要可能发生的风险事故为钻试期发生井喷事故。井喷事故一旦发生，大量的油气喷出井口，散落于井场周围，据类比资料显示，井喷范围内土壤表层可见有油类喷散物，井喷的影响范围一般为以井口为圆心、半径200m的区域，项目区空旷，大气扩散条件好，对项目区的大气环境影响不大。根据类比调查，从事故井区土壤剖面分析，井喷事故后石油类污染物主要聚集在土壤剖面1m以内。井喷事故对地下水体的影响概率不大，若及时采取有效措施治理污染，井喷不会造成地下水污染。</w:t>
            </w:r>
          </w:p>
          <w:p>
            <w:pPr>
              <w:pStyle w:val="54"/>
              <w:ind w:firstLine="480"/>
              <w:rPr>
                <w:bCs/>
              </w:rPr>
            </w:pPr>
            <w:r>
              <w:rPr>
                <w:rFonts w:hint="eastAsia"/>
                <w:bCs/>
              </w:rPr>
              <w:t>井漏事故可能会造成地下水污染，如钻井液漏失造成地下水污染，油气上窜造成地下水污染等。</w:t>
            </w:r>
          </w:p>
          <w:p>
            <w:pPr>
              <w:pStyle w:val="54"/>
              <w:adjustRightInd w:val="0"/>
              <w:snapToGrid w:val="0"/>
              <w:ind w:firstLine="480"/>
              <w:rPr>
                <w:bCs/>
              </w:rPr>
            </w:pPr>
            <w:r>
              <w:rPr>
                <w:rFonts w:hint="eastAsia"/>
                <w:bCs/>
              </w:rPr>
              <w:t>②储罐泄漏环境影响分析</w:t>
            </w:r>
          </w:p>
          <w:p>
            <w:pPr>
              <w:pStyle w:val="54"/>
              <w:adjustRightInd w:val="0"/>
              <w:snapToGrid w:val="0"/>
              <w:ind w:firstLine="480"/>
              <w:rPr>
                <w:bCs/>
              </w:rPr>
            </w:pPr>
            <w:r>
              <w:rPr>
                <w:rFonts w:hint="eastAsia"/>
                <w:bCs/>
              </w:rPr>
              <w:t>1）对大气环境影响分析</w:t>
            </w:r>
          </w:p>
          <w:p>
            <w:pPr>
              <w:pStyle w:val="54"/>
              <w:adjustRightInd w:val="0"/>
              <w:snapToGrid w:val="0"/>
              <w:ind w:firstLine="480"/>
              <w:rPr>
                <w:bCs/>
              </w:rPr>
            </w:pPr>
            <w:r>
              <w:rPr>
                <w:rFonts w:hint="eastAsia"/>
                <w:bCs/>
              </w:rPr>
              <w:t>储罐发生泄漏后，油类物质进入环境空气，挥发产生的NMHC可能会对周围大气环境产生影响，若遇明火，可发生火灾、爆炸，火灾、爆炸产生的伴生、次生污染物会对大气环境产生一定的影响。由于项目区地域空旷，扩散条件较好，发生事故后，及时采取相应的措施，不会对周围环境空气产生明显影响。</w:t>
            </w:r>
          </w:p>
          <w:p>
            <w:pPr>
              <w:pStyle w:val="47"/>
              <w:ind w:firstLine="480"/>
              <w:rPr>
                <w:rFonts w:cs="宋体"/>
                <w:szCs w:val="21"/>
              </w:rPr>
            </w:pPr>
            <w:r>
              <w:rPr>
                <w:rFonts w:hint="eastAsia" w:cs="宋体"/>
                <w:szCs w:val="21"/>
              </w:rPr>
              <w:t>2）对土壤环境影响分析</w:t>
            </w:r>
          </w:p>
          <w:p>
            <w:pPr>
              <w:pStyle w:val="47"/>
              <w:ind w:firstLine="480"/>
              <w:rPr>
                <w:rFonts w:cs="宋体"/>
                <w:szCs w:val="21"/>
              </w:rPr>
            </w:pPr>
            <w:r>
              <w:rPr>
                <w:rFonts w:hint="eastAsia" w:cs="宋体"/>
                <w:szCs w:val="21"/>
              </w:rPr>
              <w:t>泄漏的油类物质可使土壤透气性下降、土壤理化性状发生变化。泄漏情况发生时，相当于向土壤中直接注入油类物质，渗入土壤孔隙，则使土壤透气性和呼吸作用减弱，影响土壤中的微生物生存，造成土壤盐碱化，破坏土壤结构，增加土壤中石油类污染物，造成土地肥力下降，改变土壤的理化性质，影响土壤正常的结构和功能。柴油储罐、采出物储罐及洗井废水储罐区均铺设防渗膜，储罐发生泄漏后，及时清理，对采出物进行回收，受污染的土壤集中收集后由有相应危废处置资质的单位进行回收处置。发生事故后，及时采取相应的措施，不会对周围土壤环境产生明显影响。</w:t>
            </w:r>
          </w:p>
          <w:p>
            <w:pPr>
              <w:pStyle w:val="47"/>
              <w:ind w:firstLine="480"/>
              <w:rPr>
                <w:rFonts w:cs="宋体"/>
                <w:szCs w:val="21"/>
              </w:rPr>
            </w:pPr>
            <w:r>
              <w:rPr>
                <w:rFonts w:hint="eastAsia" w:cs="宋体"/>
                <w:szCs w:val="21"/>
              </w:rPr>
              <w:t>3）对植被的影响</w:t>
            </w:r>
          </w:p>
          <w:p>
            <w:pPr>
              <w:pStyle w:val="47"/>
              <w:ind w:firstLine="480"/>
              <w:rPr>
                <w:rFonts w:cs="宋体"/>
                <w:szCs w:val="21"/>
              </w:rPr>
            </w:pPr>
            <w:r>
              <w:rPr>
                <w:rFonts w:hint="eastAsia" w:cs="宋体"/>
                <w:szCs w:val="21"/>
              </w:rPr>
              <w:t>油类物质泄漏对植被的影响主要分为三种途径，一是泄漏物直接粘附于植物体阻断植物的光合作用，使植物枯萎、死亡；二是污染土壤造成的土壤理性化性状变化间接影响植物生长，严重时会导致植物死亡；三是泄漏物质中的轻组分挥发，在对空气环境产生影响的同时，也对周围植物产生影响。发生事故后，及时采取相应的措施，不会对周围植被产生明显影响。</w:t>
            </w:r>
          </w:p>
          <w:p>
            <w:pPr>
              <w:pStyle w:val="47"/>
              <w:ind w:firstLine="480"/>
              <w:rPr>
                <w:rFonts w:cs="宋体"/>
                <w:szCs w:val="21"/>
              </w:rPr>
            </w:pPr>
            <w:r>
              <w:rPr>
                <w:rFonts w:hint="eastAsia" w:cs="宋体"/>
                <w:szCs w:val="21"/>
              </w:rPr>
              <w:t>4）对地下水环境的影响</w:t>
            </w:r>
          </w:p>
          <w:p>
            <w:pPr>
              <w:pStyle w:val="47"/>
              <w:ind w:firstLine="480"/>
              <w:rPr>
                <w:rFonts w:cs="宋体"/>
                <w:szCs w:val="21"/>
              </w:rPr>
            </w:pPr>
            <w:r>
              <w:rPr>
                <w:rFonts w:hint="eastAsia" w:cs="宋体"/>
                <w:szCs w:val="21"/>
              </w:rPr>
              <w:t>柴油储罐、采出物储罐及洗井废水储罐泄漏的油品下渗可能导致地下水污染风险的发生，储罐堆放场地为地上设施，发生泄漏事故后易被发现。发现泄漏事故后及时维修处理，即使有少量的污染物泄漏，也很难通过防渗层渗入包气带。井场各类储罐底部铺设防渗膜，采取钢制储罐，发生泄漏的概率极小，同时一旦发生泄漏会在较短时间内发现并采取堵漏措施，出现长期连续性泄漏的可能性很低，发生渗漏污染地下水的风险事故概率较低。</w:t>
            </w:r>
          </w:p>
          <w:p>
            <w:pPr>
              <w:pStyle w:val="47"/>
              <w:ind w:firstLine="482"/>
              <w:rPr>
                <w:rFonts w:cs="宋体"/>
                <w:b/>
                <w:bCs/>
                <w:szCs w:val="21"/>
              </w:rPr>
            </w:pPr>
            <w:r>
              <w:rPr>
                <w:rFonts w:cs="宋体"/>
                <w:b/>
                <w:bCs/>
                <w:szCs w:val="21"/>
              </w:rPr>
              <w:t>8</w:t>
            </w:r>
            <w:r>
              <w:rPr>
                <w:rFonts w:hint="eastAsia" w:cs="宋体"/>
                <w:b/>
                <w:bCs/>
                <w:szCs w:val="21"/>
              </w:rPr>
              <w:t>、其它产出物说明</w:t>
            </w:r>
          </w:p>
          <w:p>
            <w:pPr>
              <w:pStyle w:val="47"/>
              <w:ind w:firstLine="472"/>
              <w:rPr>
                <w:rFonts w:cs="宋体"/>
                <w:spacing w:val="-2"/>
                <w:szCs w:val="21"/>
              </w:rPr>
            </w:pPr>
            <w:r>
              <w:rPr>
                <w:rFonts w:hint="eastAsia" w:cs="宋体"/>
                <w:spacing w:val="-2"/>
                <w:szCs w:val="21"/>
              </w:rPr>
              <w:t>试油过程即通过计量采出物成分、数量从而获取油藏数据的过程。采出物包括油类物质、伴生气、伴生水及井下压裂残留的少量压裂液等。其中少量伴生气在井场经过分离器后通过地面放喷管线燃烧放空；原油、伴生水及残留压裂液等一同进入地面方罐，拉运至沙南联合站原油处理系统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tcMar>
              <w:left w:w="28" w:type="dxa"/>
              <w:right w:w="28" w:type="dxa"/>
            </w:tcMar>
            <w:vAlign w:val="center"/>
          </w:tcPr>
          <w:p>
            <w:pPr>
              <w:pStyle w:val="14"/>
              <w:adjustRightInd w:val="0"/>
              <w:snapToGrid w:val="0"/>
              <w:spacing w:before="0" w:beforeAutospacing="0" w:after="0" w:afterAutospacing="0"/>
              <w:jc w:val="center"/>
              <w:rPr>
                <w:rFonts w:cs="宋体"/>
                <w:bCs/>
                <w:spacing w:val="10"/>
                <w:kern w:val="2"/>
              </w:rPr>
            </w:pPr>
            <w:r>
              <w:rPr>
                <w:rFonts w:hint="eastAsia" w:cs="宋体"/>
                <w:bCs/>
                <w:spacing w:val="10"/>
                <w:kern w:val="2"/>
              </w:rPr>
              <w:t>运营期生态环境影响分析</w:t>
            </w:r>
          </w:p>
        </w:tc>
        <w:tc>
          <w:tcPr>
            <w:tcW w:w="7863" w:type="dxa"/>
            <w:vAlign w:val="center"/>
          </w:tcPr>
          <w:p>
            <w:pPr>
              <w:pStyle w:val="54"/>
              <w:ind w:firstLine="480"/>
            </w:pPr>
            <w:r>
              <w:rPr>
                <w:rFonts w:hint="eastAsia"/>
              </w:rPr>
              <w:t>本项目无运营期，钻试活动结束后环境影响随之消失。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tcMar>
              <w:left w:w="28" w:type="dxa"/>
              <w:right w:w="28" w:type="dxa"/>
            </w:tcMar>
            <w:vAlign w:val="center"/>
          </w:tcPr>
          <w:p>
            <w:pPr>
              <w:pStyle w:val="14"/>
              <w:adjustRightInd w:val="0"/>
              <w:snapToGrid w:val="0"/>
              <w:spacing w:before="0" w:beforeAutospacing="0" w:after="0" w:afterAutospacing="0"/>
              <w:jc w:val="center"/>
              <w:rPr>
                <w:rFonts w:cs="宋体"/>
                <w:bCs/>
                <w:spacing w:val="10"/>
                <w:kern w:val="2"/>
              </w:rPr>
            </w:pPr>
            <w:r>
              <w:rPr>
                <w:rFonts w:hint="eastAsia" w:cs="宋体"/>
                <w:bCs/>
                <w:kern w:val="2"/>
              </w:rPr>
              <w:t>选址选线环境合理性分析</w:t>
            </w:r>
          </w:p>
        </w:tc>
        <w:tc>
          <w:tcPr>
            <w:tcW w:w="7863" w:type="dxa"/>
            <w:vAlign w:val="center"/>
          </w:tcPr>
          <w:p>
            <w:pPr>
              <w:pStyle w:val="47"/>
              <w:ind w:firstLine="472"/>
              <w:rPr>
                <w:spacing w:val="-2"/>
              </w:rPr>
            </w:pPr>
            <w:r>
              <w:rPr>
                <w:spacing w:val="-2"/>
              </w:rPr>
              <w:t>根据现场踏勘及井场平面布置，本项目井口距离</w:t>
            </w:r>
            <w:r>
              <w:t>75m</w:t>
            </w:r>
            <w:r>
              <w:rPr>
                <w:spacing w:val="-7"/>
              </w:rPr>
              <w:t>范围内无高压线及其它永久</w:t>
            </w:r>
            <w:r>
              <w:rPr>
                <w:spacing w:val="-1"/>
              </w:rPr>
              <w:t>性设施。</w:t>
            </w:r>
            <w:r>
              <w:t>100m</w:t>
            </w:r>
            <w:r>
              <w:rPr>
                <w:spacing w:val="-7"/>
              </w:rPr>
              <w:t>范围内无民宅，</w:t>
            </w:r>
            <w:r>
              <w:t>200m</w:t>
            </w:r>
            <w:r>
              <w:rPr>
                <w:spacing w:val="-5"/>
              </w:rPr>
              <w:t>范围内无铁路、高速公路，</w:t>
            </w:r>
            <w:r>
              <w:t>500m</w:t>
            </w:r>
            <w:r>
              <w:rPr>
                <w:spacing w:val="-6"/>
              </w:rPr>
              <w:t>范围内无学校、医院和大型油库等人口密集型、高危性场所</w:t>
            </w:r>
            <w:r>
              <w:rPr>
                <w:rFonts w:hint="eastAsia"/>
                <w:spacing w:val="-6"/>
              </w:rPr>
              <w:t>。</w:t>
            </w:r>
            <w:r>
              <w:rPr>
                <w:spacing w:val="-6"/>
              </w:rPr>
              <w:t>其选址符合《钻前工程及井场布置技术</w:t>
            </w:r>
            <w:r>
              <w:rPr>
                <w:spacing w:val="-11"/>
              </w:rPr>
              <w:t>要求》</w:t>
            </w:r>
            <w:r>
              <w:t>(SY/T5466</w:t>
            </w:r>
            <w:r>
              <w:rPr>
                <w:rFonts w:hint="eastAsia"/>
              </w:rPr>
              <w:t>—</w:t>
            </w:r>
            <w:r>
              <w:t>2013)</w:t>
            </w:r>
            <w:r>
              <w:rPr>
                <w:spacing w:val="-7"/>
              </w:rPr>
              <w:t>的要求。</w:t>
            </w:r>
          </w:p>
          <w:p>
            <w:pPr>
              <w:pStyle w:val="47"/>
              <w:ind w:firstLine="472"/>
              <w:rPr>
                <w:spacing w:val="-2"/>
              </w:rPr>
            </w:pPr>
            <w:r>
              <w:rPr>
                <w:rFonts w:hint="eastAsia"/>
                <w:spacing w:val="-2"/>
              </w:rPr>
              <w:t>项目区</w:t>
            </w:r>
            <w:r>
              <w:rPr>
                <w:spacing w:val="-2"/>
              </w:rPr>
              <w:t>行政隶属</w:t>
            </w:r>
            <w:r>
              <w:rPr>
                <w:rFonts w:hint="eastAsia"/>
                <w:spacing w:val="-2"/>
              </w:rPr>
              <w:t>新疆维吾尔自治区昌吉回族自治州阜康市。阜康市为新疆维吾尔自治区水土流失重点治理区，施工期间及施工结束后严格落实水土流失防治措施，对防止促进生态环境恢复可以起到良好的作用，可将水土流失的程度降低到最小限度。项目周边无其他自然保护区、风景名胜区、饮用水水源保护区、基本农田保护区、基本草原、沙化土地封禁保护区等，且无以居住、医疗卫生、文化教育、科研、行政办公等为主要功能的区域及文物保护单位。</w:t>
            </w:r>
          </w:p>
          <w:p>
            <w:pPr>
              <w:pStyle w:val="47"/>
              <w:ind w:firstLine="480"/>
            </w:pPr>
            <w:r>
              <w:rPr>
                <w:rFonts w:hint="eastAsia"/>
              </w:rPr>
              <w:t>本项目计划部署的勘探井土地利用类型为其他草地，属于临时占地，建设单位应按相关要求及时办理征地补偿协议，对临时占地进行补偿。钻试工程结束后及时对临时占地进行清理平整，工程造成的生物量损失较小，钻井试油产生的废气、废水和噪声等环境影响逐渐消失。</w:t>
            </w:r>
          </w:p>
          <w:p>
            <w:pPr>
              <w:pStyle w:val="54"/>
              <w:ind w:firstLine="480"/>
            </w:pPr>
            <w:r>
              <w:rPr>
                <w:rFonts w:hint="eastAsia"/>
              </w:rPr>
              <w:t>综上所述，项目选址合理。</w:t>
            </w: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480"/>
            </w:pPr>
          </w:p>
          <w:p>
            <w:pPr>
              <w:pStyle w:val="54"/>
              <w:ind w:firstLine="0" w:firstLineChars="0"/>
            </w:pPr>
          </w:p>
        </w:tc>
      </w:tr>
    </w:tbl>
    <w:p>
      <w:pPr>
        <w:widowControl/>
        <w:jc w:val="left"/>
        <w:rPr>
          <w:rFonts w:ascii="黑体" w:hAnsi="黑体" w:eastAsia="黑体"/>
          <w:snapToGrid w:val="0"/>
          <w:kern w:val="0"/>
          <w:sz w:val="30"/>
          <w:szCs w:val="30"/>
        </w:rPr>
      </w:pPr>
      <w:r>
        <w:rPr>
          <w:rFonts w:ascii="黑体" w:hAnsi="黑体" w:eastAsia="黑体"/>
          <w:snapToGrid w:val="0"/>
          <w:sz w:val="30"/>
          <w:szCs w:val="30"/>
        </w:rPr>
        <w:br w:type="page"/>
      </w:r>
    </w:p>
    <w:p>
      <w:pPr>
        <w:pStyle w:val="14"/>
        <w:spacing w:before="0" w:beforeAutospacing="0" w:after="0" w:afterAutospacing="0" w:line="360" w:lineRule="auto"/>
        <w:jc w:val="center"/>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17"/>
        <w:tblW w:w="87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1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591" w:type="dxa"/>
            <w:tcMar>
              <w:left w:w="28" w:type="dxa"/>
              <w:right w:w="28" w:type="dxa"/>
            </w:tcMar>
            <w:vAlign w:val="center"/>
          </w:tcPr>
          <w:p>
            <w:pPr>
              <w:adjustRightInd w:val="0"/>
              <w:snapToGrid w:val="0"/>
              <w:jc w:val="center"/>
              <w:rPr>
                <w:rFonts w:ascii="宋体" w:hAnsi="宋体"/>
                <w:bCs/>
                <w:sz w:val="24"/>
              </w:rPr>
            </w:pPr>
            <w:r>
              <w:rPr>
                <w:rFonts w:hint="eastAsia" w:ascii="宋体" w:hAnsi="宋体" w:cs="宋体"/>
                <w:bCs/>
                <w:spacing w:val="10"/>
                <w:sz w:val="24"/>
              </w:rPr>
              <w:t>施工期生态环境保护措施</w:t>
            </w:r>
          </w:p>
        </w:tc>
        <w:tc>
          <w:tcPr>
            <w:tcW w:w="8120" w:type="dxa"/>
            <w:vAlign w:val="center"/>
          </w:tcPr>
          <w:p>
            <w:pPr>
              <w:pStyle w:val="47"/>
              <w:keepNext/>
              <w:ind w:firstLine="480"/>
            </w:pPr>
            <w:r>
              <w:rPr>
                <w:rFonts w:hint="eastAsia"/>
              </w:rPr>
              <w:t>建设单位及施工单位应严格执行本次评价提出的生态环境保护措施，并确保各项保护措施与钻试工程同时设计、同时施工、同时使用。</w:t>
            </w:r>
          </w:p>
          <w:p>
            <w:pPr>
              <w:pStyle w:val="47"/>
              <w:keepNext/>
              <w:ind w:firstLine="482"/>
              <w:rPr>
                <w:b/>
                <w:bCs/>
              </w:rPr>
            </w:pPr>
            <w:r>
              <w:rPr>
                <w:rFonts w:hint="eastAsia"/>
                <w:b/>
                <w:bCs/>
              </w:rPr>
              <w:t>1、生态环境保护措施</w:t>
            </w:r>
          </w:p>
          <w:p>
            <w:pPr>
              <w:pStyle w:val="47"/>
              <w:keepNext/>
              <w:ind w:firstLine="480"/>
            </w:pPr>
            <w:r>
              <w:rPr>
                <w:rFonts w:hint="eastAsia"/>
              </w:rPr>
              <w:t>（1）生态避让及保护措施</w:t>
            </w:r>
          </w:p>
          <w:p>
            <w:pPr>
              <w:pStyle w:val="47"/>
              <w:keepNext/>
              <w:ind w:firstLine="480"/>
            </w:pPr>
            <w:r>
              <w:rPr>
                <w:rFonts w:hint="eastAsia"/>
              </w:rPr>
              <w:t>①工程避让措施：应</w:t>
            </w:r>
            <w:r>
              <w:t>提前察看探临道路选线，</w:t>
            </w:r>
            <w:r>
              <w:rPr>
                <w:rFonts w:hint="eastAsia"/>
              </w:rPr>
              <w:t>在满足勘探设计和施工要求的前提下，对井场、生活营地位置及其他占地进行适当的调整，</w:t>
            </w:r>
            <w:r>
              <w:t>尽量避开野生植物生长密集地带</w:t>
            </w:r>
            <w:r>
              <w:rPr>
                <w:rFonts w:hint="eastAsia"/>
              </w:rPr>
              <w:t>及减少占地。确保各环保设施正常运行，避免各种污染物对土壤环境的影响，防止进一步影响其上部生长的野生植被。</w:t>
            </w:r>
          </w:p>
          <w:p>
            <w:pPr>
              <w:pStyle w:val="47"/>
              <w:keepNext/>
              <w:ind w:firstLine="480"/>
              <w:rPr>
                <w:lang w:bidi="zh-CN"/>
              </w:rPr>
            </w:pPr>
            <w:r>
              <w:rPr>
                <w:rFonts w:hint="eastAsia"/>
              </w:rPr>
              <w:t>②管理措施：严格控制井场占地；严格遵守油田环境保护规章制度；严格划定车辆行驶路线及临时道路开拓路线，运输车辆及勘探车辆在规定路线范围内行使，禁止乱碾乱轧；严格规定各类工作人员的活动范围，使之限于在各工区范围内活动，</w:t>
            </w:r>
            <w:r>
              <w:rPr>
                <w:lang w:bidi="zh-CN"/>
              </w:rPr>
              <w:t>最大限度减少对植物生存环境的踩踏破坏和对野生动物栖息地的侵扰</w:t>
            </w:r>
            <w:r>
              <w:rPr>
                <w:rFonts w:hint="eastAsia"/>
                <w:lang w:bidi="zh-CN"/>
              </w:rPr>
              <w:t>。</w:t>
            </w:r>
            <w:r>
              <w:rPr>
                <w:lang w:bidi="zh-CN"/>
              </w:rPr>
              <w:t>加强环境保护宣传工作，提高</w:t>
            </w:r>
            <w:r>
              <w:rPr>
                <w:rFonts w:hint="eastAsia"/>
                <w:lang w:bidi="zh-CN"/>
              </w:rPr>
              <w:t>施工人员</w:t>
            </w:r>
            <w:r>
              <w:rPr>
                <w:lang w:bidi="zh-CN"/>
              </w:rPr>
              <w:t>环保意识，特别是注意对野生动物和自然植被的保护。</w:t>
            </w:r>
          </w:p>
          <w:p>
            <w:pPr>
              <w:pStyle w:val="47"/>
              <w:keepNext/>
              <w:ind w:firstLine="480"/>
            </w:pPr>
            <w:r>
              <w:rPr>
                <w:rFonts w:hint="eastAsia"/>
              </w:rPr>
              <w:t>③恢复措施：完井后施工设备及时撤离，固体废物全部妥善处置，禁止现场遗留，占地应清理平整，尽量利用井场及临时道路施工时产生的表层弃土对临时占地进行覆盖。后期依靠自然恢复。</w:t>
            </w:r>
          </w:p>
          <w:p>
            <w:pPr>
              <w:pStyle w:val="47"/>
              <w:keepNext/>
              <w:ind w:firstLine="464"/>
              <w:rPr>
                <w:spacing w:val="-4"/>
              </w:rPr>
            </w:pPr>
            <w:r>
              <w:rPr>
                <w:rFonts w:hint="eastAsia"/>
                <w:spacing w:val="-4"/>
              </w:rPr>
              <w:t>④补偿措施：对因本项目施工破坏的野生植被，建设单位应按照相关规定缴纳生态经济补偿费。严格按照有关规定办理用地审批手续，临时占地在办理临时占地手续后将对其生态损失予以经济补偿。</w:t>
            </w:r>
          </w:p>
          <w:p>
            <w:pPr>
              <w:pStyle w:val="54"/>
              <w:keepNext/>
              <w:widowControl w:val="0"/>
              <w:ind w:firstLine="480"/>
            </w:pPr>
            <w:r>
              <w:rPr>
                <w:rFonts w:hint="eastAsia"/>
              </w:rPr>
              <w:t>（</w:t>
            </w:r>
            <w:r>
              <w:t>2</w:t>
            </w:r>
            <w:r>
              <w:rPr>
                <w:rFonts w:hint="eastAsia"/>
              </w:rPr>
              <w:t>）封井生态恢复措施</w:t>
            </w:r>
          </w:p>
          <w:p>
            <w:pPr>
              <w:pStyle w:val="54"/>
              <w:keepNext/>
              <w:widowControl w:val="0"/>
              <w:adjustRightInd w:val="0"/>
              <w:ind w:firstLine="480"/>
            </w:pPr>
            <w:r>
              <w:rPr>
                <w:rFonts w:hint="eastAsia"/>
              </w:rPr>
              <w:t>项目试油结束后，根据试采结果决定新钻井是否转为生产井，若可转为生产井，则应当在产能开发建设前开展其环境影响评价工作，编制环境影响评价文件；若不具备转产条件，则应封井。封井措施应满足《废弃井封井回填技术指南（试行）》要求执行以下封井生态恢复措施：</w:t>
            </w:r>
          </w:p>
          <w:p>
            <w:pPr>
              <w:pStyle w:val="54"/>
              <w:keepNext/>
              <w:widowControl w:val="0"/>
              <w:adjustRightInd w:val="0"/>
              <w:ind w:firstLine="480"/>
            </w:pPr>
            <w:r>
              <w:rPr>
                <w:rFonts w:hint="eastAsia"/>
              </w:rPr>
              <w:t>①</w:t>
            </w:r>
            <w:r>
              <w:t>回填材料应无污染，不得使用可能对地下水造成污染的材料</w:t>
            </w:r>
            <w:r>
              <w:rPr>
                <w:rFonts w:hint="eastAsia"/>
              </w:rPr>
              <w:t>。</w:t>
            </w:r>
          </w:p>
          <w:p>
            <w:pPr>
              <w:pStyle w:val="54"/>
              <w:keepNext/>
              <w:widowControl w:val="0"/>
              <w:adjustRightInd w:val="0"/>
              <w:ind w:firstLine="480"/>
            </w:pPr>
            <w:r>
              <w:rPr>
                <w:rFonts w:hint="eastAsia"/>
              </w:rPr>
              <w:t>②</w:t>
            </w:r>
            <w:r>
              <w:t>应开展井盖封堵或密闭填充，确保地表污染物不进入井内，各层位地下水不连通</w:t>
            </w:r>
            <w:r>
              <w:rPr>
                <w:rFonts w:hint="eastAsia"/>
              </w:rPr>
              <w:t>。</w:t>
            </w:r>
          </w:p>
          <w:p>
            <w:pPr>
              <w:pStyle w:val="54"/>
              <w:keepNext/>
              <w:widowControl w:val="0"/>
              <w:adjustRightInd w:val="0"/>
              <w:ind w:firstLine="480"/>
            </w:pPr>
            <w:r>
              <w:rPr>
                <w:rFonts w:hint="eastAsia"/>
              </w:rPr>
              <w:t>③</w:t>
            </w:r>
            <w:r>
              <w:t>各项建（构）筑物和基础设施应全部拆除确保固井质量和封井质量合格</w:t>
            </w:r>
            <w:r>
              <w:rPr>
                <w:rFonts w:hint="eastAsia"/>
              </w:rPr>
              <w:t>。</w:t>
            </w:r>
          </w:p>
          <w:p>
            <w:pPr>
              <w:pStyle w:val="54"/>
              <w:keepNext/>
              <w:widowControl w:val="0"/>
              <w:adjustRightInd w:val="0"/>
              <w:ind w:firstLine="480"/>
            </w:pPr>
            <w:r>
              <w:rPr>
                <w:rFonts w:hint="eastAsia"/>
              </w:rPr>
              <w:t>④</w:t>
            </w:r>
            <w:r>
              <w:t>试油结束后及时清理作业现场，做到“工完、料尽、场地清”，确保采取的封井措施有效可行</w:t>
            </w:r>
            <w:r>
              <w:rPr>
                <w:rFonts w:hint="eastAsia"/>
              </w:rPr>
              <w:t>。</w:t>
            </w:r>
          </w:p>
          <w:p>
            <w:pPr>
              <w:pStyle w:val="54"/>
              <w:keepNext/>
              <w:widowControl w:val="0"/>
              <w:adjustRightInd w:val="0"/>
              <w:ind w:firstLine="480"/>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及时对施工场地进行平整。</w:t>
            </w:r>
          </w:p>
          <w:p>
            <w:pPr>
              <w:pStyle w:val="54"/>
              <w:keepNext/>
              <w:widowControl w:val="0"/>
              <w:adjustRightInd w:val="0"/>
              <w:ind w:firstLine="480"/>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根据相关规定对占地进行经济补偿。</w:t>
            </w:r>
          </w:p>
          <w:p>
            <w:pPr>
              <w:pStyle w:val="54"/>
              <w:keepNext/>
              <w:widowControl w:val="0"/>
              <w:ind w:firstLine="480"/>
            </w:pPr>
            <w:r>
              <w:rPr>
                <w:rFonts w:hint="eastAsia"/>
              </w:rPr>
              <w:t>上述生态环境保护措施均为技术可行、经济合理、稳定可靠、便于实施的成熟措施，在油气田勘探过程中得到广泛应用。采取上述措施后，可有效减少对周围植被及土壤的不利影响，项目施工过程中对周围生态环境的破坏可降低至可接受水平。</w:t>
            </w:r>
          </w:p>
          <w:p>
            <w:pPr>
              <w:pStyle w:val="54"/>
              <w:keepNext/>
              <w:widowControl w:val="0"/>
              <w:adjustRightInd w:val="0"/>
              <w:ind w:firstLine="482"/>
              <w:rPr>
                <w:b/>
                <w:bCs/>
              </w:rPr>
            </w:pPr>
            <w:r>
              <w:rPr>
                <w:rFonts w:hint="eastAsia"/>
                <w:b/>
                <w:bCs/>
              </w:rPr>
              <w:t>2、水土流失防治措施</w:t>
            </w:r>
          </w:p>
          <w:p>
            <w:pPr>
              <w:pStyle w:val="54"/>
              <w:keepNext/>
              <w:widowControl w:val="0"/>
              <w:ind w:firstLine="480"/>
            </w:pPr>
            <w:r>
              <w:rPr>
                <w:rFonts w:hint="eastAsia"/>
              </w:rPr>
              <w:t>①施工期间严格划定施工活动范围，严格控制和管理运输车辆及重型机械的运行范围，不另辟施工便道，不得离开运输道路及随意驾驶，避免增加对地表的扰动和破坏。</w:t>
            </w:r>
          </w:p>
          <w:p>
            <w:pPr>
              <w:pStyle w:val="54"/>
              <w:keepNext/>
              <w:widowControl w:val="0"/>
              <w:ind w:firstLine="480"/>
            </w:pPr>
            <w:r>
              <w:rPr>
                <w:rFonts w:hint="eastAsia"/>
              </w:rPr>
              <w:t>②</w:t>
            </w:r>
            <w:r>
              <w:t>优化施工组织，缩短施工时间</w:t>
            </w:r>
            <w:r>
              <w:rPr>
                <w:rFonts w:hint="eastAsia"/>
              </w:rPr>
              <w:t>；对施工人员进行培训和教育，自觉保持水土，保护植被；严禁施工材料乱堆乱放，不随意乱采乱挖沿线植被。</w:t>
            </w:r>
          </w:p>
          <w:p>
            <w:pPr>
              <w:pStyle w:val="54"/>
              <w:keepNext/>
              <w:widowControl w:val="0"/>
              <w:ind w:firstLine="480"/>
            </w:pPr>
            <w:r>
              <w:rPr>
                <w:rFonts w:hint="eastAsia"/>
              </w:rPr>
              <w:t>③</w:t>
            </w:r>
            <w:r>
              <w:t>施工结束后</w:t>
            </w:r>
            <w:r>
              <w:rPr>
                <w:rFonts w:hint="eastAsia"/>
              </w:rPr>
              <w:t>及时</w:t>
            </w:r>
            <w:r>
              <w:t>对场地进行清理、平整并压实</w:t>
            </w:r>
            <w:r>
              <w:rPr>
                <w:rFonts w:hint="eastAsia"/>
              </w:rPr>
              <w:t>，</w:t>
            </w:r>
            <w:r>
              <w:t>避免水土流失。</w:t>
            </w:r>
          </w:p>
          <w:p>
            <w:pPr>
              <w:pStyle w:val="54"/>
              <w:keepNext/>
              <w:widowControl w:val="0"/>
              <w:ind w:firstLine="480"/>
            </w:pPr>
            <w:r>
              <w:rPr>
                <w:rFonts w:hint="eastAsia"/>
              </w:rPr>
              <w:t>以上措施落实后，对促进生态环境的恢复可以起到良好的作用，可将水土流失的程度降低到最小限度。</w:t>
            </w:r>
          </w:p>
          <w:p>
            <w:pPr>
              <w:pStyle w:val="54"/>
              <w:keepNext/>
              <w:widowControl w:val="0"/>
              <w:ind w:firstLine="482"/>
              <w:rPr>
                <w:b/>
                <w:bCs/>
              </w:rPr>
            </w:pPr>
            <w:r>
              <w:rPr>
                <w:rFonts w:hint="eastAsia"/>
                <w:b/>
                <w:bCs/>
              </w:rPr>
              <w:t>3、大气环境保护措施</w:t>
            </w:r>
          </w:p>
          <w:p>
            <w:pPr>
              <w:pStyle w:val="54"/>
              <w:keepNext/>
              <w:widowControl w:val="0"/>
              <w:ind w:firstLine="480"/>
            </w:pPr>
            <w:r>
              <w:rPr>
                <w:rFonts w:hint="eastAsia"/>
              </w:rPr>
              <w:t>钻试过程中需要采取以下大气防治措施：</w:t>
            </w:r>
          </w:p>
          <w:p>
            <w:pPr>
              <w:pStyle w:val="54"/>
              <w:keepNext/>
              <w:widowControl w:val="0"/>
              <w:ind w:firstLine="480"/>
            </w:pPr>
            <w:r>
              <w:t>（1）禁止利用挖掘机进行抛洒土石方作业；做好</w:t>
            </w:r>
            <w:r>
              <w:rPr>
                <w:rFonts w:hint="eastAsia"/>
              </w:rPr>
              <w:t>施工场地</w:t>
            </w:r>
            <w:r>
              <w:t>遮掩工作，最大限度地减少扬尘</w:t>
            </w:r>
            <w:r>
              <w:rPr>
                <w:rFonts w:hint="eastAsia"/>
              </w:rPr>
              <w:t>。</w:t>
            </w:r>
          </w:p>
          <w:p>
            <w:pPr>
              <w:pStyle w:val="54"/>
              <w:keepNext/>
              <w:widowControl w:val="0"/>
              <w:ind w:firstLine="480"/>
            </w:pPr>
            <w:r>
              <w:rPr>
                <w:rFonts w:hint="eastAsia"/>
              </w:rPr>
              <w:t>（2）</w:t>
            </w:r>
            <w:r>
              <w:t>使用高质量柴油机、柴油发电机和符合国家标准的柴油，并定期对</w:t>
            </w:r>
            <w:r>
              <w:rPr>
                <w:rFonts w:hint="eastAsia"/>
              </w:rPr>
              <w:t>机械、车辆等</w:t>
            </w:r>
            <w:r>
              <w:t>设备进行保养维护。</w:t>
            </w:r>
          </w:p>
          <w:p>
            <w:pPr>
              <w:pStyle w:val="54"/>
              <w:keepNext/>
              <w:widowControl w:val="0"/>
              <w:ind w:firstLine="480"/>
            </w:pPr>
            <w:r>
              <w:rPr>
                <w:rFonts w:hint="eastAsia"/>
              </w:rPr>
              <w:t>（</w:t>
            </w:r>
            <w:r>
              <w:t>3</w:t>
            </w:r>
            <w:r>
              <w:rPr>
                <w:rFonts w:hint="eastAsia"/>
              </w:rPr>
              <w:t>）施工现场运输车辆应低速慢行，不得超载，并采取密闭或遮盖措施；车辆沿道路行驶，不得随意开设便道，控制车速；对易起尘物料进行遮盖。</w:t>
            </w:r>
          </w:p>
          <w:p>
            <w:pPr>
              <w:pStyle w:val="54"/>
              <w:keepNext/>
              <w:widowControl w:val="0"/>
              <w:ind w:firstLine="480"/>
            </w:pPr>
            <w:r>
              <w:rPr>
                <w:rFonts w:hint="eastAsia"/>
              </w:rPr>
              <w:t>（</w:t>
            </w:r>
            <w:r>
              <w:t>4</w:t>
            </w:r>
            <w:r>
              <w:rPr>
                <w:rFonts w:hint="eastAsia"/>
              </w:rPr>
              <w:t>）试油期产生的伴生气含量不稳定，不具备回收利用条件，经放喷管线燃烧后排放，定期检查伴生气燃烧设备，加强燃烧设备的运营维护，确保伴生气充分燃烧，减少污染物的排放，以减少对项目所在区域大气环境质量的不良影响。</w:t>
            </w:r>
          </w:p>
          <w:p>
            <w:pPr>
              <w:pStyle w:val="54"/>
              <w:keepNext/>
              <w:widowControl w:val="0"/>
              <w:ind w:firstLine="480"/>
            </w:pPr>
            <w:r>
              <w:rPr>
                <w:rFonts w:hint="eastAsia"/>
              </w:rPr>
              <w:t>工程施工期环境空气污染影响程度和范围均不大，其影响随施工期的结束而停止，不会产生累积的污染影响。</w:t>
            </w:r>
            <w:r>
              <w:t>以上防治措施，简单可行，具有可操作性，施工扬尘影响能够减缓到可以接受的程度</w:t>
            </w:r>
            <w:r>
              <w:rPr>
                <w:rFonts w:hint="eastAsia"/>
              </w:rPr>
              <w:t>，施工期废气对周围环境空气质量影响较小。</w:t>
            </w:r>
          </w:p>
          <w:p>
            <w:pPr>
              <w:pStyle w:val="54"/>
              <w:keepNext/>
              <w:widowControl w:val="0"/>
              <w:ind w:firstLine="482"/>
              <w:rPr>
                <w:b/>
                <w:bCs/>
              </w:rPr>
            </w:pPr>
            <w:r>
              <w:rPr>
                <w:b/>
                <w:bCs/>
              </w:rPr>
              <w:t>4</w:t>
            </w:r>
            <w:r>
              <w:rPr>
                <w:rFonts w:hint="eastAsia"/>
                <w:b/>
                <w:bCs/>
              </w:rPr>
              <w:t>、水环境保护措施</w:t>
            </w:r>
          </w:p>
          <w:p>
            <w:pPr>
              <w:keepNext/>
              <w:snapToGrid w:val="0"/>
              <w:spacing w:line="500" w:lineRule="exact"/>
              <w:ind w:firstLine="480" w:firstLineChars="200"/>
              <w:jc w:val="left"/>
              <w:rPr>
                <w:rFonts w:ascii="宋体" w:hAnsi="宋体" w:cs="宋体"/>
                <w:bCs/>
                <w:sz w:val="24"/>
              </w:rPr>
            </w:pPr>
            <w:r>
              <w:rPr>
                <w:rFonts w:ascii="宋体" w:hAnsi="宋体" w:cs="宋体"/>
                <w:bCs/>
                <w:sz w:val="24"/>
              </w:rPr>
              <w:t>（1）</w:t>
            </w:r>
            <w:r>
              <w:rPr>
                <w:rFonts w:hint="eastAsia" w:ascii="宋体" w:hAnsi="宋体" w:cs="宋体"/>
                <w:bCs/>
                <w:sz w:val="24"/>
              </w:rPr>
              <w:t>废水处理措施</w:t>
            </w:r>
          </w:p>
          <w:p>
            <w:pPr>
              <w:keepNext/>
              <w:snapToGrid w:val="0"/>
              <w:spacing w:line="500" w:lineRule="exact"/>
              <w:ind w:firstLine="480" w:firstLineChars="200"/>
              <w:jc w:val="left"/>
              <w:rPr>
                <w:rFonts w:ascii="宋体" w:hAnsi="宋体" w:cs="宋体"/>
                <w:bCs/>
                <w:sz w:val="24"/>
              </w:rPr>
            </w:pPr>
            <w:r>
              <w:rPr>
                <w:rFonts w:hint="eastAsia" w:ascii="宋体" w:hAnsi="宋体" w:cs="宋体"/>
                <w:bCs/>
                <w:sz w:val="24"/>
              </w:rPr>
              <w:t>①洗井废水</w:t>
            </w:r>
          </w:p>
          <w:p>
            <w:pPr>
              <w:keepNext/>
              <w:snapToGrid w:val="0"/>
              <w:spacing w:line="500" w:lineRule="exact"/>
              <w:ind w:firstLine="480" w:firstLineChars="200"/>
              <w:rPr>
                <w:rFonts w:ascii="宋体" w:hAnsi="宋体" w:cs="宋体"/>
                <w:bCs/>
                <w:sz w:val="24"/>
              </w:rPr>
            </w:pPr>
            <w:r>
              <w:rPr>
                <w:rFonts w:hint="eastAsia" w:ascii="宋体" w:hAnsi="宋体" w:cs="宋体"/>
                <w:bCs/>
                <w:sz w:val="24"/>
              </w:rPr>
              <w:t>洗井废水</w:t>
            </w:r>
            <w:r>
              <w:rPr>
                <w:rFonts w:ascii="宋体" w:hAnsi="宋体" w:cs="宋体"/>
                <w:bCs/>
                <w:sz w:val="24"/>
              </w:rPr>
              <w:t>全部排入井口方罐，运至</w:t>
            </w:r>
            <w:r>
              <w:rPr>
                <w:rFonts w:hint="eastAsia" w:ascii="宋体" w:hAnsi="宋体" w:cs="宋体"/>
                <w:bCs/>
                <w:sz w:val="24"/>
              </w:rPr>
              <w:t>沙南联合站</w:t>
            </w:r>
            <w:r>
              <w:rPr>
                <w:rFonts w:ascii="宋体" w:hAnsi="宋体" w:cs="宋体"/>
                <w:bCs/>
                <w:sz w:val="24"/>
              </w:rPr>
              <w:t>采出水</w:t>
            </w:r>
            <w:r>
              <w:rPr>
                <w:rFonts w:hint="eastAsia" w:ascii="宋体" w:hAnsi="宋体" w:cs="宋体"/>
                <w:bCs/>
                <w:sz w:val="24"/>
              </w:rPr>
              <w:t>处理</w:t>
            </w:r>
            <w:r>
              <w:rPr>
                <w:rFonts w:ascii="宋体" w:hAnsi="宋体" w:cs="宋体"/>
                <w:bCs/>
                <w:sz w:val="24"/>
              </w:rPr>
              <w:t>系统</w:t>
            </w:r>
            <w:r>
              <w:rPr>
                <w:rFonts w:hint="eastAsia" w:ascii="宋体" w:hAnsi="宋体" w:cs="宋体"/>
                <w:bCs/>
                <w:sz w:val="24"/>
              </w:rPr>
              <w:t>进行处理，处理达到《碎屑岩油藏注水水质推荐指标及分析方法》（SY/T 5329—2012）的相关标准后全部回注油藏，不外排。该处理系统环保手续履行情况详见表</w:t>
            </w:r>
            <w:r>
              <w:rPr>
                <w:rFonts w:ascii="宋体" w:hAnsi="宋体" w:cs="宋体"/>
                <w:bCs/>
                <w:sz w:val="24"/>
              </w:rPr>
              <w:t>13。</w:t>
            </w:r>
          </w:p>
          <w:p>
            <w:pPr>
              <w:keepNext/>
              <w:snapToGrid w:val="0"/>
              <w:spacing w:line="500" w:lineRule="exact"/>
              <w:jc w:val="center"/>
              <w:rPr>
                <w:rFonts w:ascii="黑体" w:hAnsi="黑体" w:eastAsia="黑体" w:cs="宋体"/>
                <w:bCs/>
                <w:szCs w:val="21"/>
              </w:rPr>
            </w:pPr>
            <w:r>
              <w:rPr>
                <w:rFonts w:hint="eastAsia" w:ascii="黑体" w:hAnsi="黑体" w:eastAsia="黑体" w:cs="宋体"/>
                <w:bCs/>
                <w:szCs w:val="21"/>
              </w:rPr>
              <w:t>表</w:t>
            </w:r>
            <w:r>
              <w:rPr>
                <w:rFonts w:ascii="黑体" w:hAnsi="黑体" w:eastAsia="黑体" w:cs="宋体"/>
                <w:bCs/>
                <w:szCs w:val="21"/>
              </w:rPr>
              <w:t xml:space="preserve">13  </w:t>
            </w:r>
            <w:r>
              <w:rPr>
                <w:rFonts w:hint="eastAsia" w:ascii="黑体" w:hAnsi="黑体" w:eastAsia="黑体" w:cs="宋体"/>
                <w:bCs/>
                <w:szCs w:val="21"/>
              </w:rPr>
              <w:t xml:space="preserve"> 洗井废水处置单位相关环保手续</w:t>
            </w:r>
          </w:p>
          <w:tbl>
            <w:tblPr>
              <w:tblStyle w:val="64"/>
              <w:tblW w:w="790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853"/>
              <w:gridCol w:w="28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93" w:type="dxa"/>
                  <w:tcMar>
                    <w:left w:w="0" w:type="dxa"/>
                    <w:right w:w="0" w:type="dxa"/>
                  </w:tcMar>
                  <w:vAlign w:val="center"/>
                </w:tcPr>
                <w:p>
                  <w:pPr>
                    <w:pStyle w:val="45"/>
                    <w:keepNext/>
                  </w:pPr>
                  <w:bookmarkStart w:id="18" w:name="_Hlk90912437"/>
                  <w:r>
                    <w:t>环评文件</w:t>
                  </w:r>
                </w:p>
              </w:tc>
              <w:tc>
                <w:tcPr>
                  <w:tcW w:w="2853" w:type="dxa"/>
                  <w:tcMar>
                    <w:left w:w="0" w:type="dxa"/>
                    <w:right w:w="0" w:type="dxa"/>
                  </w:tcMar>
                  <w:vAlign w:val="center"/>
                </w:tcPr>
                <w:p>
                  <w:pPr>
                    <w:pStyle w:val="45"/>
                    <w:keepNext/>
                  </w:pPr>
                  <w:r>
                    <w:t>环评批复</w:t>
                  </w:r>
                  <w:r>
                    <w:rPr>
                      <w:rFonts w:hint="eastAsia"/>
                    </w:rPr>
                    <w:t>机关及批复</w:t>
                  </w:r>
                  <w:r>
                    <w:t>文号</w:t>
                  </w:r>
                </w:p>
              </w:tc>
              <w:tc>
                <w:tcPr>
                  <w:tcW w:w="2858" w:type="dxa"/>
                  <w:tcMar>
                    <w:left w:w="0" w:type="dxa"/>
                    <w:right w:w="0" w:type="dxa"/>
                  </w:tcMar>
                  <w:vAlign w:val="center"/>
                </w:tcPr>
                <w:p>
                  <w:pPr>
                    <w:pStyle w:val="45"/>
                    <w:keepNext/>
                  </w:pPr>
                  <w:r>
                    <w:rPr>
                      <w:rFonts w:hint="eastAsia"/>
                    </w:rPr>
                    <w:t>验收情况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93" w:type="dxa"/>
                  <w:tcMar>
                    <w:left w:w="0" w:type="dxa"/>
                    <w:right w:w="0" w:type="dxa"/>
                  </w:tcMar>
                  <w:vAlign w:val="center"/>
                </w:tcPr>
                <w:p>
                  <w:pPr>
                    <w:pStyle w:val="45"/>
                    <w:keepNext/>
                  </w:pPr>
                  <w:r>
                    <w:rPr>
                      <w:rFonts w:hint="eastAsia"/>
                    </w:rPr>
                    <w:t>沙联站污水处理系统扩容改造工程</w:t>
                  </w:r>
                </w:p>
              </w:tc>
              <w:tc>
                <w:tcPr>
                  <w:tcW w:w="2853" w:type="dxa"/>
                  <w:tcMar>
                    <w:left w:w="0" w:type="dxa"/>
                    <w:right w:w="0" w:type="dxa"/>
                  </w:tcMar>
                  <w:vAlign w:val="center"/>
                </w:tcPr>
                <w:p>
                  <w:pPr>
                    <w:pStyle w:val="45"/>
                    <w:keepNext/>
                  </w:pPr>
                  <w:r>
                    <w:rPr>
                      <w:rFonts w:hint="eastAsia"/>
                    </w:rPr>
                    <w:t>201</w:t>
                  </w:r>
                  <w:r>
                    <w:t>4</w:t>
                  </w:r>
                  <w:r>
                    <w:rPr>
                      <w:rFonts w:hint="eastAsia"/>
                    </w:rPr>
                    <w:t>年</w:t>
                  </w:r>
                  <w:r>
                    <w:t>8</w:t>
                  </w:r>
                  <w:r>
                    <w:rPr>
                      <w:rFonts w:hint="eastAsia"/>
                    </w:rPr>
                    <w:t>月1日，新环函〔201</w:t>
                  </w:r>
                  <w:r>
                    <w:t>4</w:t>
                  </w:r>
                  <w:r>
                    <w:rPr>
                      <w:rFonts w:hint="eastAsia"/>
                    </w:rPr>
                    <w:t>〕</w:t>
                  </w:r>
                  <w:r>
                    <w:t>926</w:t>
                  </w:r>
                  <w:r>
                    <w:rPr>
                      <w:rFonts w:hint="eastAsia"/>
                    </w:rPr>
                    <w:t>号</w:t>
                  </w:r>
                </w:p>
              </w:tc>
              <w:tc>
                <w:tcPr>
                  <w:tcW w:w="2858" w:type="dxa"/>
                  <w:tcMar>
                    <w:left w:w="0" w:type="dxa"/>
                    <w:right w:w="0" w:type="dxa"/>
                  </w:tcMar>
                  <w:vAlign w:val="center"/>
                </w:tcPr>
                <w:p>
                  <w:pPr>
                    <w:pStyle w:val="45"/>
                    <w:keepNext/>
                  </w:pPr>
                  <w:r>
                    <w:rPr>
                      <w:rFonts w:hint="eastAsia"/>
                    </w:rPr>
                    <w:t>201</w:t>
                  </w:r>
                  <w:r>
                    <w:t>9</w:t>
                  </w:r>
                  <w:r>
                    <w:rPr>
                      <w:rFonts w:hint="eastAsia"/>
                    </w:rPr>
                    <w:t>年1</w:t>
                  </w:r>
                  <w:r>
                    <w:t>1</w:t>
                  </w:r>
                  <w:r>
                    <w:rPr>
                      <w:rFonts w:hint="eastAsia"/>
                    </w:rPr>
                    <w:t>月</w:t>
                  </w:r>
                  <w:r>
                    <w:t>3</w:t>
                  </w:r>
                  <w:r>
                    <w:rPr>
                      <w:rFonts w:hint="eastAsia"/>
                    </w:rPr>
                    <w:t>日完成自主验收</w:t>
                  </w:r>
                </w:p>
              </w:tc>
            </w:tr>
            <w:bookmarkEnd w:id="18"/>
          </w:tbl>
          <w:p>
            <w:pPr>
              <w:keepNext/>
              <w:snapToGrid w:val="0"/>
              <w:spacing w:line="500" w:lineRule="exact"/>
              <w:ind w:firstLine="480" w:firstLineChars="200"/>
              <w:rPr>
                <w:rFonts w:ascii="宋体" w:hAnsi="宋体" w:cs="宋体"/>
                <w:bCs/>
                <w:sz w:val="24"/>
                <w:lang w:bidi="zh-CN"/>
              </w:rPr>
            </w:pPr>
            <w:r>
              <w:rPr>
                <w:rFonts w:hint="eastAsia" w:ascii="宋体" w:hAnsi="宋体" w:cs="宋体"/>
                <w:bCs/>
                <w:sz w:val="24"/>
                <w:lang w:bidi="zh-CN"/>
              </w:rPr>
              <w:t>沙南联合站污水处理系统现状设计处理能力为3400m</w:t>
            </w:r>
            <w:r>
              <w:rPr>
                <w:rFonts w:hint="eastAsia" w:ascii="宋体" w:hAnsi="宋体" w:cs="宋体"/>
                <w:bCs/>
                <w:sz w:val="24"/>
                <w:vertAlign w:val="superscript"/>
                <w:lang w:bidi="zh-CN"/>
              </w:rPr>
              <w:t>3</w:t>
            </w:r>
            <w:r>
              <w:rPr>
                <w:rFonts w:hint="eastAsia" w:ascii="宋体" w:hAnsi="宋体" w:cs="宋体"/>
                <w:bCs/>
                <w:sz w:val="24"/>
                <w:lang w:bidi="zh-CN"/>
              </w:rPr>
              <w:t>/d，采用“重核—催化强化絮凝净水+双料过滤处理技术+电解盐杀菌”处理工艺。出水水质达到《碎屑岩油藏注水水质指标及分析方法》（SY/T5329—2012）要求后，进入注水系统回注油层。</w:t>
            </w:r>
          </w:p>
          <w:p>
            <w:pPr>
              <w:keepNext/>
              <w:snapToGrid w:val="0"/>
              <w:spacing w:line="500" w:lineRule="exact"/>
              <w:ind w:firstLine="480" w:firstLineChars="200"/>
              <w:rPr>
                <w:rFonts w:ascii="宋体" w:hAnsi="宋体" w:cs="宋体"/>
                <w:bCs/>
                <w:sz w:val="24"/>
                <w:lang w:bidi="zh-CN"/>
              </w:rPr>
            </w:pPr>
            <w:r>
              <w:rPr>
                <w:rFonts w:hint="eastAsia" w:ascii="宋体" w:hAnsi="宋体" w:cs="宋体"/>
                <w:bCs/>
                <w:sz w:val="24"/>
                <w:lang w:bidi="zh-CN"/>
              </w:rPr>
              <w:t>目前污水处理系统实际处理能力为2000m</w:t>
            </w:r>
            <w:r>
              <w:rPr>
                <w:rFonts w:hint="eastAsia" w:ascii="宋体" w:hAnsi="宋体" w:cs="宋体"/>
                <w:bCs/>
                <w:sz w:val="24"/>
                <w:vertAlign w:val="superscript"/>
                <w:lang w:bidi="zh-CN"/>
              </w:rPr>
              <w:t>3</w:t>
            </w:r>
            <w:r>
              <w:rPr>
                <w:rFonts w:hint="eastAsia" w:ascii="宋体" w:hAnsi="宋体" w:cs="宋体"/>
                <w:bCs/>
                <w:sz w:val="24"/>
                <w:lang w:bidi="zh-CN"/>
              </w:rPr>
              <w:t>/d，富余处理量为1400m</w:t>
            </w:r>
            <w:r>
              <w:rPr>
                <w:rFonts w:hint="eastAsia" w:ascii="宋体" w:hAnsi="宋体" w:cs="宋体"/>
                <w:bCs/>
                <w:sz w:val="24"/>
                <w:vertAlign w:val="superscript"/>
                <w:lang w:bidi="zh-CN"/>
              </w:rPr>
              <w:t>3</w:t>
            </w:r>
            <w:r>
              <w:rPr>
                <w:rFonts w:hint="eastAsia" w:ascii="宋体" w:hAnsi="宋体" w:cs="宋体"/>
                <w:bCs/>
                <w:sz w:val="24"/>
                <w:lang w:bidi="zh-CN"/>
              </w:rPr>
              <w:t>/d，本项目试油</w:t>
            </w:r>
            <w:r>
              <w:rPr>
                <w:rFonts w:ascii="宋体" w:hAnsi="宋体" w:cs="宋体"/>
                <w:bCs/>
                <w:sz w:val="24"/>
                <w:lang w:bidi="zh-CN"/>
              </w:rPr>
              <w:t>期间</w:t>
            </w:r>
            <w:r>
              <w:rPr>
                <w:rFonts w:hint="eastAsia" w:ascii="宋体" w:hAnsi="宋体" w:cs="宋体"/>
                <w:bCs/>
                <w:sz w:val="24"/>
                <w:lang w:bidi="zh-CN"/>
              </w:rPr>
              <w:t>洗井</w:t>
            </w:r>
            <w:r>
              <w:rPr>
                <w:rFonts w:ascii="宋体" w:hAnsi="宋体" w:cs="宋体"/>
                <w:bCs/>
                <w:sz w:val="24"/>
                <w:lang w:bidi="zh-CN"/>
              </w:rPr>
              <w:t>废水量约300m</w:t>
            </w:r>
            <w:r>
              <w:rPr>
                <w:rFonts w:ascii="宋体" w:hAnsi="宋体" w:cs="宋体"/>
                <w:bCs/>
                <w:sz w:val="24"/>
                <w:vertAlign w:val="superscript"/>
                <w:lang w:bidi="zh-CN"/>
              </w:rPr>
              <w:t>3</w:t>
            </w:r>
            <w:r>
              <w:rPr>
                <w:rFonts w:ascii="宋体" w:hAnsi="宋体" w:cs="宋体"/>
                <w:bCs/>
                <w:sz w:val="24"/>
                <w:lang w:bidi="zh-CN"/>
              </w:rPr>
              <w:t>，产生量较小</w:t>
            </w:r>
            <w:r>
              <w:rPr>
                <w:rFonts w:hint="eastAsia" w:ascii="宋体" w:hAnsi="宋体" w:cs="宋体"/>
                <w:bCs/>
                <w:sz w:val="24"/>
                <w:lang w:bidi="zh-CN"/>
              </w:rPr>
              <w:t>。综上所述，沙南联合站</w:t>
            </w:r>
            <w:r>
              <w:rPr>
                <w:rFonts w:ascii="宋体" w:hAnsi="宋体" w:cs="宋体"/>
                <w:bCs/>
                <w:sz w:val="24"/>
                <w:lang w:bidi="zh-CN"/>
              </w:rPr>
              <w:t>采出水</w:t>
            </w:r>
            <w:r>
              <w:rPr>
                <w:rFonts w:hint="eastAsia" w:ascii="宋体" w:hAnsi="宋体" w:cs="宋体"/>
                <w:bCs/>
                <w:sz w:val="24"/>
                <w:lang w:bidi="zh-CN"/>
              </w:rPr>
              <w:t>处理</w:t>
            </w:r>
            <w:r>
              <w:rPr>
                <w:rFonts w:ascii="宋体" w:hAnsi="宋体" w:cs="宋体"/>
                <w:bCs/>
                <w:sz w:val="24"/>
                <w:lang w:bidi="zh-CN"/>
              </w:rPr>
              <w:t>系统余量可满足本项目</w:t>
            </w:r>
            <w:r>
              <w:rPr>
                <w:rFonts w:hint="eastAsia" w:ascii="宋体" w:hAnsi="宋体" w:cs="宋体"/>
                <w:bCs/>
                <w:sz w:val="24"/>
                <w:lang w:bidi="zh-CN"/>
              </w:rPr>
              <w:t>试油</w:t>
            </w:r>
            <w:r>
              <w:rPr>
                <w:rFonts w:ascii="宋体" w:hAnsi="宋体" w:cs="宋体"/>
                <w:bCs/>
                <w:sz w:val="24"/>
                <w:lang w:bidi="zh-CN"/>
              </w:rPr>
              <w:t>废水处理需求</w:t>
            </w:r>
            <w:r>
              <w:rPr>
                <w:rFonts w:hint="eastAsia" w:ascii="宋体" w:hAnsi="宋体" w:cs="宋体"/>
                <w:bCs/>
                <w:sz w:val="24"/>
                <w:lang w:bidi="zh-CN"/>
              </w:rPr>
              <w:t>，依托可行</w:t>
            </w:r>
            <w:r>
              <w:rPr>
                <w:rFonts w:ascii="宋体" w:hAnsi="宋体" w:cs="宋体"/>
                <w:bCs/>
                <w:sz w:val="24"/>
                <w:lang w:bidi="zh-CN"/>
              </w:rPr>
              <w:t>。</w:t>
            </w:r>
          </w:p>
          <w:p>
            <w:pPr>
              <w:keepNext/>
              <w:snapToGrid w:val="0"/>
              <w:spacing w:line="500" w:lineRule="exact"/>
              <w:ind w:firstLine="480" w:firstLineChars="200"/>
              <w:rPr>
                <w:rFonts w:ascii="宋体" w:hAnsi="宋体" w:cs="宋体"/>
                <w:bCs/>
                <w:sz w:val="24"/>
              </w:rPr>
            </w:pPr>
            <w:r>
              <w:rPr>
                <w:rFonts w:hint="eastAsia" w:ascii="宋体" w:hAnsi="宋体" w:cs="宋体"/>
                <w:bCs/>
                <w:sz w:val="24"/>
              </w:rPr>
              <w:t>②生活污水</w:t>
            </w:r>
          </w:p>
          <w:p>
            <w:pPr>
              <w:keepNext/>
              <w:snapToGrid w:val="0"/>
              <w:spacing w:line="500" w:lineRule="exact"/>
              <w:ind w:firstLine="480" w:firstLineChars="200"/>
              <w:rPr>
                <w:rFonts w:ascii="宋体" w:hAnsi="宋体" w:cs="宋体"/>
                <w:bCs/>
                <w:sz w:val="24"/>
              </w:rPr>
            </w:pPr>
            <w:r>
              <w:rPr>
                <w:rFonts w:ascii="宋体" w:hAnsi="宋体" w:cs="宋体"/>
                <w:bCs/>
                <w:sz w:val="24"/>
              </w:rPr>
              <w:t>钻井队生活污水</w:t>
            </w:r>
            <w:r>
              <w:rPr>
                <w:rFonts w:hint="eastAsia" w:ascii="宋体" w:hAnsi="宋体" w:cs="宋体"/>
                <w:bCs/>
                <w:sz w:val="24"/>
              </w:rPr>
              <w:t>排至临时生活污水储集防渗池，施工结束后由吸污车将池中的生活污水清运至吉木萨尔县污水处理厂</w:t>
            </w:r>
            <w:r>
              <w:rPr>
                <w:rFonts w:ascii="宋体" w:hAnsi="宋体" w:cs="宋体"/>
                <w:bCs/>
                <w:sz w:val="24"/>
              </w:rPr>
              <w:t>处理</w:t>
            </w:r>
            <w:r>
              <w:rPr>
                <w:rFonts w:hint="eastAsia" w:ascii="宋体" w:hAnsi="宋体" w:cs="宋体"/>
                <w:bCs/>
                <w:sz w:val="24"/>
              </w:rPr>
              <w:t>，工程结束后将防渗污水池覆土掩埋。</w:t>
            </w:r>
          </w:p>
          <w:p>
            <w:pPr>
              <w:spacing w:line="500" w:lineRule="exact"/>
              <w:ind w:firstLine="480" w:firstLineChars="200"/>
              <w:rPr>
                <w:rFonts w:ascii="宋体" w:hAnsi="宋体" w:cs="宋体"/>
                <w:kern w:val="0"/>
                <w:sz w:val="24"/>
              </w:rPr>
            </w:pPr>
            <w:r>
              <w:rPr>
                <w:rFonts w:hint="eastAsia" w:ascii="宋体" w:hAnsi="宋体" w:cs="宋体"/>
                <w:kern w:val="0"/>
                <w:sz w:val="24"/>
              </w:rPr>
              <w:t>吉木萨尔县污水处理厂位于吉木萨尔县城东北 15km 处（张家庄子村北 500m），该项目环评报告于2015年6月1日获原昌吉回族自治州环境保护局审批，批复文号：昌州环评〔2015〕48号；于2018年9月14日通过了竣工环保验收，设计污水处理量3万m</w:t>
            </w:r>
            <w:r>
              <w:rPr>
                <w:rFonts w:hint="eastAsia" w:ascii="宋体" w:hAnsi="宋体" w:cs="宋体"/>
                <w:kern w:val="0"/>
                <w:sz w:val="24"/>
                <w:vertAlign w:val="superscript"/>
              </w:rPr>
              <w:t>3</w:t>
            </w:r>
            <w:r>
              <w:rPr>
                <w:rFonts w:hint="eastAsia" w:ascii="宋体" w:hAnsi="宋体" w:cs="宋体"/>
                <w:kern w:val="0"/>
                <w:sz w:val="24"/>
              </w:rPr>
              <w:t>/d，实际处理污水量 1万m</w:t>
            </w:r>
            <w:r>
              <w:rPr>
                <w:rFonts w:hint="eastAsia" w:ascii="宋体" w:hAnsi="宋体" w:cs="宋体"/>
                <w:kern w:val="0"/>
                <w:sz w:val="24"/>
                <w:vertAlign w:val="superscript"/>
              </w:rPr>
              <w:t>3</w:t>
            </w:r>
            <w:r>
              <w:rPr>
                <w:rFonts w:hint="eastAsia" w:ascii="宋体" w:hAnsi="宋体" w:cs="宋体"/>
                <w:kern w:val="0"/>
                <w:sz w:val="24"/>
              </w:rPr>
              <w:t>/d，采用“强化脱氮改良A</w:t>
            </w:r>
            <w:r>
              <w:rPr>
                <w:rFonts w:hint="eastAsia" w:ascii="宋体" w:hAnsi="宋体" w:cs="宋体"/>
                <w:kern w:val="0"/>
                <w:sz w:val="24"/>
                <w:vertAlign w:val="superscript"/>
              </w:rPr>
              <w:t>2</w:t>
            </w:r>
            <w:r>
              <w:rPr>
                <w:rFonts w:hint="eastAsia" w:ascii="宋体" w:hAnsi="宋体" w:cs="宋体"/>
                <w:kern w:val="0"/>
                <w:sz w:val="24"/>
              </w:rPr>
              <w:t xml:space="preserve"> /O+絮凝沉淀滤布滤池工艺”，目前正常运行，根据验收监测数据，出水符合《城镇污水处理厂污染物排放标准》（GB18918—2002）中的一级 A 标准的要求。本项目生活污水产生量约6</w:t>
            </w:r>
            <w:r>
              <w:rPr>
                <w:rFonts w:ascii="宋体" w:hAnsi="宋体" w:cs="宋体"/>
                <w:kern w:val="0"/>
                <w:sz w:val="24"/>
              </w:rPr>
              <w:t>7</w:t>
            </w:r>
            <w:r>
              <w:rPr>
                <w:rFonts w:hint="eastAsia" w:ascii="宋体" w:hAnsi="宋体" w:cs="宋体"/>
                <w:kern w:val="0"/>
                <w:sz w:val="24"/>
              </w:rPr>
              <w:t>m</w:t>
            </w:r>
            <w:r>
              <w:rPr>
                <w:rFonts w:hint="eastAsia" w:ascii="宋体" w:hAnsi="宋体" w:cs="宋体"/>
                <w:kern w:val="0"/>
                <w:sz w:val="24"/>
                <w:vertAlign w:val="superscript"/>
              </w:rPr>
              <w:t>3</w:t>
            </w:r>
            <w:r>
              <w:rPr>
                <w:rFonts w:hint="eastAsia" w:ascii="宋体" w:hAnsi="宋体" w:cs="宋体"/>
                <w:kern w:val="0"/>
                <w:sz w:val="24"/>
              </w:rPr>
              <w:t>，只占污水处理厂日处理量很小比例，水质在污水厂设计进水浓度范围之内，依托是可行的。</w:t>
            </w:r>
          </w:p>
          <w:p>
            <w:pPr>
              <w:pStyle w:val="47"/>
              <w:ind w:firstLine="480"/>
              <w:rPr>
                <w:bCs/>
              </w:rPr>
            </w:pPr>
            <w:r>
              <w:rPr>
                <w:rFonts w:hint="eastAsia"/>
                <w:bCs/>
              </w:rPr>
              <w:t>试油废水及生活污水运输车辆应低速慢行，不得超载。</w:t>
            </w:r>
          </w:p>
          <w:p>
            <w:pPr>
              <w:pStyle w:val="47"/>
              <w:ind w:firstLine="480"/>
            </w:pPr>
            <w:r>
              <w:rPr>
                <w:rFonts w:hint="eastAsia"/>
              </w:rPr>
              <w:t>（</w:t>
            </w:r>
            <w:r>
              <w:t>2</w:t>
            </w:r>
            <w:r>
              <w:rPr>
                <w:rFonts w:hint="eastAsia"/>
              </w:rPr>
              <w:t>）地下水含水层防护措施</w:t>
            </w:r>
          </w:p>
          <w:p>
            <w:pPr>
              <w:widowControl/>
              <w:snapToGrid w:val="0"/>
              <w:spacing w:line="500" w:lineRule="exact"/>
              <w:ind w:firstLine="480" w:firstLineChars="200"/>
              <w:rPr>
                <w:rFonts w:ascii="宋体" w:hAnsi="宋体" w:cs="宋体"/>
                <w:bCs/>
                <w:sz w:val="24"/>
              </w:rPr>
            </w:pPr>
            <w:r>
              <w:rPr>
                <w:rFonts w:hint="eastAsia" w:ascii="宋体" w:hAnsi="宋体" w:cs="宋体"/>
                <w:bCs/>
                <w:sz w:val="24"/>
              </w:rPr>
              <w:t>本次钻井过程中采用套管与地层隔离开、并在套管与地层之间注入水泥进行固井，水泥浆返至地面，封隔疏松地层和水层。本项目</w:t>
            </w:r>
            <w:r>
              <w:rPr>
                <w:rFonts w:ascii="宋体" w:hAnsi="宋体" w:cs="宋体"/>
                <w:bCs/>
                <w:sz w:val="24"/>
              </w:rPr>
              <w:t>表层套管的深度</w:t>
            </w:r>
            <w:r>
              <w:rPr>
                <w:rFonts w:hint="eastAsia" w:ascii="宋体" w:hAnsi="宋体" w:cs="宋体"/>
                <w:bCs/>
                <w:sz w:val="24"/>
              </w:rPr>
              <w:t>为5</w:t>
            </w:r>
            <w:r>
              <w:rPr>
                <w:rFonts w:ascii="宋体" w:hAnsi="宋体" w:cs="宋体"/>
                <w:bCs/>
                <w:sz w:val="24"/>
              </w:rPr>
              <w:t>00</w:t>
            </w:r>
            <w:r>
              <w:rPr>
                <w:rFonts w:hint="eastAsia" w:ascii="宋体" w:hAnsi="宋体" w:cs="宋体"/>
                <w:bCs/>
                <w:sz w:val="24"/>
              </w:rPr>
              <w:t>m，有效隔断了井身与地下水之间的联系，</w:t>
            </w:r>
            <w:r>
              <w:rPr>
                <w:rFonts w:ascii="宋体" w:hAnsi="宋体" w:cs="宋体"/>
                <w:bCs/>
                <w:sz w:val="24"/>
              </w:rPr>
              <w:t>可保护地下水环境不受污染。</w:t>
            </w:r>
            <w:r>
              <w:rPr>
                <w:rFonts w:hint="eastAsia" w:ascii="宋体" w:hAnsi="宋体" w:cs="宋体"/>
                <w:bCs/>
                <w:sz w:val="24"/>
              </w:rPr>
              <w:t>试油</w:t>
            </w:r>
            <w:r>
              <w:rPr>
                <w:rFonts w:ascii="宋体" w:hAnsi="宋体" w:cs="宋体"/>
                <w:bCs/>
                <w:sz w:val="24"/>
              </w:rPr>
              <w:t>目的层与地下水处于不同层系，在施工过程中</w:t>
            </w:r>
            <w:r>
              <w:rPr>
                <w:rFonts w:hint="eastAsia" w:ascii="宋体" w:hAnsi="宋体" w:cs="宋体"/>
                <w:bCs/>
                <w:sz w:val="24"/>
              </w:rPr>
              <w:t>确保套管下入指定深度，有效避免试油作业</w:t>
            </w:r>
            <w:r>
              <w:rPr>
                <w:rFonts w:ascii="宋体" w:hAnsi="宋体" w:cs="宋体"/>
                <w:bCs/>
                <w:sz w:val="24"/>
              </w:rPr>
              <w:t>对地下水环境的影响。钻井</w:t>
            </w:r>
            <w:r>
              <w:rPr>
                <w:rFonts w:hint="eastAsia" w:ascii="宋体" w:hAnsi="宋体" w:cs="宋体"/>
                <w:bCs/>
                <w:sz w:val="24"/>
              </w:rPr>
              <w:t>时</w:t>
            </w:r>
            <w:r>
              <w:rPr>
                <w:rFonts w:ascii="宋体" w:hAnsi="宋体" w:cs="宋体"/>
                <w:bCs/>
                <w:sz w:val="24"/>
              </w:rPr>
              <w:t>严格</w:t>
            </w:r>
            <w:r>
              <w:rPr>
                <w:rFonts w:hint="eastAsia" w:ascii="宋体" w:hAnsi="宋体" w:cs="宋体"/>
                <w:bCs/>
                <w:sz w:val="24"/>
              </w:rPr>
              <w:t>落实套管下入深度合格和固井质量合格</w:t>
            </w:r>
            <w:r>
              <w:rPr>
                <w:rFonts w:ascii="宋体" w:hAnsi="宋体" w:cs="宋体"/>
                <w:bCs/>
                <w:sz w:val="24"/>
              </w:rPr>
              <w:t>，对产生的废水进行严格管理，基本不会对所在区域地下水产生影响。</w:t>
            </w:r>
          </w:p>
          <w:p>
            <w:pPr>
              <w:widowControl/>
              <w:snapToGrid w:val="0"/>
              <w:spacing w:line="500" w:lineRule="exact"/>
              <w:ind w:firstLine="480" w:firstLineChars="200"/>
              <w:rPr>
                <w:rFonts w:ascii="宋体" w:hAnsi="宋体" w:cs="宋体"/>
                <w:bCs/>
                <w:sz w:val="24"/>
              </w:rPr>
            </w:pPr>
            <w:r>
              <w:rPr>
                <w:rFonts w:hint="eastAsia" w:ascii="宋体" w:hAnsi="宋体" w:cs="宋体"/>
                <w:bCs/>
                <w:sz w:val="24"/>
              </w:rPr>
              <w:t>此外，施工期间井场内的柴油罐、废水储罐、发电机、材料堆场等区域均铺设HDPE防渗膜，其渗透系数≤1×1</w:t>
            </w:r>
            <w:r>
              <w:rPr>
                <w:rFonts w:ascii="宋体" w:hAnsi="宋体" w:cs="宋体"/>
                <w:bCs/>
                <w:sz w:val="24"/>
              </w:rPr>
              <w:t>0</w:t>
            </w:r>
            <w:r>
              <w:rPr>
                <w:rFonts w:hint="eastAsia" w:ascii="宋体" w:hAnsi="宋体" w:cs="宋体"/>
                <w:bCs/>
                <w:sz w:val="24"/>
                <w:vertAlign w:val="superscript"/>
              </w:rPr>
              <w:t>—</w:t>
            </w:r>
            <w:r>
              <w:rPr>
                <w:rFonts w:ascii="宋体" w:hAnsi="宋体" w:cs="宋体"/>
                <w:bCs/>
                <w:sz w:val="24"/>
                <w:vertAlign w:val="superscript"/>
              </w:rPr>
              <w:t>7</w:t>
            </w:r>
            <w:r>
              <w:rPr>
                <w:rFonts w:hint="eastAsia" w:ascii="宋体" w:hAnsi="宋体" w:cs="宋体"/>
                <w:bCs/>
                <w:sz w:val="24"/>
              </w:rPr>
              <w:t>cm</w:t>
            </w:r>
            <w:r>
              <w:rPr>
                <w:rFonts w:ascii="宋体" w:hAnsi="宋体" w:cs="宋体"/>
                <w:bCs/>
                <w:sz w:val="24"/>
              </w:rPr>
              <w:t>/s</w:t>
            </w:r>
            <w:r>
              <w:rPr>
                <w:rFonts w:hint="eastAsia" w:ascii="宋体" w:hAnsi="宋体" w:cs="宋体"/>
                <w:bCs/>
                <w:sz w:val="24"/>
              </w:rPr>
              <w:t>，施工过程中产生的废水能够得到妥善处理</w:t>
            </w:r>
            <w:r>
              <w:rPr>
                <w:rFonts w:ascii="宋体" w:hAnsi="宋体" w:cs="宋体"/>
                <w:bCs/>
                <w:sz w:val="24"/>
              </w:rPr>
              <w:t>。</w:t>
            </w:r>
          </w:p>
          <w:p>
            <w:pPr>
              <w:widowControl/>
              <w:snapToGrid w:val="0"/>
              <w:spacing w:line="500" w:lineRule="exact"/>
              <w:ind w:firstLine="480" w:firstLineChars="200"/>
              <w:rPr>
                <w:rFonts w:ascii="宋体" w:hAnsi="宋体" w:cs="宋体"/>
                <w:bCs/>
                <w:sz w:val="24"/>
              </w:rPr>
            </w:pPr>
            <w:r>
              <w:rPr>
                <w:rFonts w:hint="eastAsia" w:ascii="宋体" w:hAnsi="宋体" w:cs="宋体"/>
                <w:bCs/>
                <w:sz w:val="24"/>
              </w:rPr>
              <w:t>综上所述，钻试期对地下水环境不会产生不利影响。</w:t>
            </w:r>
          </w:p>
          <w:p>
            <w:pPr>
              <w:pStyle w:val="47"/>
              <w:ind w:firstLine="482"/>
              <w:rPr>
                <w:b/>
                <w:bCs/>
              </w:rPr>
            </w:pPr>
            <w:r>
              <w:rPr>
                <w:b/>
                <w:bCs/>
              </w:rPr>
              <w:t>5</w:t>
            </w:r>
            <w:r>
              <w:rPr>
                <w:rFonts w:hint="eastAsia"/>
                <w:b/>
                <w:bCs/>
              </w:rPr>
              <w:t>、声环境保护措施</w:t>
            </w:r>
          </w:p>
          <w:p>
            <w:pPr>
              <w:pStyle w:val="47"/>
              <w:ind w:firstLine="480"/>
            </w:pPr>
            <w:r>
              <w:rPr>
                <w:rFonts w:hint="eastAsia"/>
              </w:rPr>
              <w:t>项目区周边不存在声环境保护目标。施工单位应</w:t>
            </w:r>
            <w:r>
              <w:t>定期对设备运行情况进行检查</w:t>
            </w:r>
            <w:r>
              <w:rPr>
                <w:rFonts w:hint="eastAsia"/>
              </w:rPr>
              <w:t>，加强设备维护及保养，</w:t>
            </w:r>
            <w:r>
              <w:t>确保设备处于良好的运行状况</w:t>
            </w:r>
            <w:r>
              <w:rPr>
                <w:rFonts w:hint="eastAsia"/>
              </w:rPr>
              <w:t>；设备底部采用基础减震措施，从源头控制噪声的产生</w:t>
            </w:r>
            <w:r>
              <w:t>。</w:t>
            </w:r>
            <w:r>
              <w:rPr>
                <w:rFonts w:hint="eastAsia"/>
              </w:rPr>
              <w:t>所有施工结束后噪声对周围环境影响随即消失。</w:t>
            </w:r>
          </w:p>
          <w:p>
            <w:pPr>
              <w:pStyle w:val="47"/>
              <w:ind w:firstLine="482"/>
              <w:rPr>
                <w:b/>
                <w:bCs/>
              </w:rPr>
            </w:pPr>
            <w:r>
              <w:rPr>
                <w:b/>
                <w:bCs/>
              </w:rPr>
              <w:t>6</w:t>
            </w:r>
            <w:r>
              <w:rPr>
                <w:rFonts w:hint="eastAsia"/>
                <w:b/>
                <w:bCs/>
              </w:rPr>
              <w:t>、固体废物处置措施</w:t>
            </w:r>
          </w:p>
          <w:p>
            <w:pPr>
              <w:pStyle w:val="54"/>
              <w:spacing w:line="460" w:lineRule="exact"/>
              <w:ind w:firstLine="480"/>
            </w:pPr>
            <w:r>
              <w:rPr>
                <w:rFonts w:hint="eastAsia"/>
              </w:rPr>
              <w:t>（1）</w:t>
            </w:r>
            <w:bookmarkStart w:id="19" w:name="_Hlk77022734"/>
            <w:r>
              <w:rPr>
                <w:rFonts w:hint="eastAsia"/>
              </w:rPr>
              <w:t>钻井岩屑处置措施</w:t>
            </w:r>
            <w:bookmarkEnd w:id="19"/>
          </w:p>
          <w:p>
            <w:pPr>
              <w:pStyle w:val="54"/>
              <w:spacing w:line="460" w:lineRule="exact"/>
              <w:ind w:firstLine="480"/>
            </w:pPr>
            <w:r>
              <w:rPr>
                <w:rFonts w:hint="eastAsia"/>
              </w:rPr>
              <w:t>①水基钻井岩屑</w:t>
            </w:r>
          </w:p>
          <w:p>
            <w:pPr>
              <w:pStyle w:val="54"/>
              <w:spacing w:line="460" w:lineRule="exact"/>
              <w:ind w:firstLine="480"/>
            </w:pPr>
            <w:bookmarkStart w:id="20" w:name="_Hlk530765038"/>
            <w:r>
              <w:drawing>
                <wp:anchor distT="0" distB="0" distL="114300" distR="114300" simplePos="0" relativeHeight="251660288" behindDoc="0" locked="0" layoutInCell="1" allowOverlap="1">
                  <wp:simplePos x="0" y="0"/>
                  <wp:positionH relativeFrom="column">
                    <wp:posOffset>280035</wp:posOffset>
                  </wp:positionH>
                  <wp:positionV relativeFrom="paragraph">
                    <wp:posOffset>2164080</wp:posOffset>
                  </wp:positionV>
                  <wp:extent cx="4114800" cy="1085850"/>
                  <wp:effectExtent l="0" t="0" r="0" b="0"/>
                  <wp:wrapTopAndBottom/>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0" cy="1085850"/>
                          </a:xfrm>
                          <a:prstGeom prst="rect">
                            <a:avLst/>
                          </a:prstGeom>
                        </pic:spPr>
                      </pic:pic>
                    </a:graphicData>
                  </a:graphic>
                </wp:anchor>
              </w:drawing>
            </w:r>
            <w:r>
              <w:rPr>
                <w:rFonts w:hint="eastAsia"/>
              </w:rPr>
              <w:t>本项目一开采用水基钻井液，钻井时井筒返排的钻井液及岩屑经不落地设备进行分离，分离出的液相回用于钻井液配置，固相</w:t>
            </w:r>
            <w:r>
              <w:t>进岩屑专用方罐，</w:t>
            </w:r>
            <w:bookmarkStart w:id="21" w:name="_Hlk69139413"/>
            <w:r>
              <w:t>方罐</w:t>
            </w:r>
            <w:r>
              <w:rPr>
                <w:rFonts w:hint="eastAsia"/>
              </w:rPr>
              <w:t>底部</w:t>
            </w:r>
            <w:r>
              <w:rPr>
                <w:rFonts w:hint="eastAsia"/>
                <w:bCs/>
              </w:rPr>
              <w:t>铺设渗透系数≤1×1</w:t>
            </w:r>
            <w:r>
              <w:rPr>
                <w:bCs/>
              </w:rPr>
              <w:t>0</w:t>
            </w:r>
            <w:r>
              <w:rPr>
                <w:rFonts w:hint="eastAsia"/>
                <w:bCs/>
                <w:vertAlign w:val="superscript"/>
              </w:rPr>
              <w:t>—</w:t>
            </w:r>
            <w:r>
              <w:rPr>
                <w:bCs/>
                <w:vertAlign w:val="superscript"/>
              </w:rPr>
              <w:t>10</w:t>
            </w:r>
            <w:r>
              <w:rPr>
                <w:bCs/>
              </w:rPr>
              <w:t>cm/s</w:t>
            </w:r>
            <w:r>
              <w:rPr>
                <w:rFonts w:hint="eastAsia"/>
                <w:bCs/>
              </w:rPr>
              <w:t>、厚度为2</w:t>
            </w:r>
            <w:r>
              <w:rPr>
                <w:bCs/>
              </w:rPr>
              <w:t>mm</w:t>
            </w:r>
            <w:r>
              <w:rPr>
                <w:rFonts w:hint="eastAsia"/>
                <w:bCs/>
              </w:rPr>
              <w:t>的H</w:t>
            </w:r>
            <w:r>
              <w:rPr>
                <w:bCs/>
              </w:rPr>
              <w:t>DPE</w:t>
            </w:r>
            <w:r>
              <w:rPr>
                <w:rFonts w:hint="eastAsia"/>
                <w:bCs/>
              </w:rPr>
              <w:t>防渗膜</w:t>
            </w:r>
            <w:r>
              <w:rPr>
                <w:rFonts w:hint="eastAsia"/>
              </w:rPr>
              <w:t>。当方罐装满时</w:t>
            </w:r>
            <w:r>
              <w:t>由岩屑处置单位直接</w:t>
            </w:r>
            <w:r>
              <w:rPr>
                <w:rFonts w:hint="eastAsia"/>
              </w:rPr>
              <w:t>拉运</w:t>
            </w:r>
            <w:r>
              <w:t>进行处理</w:t>
            </w:r>
            <w:r>
              <w:rPr>
                <w:rFonts w:hint="eastAsia"/>
              </w:rPr>
              <w:t>，</w:t>
            </w:r>
            <w:bookmarkEnd w:id="21"/>
            <w:r>
              <w:rPr>
                <w:rFonts w:hint="eastAsia"/>
              </w:rPr>
              <w:t>满足《油气田钻井固体废物综合利用污染控制要求》（DB 65/T 3997—2017）中各项要求后，用于铺设服务油田生产的各种内部道路、铺垫井场等</w:t>
            </w:r>
            <w:bookmarkEnd w:id="20"/>
            <w:r>
              <w:rPr>
                <w:rFonts w:hint="eastAsia"/>
              </w:rPr>
              <w:t>。水基钻井岩屑处理工艺流程如图</w:t>
            </w:r>
            <w:r>
              <w:t>2</w:t>
            </w:r>
            <w:r>
              <w:rPr>
                <w:rFonts w:hint="eastAsia"/>
              </w:rPr>
              <w:t>所示。</w:t>
            </w:r>
          </w:p>
          <w:p>
            <w:pPr>
              <w:pStyle w:val="54"/>
              <w:spacing w:line="460" w:lineRule="exact"/>
              <w:ind w:firstLine="0" w:firstLineChars="0"/>
              <w:jc w:val="center"/>
              <w:rPr>
                <w:rFonts w:ascii="黑体" w:hAnsi="黑体" w:eastAsia="黑体"/>
                <w:sz w:val="21"/>
                <w:szCs w:val="21"/>
              </w:rPr>
            </w:pPr>
            <w:r>
              <w:rPr>
                <w:rFonts w:hint="eastAsia" w:ascii="黑体" w:hAnsi="黑体" w:eastAsia="黑体"/>
                <w:sz w:val="21"/>
                <w:szCs w:val="21"/>
              </w:rPr>
              <w:t>图2  水基钻井岩屑井场处理工艺流程</w:t>
            </w:r>
          </w:p>
          <w:p>
            <w:pPr>
              <w:pStyle w:val="54"/>
              <w:adjustRightInd w:val="0"/>
              <w:snapToGrid w:val="0"/>
              <w:ind w:firstLine="472"/>
              <w:rPr>
                <w:spacing w:val="-2"/>
              </w:rPr>
            </w:pPr>
            <w:r>
              <w:rPr>
                <w:rFonts w:hint="eastAsia"/>
                <w:spacing w:val="-2"/>
              </w:rPr>
              <w:t>②油基钻井岩屑</w:t>
            </w:r>
          </w:p>
          <w:p>
            <w:pPr>
              <w:pStyle w:val="54"/>
              <w:adjustRightInd w:val="0"/>
              <w:snapToGrid w:val="0"/>
              <w:ind w:firstLine="472"/>
              <w:rPr>
                <w:spacing w:val="-2"/>
              </w:rPr>
            </w:pPr>
            <w:r>
              <w:rPr>
                <w:rFonts w:hint="eastAsia"/>
                <w:spacing w:val="-2"/>
              </w:rPr>
              <w:t>项目二开、三开采用油基钻井液体系，钻井时井筒返排的钻井液及岩屑经不落地设备进行分离，液相回用于钻井液配置，固体先由甩干机进行第一次固液分离，再由离心机对甩干机排出的液体进行第二次固液分离，实现深度分离，分离出的液相回用于钻井液配置，分离出的固相属于HW08类危险废物（</w:t>
            </w:r>
            <w:bookmarkStart w:id="22" w:name="_Hlk77022588"/>
            <w:r>
              <w:rPr>
                <w:rFonts w:hint="eastAsia"/>
                <w:spacing w:val="-2"/>
              </w:rPr>
              <w:t>废物代码：071—002—08</w:t>
            </w:r>
            <w:bookmarkEnd w:id="22"/>
            <w:r>
              <w:rPr>
                <w:rFonts w:hint="eastAsia"/>
                <w:spacing w:val="-2"/>
              </w:rPr>
              <w:t>），采用专用的方罐进行收集，底部铺设</w:t>
            </w:r>
            <w:r>
              <w:rPr>
                <w:rFonts w:hint="eastAsia"/>
                <w:bCs/>
                <w:spacing w:val="-2"/>
              </w:rPr>
              <w:t>渗透系数≤1×1</w:t>
            </w:r>
            <w:r>
              <w:rPr>
                <w:bCs/>
                <w:spacing w:val="-2"/>
              </w:rPr>
              <w:t>0</w:t>
            </w:r>
            <w:r>
              <w:rPr>
                <w:rFonts w:hint="eastAsia"/>
                <w:bCs/>
                <w:spacing w:val="-2"/>
                <w:vertAlign w:val="superscript"/>
              </w:rPr>
              <w:t>—</w:t>
            </w:r>
            <w:r>
              <w:rPr>
                <w:bCs/>
                <w:spacing w:val="-2"/>
                <w:vertAlign w:val="superscript"/>
              </w:rPr>
              <w:t>10</w:t>
            </w:r>
            <w:r>
              <w:rPr>
                <w:bCs/>
                <w:spacing w:val="-2"/>
              </w:rPr>
              <w:t>cm/s</w:t>
            </w:r>
            <w:r>
              <w:rPr>
                <w:rFonts w:hint="eastAsia"/>
                <w:bCs/>
                <w:spacing w:val="-2"/>
              </w:rPr>
              <w:t>、厚度为2</w:t>
            </w:r>
            <w:r>
              <w:rPr>
                <w:bCs/>
                <w:spacing w:val="-2"/>
              </w:rPr>
              <w:t>mm</w:t>
            </w:r>
            <w:r>
              <w:rPr>
                <w:rFonts w:hint="eastAsia"/>
                <w:bCs/>
                <w:spacing w:val="-2"/>
              </w:rPr>
              <w:t>的H</w:t>
            </w:r>
            <w:r>
              <w:rPr>
                <w:bCs/>
                <w:spacing w:val="-2"/>
              </w:rPr>
              <w:t>DPE</w:t>
            </w:r>
            <w:r>
              <w:rPr>
                <w:rFonts w:hint="eastAsia"/>
                <w:bCs/>
                <w:spacing w:val="-2"/>
              </w:rPr>
              <w:t>防渗膜</w:t>
            </w:r>
            <w:r>
              <w:rPr>
                <w:rFonts w:hint="eastAsia"/>
                <w:spacing w:val="-2"/>
              </w:rPr>
              <w:t>。收集的油基岩屑交由具有相关危险废物处置资质的单位负责接收、转运以及处置。工艺流程见图</w:t>
            </w:r>
            <w:r>
              <w:rPr>
                <w:spacing w:val="-2"/>
              </w:rPr>
              <w:t>3</w:t>
            </w:r>
            <w:r>
              <w:rPr>
                <w:rFonts w:hint="eastAsia"/>
                <w:spacing w:val="-2"/>
              </w:rPr>
              <w:t>。</w:t>
            </w:r>
          </w:p>
          <w:p>
            <w:pPr>
              <w:pStyle w:val="54"/>
              <w:adjustRightInd w:val="0"/>
              <w:spacing w:line="460" w:lineRule="exact"/>
              <w:ind w:firstLine="480"/>
            </w:pPr>
            <w:r>
              <w:rPr>
                <w:rFonts w:hint="eastAsia"/>
              </w:rPr>
              <w:drawing>
                <wp:anchor distT="0" distB="0" distL="114300" distR="114300" simplePos="0" relativeHeight="251662336" behindDoc="0" locked="0" layoutInCell="1" allowOverlap="1">
                  <wp:simplePos x="0" y="0"/>
                  <wp:positionH relativeFrom="column">
                    <wp:posOffset>363855</wp:posOffset>
                  </wp:positionH>
                  <wp:positionV relativeFrom="paragraph">
                    <wp:posOffset>67310</wp:posOffset>
                  </wp:positionV>
                  <wp:extent cx="4037965" cy="2038350"/>
                  <wp:effectExtent l="0" t="0" r="635"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37965" cy="2038350"/>
                          </a:xfrm>
                          <a:prstGeom prst="rect">
                            <a:avLst/>
                          </a:prstGeom>
                          <a:noFill/>
                        </pic:spPr>
                      </pic:pic>
                    </a:graphicData>
                  </a:graphic>
                </wp:anchor>
              </w:drawing>
            </w:r>
          </w:p>
          <w:p>
            <w:pPr>
              <w:pStyle w:val="54"/>
              <w:adjustRightInd w:val="0"/>
              <w:spacing w:line="460" w:lineRule="exact"/>
              <w:ind w:firstLine="472"/>
              <w:rPr>
                <w:spacing w:val="-2"/>
              </w:rPr>
            </w:pPr>
          </w:p>
          <w:p>
            <w:pPr>
              <w:pStyle w:val="54"/>
              <w:adjustRightInd w:val="0"/>
              <w:spacing w:line="460" w:lineRule="exact"/>
              <w:ind w:firstLine="472"/>
              <w:rPr>
                <w:spacing w:val="-2"/>
              </w:rPr>
            </w:pPr>
          </w:p>
          <w:p>
            <w:pPr>
              <w:pStyle w:val="54"/>
              <w:adjustRightInd w:val="0"/>
              <w:spacing w:line="460" w:lineRule="exact"/>
              <w:ind w:firstLine="472"/>
              <w:rPr>
                <w:spacing w:val="-2"/>
              </w:rPr>
            </w:pPr>
          </w:p>
          <w:p>
            <w:pPr>
              <w:pStyle w:val="54"/>
              <w:adjustRightInd w:val="0"/>
              <w:spacing w:line="460" w:lineRule="exact"/>
              <w:ind w:firstLine="472"/>
              <w:rPr>
                <w:spacing w:val="-2"/>
              </w:rPr>
            </w:pPr>
          </w:p>
          <w:p>
            <w:pPr>
              <w:pStyle w:val="54"/>
              <w:adjustRightInd w:val="0"/>
              <w:snapToGrid w:val="0"/>
              <w:spacing w:line="460" w:lineRule="exact"/>
              <w:ind w:firstLine="0" w:firstLineChars="0"/>
              <w:jc w:val="center"/>
              <w:rPr>
                <w:rFonts w:ascii="黑体" w:hAnsi="黑体" w:eastAsia="黑体"/>
                <w:sz w:val="21"/>
                <w:szCs w:val="21"/>
              </w:rPr>
            </w:pPr>
            <w:bookmarkStart w:id="23" w:name="_Ref62573507"/>
          </w:p>
          <w:p>
            <w:pPr>
              <w:pStyle w:val="54"/>
              <w:adjustRightInd w:val="0"/>
              <w:snapToGrid w:val="0"/>
              <w:spacing w:line="460" w:lineRule="exact"/>
              <w:ind w:firstLine="0" w:firstLineChars="0"/>
              <w:jc w:val="center"/>
              <w:rPr>
                <w:rFonts w:ascii="黑体" w:hAnsi="黑体" w:eastAsia="黑体"/>
                <w:sz w:val="21"/>
                <w:szCs w:val="21"/>
              </w:rPr>
            </w:pPr>
          </w:p>
          <w:p>
            <w:pPr>
              <w:pStyle w:val="54"/>
              <w:adjustRightInd w:val="0"/>
              <w:snapToGrid w:val="0"/>
              <w:spacing w:line="460" w:lineRule="exact"/>
              <w:ind w:firstLine="0" w:firstLineChars="0"/>
              <w:jc w:val="center"/>
              <w:rPr>
                <w:rFonts w:ascii="黑体" w:hAnsi="黑体" w:eastAsia="黑体"/>
                <w:sz w:val="21"/>
                <w:szCs w:val="21"/>
              </w:rPr>
            </w:pPr>
            <w:r>
              <w:rPr>
                <w:rFonts w:hint="eastAsia" w:ascii="黑体" w:hAnsi="黑体" w:eastAsia="黑体"/>
                <w:sz w:val="21"/>
                <w:szCs w:val="21"/>
              </w:rPr>
              <w:t>图</w:t>
            </w:r>
            <w:bookmarkEnd w:id="23"/>
            <w:r>
              <w:rPr>
                <w:rFonts w:ascii="黑体" w:hAnsi="黑体" w:eastAsia="黑体"/>
                <w:sz w:val="21"/>
                <w:szCs w:val="21"/>
              </w:rPr>
              <w:t>3</w:t>
            </w:r>
            <w:r>
              <w:rPr>
                <w:rFonts w:hint="eastAsia" w:ascii="黑体" w:hAnsi="黑体" w:eastAsia="黑体"/>
                <w:sz w:val="21"/>
                <w:szCs w:val="21"/>
              </w:rPr>
              <w:t xml:space="preserve">  油基钻井岩屑井场处理工艺流程示意图</w:t>
            </w:r>
          </w:p>
          <w:p>
            <w:pPr>
              <w:pStyle w:val="54"/>
              <w:keepNext/>
              <w:widowControl w:val="0"/>
              <w:spacing w:line="460" w:lineRule="exact"/>
              <w:ind w:firstLine="480"/>
            </w:pPr>
            <w:r>
              <w:rPr>
                <w:rFonts w:hint="eastAsia"/>
              </w:rPr>
              <w:t>（2）生活垃圾处置措施</w:t>
            </w:r>
          </w:p>
          <w:p>
            <w:pPr>
              <w:pStyle w:val="54"/>
              <w:keepNext/>
              <w:widowControl w:val="0"/>
              <w:ind w:firstLine="480"/>
              <w:rPr>
                <w:bCs/>
              </w:rPr>
            </w:pPr>
            <w:r>
              <w:rPr>
                <w:rFonts w:hint="eastAsia"/>
                <w:bCs/>
              </w:rPr>
              <w:t>井场和生活营地设置生活垃圾收集箱，集中收集后拉运至吉木萨尔县生活垃圾填埋场填埋处置。运输车辆应低速慢行，不得超载，沿道路行驶不得随意开辟便道，禁止乱碾乱轧。</w:t>
            </w:r>
          </w:p>
          <w:p>
            <w:pPr>
              <w:pStyle w:val="54"/>
              <w:keepNext/>
              <w:widowControl w:val="0"/>
              <w:ind w:firstLine="480"/>
            </w:pPr>
            <w:r>
              <w:rPr>
                <w:rFonts w:hint="eastAsia"/>
              </w:rPr>
              <w:t>吉木萨尔县生活垃圾填埋场位于吉木萨尔县新地乡，距吉木萨尔县城西南约9.5km，北距乌奇南路约2km处，中心地理坐标为：东经89°04′15.8″，北纬43°59′10.1″。整个卫生填埋场占地面积约21.94×10</w:t>
            </w:r>
            <w:r>
              <w:rPr>
                <w:rFonts w:hint="eastAsia"/>
                <w:vertAlign w:val="superscript"/>
              </w:rPr>
              <w:t>4</w:t>
            </w:r>
            <w:r>
              <w:rPr>
                <w:rFonts w:hint="eastAsia"/>
              </w:rPr>
              <w:t>m</w:t>
            </w:r>
            <w:r>
              <w:rPr>
                <w:rFonts w:hint="eastAsia"/>
                <w:vertAlign w:val="superscript"/>
              </w:rPr>
              <w:t>2</w:t>
            </w:r>
            <w:r>
              <w:rPr>
                <w:rFonts w:hint="eastAsia"/>
              </w:rPr>
              <w:t>，其中近期为7.0×10</w:t>
            </w:r>
            <w:r>
              <w:rPr>
                <w:rFonts w:hint="eastAsia"/>
                <w:vertAlign w:val="superscript"/>
              </w:rPr>
              <w:t>4</w:t>
            </w:r>
            <w:r>
              <w:rPr>
                <w:rFonts w:hint="eastAsia"/>
              </w:rPr>
              <w:t>m</w:t>
            </w:r>
            <w:r>
              <w:rPr>
                <w:rFonts w:hint="eastAsia"/>
                <w:vertAlign w:val="superscript"/>
              </w:rPr>
              <w:t>2</w:t>
            </w:r>
            <w:r>
              <w:rPr>
                <w:rFonts w:hint="eastAsia"/>
              </w:rPr>
              <w:t>，远期约10.5×10</w:t>
            </w:r>
            <w:r>
              <w:rPr>
                <w:rFonts w:hint="eastAsia"/>
                <w:vertAlign w:val="superscript"/>
              </w:rPr>
              <w:t>4</w:t>
            </w:r>
            <w:r>
              <w:rPr>
                <w:rFonts w:hint="eastAsia"/>
              </w:rPr>
              <w:t>m</w:t>
            </w:r>
            <w:r>
              <w:rPr>
                <w:rFonts w:hint="eastAsia"/>
                <w:vertAlign w:val="superscript"/>
              </w:rPr>
              <w:t>2</w:t>
            </w:r>
            <w:r>
              <w:rPr>
                <w:rFonts w:hint="eastAsia"/>
              </w:rPr>
              <w:t>。管理站区0.64×10</w:t>
            </w:r>
            <w:r>
              <w:rPr>
                <w:rFonts w:hint="eastAsia"/>
                <w:vertAlign w:val="superscript"/>
              </w:rPr>
              <w:t>4</w:t>
            </w:r>
            <w:r>
              <w:rPr>
                <w:rFonts w:hint="eastAsia"/>
              </w:rPr>
              <w:t>m</w:t>
            </w:r>
            <w:r>
              <w:rPr>
                <w:rFonts w:hint="eastAsia"/>
                <w:vertAlign w:val="superscript"/>
              </w:rPr>
              <w:t>2</w:t>
            </w:r>
            <w:r>
              <w:rPr>
                <w:rFonts w:hint="eastAsia"/>
              </w:rPr>
              <w:t>，绿化面积3.8×10</w:t>
            </w:r>
            <w:r>
              <w:rPr>
                <w:rFonts w:hint="eastAsia"/>
                <w:vertAlign w:val="superscript"/>
              </w:rPr>
              <w:t>4</w:t>
            </w:r>
            <w:r>
              <w:rPr>
                <w:rFonts w:hint="eastAsia"/>
              </w:rPr>
              <w:t>m</w:t>
            </w:r>
            <w:r>
              <w:rPr>
                <w:rFonts w:hint="eastAsia"/>
                <w:vertAlign w:val="superscript"/>
              </w:rPr>
              <w:t>2</w:t>
            </w:r>
            <w:r>
              <w:rPr>
                <w:rFonts w:hint="eastAsia"/>
              </w:rPr>
              <w:t>。近期工程设计规模：生活垃圾清运处理量100t/d，总库容63×10</w:t>
            </w:r>
            <w:r>
              <w:rPr>
                <w:rFonts w:hint="eastAsia"/>
                <w:vertAlign w:val="superscript"/>
              </w:rPr>
              <w:t>4</w:t>
            </w:r>
            <w:r>
              <w:rPr>
                <w:rFonts w:hint="eastAsia"/>
              </w:rPr>
              <w:t>m</w:t>
            </w:r>
            <w:r>
              <w:rPr>
                <w:rFonts w:hint="eastAsia"/>
                <w:vertAlign w:val="superscript"/>
              </w:rPr>
              <w:t>3</w:t>
            </w:r>
            <w:r>
              <w:rPr>
                <w:rFonts w:hint="eastAsia"/>
              </w:rPr>
              <w:t>，服务年限11年。远期工程设计规模：生活垃圾清运处理量130t/d，总库容94.5×10</w:t>
            </w:r>
            <w:r>
              <w:rPr>
                <w:rFonts w:hint="eastAsia"/>
                <w:vertAlign w:val="superscript"/>
              </w:rPr>
              <w:t>4</w:t>
            </w:r>
            <w:r>
              <w:rPr>
                <w:rFonts w:hint="eastAsia"/>
              </w:rPr>
              <w:t>m</w:t>
            </w:r>
            <w:r>
              <w:rPr>
                <w:rFonts w:hint="eastAsia"/>
                <w:vertAlign w:val="superscript"/>
              </w:rPr>
              <w:t>3</w:t>
            </w:r>
            <w:r>
              <w:rPr>
                <w:rFonts w:hint="eastAsia"/>
              </w:rPr>
              <w:t>，服务年限12年。主要由填埋场、生产管理区、道路、垃圾收集系统等组成。填埋场主要处置城镇生活垃圾，不作为工业固体废物和危险废弃物处置场所。</w:t>
            </w:r>
          </w:p>
          <w:p>
            <w:pPr>
              <w:spacing w:line="500" w:lineRule="exact"/>
              <w:ind w:firstLine="480" w:firstLineChars="200"/>
              <w:rPr>
                <w:rFonts w:ascii="宋体" w:hAnsi="宋体" w:cs="宋体"/>
                <w:sz w:val="24"/>
              </w:rPr>
            </w:pPr>
            <w:r>
              <w:rPr>
                <w:rFonts w:hint="eastAsia" w:ascii="宋体" w:hAnsi="宋体" w:cs="宋体"/>
                <w:sz w:val="24"/>
              </w:rPr>
              <w:t>垃圾填埋场主要采用卫生填埋工艺，推进式填埋法，工艺过程主要包括机械卸料、铺平、压实、覆土、喷水降尘、灭虫等。渗滤液经场底收集系统排至渗滤液收集池，经处理后回喷垃圾堆体；填埋气经导气石笼收集后导出。填埋场底部和边坡采取严格防渗的设计方案。该垃圾填埋场已于2008年12月取得新疆维吾尔自治区环保厅《关于吉木萨尔县生活垃圾处理工程环境影响报告书的批复》（新环监函</w:t>
            </w:r>
            <w:r>
              <w:rPr>
                <w:rFonts w:hint="eastAsia" w:ascii="宋体" w:hAnsi="宋体" w:cs="宋体"/>
                <w:sz w:val="32"/>
                <w:szCs w:val="32"/>
              </w:rPr>
              <w:t>〔</w:t>
            </w:r>
            <w:r>
              <w:rPr>
                <w:rFonts w:ascii="宋体" w:hAnsi="宋体" w:cs="宋体"/>
                <w:sz w:val="24"/>
              </w:rPr>
              <w:t>2008</w:t>
            </w:r>
            <w:r>
              <w:rPr>
                <w:rFonts w:hint="eastAsia" w:ascii="宋体" w:hAnsi="宋体" w:cs="宋体"/>
                <w:sz w:val="32"/>
                <w:szCs w:val="32"/>
              </w:rPr>
              <w:t>〕</w:t>
            </w:r>
            <w:r>
              <w:rPr>
                <w:rFonts w:hint="eastAsia" w:ascii="宋体" w:hAnsi="宋体" w:cs="宋体"/>
                <w:sz w:val="24"/>
              </w:rPr>
              <w:t>537号）。</w:t>
            </w:r>
          </w:p>
          <w:p>
            <w:pPr>
              <w:spacing w:line="500" w:lineRule="exact"/>
              <w:ind w:firstLine="464" w:firstLineChars="200"/>
              <w:rPr>
                <w:rFonts w:ascii="宋体" w:hAnsi="宋体" w:cs="宋体"/>
                <w:spacing w:val="-4"/>
                <w:sz w:val="24"/>
              </w:rPr>
            </w:pPr>
            <w:r>
              <w:rPr>
                <w:rFonts w:hint="eastAsia" w:ascii="宋体" w:hAnsi="宋体" w:cs="宋体"/>
                <w:spacing w:val="-4"/>
                <w:sz w:val="24"/>
              </w:rPr>
              <w:t>本项目施工期产生的生活垃圾约为3</w:t>
            </w:r>
            <w:r>
              <w:rPr>
                <w:rFonts w:ascii="宋体" w:hAnsi="宋体" w:cs="宋体"/>
                <w:spacing w:val="-4"/>
                <w:sz w:val="24"/>
              </w:rPr>
              <w:t>.36</w:t>
            </w:r>
            <w:r>
              <w:rPr>
                <w:rFonts w:hint="eastAsia" w:ascii="宋体" w:hAnsi="宋体" w:cs="宋体"/>
                <w:spacing w:val="-4"/>
                <w:sz w:val="24"/>
              </w:rPr>
              <w:t>t，目前该垃圾填埋场实际处理能力约40t/d，因此，吉木萨尔县生活垃圾填埋场可以满足本项目垃圾处理的需求，依托可行。</w:t>
            </w:r>
          </w:p>
          <w:p>
            <w:pPr>
              <w:pStyle w:val="54"/>
              <w:keepNext/>
              <w:widowControl w:val="0"/>
              <w:ind w:firstLine="480"/>
              <w:rPr>
                <w:bCs/>
              </w:rPr>
            </w:pPr>
            <w:r>
              <w:rPr>
                <w:rFonts w:hint="eastAsia"/>
                <w:bCs/>
              </w:rPr>
              <w:t>（3）废防渗膜处置措施</w:t>
            </w:r>
          </w:p>
          <w:p>
            <w:pPr>
              <w:pStyle w:val="54"/>
              <w:keepNext/>
              <w:widowControl w:val="0"/>
              <w:ind w:firstLine="480"/>
              <w:rPr>
                <w:bCs/>
              </w:rPr>
            </w:pPr>
            <w:r>
              <w:rPr>
                <w:rFonts w:hint="eastAsia"/>
                <w:bCs/>
              </w:rPr>
              <w:t>井场油罐、发电机、岩屑罐区、材料堆场等关键部位及生活污水储集防渗池均采用防渗膜防渗。场地清理时拆除的未破损的防渗膜由施工单位集中回收利用，破损的废防渗膜属于危险废物属于HW08类危险废物（废物代码：</w:t>
            </w:r>
            <w:r>
              <w:rPr>
                <w:bCs/>
              </w:rPr>
              <w:t>900</w:t>
            </w:r>
            <w:r>
              <w:rPr>
                <w:rFonts w:hint="eastAsia"/>
                <w:bCs/>
              </w:rPr>
              <w:t>—</w:t>
            </w:r>
            <w:r>
              <w:rPr>
                <w:bCs/>
              </w:rPr>
              <w:t>249</w:t>
            </w:r>
            <w:r>
              <w:rPr>
                <w:rFonts w:hint="eastAsia"/>
                <w:bCs/>
              </w:rPr>
              <w:t>—08），施工期间应规范建立危废台账，按照要求在固废管理系统报备管理计划，规范运行危险废物转移联单，施工结束后与油基钻井岩屑一同交由具有相关危险废物处置资质的单位接收、转运以及处置。</w:t>
            </w:r>
          </w:p>
          <w:p>
            <w:pPr>
              <w:pStyle w:val="54"/>
              <w:ind w:firstLine="480"/>
              <w:rPr>
                <w:bCs/>
              </w:rPr>
            </w:pPr>
            <w:r>
              <w:rPr>
                <w:rFonts w:hint="eastAsia"/>
                <w:bCs/>
              </w:rPr>
              <w:t>本项目施工期间产生的固体废物中油基钻井岩屑及破损的废防渗膜均为危险废物，具体信息见表</w:t>
            </w:r>
            <w:r>
              <w:rPr>
                <w:bCs/>
              </w:rPr>
              <w:t>14</w:t>
            </w:r>
            <w:r>
              <w:rPr>
                <w:rFonts w:hint="eastAsia"/>
                <w:bCs/>
              </w:rPr>
              <w:t>。</w:t>
            </w:r>
          </w:p>
          <w:p>
            <w:pPr>
              <w:pStyle w:val="54"/>
              <w:ind w:firstLine="0" w:firstLineChars="0"/>
              <w:jc w:val="center"/>
              <w:rPr>
                <w:rFonts w:ascii="黑体" w:hAnsi="黑体" w:eastAsia="黑体"/>
                <w:sz w:val="21"/>
                <w:szCs w:val="21"/>
              </w:rPr>
            </w:pPr>
            <w:r>
              <w:rPr>
                <w:rFonts w:hint="eastAsia" w:ascii="黑体" w:hAnsi="黑体" w:eastAsia="黑体"/>
                <w:bCs/>
                <w:sz w:val="21"/>
                <w:szCs w:val="21"/>
              </w:rPr>
              <w:t>表</w:t>
            </w:r>
            <w:r>
              <w:rPr>
                <w:rFonts w:ascii="黑体" w:hAnsi="黑体" w:eastAsia="黑体"/>
                <w:bCs/>
                <w:sz w:val="21"/>
                <w:szCs w:val="21"/>
              </w:rPr>
              <w:t xml:space="preserve">14  </w:t>
            </w:r>
            <w:r>
              <w:rPr>
                <w:rFonts w:hint="eastAsia" w:ascii="黑体" w:hAnsi="黑体" w:eastAsia="黑体"/>
                <w:sz w:val="21"/>
                <w:szCs w:val="21"/>
              </w:rPr>
              <w:t>危险废物汇总样表</w:t>
            </w:r>
          </w:p>
          <w:tbl>
            <w:tblPr>
              <w:tblStyle w:val="17"/>
              <w:tblW w:w="790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45"/>
              <w:gridCol w:w="841"/>
              <w:gridCol w:w="841"/>
              <w:gridCol w:w="904"/>
              <w:gridCol w:w="722"/>
              <w:gridCol w:w="887"/>
              <w:gridCol w:w="558"/>
              <w:gridCol w:w="904"/>
              <w:gridCol w:w="8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542"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序号</w:t>
                  </w:r>
                </w:p>
              </w:tc>
              <w:tc>
                <w:tcPr>
                  <w:tcW w:w="845"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危险废物名称</w:t>
                  </w:r>
                </w:p>
              </w:tc>
              <w:tc>
                <w:tcPr>
                  <w:tcW w:w="841"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危险废物类别</w:t>
                  </w:r>
                </w:p>
              </w:tc>
              <w:tc>
                <w:tcPr>
                  <w:tcW w:w="841"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危险废物代码</w:t>
                  </w:r>
                </w:p>
              </w:tc>
              <w:tc>
                <w:tcPr>
                  <w:tcW w:w="904"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产生工序</w:t>
                  </w:r>
                </w:p>
              </w:tc>
              <w:tc>
                <w:tcPr>
                  <w:tcW w:w="722"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形态</w:t>
                  </w:r>
                </w:p>
              </w:tc>
              <w:tc>
                <w:tcPr>
                  <w:tcW w:w="887"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主要成分</w:t>
                  </w:r>
                </w:p>
              </w:tc>
              <w:tc>
                <w:tcPr>
                  <w:tcW w:w="558"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有害成分</w:t>
                  </w:r>
                </w:p>
              </w:tc>
              <w:tc>
                <w:tcPr>
                  <w:tcW w:w="904"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危险</w:t>
                  </w:r>
                </w:p>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特性</w:t>
                  </w:r>
                </w:p>
              </w:tc>
              <w:tc>
                <w:tcPr>
                  <w:tcW w:w="860"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2" w:type="dxa"/>
                  <w:vAlign w:val="center"/>
                </w:tcPr>
                <w:p>
                  <w:pPr>
                    <w:wordWrap w:val="0"/>
                    <w:topLinePunct/>
                    <w:adjustRightInd w:val="0"/>
                    <w:snapToGrid w:val="0"/>
                    <w:spacing w:line="240" w:lineRule="exact"/>
                    <w:jc w:val="center"/>
                    <w:rPr>
                      <w:rFonts w:ascii="宋体" w:hAnsi="宋体"/>
                      <w:kern w:val="0"/>
                      <w:szCs w:val="21"/>
                    </w:rPr>
                  </w:pPr>
                  <w:r>
                    <w:rPr>
                      <w:rFonts w:ascii="宋体" w:hAnsi="宋体"/>
                      <w:kern w:val="0"/>
                      <w:szCs w:val="21"/>
                    </w:rPr>
                    <w:t>1</w:t>
                  </w:r>
                </w:p>
              </w:tc>
              <w:tc>
                <w:tcPr>
                  <w:tcW w:w="845"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油基钻井岩屑</w:t>
                  </w:r>
                </w:p>
              </w:tc>
              <w:tc>
                <w:tcPr>
                  <w:tcW w:w="841"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bCs/>
                      <w:kern w:val="0"/>
                      <w:szCs w:val="21"/>
                    </w:rPr>
                    <w:t>HW08</w:t>
                  </w:r>
                </w:p>
              </w:tc>
              <w:tc>
                <w:tcPr>
                  <w:tcW w:w="841"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071—002—08</w:t>
                  </w:r>
                </w:p>
              </w:tc>
              <w:tc>
                <w:tcPr>
                  <w:tcW w:w="904"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钻井过程</w:t>
                  </w:r>
                </w:p>
              </w:tc>
              <w:tc>
                <w:tcPr>
                  <w:tcW w:w="722"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固态</w:t>
                  </w:r>
                </w:p>
              </w:tc>
              <w:tc>
                <w:tcPr>
                  <w:tcW w:w="887"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柴油、岩石</w:t>
                  </w:r>
                </w:p>
              </w:tc>
              <w:tc>
                <w:tcPr>
                  <w:tcW w:w="558"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柴油</w:t>
                  </w:r>
                </w:p>
              </w:tc>
              <w:tc>
                <w:tcPr>
                  <w:tcW w:w="904"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毒性</w:t>
                  </w:r>
                </w:p>
              </w:tc>
              <w:tc>
                <w:tcPr>
                  <w:tcW w:w="860"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bCs/>
                      <w:kern w:val="0"/>
                      <w:szCs w:val="21"/>
                    </w:rPr>
                    <w:t>有相关危险废物处置资质的单位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2" w:type="dxa"/>
                  <w:vAlign w:val="center"/>
                </w:tcPr>
                <w:p>
                  <w:pPr>
                    <w:wordWrap w:val="0"/>
                    <w:topLinePunct/>
                    <w:adjustRightInd w:val="0"/>
                    <w:snapToGrid w:val="0"/>
                    <w:spacing w:line="240" w:lineRule="exact"/>
                    <w:jc w:val="center"/>
                    <w:rPr>
                      <w:rFonts w:ascii="宋体" w:hAnsi="宋体"/>
                      <w:kern w:val="0"/>
                      <w:szCs w:val="21"/>
                    </w:rPr>
                  </w:pPr>
                  <w:r>
                    <w:rPr>
                      <w:rFonts w:ascii="宋体" w:hAnsi="宋体"/>
                      <w:kern w:val="0"/>
                      <w:szCs w:val="21"/>
                    </w:rPr>
                    <w:t>2</w:t>
                  </w:r>
                </w:p>
              </w:tc>
              <w:tc>
                <w:tcPr>
                  <w:tcW w:w="845"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破损的废防渗膜</w:t>
                  </w:r>
                </w:p>
              </w:tc>
              <w:tc>
                <w:tcPr>
                  <w:tcW w:w="841"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bCs/>
                      <w:kern w:val="0"/>
                      <w:szCs w:val="21"/>
                    </w:rPr>
                    <w:t>HW08</w:t>
                  </w:r>
                </w:p>
              </w:tc>
              <w:tc>
                <w:tcPr>
                  <w:tcW w:w="841" w:type="dxa"/>
                  <w:vAlign w:val="center"/>
                </w:tcPr>
                <w:p>
                  <w:pPr>
                    <w:wordWrap w:val="0"/>
                    <w:topLinePunct/>
                    <w:adjustRightInd w:val="0"/>
                    <w:snapToGrid w:val="0"/>
                    <w:spacing w:line="240" w:lineRule="exact"/>
                    <w:jc w:val="center"/>
                    <w:rPr>
                      <w:rFonts w:ascii="宋体" w:hAnsi="宋体"/>
                      <w:kern w:val="0"/>
                      <w:szCs w:val="21"/>
                    </w:rPr>
                  </w:pPr>
                  <w:r>
                    <w:rPr>
                      <w:rFonts w:ascii="宋体" w:hAnsi="宋体"/>
                      <w:bCs/>
                      <w:kern w:val="0"/>
                      <w:szCs w:val="21"/>
                    </w:rPr>
                    <w:t>900</w:t>
                  </w:r>
                  <w:r>
                    <w:rPr>
                      <w:rFonts w:hint="eastAsia" w:ascii="宋体" w:hAnsi="宋体"/>
                      <w:bCs/>
                      <w:kern w:val="0"/>
                      <w:szCs w:val="21"/>
                    </w:rPr>
                    <w:t>—</w:t>
                  </w:r>
                  <w:r>
                    <w:rPr>
                      <w:rFonts w:ascii="宋体" w:hAnsi="宋体"/>
                      <w:bCs/>
                      <w:kern w:val="0"/>
                      <w:szCs w:val="21"/>
                    </w:rPr>
                    <w:t>249</w:t>
                  </w:r>
                  <w:r>
                    <w:rPr>
                      <w:rFonts w:hint="eastAsia" w:ascii="宋体" w:hAnsi="宋体"/>
                      <w:bCs/>
                      <w:kern w:val="0"/>
                      <w:szCs w:val="21"/>
                    </w:rPr>
                    <w:t>—08</w:t>
                  </w:r>
                </w:p>
              </w:tc>
              <w:tc>
                <w:tcPr>
                  <w:tcW w:w="904"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钻试过程</w:t>
                  </w:r>
                </w:p>
              </w:tc>
              <w:tc>
                <w:tcPr>
                  <w:tcW w:w="722"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固态</w:t>
                  </w:r>
                </w:p>
              </w:tc>
              <w:tc>
                <w:tcPr>
                  <w:tcW w:w="887"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柴油、聚乙烯树脂</w:t>
                  </w:r>
                </w:p>
              </w:tc>
              <w:tc>
                <w:tcPr>
                  <w:tcW w:w="558"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柴油</w:t>
                  </w:r>
                </w:p>
              </w:tc>
              <w:tc>
                <w:tcPr>
                  <w:tcW w:w="904"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kern w:val="0"/>
                      <w:szCs w:val="21"/>
                    </w:rPr>
                    <w:t>毒性，</w:t>
                  </w:r>
                  <w:r>
                    <w:rPr>
                      <w:rFonts w:ascii="宋体" w:hAnsi="宋体"/>
                      <w:kern w:val="0"/>
                      <w:szCs w:val="21"/>
                    </w:rPr>
                    <w:t>易燃</w:t>
                  </w:r>
                  <w:r>
                    <w:rPr>
                      <w:rFonts w:hint="eastAsia" w:ascii="宋体" w:hAnsi="宋体"/>
                      <w:kern w:val="0"/>
                      <w:szCs w:val="21"/>
                    </w:rPr>
                    <w:t>性</w:t>
                  </w:r>
                </w:p>
              </w:tc>
              <w:tc>
                <w:tcPr>
                  <w:tcW w:w="860" w:type="dxa"/>
                  <w:vAlign w:val="center"/>
                </w:tcPr>
                <w:p>
                  <w:pPr>
                    <w:wordWrap w:val="0"/>
                    <w:topLinePunct/>
                    <w:adjustRightInd w:val="0"/>
                    <w:snapToGrid w:val="0"/>
                    <w:spacing w:line="240" w:lineRule="exact"/>
                    <w:jc w:val="center"/>
                    <w:rPr>
                      <w:rFonts w:ascii="宋体" w:hAnsi="宋体"/>
                      <w:kern w:val="0"/>
                      <w:szCs w:val="21"/>
                    </w:rPr>
                  </w:pPr>
                  <w:r>
                    <w:rPr>
                      <w:rFonts w:hint="eastAsia" w:ascii="宋体" w:hAnsi="宋体"/>
                      <w:bCs/>
                      <w:kern w:val="0"/>
                      <w:szCs w:val="21"/>
                    </w:rPr>
                    <w:t>有相关危险废物处置资质的单位</w:t>
                  </w:r>
                </w:p>
              </w:tc>
            </w:tr>
          </w:tbl>
          <w:p>
            <w:pPr>
              <w:pStyle w:val="54"/>
              <w:keepNext/>
              <w:widowControl w:val="0"/>
              <w:ind w:firstLine="480"/>
              <w:rPr>
                <w:bCs/>
              </w:rPr>
            </w:pPr>
            <w:r>
              <w:rPr>
                <w:rFonts w:hint="eastAsia"/>
                <w:bCs/>
              </w:rPr>
              <w:t>综上所述，本项目产生的固体废物均可得到妥善处置，对环境质量造成的影响较小。</w:t>
            </w:r>
          </w:p>
          <w:p>
            <w:pPr>
              <w:pStyle w:val="47"/>
              <w:keepNext/>
              <w:ind w:firstLine="482"/>
              <w:rPr>
                <w:b/>
                <w:bCs/>
              </w:rPr>
            </w:pPr>
            <w:r>
              <w:rPr>
                <w:b/>
                <w:bCs/>
              </w:rPr>
              <w:t>7</w:t>
            </w:r>
            <w:r>
              <w:rPr>
                <w:rFonts w:hint="eastAsia"/>
                <w:b/>
                <w:bCs/>
              </w:rPr>
              <w:t>、环境风险防范措施及应急要求</w:t>
            </w:r>
          </w:p>
          <w:p>
            <w:pPr>
              <w:pStyle w:val="47"/>
              <w:keepNext/>
              <w:ind w:firstLine="480"/>
            </w:pPr>
            <w:r>
              <w:rPr>
                <w:rFonts w:hint="eastAsia"/>
              </w:rPr>
              <w:t>（1）管理措施</w:t>
            </w:r>
          </w:p>
          <w:p>
            <w:pPr>
              <w:pStyle w:val="47"/>
              <w:keepNext/>
              <w:ind w:firstLine="480"/>
            </w:pPr>
            <w:r>
              <w:rPr>
                <w:rFonts w:hint="eastAsia"/>
              </w:rPr>
              <w:t>建设单位以及施工钻井队结合行业作业规范，设置有安全环保管理人员，把安全、环境管理纳入生产管理的各个环节，对防止事故的发生能起到非常积极的作用。现场作业严格按照《石油天然气钻井作业健康、安全与环境管理导则》（Q/SY08053—2017）的要求执行。</w:t>
            </w:r>
          </w:p>
          <w:p>
            <w:pPr>
              <w:pStyle w:val="47"/>
              <w:keepNext/>
              <w:ind w:firstLine="480"/>
            </w:pPr>
            <w:r>
              <w:rPr>
                <w:rFonts w:hint="eastAsia"/>
              </w:rPr>
              <w:t>（</w:t>
            </w:r>
            <w:r>
              <w:t>2</w:t>
            </w:r>
            <w:r>
              <w:rPr>
                <w:rFonts w:hint="eastAsia"/>
              </w:rPr>
              <w:t>）井喷失控及风险防范措施</w:t>
            </w:r>
          </w:p>
          <w:p>
            <w:pPr>
              <w:pStyle w:val="47"/>
              <w:keepNext/>
              <w:ind w:firstLine="480"/>
            </w:pPr>
            <w:r>
              <w:rPr>
                <w:rFonts w:hint="eastAsia"/>
              </w:rPr>
              <w:t>①钻井工程中确保钻井液密度及其它性能符合设计要求，并按照设计要求储备压井液、加重剂、堵漏材料和其它处理剂，对储备加重钻井液定期循环处理，防止沉淀；各岗位必须按分工规定，对井控装置进行维护、保养、检查，保证井控装置及工具灵活好用，始终处于待命状态；落实溢流监测岗位、关井操作岗位和钻井队干部24h值班制度；严格执行钻开油气层前的申报、审批制度以及申报、审批程序。</w:t>
            </w:r>
          </w:p>
          <w:p>
            <w:pPr>
              <w:pStyle w:val="47"/>
              <w:spacing w:line="460" w:lineRule="exact"/>
              <w:ind w:firstLine="480"/>
            </w:pPr>
            <w:r>
              <w:rPr>
                <w:rFonts w:hint="eastAsia"/>
              </w:rPr>
              <w:t>②钻开油层后，落实专人坐岗观察井口和循环池液面变化，发现溢流、井漏及油气显示等异常情况，应立即报告司钻；每次起下钻（活动时间间隔超过5d）对闸板防喷器及手动锁紧装置开关活动一次，定期对井控装置进行试压；起钻杆时每3～5柱向环空灌满泥浆，起钻铤要连续灌浆，作好记录、校核，若灌入泥浆量大于或小于应灌入量，均应停止起钻作业，进行观察。如有溢流，应及时关井。如有井漏，应及时采取相应措施。安排专人观察出口管钻井液返出情况，严禁在空井情况下检修设备。钻开油层后，所有车辆应停放在距井口以外，必须进入距井口30m以内的车辆，应安装阻火器，车头朝外停放。</w:t>
            </w:r>
          </w:p>
          <w:p>
            <w:pPr>
              <w:pStyle w:val="47"/>
              <w:adjustRightInd w:val="0"/>
              <w:snapToGrid w:val="0"/>
              <w:ind w:firstLine="480"/>
            </w:pPr>
            <w:r>
              <w:rPr>
                <w:rFonts w:hint="eastAsia"/>
              </w:rPr>
              <w:t>③溢流处理和压井措施：最大允许关井套压不得超过井口装置额定工作压力、套管抗内压强度的80%和薄弱地层破裂压力所允许关井套压三者中的最小值。在允许关井套压内严禁放喷。伴生气溢流不允许长时间关井而不作处理。在等候加重材料或在加重过程中，视情况间隔一段时间向井内灌注加重钻井液，同时用节流管汇控制回压，保持井底压力略大于地层压力，排放井口附近含气钻井液。若等候时间长，应及时实施司钻法第一步排除溢流，防止井口压力过高。空井溢流关井后，根据溢流的严重程度，可采用强行下钻分段压井法、置换法、压回法等方法进行处理。</w:t>
            </w:r>
          </w:p>
          <w:p>
            <w:pPr>
              <w:pStyle w:val="47"/>
              <w:adjustRightInd w:val="0"/>
              <w:snapToGrid w:val="0"/>
              <w:ind w:firstLine="480"/>
            </w:pPr>
            <w:r>
              <w:rPr>
                <w:rFonts w:hint="eastAsia"/>
              </w:rPr>
              <w:t>④测井、固井、完井等作业时，要严格执行安全操作规程和井控措施，避免发生井下复杂情况和井喷失控事故。测井队到井后应向井队了解井况，电测时发生溢流应立即停止电测，尽快起出井内电缆，当不具备起出电缆条件，钻井液涌出转盘面时，可以在井口实施剪断电缆。由钻井队队长（实行日费制的井，由钻井监督决定）决定何时切断电缆并进行关井作业，测井队专用剪切工具应放置在钻台上，测井中随时处于待命状态，测井队队长负责实施剪断电缆工作。</w:t>
            </w:r>
          </w:p>
          <w:p>
            <w:pPr>
              <w:pStyle w:val="47"/>
              <w:keepNext/>
              <w:adjustRightInd w:val="0"/>
              <w:snapToGrid w:val="0"/>
              <w:ind w:firstLine="480"/>
            </w:pPr>
            <w:r>
              <w:rPr>
                <w:rFonts w:hint="eastAsia"/>
              </w:rPr>
              <w:t>⑤一旦有井喷迹象出现，应立即启动相应的环境突发事件专项应急预案，立即关闭井口切断污染源，建设应急放喷池（20m×10m），控制凝析油污染面积，对放喷液进行集中收集处理。同时及时通知可能受影响的人员进行疏散；切断一切可能扩大污染范围的环节，严防污染区域的扩大。采取围、堵等措施限制固体废弃物和溢油扩散范围；将溢油最大限度地回收，对少量确实无法回收的油，采用铲除油泥层等有效方法，以降低残油对生态环境的污染程度；迅速布点监测，在第一时间确定污染物种类和浓度，出具监测数据，评估污染物转移、扩散速率；对污染状况进行跟踪调查，根据监测数据分析，预测污染迁移强度、速度和影响范围，及时调整对策。</w:t>
            </w:r>
          </w:p>
          <w:p>
            <w:pPr>
              <w:pStyle w:val="47"/>
              <w:keepNext/>
              <w:adjustRightInd w:val="0"/>
              <w:snapToGrid w:val="0"/>
              <w:ind w:firstLine="480"/>
              <w:rPr>
                <w:lang w:bidi="zh-CN"/>
              </w:rPr>
            </w:pPr>
            <w:r>
              <w:rPr>
                <w:lang w:bidi="zh-CN"/>
              </w:rPr>
              <w:t>⑥井控装置非正常工况风险防范措施：加强对井控装置的维护、保养、检查，一旦发现问题，及时处置，保证井控装置处于正常状态；制定具体井控措施及防止井喷预案，落实井控责任制，以班组为单位进行不同工况下的防喷、防火、防硫化氢演习，并检查落实各方面安全预防工作，直至合格为止。</w:t>
            </w:r>
          </w:p>
          <w:p>
            <w:pPr>
              <w:pStyle w:val="47"/>
              <w:keepNext/>
              <w:adjustRightInd w:val="0"/>
              <w:snapToGrid w:val="0"/>
              <w:ind w:firstLine="480"/>
            </w:pPr>
            <w:r>
              <w:rPr>
                <w:rFonts w:hint="eastAsia"/>
              </w:rPr>
              <w:t>（</w:t>
            </w:r>
            <w:r>
              <w:t>3</w:t>
            </w:r>
            <w:r>
              <w:rPr>
                <w:rFonts w:hint="eastAsia"/>
              </w:rPr>
              <w:t>）储罐泄漏防范措施</w:t>
            </w:r>
          </w:p>
          <w:p>
            <w:pPr>
              <w:pStyle w:val="47"/>
              <w:keepNext/>
              <w:adjustRightInd w:val="0"/>
              <w:snapToGrid w:val="0"/>
              <w:ind w:firstLine="472"/>
              <w:rPr>
                <w:spacing w:val="-2"/>
              </w:rPr>
            </w:pPr>
            <w:r>
              <w:rPr>
                <w:rFonts w:hint="eastAsia"/>
                <w:spacing w:val="-2"/>
              </w:rPr>
              <w:t>①选用质量、防腐措施合格的储罐。安装过程中焊接要经过100%的探伤，安装时应选择刚性不燃的坚固基础作为罐体基础。储罐在投用前，必须严格按照《压力容器安全技术监察规程》进行强度和气密性试验。</w:t>
            </w:r>
          </w:p>
          <w:p>
            <w:pPr>
              <w:pStyle w:val="47"/>
              <w:keepNext/>
              <w:adjustRightInd w:val="0"/>
              <w:snapToGrid w:val="0"/>
              <w:ind w:firstLine="480"/>
            </w:pPr>
            <w:r>
              <w:rPr>
                <w:rFonts w:hint="eastAsia"/>
              </w:rPr>
              <w:t>②在储罐区严格用火管理；采用有效的避雷装置和接地装置等防止雷电的措施。</w:t>
            </w:r>
          </w:p>
          <w:p>
            <w:pPr>
              <w:pStyle w:val="47"/>
              <w:keepNext/>
              <w:adjustRightInd w:val="0"/>
              <w:snapToGrid w:val="0"/>
              <w:ind w:firstLine="480"/>
            </w:pPr>
            <w:r>
              <w:rPr>
                <w:rFonts w:hint="eastAsia"/>
              </w:rPr>
              <w:t>③加强储罐和管线接口的检查工作，防止腐蚀穿孔。定期进行壁厚检测，腐蚀余量低于规定的允许值时，要及时进行检修和更换。施工期间</w:t>
            </w:r>
            <w:r>
              <w:rPr>
                <w:lang w:bidi="zh-CN"/>
              </w:rPr>
              <w:t>严格按章操作，柴油、</w:t>
            </w:r>
            <w:r>
              <w:rPr>
                <w:rFonts w:hint="eastAsia"/>
                <w:lang w:bidi="zh-CN"/>
              </w:rPr>
              <w:t>试油采出物</w:t>
            </w:r>
            <w:r>
              <w:rPr>
                <w:lang w:bidi="zh-CN"/>
              </w:rPr>
              <w:t>装车、卸车时，加强管理，避免跑冒滴漏现象，防止发生泄漏等安全事故。</w:t>
            </w:r>
          </w:p>
          <w:p>
            <w:pPr>
              <w:pStyle w:val="47"/>
              <w:keepNext/>
              <w:adjustRightInd w:val="0"/>
              <w:snapToGrid w:val="0"/>
              <w:ind w:firstLine="480"/>
            </w:pPr>
            <w:r>
              <w:rPr>
                <w:rFonts w:hint="eastAsia"/>
              </w:rPr>
              <w:t>④加强安全管理</w:t>
            </w:r>
          </w:p>
          <w:p>
            <w:pPr>
              <w:pStyle w:val="47"/>
              <w:keepNext/>
              <w:adjustRightInd w:val="0"/>
              <w:snapToGrid w:val="0"/>
              <w:ind w:firstLine="480"/>
              <w:rPr>
                <w:lang w:bidi="zh-CN"/>
              </w:rPr>
            </w:pPr>
            <w:r>
              <w:rPr>
                <w:rFonts w:hint="eastAsia"/>
                <w:lang w:bidi="zh-CN"/>
              </w:rPr>
              <w:t>柴油罐区周边设置警示标识，严禁烟火和不相关人员靠近。一旦发现储罐泄漏立即切断泄漏源，立即采取围、堵等措施控制影响范围，并在现场布设隔离设施，并进行人员警戒，严密监控防止发生火灾爆炸等次生灾害事件。</w:t>
            </w:r>
            <w:r>
              <w:rPr>
                <w:rFonts w:hint="eastAsia"/>
              </w:rPr>
              <w:t>定期进行消防培训与实战演练，要求岗位工作人员具有较强的消防安全意识，加强巡检，确保无异常情况出现。</w:t>
            </w:r>
          </w:p>
          <w:p>
            <w:pPr>
              <w:pStyle w:val="47"/>
              <w:keepNext/>
              <w:adjustRightInd w:val="0"/>
              <w:snapToGrid w:val="0"/>
              <w:ind w:firstLine="480"/>
            </w:pPr>
            <w:r>
              <w:rPr>
                <w:rFonts w:hint="eastAsia"/>
              </w:rPr>
              <w:t>（</w:t>
            </w:r>
            <w:r>
              <w:t>4</w:t>
            </w:r>
            <w:r>
              <w:rPr>
                <w:rFonts w:hint="eastAsia"/>
              </w:rPr>
              <w:t>）硫化氢防范措施</w:t>
            </w:r>
          </w:p>
          <w:p>
            <w:pPr>
              <w:pStyle w:val="47"/>
              <w:keepNext/>
              <w:keepLines/>
              <w:adjustRightInd w:val="0"/>
              <w:snapToGrid w:val="0"/>
              <w:ind w:firstLine="480"/>
            </w:pPr>
            <w:r>
              <w:rPr>
                <w:rFonts w:hint="eastAsia"/>
              </w:rPr>
              <w:t>①在钻井、试油作业过程中配备便携式硫化氢监测仪，做好硫化氢监测预警工作，并制定防硫化氢应急预案。当监测到硫化氢浓度大于75mg/m</w:t>
            </w:r>
            <w:r>
              <w:rPr>
                <w:rFonts w:hint="eastAsia"/>
                <w:vertAlign w:val="superscript"/>
              </w:rPr>
              <w:t>3</w:t>
            </w:r>
            <w:r>
              <w:rPr>
                <w:rFonts w:hint="eastAsia"/>
              </w:rPr>
              <w:t>（50ppm）时，按照含硫油气井作业规程执行。</w:t>
            </w:r>
          </w:p>
          <w:p>
            <w:pPr>
              <w:pStyle w:val="47"/>
              <w:keepNext/>
              <w:keepLines/>
              <w:adjustRightInd w:val="0"/>
              <w:snapToGrid w:val="0"/>
              <w:ind w:firstLine="480"/>
            </w:pPr>
            <w:r>
              <w:rPr>
                <w:rFonts w:hint="eastAsia"/>
              </w:rPr>
              <w:t>②钻井期在作业现场显著位置设置5处风向标；试油期设置2处风向标，并在不同方向上划定2个紧急集合点，并规划撤离路线，发生紧急情况时向上风向撤离。</w:t>
            </w:r>
          </w:p>
          <w:p>
            <w:pPr>
              <w:pStyle w:val="47"/>
              <w:keepNext/>
              <w:keepLines/>
              <w:adjustRightInd w:val="0"/>
              <w:snapToGrid w:val="0"/>
              <w:ind w:firstLine="480"/>
            </w:pPr>
            <w:r>
              <w:rPr>
                <w:rFonts w:hint="eastAsia"/>
              </w:rPr>
              <w:t>（5）放喷风险防范措施</w:t>
            </w:r>
          </w:p>
          <w:p>
            <w:pPr>
              <w:pStyle w:val="47"/>
              <w:keepNext/>
              <w:keepLines/>
              <w:adjustRightInd w:val="0"/>
              <w:snapToGrid w:val="0"/>
              <w:ind w:firstLine="480"/>
            </w:pPr>
            <w:r>
              <w:rPr>
                <w:rFonts w:hint="eastAsia"/>
              </w:rPr>
              <w:t>在井场左右两侧各设置1条放喷管线，右侧设一条燃烧放喷管线，伴生气通过气液分离器进行分离，经放喷管线燃放。本项目要加强对放喷管线的系统的维护、保养、检查，一旦发现问题，及时整改，若发现管线泄漏、分离装置发生故障等非正常工况，应立即关闭井口，停止作业。</w:t>
            </w:r>
          </w:p>
          <w:p>
            <w:pPr>
              <w:pStyle w:val="47"/>
              <w:keepNext/>
              <w:keepLines/>
              <w:adjustRightInd w:val="0"/>
              <w:snapToGrid w:val="0"/>
              <w:ind w:firstLine="480"/>
            </w:pPr>
            <w:r>
              <w:rPr>
                <w:rFonts w:hint="eastAsia"/>
              </w:rPr>
              <w:t>（</w:t>
            </w:r>
            <w:r>
              <w:t>6</w:t>
            </w:r>
            <w:r>
              <w:rPr>
                <w:rFonts w:hint="eastAsia"/>
              </w:rPr>
              <w:t>）</w:t>
            </w:r>
            <w:r>
              <w:rPr>
                <w:rFonts w:hint="eastAsia"/>
                <w:bCs/>
              </w:rPr>
              <w:t>环境风险应急预案</w:t>
            </w:r>
          </w:p>
          <w:p>
            <w:pPr>
              <w:keepNext/>
              <w:keepLines/>
              <w:adjustRightInd w:val="0"/>
              <w:snapToGrid w:val="0"/>
              <w:spacing w:line="500" w:lineRule="exact"/>
              <w:ind w:firstLine="480" w:firstLineChars="200"/>
              <w:rPr>
                <w:rFonts w:ascii="宋体" w:hAnsi="宋体" w:cs="宋体"/>
                <w:sz w:val="24"/>
              </w:rPr>
            </w:pPr>
            <w:r>
              <w:rPr>
                <w:rFonts w:hint="eastAsia" w:ascii="宋体" w:hAnsi="宋体" w:cs="宋体"/>
                <w:kern w:val="0"/>
                <w:sz w:val="24"/>
                <w:szCs w:val="18"/>
              </w:rPr>
              <w:t>本项目归属中国石油新疆油田勘探事业部管辖，应将项目实施区域纳入《新疆油田公司勘探事业部突发环境事件应急预案》。</w:t>
            </w:r>
          </w:p>
          <w:p>
            <w:pPr>
              <w:pStyle w:val="47"/>
              <w:keepNext/>
              <w:keepLines/>
              <w:adjustRightInd w:val="0"/>
              <w:snapToGrid w:val="0"/>
              <w:ind w:firstLine="480"/>
            </w:pPr>
            <w:r>
              <w:rPr>
                <w:rFonts w:hint="eastAsia"/>
              </w:rPr>
              <w:t>（</w:t>
            </w:r>
            <w:r>
              <w:t>7</w:t>
            </w:r>
            <w:r>
              <w:rPr>
                <w:rFonts w:hint="eastAsia"/>
              </w:rPr>
              <w:t>）结论</w:t>
            </w:r>
          </w:p>
          <w:p>
            <w:pPr>
              <w:pStyle w:val="47"/>
              <w:keepNext/>
              <w:keepLines/>
              <w:adjustRightInd w:val="0"/>
              <w:snapToGrid w:val="0"/>
              <w:ind w:firstLine="480"/>
            </w:pPr>
            <w:r>
              <w:rPr>
                <w:rFonts w:hint="eastAsia"/>
              </w:rPr>
              <w:t>本项目发生风险事故的概率较小，且制定了较为周全的风险事故防范措施和事故应急预案，当发生风险事故时立即启动事故应急预案，确保事故不扩大，避免对周边环境造成较大危害。在采取严格安全防护和风险防范措施后，环境风险可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1" w:type="dxa"/>
            <w:tcMar>
              <w:left w:w="28" w:type="dxa"/>
              <w:right w:w="28" w:type="dxa"/>
            </w:tcMar>
            <w:vAlign w:val="center"/>
          </w:tcPr>
          <w:p>
            <w:pPr>
              <w:adjustRightInd w:val="0"/>
              <w:snapToGrid w:val="0"/>
              <w:jc w:val="center"/>
              <w:rPr>
                <w:rFonts w:ascii="宋体" w:hAnsi="宋体" w:cs="宋体"/>
                <w:bCs/>
                <w:spacing w:val="10"/>
                <w:sz w:val="24"/>
              </w:rPr>
            </w:pPr>
            <w:r>
              <w:rPr>
                <w:rFonts w:hint="eastAsia" w:ascii="宋体" w:hAnsi="宋体" w:cs="宋体"/>
                <w:bCs/>
                <w:spacing w:val="10"/>
                <w:sz w:val="24"/>
              </w:rPr>
              <w:t>运营期生态环境保护措施</w:t>
            </w:r>
          </w:p>
        </w:tc>
        <w:tc>
          <w:tcPr>
            <w:tcW w:w="8120" w:type="dxa"/>
            <w:vAlign w:val="center"/>
          </w:tcPr>
          <w:p>
            <w:pPr>
              <w:pStyle w:val="47"/>
              <w:adjustRightInd w:val="0"/>
              <w:snapToGrid w:val="0"/>
              <w:ind w:firstLine="464"/>
              <w:rPr>
                <w:spacing w:val="-4"/>
              </w:rPr>
            </w:pPr>
            <w:r>
              <w:rPr>
                <w:rFonts w:hint="eastAsia"/>
                <w:spacing w:val="-4"/>
              </w:rPr>
              <w:t>本项目无运营期，无需提出环境保护措施及环境监测计划。根据试采结果决定新钻井是否转为生产井，若可转为生产井，则应当在产能开发建设前开展其环境影响评价工作，编制环境影响评价文件；若不具备转产条件，则应封井，封井时要做好以下保护措施：确保固井质量和封井质量合格；试油结束后及时清理作业现场，做到“工完、料尽、场地清”，确保采取的封井措施有效可行；及时对施工场地进行平整，尽量利用井场施工时产生的表层土对临时占地进行覆盖，根据相关规定对所占征地进行经济补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1" w:type="dxa"/>
            <w:vAlign w:val="center"/>
          </w:tcPr>
          <w:p>
            <w:pPr>
              <w:adjustRightInd w:val="0"/>
              <w:snapToGrid w:val="0"/>
              <w:jc w:val="center"/>
              <w:rPr>
                <w:rFonts w:ascii="宋体" w:hAnsi="宋体"/>
                <w:bCs/>
                <w:sz w:val="24"/>
              </w:rPr>
            </w:pPr>
            <w:r>
              <w:rPr>
                <w:rFonts w:hint="eastAsia" w:ascii="宋体" w:hAnsi="宋体"/>
                <w:bCs/>
                <w:sz w:val="24"/>
              </w:rPr>
              <w:t>其他</w:t>
            </w:r>
          </w:p>
        </w:tc>
        <w:tc>
          <w:tcPr>
            <w:tcW w:w="8120" w:type="dxa"/>
            <w:vAlign w:val="center"/>
          </w:tcPr>
          <w:p>
            <w:pPr>
              <w:pStyle w:val="47"/>
              <w:spacing w:line="460" w:lineRule="exact"/>
              <w:ind w:firstLine="480"/>
            </w:pPr>
            <w:r>
              <w:rPr>
                <w:rFonts w:hint="eastAsia"/>
              </w:rPr>
              <w:t>本项目实施过程中，将根据中国石油新疆油田分公司在环境管理上建立的健康、安全与环境管理体系（HSE管理体系），落实各项环保和安全措施，减少项目开发对周围环境的影响。本报告提出的环境管理主要内容见下表</w:t>
            </w:r>
            <w:r>
              <w:t>15</w:t>
            </w:r>
            <w:r>
              <w:rPr>
                <w:rFonts w:hint="eastAsia"/>
              </w:rPr>
              <w:t>。</w:t>
            </w:r>
            <w:bookmarkStart w:id="24" w:name="_Ref70449414"/>
            <w:bookmarkEnd w:id="24"/>
          </w:p>
          <w:p>
            <w:pPr>
              <w:pStyle w:val="5"/>
            </w:pPr>
            <w:bookmarkStart w:id="25" w:name="_Hlk89423605"/>
            <w:r>
              <w:rPr>
                <w:rFonts w:hint="eastAsia"/>
              </w:rPr>
              <w:t>表</w:t>
            </w:r>
            <w:r>
              <w:t>15</w:t>
            </w:r>
            <w:r>
              <w:rPr>
                <w:rFonts w:hint="eastAsia" w:cs="黑体"/>
              </w:rPr>
              <w:t xml:space="preserve"> </w:t>
            </w:r>
            <w:r>
              <w:rPr>
                <w:rFonts w:cs="黑体"/>
              </w:rPr>
              <w:t xml:space="preserve"> </w:t>
            </w:r>
            <w:r>
              <w:rPr>
                <w:rFonts w:hint="eastAsia" w:cs="黑体"/>
              </w:rPr>
              <w:t>施工期环境保护行动计划</w:t>
            </w:r>
            <w:bookmarkEnd w:id="25"/>
          </w:p>
          <w:tbl>
            <w:tblPr>
              <w:tblStyle w:val="17"/>
              <w:tblW w:w="790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7"/>
              <w:gridCol w:w="1007"/>
              <w:gridCol w:w="638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PrEx>
              <w:trPr>
                <w:trHeight w:val="340"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序号</w:t>
                  </w:r>
                </w:p>
              </w:tc>
              <w:tc>
                <w:tcPr>
                  <w:tcW w:w="1007" w:type="dxa"/>
                  <w:tcMar>
                    <w:left w:w="0" w:type="dxa"/>
                    <w:right w:w="0" w:type="dxa"/>
                  </w:tcMar>
                  <w:vAlign w:val="center"/>
                </w:tcPr>
                <w:p>
                  <w:pPr>
                    <w:pStyle w:val="50"/>
                    <w:widowControl w:val="0"/>
                    <w:spacing w:line="300" w:lineRule="exact"/>
                    <w:rPr>
                      <w:rFonts w:cs="宋体"/>
                    </w:rPr>
                  </w:pPr>
                  <w:r>
                    <w:rPr>
                      <w:rFonts w:hint="eastAsia" w:cs="宋体"/>
                    </w:rPr>
                    <w:t>影响因素</w:t>
                  </w:r>
                </w:p>
              </w:tc>
              <w:tc>
                <w:tcPr>
                  <w:tcW w:w="6380" w:type="dxa"/>
                  <w:tcMar>
                    <w:left w:w="0" w:type="dxa"/>
                    <w:right w:w="0" w:type="dxa"/>
                  </w:tcMar>
                  <w:vAlign w:val="center"/>
                </w:tcPr>
                <w:p>
                  <w:pPr>
                    <w:pStyle w:val="50"/>
                    <w:widowControl w:val="0"/>
                    <w:spacing w:line="300" w:lineRule="exact"/>
                    <w:rPr>
                      <w:rFonts w:cs="宋体"/>
                    </w:rPr>
                  </w:pPr>
                  <w:r>
                    <w:rPr>
                      <w:rFonts w:hint="eastAsia" w:cs="宋体"/>
                    </w:rPr>
                    <w:t>环保措施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1</w:t>
                  </w:r>
                </w:p>
              </w:tc>
              <w:tc>
                <w:tcPr>
                  <w:tcW w:w="1007" w:type="dxa"/>
                  <w:tcMar>
                    <w:left w:w="0" w:type="dxa"/>
                    <w:right w:w="0" w:type="dxa"/>
                  </w:tcMar>
                  <w:vAlign w:val="center"/>
                </w:tcPr>
                <w:p>
                  <w:pPr>
                    <w:pStyle w:val="50"/>
                    <w:widowControl w:val="0"/>
                    <w:spacing w:line="300" w:lineRule="exact"/>
                    <w:rPr>
                      <w:rFonts w:cs="宋体"/>
                    </w:rPr>
                  </w:pPr>
                  <w:r>
                    <w:rPr>
                      <w:rFonts w:hint="eastAsia" w:cs="宋体"/>
                    </w:rPr>
                    <w:t>大气环境</w:t>
                  </w:r>
                </w:p>
              </w:tc>
              <w:tc>
                <w:tcPr>
                  <w:tcW w:w="6380" w:type="dxa"/>
                  <w:tcMar>
                    <w:left w:w="0" w:type="dxa"/>
                    <w:right w:w="0" w:type="dxa"/>
                  </w:tcMar>
                  <w:vAlign w:val="center"/>
                </w:tcPr>
                <w:p>
                  <w:pPr>
                    <w:pStyle w:val="50"/>
                    <w:widowControl w:val="0"/>
                    <w:spacing w:line="300" w:lineRule="exact"/>
                    <w:jc w:val="left"/>
                    <w:rPr>
                      <w:rFonts w:cs="宋体"/>
                    </w:rPr>
                  </w:pPr>
                  <w:r>
                    <w:rPr>
                      <w:rFonts w:cs="宋体"/>
                    </w:rPr>
                    <w:fldChar w:fldCharType="begin"/>
                  </w:r>
                  <w:r>
                    <w:rPr>
                      <w:rFonts w:cs="宋体"/>
                    </w:rPr>
                    <w:instrText xml:space="preserve"> </w:instrText>
                  </w:r>
                  <w:r>
                    <w:rPr>
                      <w:rFonts w:hint="eastAsia" w:cs="宋体"/>
                    </w:rPr>
                    <w:instrText xml:space="preserve">= 1 \* GB3</w:instrText>
                  </w:r>
                  <w:r>
                    <w:rPr>
                      <w:rFonts w:cs="宋体"/>
                    </w:rPr>
                    <w:instrText xml:space="preserve"> </w:instrText>
                  </w:r>
                  <w:r>
                    <w:rPr>
                      <w:rFonts w:cs="宋体"/>
                    </w:rPr>
                    <w:fldChar w:fldCharType="separate"/>
                  </w:r>
                  <w:r>
                    <w:rPr>
                      <w:rFonts w:hint="eastAsia" w:cs="宋体"/>
                    </w:rPr>
                    <w:t>①</w:t>
                  </w:r>
                  <w:r>
                    <w:rPr>
                      <w:rFonts w:cs="宋体"/>
                    </w:rPr>
                    <w:fldChar w:fldCharType="end"/>
                  </w:r>
                  <w:r>
                    <w:rPr>
                      <w:rFonts w:hint="eastAsia" w:cs="宋体"/>
                    </w:rPr>
                    <w:t>施工单位在钻井时应使用符合国家标准的柴油，并定期对设备进行保养维护，柴油机燃烧充分，合理匹配载荷；</w:t>
                  </w:r>
                  <w:r>
                    <w:rPr>
                      <w:rFonts w:cs="宋体"/>
                    </w:rPr>
                    <w:fldChar w:fldCharType="begin"/>
                  </w:r>
                  <w:r>
                    <w:rPr>
                      <w:rFonts w:cs="宋体"/>
                    </w:rPr>
                    <w:instrText xml:space="preserve"> </w:instrText>
                  </w:r>
                  <w:r>
                    <w:rPr>
                      <w:rFonts w:hint="eastAsia" w:cs="宋体"/>
                    </w:rPr>
                    <w:instrText xml:space="preserve">= 2 \* GB3</w:instrText>
                  </w:r>
                  <w:r>
                    <w:rPr>
                      <w:rFonts w:cs="宋体"/>
                    </w:rPr>
                    <w:instrText xml:space="preserve"> </w:instrText>
                  </w:r>
                  <w:r>
                    <w:rPr>
                      <w:rFonts w:cs="宋体"/>
                    </w:rPr>
                    <w:fldChar w:fldCharType="separate"/>
                  </w:r>
                  <w:r>
                    <w:rPr>
                      <w:rFonts w:hint="eastAsia" w:cs="宋体"/>
                    </w:rPr>
                    <w:t>②</w:t>
                  </w:r>
                  <w:r>
                    <w:rPr>
                      <w:rFonts w:cs="宋体"/>
                    </w:rPr>
                    <w:fldChar w:fldCharType="end"/>
                  </w:r>
                  <w:r>
                    <w:rPr>
                      <w:rFonts w:hint="eastAsia" w:cs="宋体"/>
                    </w:rPr>
                    <w:t>逸散性材料在井场堆放时，采用苫布遮盖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2</w:t>
                  </w:r>
                </w:p>
              </w:tc>
              <w:tc>
                <w:tcPr>
                  <w:tcW w:w="1007" w:type="dxa"/>
                  <w:tcMar>
                    <w:left w:w="0" w:type="dxa"/>
                    <w:right w:w="0" w:type="dxa"/>
                  </w:tcMar>
                  <w:vAlign w:val="center"/>
                </w:tcPr>
                <w:p>
                  <w:pPr>
                    <w:pStyle w:val="50"/>
                    <w:widowControl w:val="0"/>
                    <w:spacing w:line="300" w:lineRule="exact"/>
                    <w:rPr>
                      <w:rFonts w:cs="宋体"/>
                    </w:rPr>
                  </w:pPr>
                  <w:r>
                    <w:rPr>
                      <w:rFonts w:hint="eastAsia" w:cs="宋体"/>
                    </w:rPr>
                    <w:t>声环境</w:t>
                  </w:r>
                </w:p>
              </w:tc>
              <w:tc>
                <w:tcPr>
                  <w:tcW w:w="6380" w:type="dxa"/>
                  <w:tcMar>
                    <w:left w:w="0" w:type="dxa"/>
                    <w:right w:w="0" w:type="dxa"/>
                  </w:tcMar>
                  <w:vAlign w:val="center"/>
                </w:tcPr>
                <w:p>
                  <w:pPr>
                    <w:pStyle w:val="50"/>
                    <w:widowControl w:val="0"/>
                    <w:spacing w:line="300" w:lineRule="exact"/>
                    <w:jc w:val="left"/>
                    <w:rPr>
                      <w:rFonts w:cs="宋体"/>
                    </w:rPr>
                  </w:pPr>
                  <w:r>
                    <w:rPr>
                      <w:rFonts w:hint="eastAsia" w:cs="宋体"/>
                    </w:rPr>
                    <w:t>施工单位应使用低噪声的施工设备、机械，并定期进行检修和维护，使其处于运行良好的状态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3</w:t>
                  </w:r>
                </w:p>
              </w:tc>
              <w:tc>
                <w:tcPr>
                  <w:tcW w:w="1007" w:type="dxa"/>
                  <w:tcMar>
                    <w:left w:w="0" w:type="dxa"/>
                    <w:right w:w="0" w:type="dxa"/>
                  </w:tcMar>
                  <w:vAlign w:val="center"/>
                </w:tcPr>
                <w:p>
                  <w:pPr>
                    <w:pStyle w:val="50"/>
                    <w:widowControl w:val="0"/>
                    <w:spacing w:line="300" w:lineRule="exact"/>
                    <w:rPr>
                      <w:rFonts w:cs="宋体"/>
                    </w:rPr>
                  </w:pPr>
                  <w:r>
                    <w:rPr>
                      <w:rFonts w:hint="eastAsia" w:cs="宋体"/>
                    </w:rPr>
                    <w:t>水环境</w:t>
                  </w:r>
                </w:p>
              </w:tc>
              <w:tc>
                <w:tcPr>
                  <w:tcW w:w="6380" w:type="dxa"/>
                  <w:tcMar>
                    <w:left w:w="0" w:type="dxa"/>
                    <w:right w:w="0" w:type="dxa"/>
                  </w:tcMar>
                  <w:vAlign w:val="center"/>
                </w:tcPr>
                <w:p>
                  <w:pPr>
                    <w:pStyle w:val="50"/>
                    <w:widowControl w:val="0"/>
                    <w:spacing w:line="300" w:lineRule="exact"/>
                    <w:jc w:val="left"/>
                    <w:rPr>
                      <w:rFonts w:cs="宋体"/>
                    </w:rPr>
                  </w:pPr>
                  <w:r>
                    <w:rPr>
                      <w:rFonts w:cs="宋体"/>
                    </w:rPr>
                    <w:fldChar w:fldCharType="begin"/>
                  </w:r>
                  <w:r>
                    <w:rPr>
                      <w:rFonts w:cs="宋体"/>
                    </w:rPr>
                    <w:instrText xml:space="preserve"> </w:instrText>
                  </w:r>
                  <w:r>
                    <w:rPr>
                      <w:rFonts w:hint="eastAsia" w:cs="宋体"/>
                    </w:rPr>
                    <w:instrText xml:space="preserve">= 1 \* GB3</w:instrText>
                  </w:r>
                  <w:r>
                    <w:rPr>
                      <w:rFonts w:cs="宋体"/>
                    </w:rPr>
                    <w:instrText xml:space="preserve"> </w:instrText>
                  </w:r>
                  <w:r>
                    <w:rPr>
                      <w:rFonts w:cs="宋体"/>
                    </w:rPr>
                    <w:fldChar w:fldCharType="separate"/>
                  </w:r>
                  <w:r>
                    <w:rPr>
                      <w:rFonts w:hint="eastAsia" w:cs="宋体"/>
                    </w:rPr>
                    <w:t>①</w:t>
                  </w:r>
                  <w:r>
                    <w:rPr>
                      <w:rFonts w:cs="宋体"/>
                    </w:rPr>
                    <w:fldChar w:fldCharType="end"/>
                  </w:r>
                  <w:r>
                    <w:rPr>
                      <w:rFonts w:hint="eastAsia" w:cs="宋体"/>
                    </w:rPr>
                    <w:t>废弃钻井液排入不落地设备中，</w:t>
                  </w:r>
                  <w:r>
                    <w:rPr>
                      <w:rFonts w:cs="宋体"/>
                    </w:rPr>
                    <w:t>固液分离后</w:t>
                  </w:r>
                  <w:r>
                    <w:rPr>
                      <w:rFonts w:hint="eastAsia" w:cs="宋体"/>
                    </w:rPr>
                    <w:t>废弃钻井液</w:t>
                  </w:r>
                  <w:r>
                    <w:rPr>
                      <w:rFonts w:cs="宋体"/>
                    </w:rPr>
                    <w:t>循环使用</w:t>
                  </w:r>
                  <w:r>
                    <w:rPr>
                      <w:rFonts w:hint="eastAsia" w:cs="宋体"/>
                    </w:rPr>
                    <w:t>；</w:t>
                  </w:r>
                  <w:r>
                    <w:rPr>
                      <w:rFonts w:cs="宋体"/>
                    </w:rPr>
                    <w:fldChar w:fldCharType="begin"/>
                  </w:r>
                  <w:r>
                    <w:rPr>
                      <w:rFonts w:cs="宋体"/>
                    </w:rPr>
                    <w:instrText xml:space="preserve"> </w:instrText>
                  </w:r>
                  <w:r>
                    <w:rPr>
                      <w:rFonts w:hint="eastAsia" w:cs="宋体"/>
                    </w:rPr>
                    <w:instrText xml:space="preserve">= 2 \* GB3</w:instrText>
                  </w:r>
                  <w:r>
                    <w:rPr>
                      <w:rFonts w:cs="宋体"/>
                    </w:rPr>
                    <w:instrText xml:space="preserve"> </w:instrText>
                  </w:r>
                  <w:r>
                    <w:rPr>
                      <w:rFonts w:cs="宋体"/>
                    </w:rPr>
                    <w:fldChar w:fldCharType="separate"/>
                  </w:r>
                  <w:r>
                    <w:rPr>
                      <w:rFonts w:hint="eastAsia" w:cs="宋体"/>
                    </w:rPr>
                    <w:t>②</w:t>
                  </w:r>
                  <w:r>
                    <w:rPr>
                      <w:rFonts w:cs="宋体"/>
                    </w:rPr>
                    <w:fldChar w:fldCharType="end"/>
                  </w:r>
                  <w:r>
                    <w:rPr>
                      <w:rFonts w:hint="eastAsia" w:cs="宋体"/>
                    </w:rPr>
                    <w:t>试油废水收集至方罐中，集中收集后由罐车拉运至沙南联合站采出水处理系统处理；</w:t>
                  </w:r>
                  <w:r>
                    <w:rPr>
                      <w:rFonts w:cs="宋体"/>
                    </w:rPr>
                    <w:fldChar w:fldCharType="begin"/>
                  </w:r>
                  <w:r>
                    <w:rPr>
                      <w:rFonts w:cs="宋体"/>
                    </w:rPr>
                    <w:instrText xml:space="preserve"> </w:instrText>
                  </w:r>
                  <w:r>
                    <w:rPr>
                      <w:rFonts w:hint="eastAsia" w:cs="宋体"/>
                    </w:rPr>
                    <w:instrText xml:space="preserve">= 3 \* GB3</w:instrText>
                  </w:r>
                  <w:r>
                    <w:rPr>
                      <w:rFonts w:cs="宋体"/>
                    </w:rPr>
                    <w:instrText xml:space="preserve"> </w:instrText>
                  </w:r>
                  <w:r>
                    <w:rPr>
                      <w:rFonts w:cs="宋体"/>
                    </w:rPr>
                    <w:fldChar w:fldCharType="separate"/>
                  </w:r>
                  <w:r>
                    <w:rPr>
                      <w:rFonts w:hint="eastAsia" w:cs="宋体"/>
                    </w:rPr>
                    <w:t>③</w:t>
                  </w:r>
                  <w:r>
                    <w:rPr>
                      <w:rFonts w:cs="宋体"/>
                    </w:rPr>
                    <w:fldChar w:fldCharType="end"/>
                  </w:r>
                  <w:r>
                    <w:rPr>
                      <w:rFonts w:hint="eastAsia" w:cs="宋体"/>
                    </w:rPr>
                    <w:t>生活污水排至临时生活污水储集防渗池，施工结束后由吸污车将池中的生活污水清运至吉木萨尔县污水处理厂处理</w:t>
                  </w:r>
                </w:p>
              </w:tc>
            </w:tr>
          </w:tbl>
          <w:p>
            <w:pPr>
              <w:pStyle w:val="5"/>
            </w:pPr>
          </w:p>
          <w:p>
            <w:pPr>
              <w:pStyle w:val="5"/>
            </w:pPr>
          </w:p>
          <w:p>
            <w:pPr>
              <w:pStyle w:val="5"/>
            </w:pPr>
            <w:r>
              <w:rPr>
                <w:rFonts w:hint="eastAsia"/>
              </w:rPr>
              <w:t>续表</w:t>
            </w:r>
            <w:r>
              <w:t>15</w:t>
            </w:r>
            <w:r>
              <w:rPr>
                <w:rFonts w:hint="eastAsia" w:cs="黑体"/>
              </w:rPr>
              <w:t xml:space="preserve"> </w:t>
            </w:r>
            <w:r>
              <w:rPr>
                <w:rFonts w:cs="黑体"/>
              </w:rPr>
              <w:t xml:space="preserve"> </w:t>
            </w:r>
            <w:r>
              <w:rPr>
                <w:rFonts w:hint="eastAsia" w:cs="黑体"/>
              </w:rPr>
              <w:t>施工期环境保护行动计划</w:t>
            </w:r>
          </w:p>
          <w:tbl>
            <w:tblPr>
              <w:tblStyle w:val="17"/>
              <w:tblW w:w="790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7"/>
              <w:gridCol w:w="1007"/>
              <w:gridCol w:w="638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序号</w:t>
                  </w:r>
                </w:p>
              </w:tc>
              <w:tc>
                <w:tcPr>
                  <w:tcW w:w="1007" w:type="dxa"/>
                  <w:tcMar>
                    <w:left w:w="0" w:type="dxa"/>
                    <w:right w:w="0" w:type="dxa"/>
                  </w:tcMar>
                  <w:vAlign w:val="center"/>
                </w:tcPr>
                <w:p>
                  <w:pPr>
                    <w:pStyle w:val="50"/>
                    <w:widowControl w:val="0"/>
                    <w:spacing w:line="300" w:lineRule="exact"/>
                    <w:rPr>
                      <w:rFonts w:cs="宋体"/>
                    </w:rPr>
                  </w:pPr>
                  <w:r>
                    <w:rPr>
                      <w:rFonts w:hint="eastAsia" w:cs="宋体"/>
                    </w:rPr>
                    <w:t>影响因素</w:t>
                  </w:r>
                </w:p>
              </w:tc>
              <w:tc>
                <w:tcPr>
                  <w:tcW w:w="6380" w:type="dxa"/>
                  <w:tcMar>
                    <w:left w:w="0" w:type="dxa"/>
                    <w:right w:w="0" w:type="dxa"/>
                  </w:tcMar>
                  <w:vAlign w:val="center"/>
                </w:tcPr>
                <w:p>
                  <w:pPr>
                    <w:pStyle w:val="50"/>
                    <w:widowControl w:val="0"/>
                    <w:spacing w:line="300" w:lineRule="exact"/>
                    <w:rPr>
                      <w:rFonts w:cs="宋体"/>
                    </w:rPr>
                  </w:pPr>
                  <w:r>
                    <w:rPr>
                      <w:rFonts w:hint="eastAsia" w:cs="宋体"/>
                    </w:rPr>
                    <w:t>环保措施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4</w:t>
                  </w:r>
                </w:p>
              </w:tc>
              <w:tc>
                <w:tcPr>
                  <w:tcW w:w="1007" w:type="dxa"/>
                  <w:tcMar>
                    <w:left w:w="0" w:type="dxa"/>
                    <w:right w:w="0" w:type="dxa"/>
                  </w:tcMar>
                  <w:vAlign w:val="center"/>
                </w:tcPr>
                <w:p>
                  <w:pPr>
                    <w:pStyle w:val="50"/>
                    <w:widowControl w:val="0"/>
                    <w:spacing w:line="300" w:lineRule="exact"/>
                    <w:rPr>
                      <w:rFonts w:cs="宋体"/>
                    </w:rPr>
                  </w:pPr>
                  <w:r>
                    <w:rPr>
                      <w:rFonts w:hint="eastAsia" w:cs="宋体"/>
                    </w:rPr>
                    <w:t>固体废物</w:t>
                  </w:r>
                </w:p>
              </w:tc>
              <w:tc>
                <w:tcPr>
                  <w:tcW w:w="6380" w:type="dxa"/>
                  <w:tcMar>
                    <w:left w:w="0" w:type="dxa"/>
                    <w:right w:w="0" w:type="dxa"/>
                  </w:tcMar>
                  <w:vAlign w:val="center"/>
                </w:tcPr>
                <w:p>
                  <w:pPr>
                    <w:pStyle w:val="50"/>
                    <w:widowControl w:val="0"/>
                    <w:spacing w:line="300" w:lineRule="exact"/>
                    <w:jc w:val="left"/>
                    <w:rPr>
                      <w:rFonts w:cs="宋体"/>
                    </w:rPr>
                  </w:pPr>
                  <w:r>
                    <w:rPr>
                      <w:rFonts w:cs="宋体"/>
                    </w:rPr>
                    <w:fldChar w:fldCharType="begin"/>
                  </w:r>
                  <w:r>
                    <w:rPr>
                      <w:rFonts w:cs="宋体"/>
                    </w:rPr>
                    <w:instrText xml:space="preserve"> </w:instrText>
                  </w:r>
                  <w:r>
                    <w:rPr>
                      <w:rFonts w:hint="eastAsia" w:cs="宋体"/>
                    </w:rPr>
                    <w:instrText xml:space="preserve">= 1 \* GB3</w:instrText>
                  </w:r>
                  <w:r>
                    <w:rPr>
                      <w:rFonts w:cs="宋体"/>
                    </w:rPr>
                    <w:instrText xml:space="preserve"> </w:instrText>
                  </w:r>
                  <w:r>
                    <w:rPr>
                      <w:rFonts w:cs="宋体"/>
                    </w:rPr>
                    <w:fldChar w:fldCharType="separate"/>
                  </w:r>
                  <w:r>
                    <w:rPr>
                      <w:rFonts w:hint="eastAsia" w:cs="宋体"/>
                    </w:rPr>
                    <w:t>①</w:t>
                  </w:r>
                  <w:r>
                    <w:rPr>
                      <w:rFonts w:cs="宋体"/>
                    </w:rPr>
                    <w:fldChar w:fldCharType="end"/>
                  </w:r>
                  <w:r>
                    <w:rPr>
                      <w:rFonts w:hint="eastAsia" w:cs="宋体"/>
                    </w:rPr>
                    <w:t>水基钻井岩屑采用不落地系统进行处理，处理后固相进岩屑专用方罐，由岩屑处置单位进行处理，满足《油气田钻井固体废物综合利用污染控制要求》（DB 65/T 3997—2017）相关要求后进行综合利用；</w:t>
                  </w:r>
                  <w:r>
                    <w:rPr>
                      <w:rFonts w:cs="宋体"/>
                    </w:rPr>
                    <w:fldChar w:fldCharType="begin"/>
                  </w:r>
                  <w:r>
                    <w:rPr>
                      <w:rFonts w:cs="宋体"/>
                    </w:rPr>
                    <w:instrText xml:space="preserve"> </w:instrText>
                  </w:r>
                  <w:r>
                    <w:rPr>
                      <w:rFonts w:hint="eastAsia" w:cs="宋体"/>
                    </w:rPr>
                    <w:instrText xml:space="preserve">= 2 \* GB3</w:instrText>
                  </w:r>
                  <w:r>
                    <w:rPr>
                      <w:rFonts w:cs="宋体"/>
                    </w:rPr>
                    <w:instrText xml:space="preserve"> </w:instrText>
                  </w:r>
                  <w:r>
                    <w:rPr>
                      <w:rFonts w:cs="宋体"/>
                    </w:rPr>
                    <w:fldChar w:fldCharType="separate"/>
                  </w:r>
                  <w:r>
                    <w:rPr>
                      <w:rFonts w:hint="eastAsia" w:cs="宋体"/>
                    </w:rPr>
                    <w:t>②</w:t>
                  </w:r>
                  <w:r>
                    <w:rPr>
                      <w:rFonts w:cs="宋体"/>
                    </w:rPr>
                    <w:fldChar w:fldCharType="end"/>
                  </w:r>
                  <w:r>
                    <w:rPr>
                      <w:rFonts w:hint="eastAsia" w:cs="宋体"/>
                    </w:rPr>
                    <w:t>油基钻井岩屑属于危险废物，进入油基岩屑专用方罐后交由具有相关危险废物处置资质的单位负责接收、转运以及处置；</w:t>
                  </w:r>
                  <w:r>
                    <w:rPr>
                      <w:rFonts w:cs="宋体"/>
                    </w:rPr>
                    <w:fldChar w:fldCharType="begin"/>
                  </w:r>
                  <w:r>
                    <w:rPr>
                      <w:rFonts w:cs="宋体"/>
                    </w:rPr>
                    <w:instrText xml:space="preserve"> </w:instrText>
                  </w:r>
                  <w:r>
                    <w:rPr>
                      <w:rFonts w:hint="eastAsia" w:cs="宋体"/>
                    </w:rPr>
                    <w:instrText xml:space="preserve">= 3 \* GB3</w:instrText>
                  </w:r>
                  <w:r>
                    <w:rPr>
                      <w:rFonts w:cs="宋体"/>
                    </w:rPr>
                    <w:instrText xml:space="preserve"> </w:instrText>
                  </w:r>
                  <w:r>
                    <w:rPr>
                      <w:rFonts w:cs="宋体"/>
                    </w:rPr>
                    <w:fldChar w:fldCharType="separate"/>
                  </w:r>
                  <w:r>
                    <w:rPr>
                      <w:rFonts w:hint="eastAsia" w:cs="宋体"/>
                    </w:rPr>
                    <w:t>③</w:t>
                  </w:r>
                  <w:r>
                    <w:rPr>
                      <w:rFonts w:cs="宋体"/>
                    </w:rPr>
                    <w:fldChar w:fldCharType="end"/>
                  </w:r>
                  <w:r>
                    <w:rPr>
                      <w:rFonts w:hint="eastAsia" w:cs="宋体"/>
                    </w:rPr>
                    <w:t>生活垃圾集中收集后拉运至吉木萨尔县生活垃圾填埋场填埋处理；</w:t>
                  </w:r>
                  <w:r>
                    <w:rPr>
                      <w:rFonts w:cs="宋体"/>
                    </w:rPr>
                    <w:fldChar w:fldCharType="begin"/>
                  </w:r>
                  <w:r>
                    <w:rPr>
                      <w:rFonts w:cs="宋体"/>
                    </w:rPr>
                    <w:instrText xml:space="preserve"> </w:instrText>
                  </w:r>
                  <w:r>
                    <w:rPr>
                      <w:rFonts w:hint="eastAsia" w:cs="宋体"/>
                    </w:rPr>
                    <w:instrText xml:space="preserve">= 4 \* GB3</w:instrText>
                  </w:r>
                  <w:r>
                    <w:rPr>
                      <w:rFonts w:cs="宋体"/>
                    </w:rPr>
                    <w:instrText xml:space="preserve"> </w:instrText>
                  </w:r>
                  <w:r>
                    <w:rPr>
                      <w:rFonts w:cs="宋体"/>
                    </w:rPr>
                    <w:fldChar w:fldCharType="separate"/>
                  </w:r>
                  <w:r>
                    <w:rPr>
                      <w:rFonts w:hint="eastAsia" w:cs="宋体"/>
                    </w:rPr>
                    <w:t>④</w:t>
                  </w:r>
                  <w:r>
                    <w:rPr>
                      <w:rFonts w:cs="宋体"/>
                    </w:rPr>
                    <w:fldChar w:fldCharType="end"/>
                  </w:r>
                  <w:r>
                    <w:rPr>
                      <w:rFonts w:hint="eastAsia" w:cs="宋体"/>
                    </w:rPr>
                    <w:t>场地清理时拆除的未破损的防渗膜由施工单位集中回收利用，破损的废防渗膜属于危险废物，与油基钻井岩屑一同交由具有相关危险废物处置资质的单位接收、转运以及处置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5</w:t>
                  </w:r>
                </w:p>
              </w:tc>
              <w:tc>
                <w:tcPr>
                  <w:tcW w:w="1007" w:type="dxa"/>
                  <w:tcMar>
                    <w:left w:w="0" w:type="dxa"/>
                    <w:right w:w="0" w:type="dxa"/>
                  </w:tcMar>
                  <w:vAlign w:val="center"/>
                </w:tcPr>
                <w:p>
                  <w:pPr>
                    <w:pStyle w:val="50"/>
                    <w:widowControl w:val="0"/>
                    <w:spacing w:line="300" w:lineRule="exact"/>
                    <w:rPr>
                      <w:rFonts w:cs="宋体"/>
                    </w:rPr>
                  </w:pPr>
                  <w:r>
                    <w:rPr>
                      <w:rFonts w:hint="eastAsia" w:cs="宋体"/>
                    </w:rPr>
                    <w:t>生态环境</w:t>
                  </w:r>
                </w:p>
              </w:tc>
              <w:tc>
                <w:tcPr>
                  <w:tcW w:w="6380" w:type="dxa"/>
                  <w:tcMar>
                    <w:left w:w="0" w:type="dxa"/>
                    <w:right w:w="0" w:type="dxa"/>
                  </w:tcMar>
                  <w:vAlign w:val="center"/>
                </w:tcPr>
                <w:p>
                  <w:pPr>
                    <w:pStyle w:val="50"/>
                    <w:widowControl w:val="0"/>
                    <w:spacing w:line="300" w:lineRule="exact"/>
                    <w:jc w:val="left"/>
                    <w:rPr>
                      <w:rFonts w:cs="宋体"/>
                    </w:rPr>
                  </w:pPr>
                  <w:r>
                    <w:rPr>
                      <w:rFonts w:cs="宋体"/>
                    </w:rPr>
                    <w:fldChar w:fldCharType="begin"/>
                  </w:r>
                  <w:r>
                    <w:rPr>
                      <w:rFonts w:cs="宋体"/>
                    </w:rPr>
                    <w:instrText xml:space="preserve"> </w:instrText>
                  </w:r>
                  <w:r>
                    <w:rPr>
                      <w:rFonts w:hint="eastAsia" w:cs="宋体"/>
                    </w:rPr>
                    <w:instrText xml:space="preserve">= 1 \* GB3</w:instrText>
                  </w:r>
                  <w:r>
                    <w:rPr>
                      <w:rFonts w:cs="宋体"/>
                    </w:rPr>
                    <w:instrText xml:space="preserve"> </w:instrText>
                  </w:r>
                  <w:r>
                    <w:rPr>
                      <w:rFonts w:cs="宋体"/>
                    </w:rPr>
                    <w:fldChar w:fldCharType="separate"/>
                  </w:r>
                  <w:r>
                    <w:rPr>
                      <w:rFonts w:hint="eastAsia" w:cs="宋体"/>
                    </w:rPr>
                    <w:t>①</w:t>
                  </w:r>
                  <w:r>
                    <w:rPr>
                      <w:rFonts w:cs="宋体"/>
                    </w:rPr>
                    <w:fldChar w:fldCharType="end"/>
                  </w:r>
                  <w:r>
                    <w:rPr>
                      <w:rFonts w:hint="eastAsia" w:cs="宋体"/>
                    </w:rPr>
                    <w:t>用地面积按实际征地面积划定，不得超过规定面积；</w:t>
                  </w:r>
                  <w:r>
                    <w:rPr>
                      <w:rFonts w:cs="宋体"/>
                    </w:rPr>
                    <w:fldChar w:fldCharType="begin"/>
                  </w:r>
                  <w:r>
                    <w:rPr>
                      <w:rFonts w:cs="宋体"/>
                    </w:rPr>
                    <w:instrText xml:space="preserve"> </w:instrText>
                  </w:r>
                  <w:r>
                    <w:rPr>
                      <w:rFonts w:hint="eastAsia" w:cs="宋体"/>
                    </w:rPr>
                    <w:instrText xml:space="preserve">= 2 \* GB3</w:instrText>
                  </w:r>
                  <w:r>
                    <w:rPr>
                      <w:rFonts w:cs="宋体"/>
                    </w:rPr>
                    <w:instrText xml:space="preserve"> </w:instrText>
                  </w:r>
                  <w:r>
                    <w:rPr>
                      <w:rFonts w:cs="宋体"/>
                    </w:rPr>
                    <w:fldChar w:fldCharType="separate"/>
                  </w:r>
                  <w:r>
                    <w:rPr>
                      <w:rFonts w:hint="eastAsia" w:cs="宋体"/>
                    </w:rPr>
                    <w:t>②</w:t>
                  </w:r>
                  <w:r>
                    <w:rPr>
                      <w:rFonts w:cs="宋体"/>
                    </w:rPr>
                    <w:fldChar w:fldCharType="end"/>
                  </w:r>
                  <w:r>
                    <w:rPr>
                      <w:rFonts w:hint="eastAsia" w:cs="宋体"/>
                    </w:rPr>
                    <w:t>施工车辆严格按规定路线行驶，严禁随意开道，碾压植被、扰动土壤。严禁破坏植被、捕杀野生动物；</w:t>
                  </w:r>
                  <w:r>
                    <w:rPr>
                      <w:rFonts w:cs="宋体"/>
                    </w:rPr>
                    <w:fldChar w:fldCharType="begin"/>
                  </w:r>
                  <w:r>
                    <w:rPr>
                      <w:rFonts w:cs="宋体"/>
                    </w:rPr>
                    <w:instrText xml:space="preserve"> </w:instrText>
                  </w:r>
                  <w:r>
                    <w:rPr>
                      <w:rFonts w:hint="eastAsia" w:cs="宋体"/>
                    </w:rPr>
                    <w:instrText xml:space="preserve">= 3 \* GB3</w:instrText>
                  </w:r>
                  <w:r>
                    <w:rPr>
                      <w:rFonts w:cs="宋体"/>
                    </w:rPr>
                    <w:instrText xml:space="preserve"> </w:instrText>
                  </w:r>
                  <w:r>
                    <w:rPr>
                      <w:rFonts w:cs="宋体"/>
                    </w:rPr>
                    <w:fldChar w:fldCharType="separate"/>
                  </w:r>
                  <w:r>
                    <w:rPr>
                      <w:rFonts w:hint="eastAsia" w:cs="宋体"/>
                    </w:rPr>
                    <w:t>③</w:t>
                  </w:r>
                  <w:r>
                    <w:rPr>
                      <w:rFonts w:cs="宋体"/>
                    </w:rPr>
                    <w:fldChar w:fldCharType="end"/>
                  </w:r>
                  <w:r>
                    <w:rPr>
                      <w:rFonts w:hint="eastAsia" w:cs="宋体"/>
                    </w:rPr>
                    <w:t>施工结束后应对施工场地进行平整，以便自然恢复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953" w:hRule="atLeast"/>
                <w:jc w:val="center"/>
              </w:trPr>
              <w:tc>
                <w:tcPr>
                  <w:tcW w:w="517" w:type="dxa"/>
                  <w:tcMar>
                    <w:left w:w="0" w:type="dxa"/>
                    <w:right w:w="0" w:type="dxa"/>
                  </w:tcMar>
                  <w:vAlign w:val="center"/>
                </w:tcPr>
                <w:p>
                  <w:pPr>
                    <w:pStyle w:val="50"/>
                    <w:widowControl w:val="0"/>
                    <w:spacing w:line="300" w:lineRule="exact"/>
                    <w:rPr>
                      <w:rFonts w:cs="宋体"/>
                    </w:rPr>
                  </w:pPr>
                  <w:r>
                    <w:rPr>
                      <w:rFonts w:hint="eastAsia" w:cs="宋体"/>
                    </w:rPr>
                    <w:t>6</w:t>
                  </w:r>
                </w:p>
              </w:tc>
              <w:tc>
                <w:tcPr>
                  <w:tcW w:w="1007" w:type="dxa"/>
                  <w:tcMar>
                    <w:left w:w="0" w:type="dxa"/>
                    <w:right w:w="0" w:type="dxa"/>
                  </w:tcMar>
                  <w:vAlign w:val="center"/>
                </w:tcPr>
                <w:p>
                  <w:pPr>
                    <w:pStyle w:val="50"/>
                    <w:widowControl w:val="0"/>
                    <w:spacing w:line="300" w:lineRule="exact"/>
                    <w:rPr>
                      <w:rFonts w:cs="宋体"/>
                    </w:rPr>
                  </w:pPr>
                  <w:r>
                    <w:rPr>
                      <w:rFonts w:hint="eastAsia" w:cs="宋体"/>
                    </w:rPr>
                    <w:t>环境管理</w:t>
                  </w:r>
                </w:p>
              </w:tc>
              <w:tc>
                <w:tcPr>
                  <w:tcW w:w="6380" w:type="dxa"/>
                  <w:tcMar>
                    <w:left w:w="0" w:type="dxa"/>
                    <w:right w:w="0" w:type="dxa"/>
                  </w:tcMar>
                  <w:vAlign w:val="center"/>
                </w:tcPr>
                <w:p>
                  <w:pPr>
                    <w:pStyle w:val="50"/>
                    <w:widowControl w:val="0"/>
                    <w:spacing w:line="300" w:lineRule="exact"/>
                    <w:jc w:val="left"/>
                    <w:rPr>
                      <w:rFonts w:cs="宋体"/>
                    </w:rPr>
                  </w:pPr>
                  <w:r>
                    <w:rPr>
                      <w:rFonts w:hint="eastAsia" w:cs="宋体"/>
                    </w:rPr>
                    <w:t>施工单位应建立环境保护档案，保存施工前后项目区的影像资料，使施工全过程各类污染物产生、去向和各个污染措施及实施情况均记录在案。建设单位要求施工单位在钻井工程开工前进行环保自查，建设单位对施工单位钻井期间进行环保日常检查并做好记录；完工交井前，建设单位主管部门现场验收，合格后方可记录为完工，做到工完料净场地清，并做好记录</w:t>
                  </w:r>
                </w:p>
              </w:tc>
            </w:tr>
          </w:tb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1" w:type="dxa"/>
            <w:vAlign w:val="center"/>
          </w:tcPr>
          <w:p>
            <w:pPr>
              <w:adjustRightInd w:val="0"/>
              <w:snapToGrid w:val="0"/>
              <w:jc w:val="center"/>
              <w:rPr>
                <w:rFonts w:ascii="宋体" w:hAnsi="宋体"/>
                <w:bCs/>
                <w:sz w:val="24"/>
              </w:rPr>
            </w:pPr>
            <w:r>
              <w:rPr>
                <w:rFonts w:hint="eastAsia" w:ascii="宋体" w:hAnsi="宋体"/>
                <w:bCs/>
                <w:sz w:val="24"/>
              </w:rPr>
              <w:t>环保投资</w:t>
            </w:r>
          </w:p>
        </w:tc>
        <w:tc>
          <w:tcPr>
            <w:tcW w:w="8120" w:type="dxa"/>
            <w:vAlign w:val="center"/>
          </w:tcPr>
          <w:p>
            <w:pPr>
              <w:pStyle w:val="47"/>
              <w:keepNext/>
              <w:spacing w:line="460" w:lineRule="exact"/>
              <w:ind w:firstLine="480"/>
            </w:pPr>
            <w:r>
              <w:rPr>
                <w:rFonts w:hint="eastAsia"/>
              </w:rPr>
              <w:t>本项目总投资约为</w:t>
            </w:r>
            <w:r>
              <w:t>800</w:t>
            </w:r>
            <w:r>
              <w:rPr>
                <w:rFonts w:hint="eastAsia"/>
              </w:rPr>
              <w:t>万元，环保投资共为</w:t>
            </w:r>
            <w:r>
              <w:t>102</w:t>
            </w:r>
            <w:r>
              <w:rPr>
                <w:rFonts w:hint="eastAsia"/>
              </w:rPr>
              <w:t>万元，占总投资的</w:t>
            </w:r>
            <w:r>
              <w:t>12.75%</w:t>
            </w:r>
            <w:r>
              <w:rPr>
                <w:rFonts w:hint="eastAsia"/>
              </w:rPr>
              <w:t>，详见</w:t>
            </w:r>
            <w:r>
              <w:t>表16</w:t>
            </w:r>
            <w:r>
              <w:rPr>
                <w:rFonts w:hint="eastAsia"/>
              </w:rPr>
              <w:t>。</w:t>
            </w:r>
          </w:p>
          <w:p>
            <w:pPr>
              <w:pStyle w:val="47"/>
              <w:keepNext/>
              <w:spacing w:line="460" w:lineRule="exact"/>
              <w:ind w:firstLine="420"/>
              <w:jc w:val="center"/>
              <w:rPr>
                <w:rFonts w:ascii="黑体" w:hAnsi="黑体" w:eastAsia="黑体"/>
                <w:sz w:val="21"/>
                <w:szCs w:val="21"/>
              </w:rPr>
            </w:pPr>
            <w:r>
              <w:rPr>
                <w:rFonts w:hint="eastAsia" w:ascii="黑体" w:hAnsi="黑体" w:eastAsia="黑体"/>
                <w:sz w:val="21"/>
                <w:szCs w:val="21"/>
              </w:rPr>
              <w:t>表</w:t>
            </w:r>
            <w:r>
              <w:rPr>
                <w:rFonts w:ascii="黑体" w:hAnsi="黑体" w:eastAsia="黑体"/>
                <w:sz w:val="21"/>
                <w:szCs w:val="21"/>
              </w:rPr>
              <w:t>16  环保治理设施环保投资表</w:t>
            </w:r>
          </w:p>
          <w:tbl>
            <w:tblPr>
              <w:tblStyle w:val="17"/>
              <w:tblW w:w="790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519"/>
              <w:gridCol w:w="4099"/>
              <w:gridCol w:w="1215"/>
              <w:gridCol w:w="5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rPr>
                      <w:rFonts w:hint="eastAsia"/>
                    </w:rPr>
                    <w:t>序号</w:t>
                  </w:r>
                </w:p>
              </w:tc>
              <w:tc>
                <w:tcPr>
                  <w:tcW w:w="1519" w:type="dxa"/>
                  <w:tcMar>
                    <w:left w:w="0" w:type="dxa"/>
                    <w:right w:w="0" w:type="dxa"/>
                  </w:tcMar>
                  <w:vAlign w:val="center"/>
                </w:tcPr>
                <w:p>
                  <w:pPr>
                    <w:pStyle w:val="45"/>
                    <w:keepNext/>
                  </w:pPr>
                  <w:r>
                    <w:rPr>
                      <w:rFonts w:hint="eastAsia"/>
                    </w:rPr>
                    <w:t>工程名称</w:t>
                  </w:r>
                </w:p>
              </w:tc>
              <w:tc>
                <w:tcPr>
                  <w:tcW w:w="4099" w:type="dxa"/>
                  <w:tcMar>
                    <w:left w:w="0" w:type="dxa"/>
                    <w:right w:w="0" w:type="dxa"/>
                  </w:tcMar>
                  <w:vAlign w:val="center"/>
                </w:tcPr>
                <w:p>
                  <w:pPr>
                    <w:pStyle w:val="45"/>
                    <w:keepNext/>
                  </w:pPr>
                  <w:r>
                    <w:rPr>
                      <w:rFonts w:hint="eastAsia"/>
                    </w:rPr>
                    <w:t>预计效果</w:t>
                  </w:r>
                </w:p>
              </w:tc>
              <w:tc>
                <w:tcPr>
                  <w:tcW w:w="1215" w:type="dxa"/>
                  <w:tcMar>
                    <w:left w:w="0" w:type="dxa"/>
                    <w:right w:w="0" w:type="dxa"/>
                  </w:tcMar>
                  <w:vAlign w:val="center"/>
                </w:tcPr>
                <w:p>
                  <w:pPr>
                    <w:pStyle w:val="45"/>
                    <w:keepNext/>
                  </w:pPr>
                  <w:r>
                    <w:rPr>
                      <w:rFonts w:hint="eastAsia"/>
                    </w:rPr>
                    <w:t>投资</w:t>
                  </w:r>
                </w:p>
                <w:p>
                  <w:pPr>
                    <w:pStyle w:val="45"/>
                    <w:keepNext/>
                  </w:pPr>
                  <w:r>
                    <w:rPr>
                      <w:rFonts w:hint="eastAsia"/>
                    </w:rPr>
                    <w:t>（万元）</w:t>
                  </w:r>
                </w:p>
              </w:tc>
              <w:tc>
                <w:tcPr>
                  <w:tcW w:w="575" w:type="dxa"/>
                  <w:tcMar>
                    <w:left w:w="0" w:type="dxa"/>
                    <w:right w:w="0" w:type="dxa"/>
                  </w:tcMar>
                  <w:vAlign w:val="center"/>
                </w:tcPr>
                <w:p>
                  <w:pPr>
                    <w:pStyle w:val="45"/>
                    <w:keepNext/>
                  </w:pPr>
                  <w:r>
                    <w:rPr>
                      <w:rFonts w:hint="eastAsia"/>
                    </w:rPr>
                    <w:t>实施时间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96" w:type="dxa"/>
                  <w:vMerge w:val="restart"/>
                  <w:tcMar>
                    <w:left w:w="0" w:type="dxa"/>
                    <w:right w:w="0" w:type="dxa"/>
                  </w:tcMar>
                  <w:vAlign w:val="center"/>
                </w:tcPr>
                <w:p>
                  <w:pPr>
                    <w:pStyle w:val="45"/>
                    <w:keepNext/>
                  </w:pPr>
                  <w:r>
                    <w:rPr>
                      <w:rFonts w:hint="eastAsia"/>
                    </w:rPr>
                    <w:t>1</w:t>
                  </w:r>
                </w:p>
              </w:tc>
              <w:tc>
                <w:tcPr>
                  <w:tcW w:w="1519" w:type="dxa"/>
                  <w:vMerge w:val="restart"/>
                  <w:tcMar>
                    <w:left w:w="0" w:type="dxa"/>
                    <w:right w:w="0" w:type="dxa"/>
                  </w:tcMar>
                  <w:vAlign w:val="center"/>
                </w:tcPr>
                <w:p>
                  <w:pPr>
                    <w:pStyle w:val="45"/>
                    <w:keepNext/>
                  </w:pPr>
                  <w:r>
                    <w:rPr>
                      <w:rFonts w:hint="eastAsia"/>
                    </w:rPr>
                    <w:t>钻井岩屑处置</w:t>
                  </w:r>
                </w:p>
              </w:tc>
              <w:tc>
                <w:tcPr>
                  <w:tcW w:w="4099" w:type="dxa"/>
                  <w:tcMar>
                    <w:left w:w="0" w:type="dxa"/>
                    <w:right w:w="0" w:type="dxa"/>
                  </w:tcMar>
                  <w:vAlign w:val="center"/>
                </w:tcPr>
                <w:p>
                  <w:pPr>
                    <w:pStyle w:val="45"/>
                    <w:keepNext/>
                  </w:pPr>
                  <w:r>
                    <w:rPr>
                      <w:rFonts w:hint="eastAsia" w:cs="宋体"/>
                    </w:rPr>
                    <w:t>水基钻井岩屑经不落地系统处理，分离出的岩屑进岩屑专用方罐，由岩屑处置单位直接拉走进行处理</w:t>
                  </w:r>
                </w:p>
              </w:tc>
              <w:tc>
                <w:tcPr>
                  <w:tcW w:w="1215" w:type="dxa"/>
                  <w:tcMar>
                    <w:left w:w="0" w:type="dxa"/>
                    <w:right w:w="0" w:type="dxa"/>
                  </w:tcMar>
                  <w:vAlign w:val="center"/>
                </w:tcPr>
                <w:p>
                  <w:pPr>
                    <w:pStyle w:val="45"/>
                    <w:keepNext/>
                  </w:pPr>
                  <w:r>
                    <w:rPr>
                      <w:rFonts w:hint="eastAsia" w:cs="宋体"/>
                    </w:rPr>
                    <w:t>5</w:t>
                  </w:r>
                </w:p>
              </w:tc>
              <w:tc>
                <w:tcPr>
                  <w:tcW w:w="575" w:type="dxa"/>
                  <w:vMerge w:val="restart"/>
                  <w:tcMar>
                    <w:left w:w="0" w:type="dxa"/>
                    <w:right w:w="0" w:type="dxa"/>
                  </w:tcMar>
                  <w:vAlign w:val="center"/>
                </w:tcPr>
                <w:p>
                  <w:pPr>
                    <w:pStyle w:val="45"/>
                    <w:keepNext/>
                  </w:pPr>
                  <w:r>
                    <w:rPr>
                      <w:rFonts w:hint="eastAsia"/>
                    </w:rPr>
                    <w:t>与钻井、试油期同步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96" w:type="dxa"/>
                  <w:vMerge w:val="continue"/>
                  <w:tcMar>
                    <w:left w:w="0" w:type="dxa"/>
                    <w:right w:w="0" w:type="dxa"/>
                  </w:tcMar>
                  <w:vAlign w:val="center"/>
                </w:tcPr>
                <w:p>
                  <w:pPr>
                    <w:pStyle w:val="45"/>
                    <w:keepNext/>
                  </w:pPr>
                </w:p>
              </w:tc>
              <w:tc>
                <w:tcPr>
                  <w:tcW w:w="1519" w:type="dxa"/>
                  <w:vMerge w:val="continue"/>
                  <w:tcMar>
                    <w:left w:w="0" w:type="dxa"/>
                    <w:right w:w="0" w:type="dxa"/>
                  </w:tcMar>
                  <w:vAlign w:val="center"/>
                </w:tcPr>
                <w:p>
                  <w:pPr>
                    <w:pStyle w:val="45"/>
                    <w:keepNext/>
                  </w:pPr>
                </w:p>
              </w:tc>
              <w:tc>
                <w:tcPr>
                  <w:tcW w:w="4099" w:type="dxa"/>
                  <w:tcMar>
                    <w:left w:w="0" w:type="dxa"/>
                    <w:right w:w="0" w:type="dxa"/>
                  </w:tcMar>
                  <w:vAlign w:val="center"/>
                </w:tcPr>
                <w:p>
                  <w:pPr>
                    <w:pStyle w:val="45"/>
                    <w:keepNext/>
                  </w:pPr>
                  <w:r>
                    <w:rPr>
                      <w:rFonts w:hint="eastAsia" w:cs="宋体"/>
                    </w:rPr>
                    <w:t>油基钻井岩屑经不落地系统处理后交由具有相关危险废物处置资质的单位负责接收、转运以及处置</w:t>
                  </w:r>
                </w:p>
              </w:tc>
              <w:tc>
                <w:tcPr>
                  <w:tcW w:w="1215" w:type="dxa"/>
                  <w:tcMar>
                    <w:left w:w="0" w:type="dxa"/>
                    <w:right w:w="0" w:type="dxa"/>
                  </w:tcMar>
                  <w:vAlign w:val="center"/>
                </w:tcPr>
                <w:p>
                  <w:pPr>
                    <w:pStyle w:val="45"/>
                    <w:keepNext/>
                  </w:pPr>
                  <w:r>
                    <w:rPr>
                      <w:rFonts w:cs="宋体"/>
                    </w:rPr>
                    <w:t>80</w:t>
                  </w:r>
                </w:p>
              </w:tc>
              <w:tc>
                <w:tcPr>
                  <w:tcW w:w="575" w:type="dxa"/>
                  <w:vMerge w:val="continue"/>
                  <w:tcMar>
                    <w:left w:w="0" w:type="dxa"/>
                    <w:right w:w="0" w:type="dxa"/>
                  </w:tcMar>
                  <w:vAlign w:val="center"/>
                </w:tcPr>
                <w:p>
                  <w:pPr>
                    <w:pStyle w:val="45"/>
                    <w:keepNext/>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t>2</w:t>
                  </w:r>
                </w:p>
              </w:tc>
              <w:tc>
                <w:tcPr>
                  <w:tcW w:w="1519" w:type="dxa"/>
                  <w:tcMar>
                    <w:left w:w="0" w:type="dxa"/>
                    <w:right w:w="0" w:type="dxa"/>
                  </w:tcMar>
                  <w:vAlign w:val="center"/>
                </w:tcPr>
                <w:p>
                  <w:pPr>
                    <w:pStyle w:val="45"/>
                    <w:keepNext/>
                  </w:pPr>
                  <w:r>
                    <w:rPr>
                      <w:rFonts w:hint="eastAsia"/>
                    </w:rPr>
                    <w:t>井控装置</w:t>
                  </w:r>
                </w:p>
              </w:tc>
              <w:tc>
                <w:tcPr>
                  <w:tcW w:w="4099" w:type="dxa"/>
                  <w:tcMar>
                    <w:left w:w="0" w:type="dxa"/>
                    <w:right w:w="0" w:type="dxa"/>
                  </w:tcMar>
                  <w:vAlign w:val="center"/>
                </w:tcPr>
                <w:p>
                  <w:pPr>
                    <w:pStyle w:val="45"/>
                    <w:keepNext/>
                  </w:pPr>
                  <w:r>
                    <w:rPr>
                      <w:rFonts w:hint="eastAsia"/>
                    </w:rPr>
                    <w:t>防止井喷</w:t>
                  </w:r>
                </w:p>
              </w:tc>
              <w:tc>
                <w:tcPr>
                  <w:tcW w:w="1215" w:type="dxa"/>
                  <w:tcMar>
                    <w:left w:w="0" w:type="dxa"/>
                    <w:right w:w="0" w:type="dxa"/>
                  </w:tcMar>
                  <w:vAlign w:val="center"/>
                </w:tcPr>
                <w:p>
                  <w:pPr>
                    <w:pStyle w:val="45"/>
                    <w:keepNext/>
                  </w:pPr>
                  <w:r>
                    <w:t>5</w:t>
                  </w:r>
                </w:p>
              </w:tc>
              <w:tc>
                <w:tcPr>
                  <w:tcW w:w="575" w:type="dxa"/>
                  <w:vMerge w:val="continue"/>
                  <w:tcMar>
                    <w:left w:w="0" w:type="dxa"/>
                    <w:right w:w="0" w:type="dxa"/>
                  </w:tcMar>
                  <w:vAlign w:val="center"/>
                </w:tcPr>
                <w:p>
                  <w:pPr>
                    <w:pStyle w:val="45"/>
                    <w:keepNext/>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rPr>
                      <w:rFonts w:hint="eastAsia"/>
                    </w:rPr>
                    <w:t>3</w:t>
                  </w:r>
                </w:p>
              </w:tc>
              <w:tc>
                <w:tcPr>
                  <w:tcW w:w="1519" w:type="dxa"/>
                  <w:tcMar>
                    <w:left w:w="0" w:type="dxa"/>
                    <w:right w:w="0" w:type="dxa"/>
                  </w:tcMar>
                  <w:vAlign w:val="center"/>
                </w:tcPr>
                <w:p>
                  <w:pPr>
                    <w:pStyle w:val="45"/>
                    <w:keepNext/>
                  </w:pPr>
                  <w:r>
                    <w:rPr>
                      <w:rFonts w:hint="eastAsia"/>
                    </w:rPr>
                    <w:t>生活污水处置</w:t>
                  </w:r>
                </w:p>
              </w:tc>
              <w:tc>
                <w:tcPr>
                  <w:tcW w:w="4099" w:type="dxa"/>
                  <w:tcMar>
                    <w:left w:w="0" w:type="dxa"/>
                    <w:right w:w="0" w:type="dxa"/>
                  </w:tcMar>
                  <w:vAlign w:val="center"/>
                </w:tcPr>
                <w:p>
                  <w:pPr>
                    <w:pStyle w:val="45"/>
                    <w:keepNext/>
                  </w:pPr>
                  <w:r>
                    <w:rPr>
                      <w:rFonts w:hint="eastAsia"/>
                    </w:rPr>
                    <w:t>生活污水排至生活营地临时生活污水储集防渗池，施工结束后清运至吉木萨尔县污水处理厂处理</w:t>
                  </w:r>
                </w:p>
              </w:tc>
              <w:tc>
                <w:tcPr>
                  <w:tcW w:w="1215" w:type="dxa"/>
                  <w:tcMar>
                    <w:left w:w="0" w:type="dxa"/>
                    <w:right w:w="0" w:type="dxa"/>
                  </w:tcMar>
                  <w:vAlign w:val="center"/>
                </w:tcPr>
                <w:p>
                  <w:pPr>
                    <w:pStyle w:val="45"/>
                    <w:keepNext/>
                  </w:pPr>
                  <w:r>
                    <w:t>3</w:t>
                  </w:r>
                </w:p>
              </w:tc>
              <w:tc>
                <w:tcPr>
                  <w:tcW w:w="575" w:type="dxa"/>
                  <w:vMerge w:val="continue"/>
                  <w:tcMar>
                    <w:left w:w="0" w:type="dxa"/>
                    <w:right w:w="0" w:type="dxa"/>
                  </w:tcMar>
                  <w:vAlign w:val="center"/>
                </w:tcPr>
                <w:p>
                  <w:pPr>
                    <w:pStyle w:val="45"/>
                    <w:keepNext/>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rPr>
                      <w:rFonts w:hint="eastAsia"/>
                    </w:rPr>
                    <w:t>4</w:t>
                  </w:r>
                </w:p>
              </w:tc>
              <w:tc>
                <w:tcPr>
                  <w:tcW w:w="1519" w:type="dxa"/>
                  <w:tcMar>
                    <w:left w:w="0" w:type="dxa"/>
                    <w:right w:w="0" w:type="dxa"/>
                  </w:tcMar>
                  <w:vAlign w:val="center"/>
                </w:tcPr>
                <w:p>
                  <w:pPr>
                    <w:pStyle w:val="45"/>
                    <w:keepNext/>
                  </w:pPr>
                  <w:r>
                    <w:rPr>
                      <w:rFonts w:hint="eastAsia"/>
                    </w:rPr>
                    <w:t>洗井废水处理</w:t>
                  </w:r>
                </w:p>
              </w:tc>
              <w:tc>
                <w:tcPr>
                  <w:tcW w:w="4099" w:type="dxa"/>
                  <w:tcMar>
                    <w:left w:w="0" w:type="dxa"/>
                    <w:right w:w="0" w:type="dxa"/>
                  </w:tcMar>
                  <w:vAlign w:val="center"/>
                </w:tcPr>
                <w:p>
                  <w:pPr>
                    <w:pStyle w:val="45"/>
                    <w:keepNext/>
                  </w:pPr>
                  <w:r>
                    <w:rPr>
                      <w:rFonts w:hint="eastAsia"/>
                    </w:rPr>
                    <w:t>拉运至沙南联合站</w:t>
                  </w:r>
                  <w:r>
                    <w:t>采出水</w:t>
                  </w:r>
                  <w:r>
                    <w:rPr>
                      <w:rFonts w:hint="eastAsia"/>
                    </w:rPr>
                    <w:t>处理</w:t>
                  </w:r>
                  <w:r>
                    <w:t>系统</w:t>
                  </w:r>
                  <w:r>
                    <w:rPr>
                      <w:rFonts w:hint="eastAsia"/>
                    </w:rPr>
                    <w:t>处理</w:t>
                  </w:r>
                </w:p>
              </w:tc>
              <w:tc>
                <w:tcPr>
                  <w:tcW w:w="1215" w:type="dxa"/>
                  <w:tcMar>
                    <w:left w:w="0" w:type="dxa"/>
                    <w:right w:w="0" w:type="dxa"/>
                  </w:tcMar>
                  <w:vAlign w:val="center"/>
                </w:tcPr>
                <w:p>
                  <w:pPr>
                    <w:pStyle w:val="45"/>
                    <w:keepNext/>
                  </w:pPr>
                  <w:r>
                    <w:t>3</w:t>
                  </w:r>
                </w:p>
              </w:tc>
              <w:tc>
                <w:tcPr>
                  <w:tcW w:w="575" w:type="dxa"/>
                  <w:vMerge w:val="continue"/>
                  <w:tcMar>
                    <w:left w:w="0" w:type="dxa"/>
                    <w:right w:w="0" w:type="dxa"/>
                  </w:tcMar>
                  <w:vAlign w:val="center"/>
                </w:tcPr>
                <w:p>
                  <w:pPr>
                    <w:pStyle w:val="45"/>
                    <w:keepNext/>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rPr>
                      <w:rFonts w:hint="eastAsia"/>
                    </w:rPr>
                    <w:t>5</w:t>
                  </w:r>
                </w:p>
              </w:tc>
              <w:tc>
                <w:tcPr>
                  <w:tcW w:w="1519" w:type="dxa"/>
                  <w:tcMar>
                    <w:left w:w="0" w:type="dxa"/>
                    <w:right w:w="0" w:type="dxa"/>
                  </w:tcMar>
                  <w:vAlign w:val="center"/>
                </w:tcPr>
                <w:p>
                  <w:pPr>
                    <w:pStyle w:val="45"/>
                    <w:keepNext/>
                  </w:pPr>
                  <w:r>
                    <w:rPr>
                      <w:rFonts w:hint="eastAsia"/>
                    </w:rPr>
                    <w:t>硫化氢监测</w:t>
                  </w:r>
                </w:p>
              </w:tc>
              <w:tc>
                <w:tcPr>
                  <w:tcW w:w="4099" w:type="dxa"/>
                  <w:tcMar>
                    <w:left w:w="0" w:type="dxa"/>
                    <w:right w:w="0" w:type="dxa"/>
                  </w:tcMar>
                  <w:vAlign w:val="center"/>
                </w:tcPr>
                <w:p>
                  <w:pPr>
                    <w:pStyle w:val="45"/>
                    <w:keepNext/>
                  </w:pPr>
                  <w:r>
                    <w:rPr>
                      <w:rStyle w:val="49"/>
                      <w:rFonts w:hint="eastAsia"/>
                    </w:rPr>
                    <w:t>对硫化氢气体浓度进行检测</w:t>
                  </w:r>
                </w:p>
              </w:tc>
              <w:tc>
                <w:tcPr>
                  <w:tcW w:w="1215" w:type="dxa"/>
                  <w:tcMar>
                    <w:left w:w="0" w:type="dxa"/>
                    <w:right w:w="0" w:type="dxa"/>
                  </w:tcMar>
                  <w:vAlign w:val="center"/>
                </w:tcPr>
                <w:p>
                  <w:pPr>
                    <w:pStyle w:val="45"/>
                    <w:keepNext/>
                  </w:pPr>
                  <w:r>
                    <w:t>1</w:t>
                  </w:r>
                </w:p>
              </w:tc>
              <w:tc>
                <w:tcPr>
                  <w:tcW w:w="575" w:type="dxa"/>
                  <w:vMerge w:val="continue"/>
                  <w:tcMar>
                    <w:left w:w="0" w:type="dxa"/>
                    <w:right w:w="0" w:type="dxa"/>
                  </w:tcMar>
                  <w:vAlign w:val="center"/>
                </w:tcPr>
                <w:p>
                  <w:pPr>
                    <w:pStyle w:val="45"/>
                    <w:keepNext/>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rPr>
                      <w:rFonts w:hint="eastAsia"/>
                    </w:rPr>
                    <w:t>6</w:t>
                  </w:r>
                </w:p>
              </w:tc>
              <w:tc>
                <w:tcPr>
                  <w:tcW w:w="1519" w:type="dxa"/>
                  <w:tcMar>
                    <w:left w:w="0" w:type="dxa"/>
                    <w:right w:w="0" w:type="dxa"/>
                  </w:tcMar>
                  <w:vAlign w:val="center"/>
                </w:tcPr>
                <w:p>
                  <w:pPr>
                    <w:pStyle w:val="45"/>
                    <w:keepNext/>
                  </w:pPr>
                  <w:r>
                    <w:rPr>
                      <w:rFonts w:hint="eastAsia"/>
                    </w:rPr>
                    <w:t>生活垃圾处置</w:t>
                  </w:r>
                </w:p>
              </w:tc>
              <w:tc>
                <w:tcPr>
                  <w:tcW w:w="4099" w:type="dxa"/>
                  <w:tcMar>
                    <w:left w:w="0" w:type="dxa"/>
                    <w:right w:w="0" w:type="dxa"/>
                  </w:tcMar>
                  <w:vAlign w:val="center"/>
                </w:tcPr>
                <w:p>
                  <w:pPr>
                    <w:pStyle w:val="45"/>
                    <w:keepNext/>
                  </w:pPr>
                  <w:r>
                    <w:rPr>
                      <w:rFonts w:hint="eastAsia"/>
                    </w:rPr>
                    <w:t>集中收集后定期送至吉木萨尔县生活垃圾填埋场填埋处置</w:t>
                  </w:r>
                </w:p>
              </w:tc>
              <w:tc>
                <w:tcPr>
                  <w:tcW w:w="1215" w:type="dxa"/>
                  <w:tcMar>
                    <w:left w:w="0" w:type="dxa"/>
                    <w:right w:w="0" w:type="dxa"/>
                  </w:tcMar>
                  <w:vAlign w:val="center"/>
                </w:tcPr>
                <w:p>
                  <w:pPr>
                    <w:pStyle w:val="45"/>
                    <w:keepNext/>
                  </w:pPr>
                  <w:r>
                    <w:t>3</w:t>
                  </w:r>
                </w:p>
              </w:tc>
              <w:tc>
                <w:tcPr>
                  <w:tcW w:w="575" w:type="dxa"/>
                  <w:vMerge w:val="continue"/>
                  <w:tcMar>
                    <w:left w:w="0" w:type="dxa"/>
                    <w:right w:w="0" w:type="dxa"/>
                  </w:tcMar>
                  <w:vAlign w:val="center"/>
                </w:tcPr>
                <w:p>
                  <w:pPr>
                    <w:pStyle w:val="45"/>
                    <w:keepNext/>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rPr>
                      <w:rFonts w:hint="eastAsia"/>
                    </w:rPr>
                    <w:t>7</w:t>
                  </w:r>
                </w:p>
              </w:tc>
              <w:tc>
                <w:tcPr>
                  <w:tcW w:w="1519" w:type="dxa"/>
                  <w:tcMar>
                    <w:left w:w="0" w:type="dxa"/>
                    <w:right w:w="0" w:type="dxa"/>
                  </w:tcMar>
                  <w:vAlign w:val="center"/>
                </w:tcPr>
                <w:p>
                  <w:pPr>
                    <w:pStyle w:val="45"/>
                    <w:keepNext/>
                  </w:pPr>
                  <w:r>
                    <w:rPr>
                      <w:rFonts w:hint="eastAsia"/>
                    </w:rPr>
                    <w:t>完井后恢复</w:t>
                  </w:r>
                </w:p>
              </w:tc>
              <w:tc>
                <w:tcPr>
                  <w:tcW w:w="4099" w:type="dxa"/>
                  <w:tcMar>
                    <w:left w:w="0" w:type="dxa"/>
                    <w:right w:w="0" w:type="dxa"/>
                  </w:tcMar>
                  <w:vAlign w:val="center"/>
                </w:tcPr>
                <w:p>
                  <w:pPr>
                    <w:pStyle w:val="45"/>
                    <w:keepNext/>
                  </w:pPr>
                  <w:r>
                    <w:rPr>
                      <w:rFonts w:hint="eastAsia"/>
                    </w:rPr>
                    <w:t>场地清理，恢复平整</w:t>
                  </w:r>
                  <w:r>
                    <w:t xml:space="preserve"> </w:t>
                  </w:r>
                </w:p>
              </w:tc>
              <w:tc>
                <w:tcPr>
                  <w:tcW w:w="1215" w:type="dxa"/>
                  <w:tcMar>
                    <w:left w:w="0" w:type="dxa"/>
                    <w:right w:w="0" w:type="dxa"/>
                  </w:tcMar>
                  <w:vAlign w:val="center"/>
                </w:tcPr>
                <w:p>
                  <w:pPr>
                    <w:pStyle w:val="45"/>
                    <w:keepNext/>
                  </w:pPr>
                  <w:r>
                    <w:t>2</w:t>
                  </w:r>
                </w:p>
              </w:tc>
              <w:tc>
                <w:tcPr>
                  <w:tcW w:w="575" w:type="dxa"/>
                  <w:vMerge w:val="continue"/>
                  <w:tcMar>
                    <w:left w:w="0" w:type="dxa"/>
                    <w:right w:w="0" w:type="dxa"/>
                  </w:tcMar>
                  <w:vAlign w:val="center"/>
                </w:tcPr>
                <w:p>
                  <w:pPr>
                    <w:pStyle w:val="45"/>
                    <w:keepNext/>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6" w:type="dxa"/>
                  <w:tcMar>
                    <w:left w:w="0" w:type="dxa"/>
                    <w:right w:w="0" w:type="dxa"/>
                  </w:tcMar>
                  <w:vAlign w:val="center"/>
                </w:tcPr>
                <w:p>
                  <w:pPr>
                    <w:pStyle w:val="45"/>
                    <w:keepNext/>
                  </w:pPr>
                  <w:r>
                    <w:rPr>
                      <w:rFonts w:hint="eastAsia"/>
                    </w:rPr>
                    <w:t>合计</w:t>
                  </w:r>
                </w:p>
              </w:tc>
              <w:tc>
                <w:tcPr>
                  <w:tcW w:w="1519" w:type="dxa"/>
                  <w:tcMar>
                    <w:left w:w="0" w:type="dxa"/>
                    <w:right w:w="0" w:type="dxa"/>
                  </w:tcMar>
                  <w:vAlign w:val="center"/>
                </w:tcPr>
                <w:p>
                  <w:pPr>
                    <w:pStyle w:val="45"/>
                    <w:keepNext/>
                  </w:pPr>
                  <w:r>
                    <w:rPr>
                      <w:rFonts w:hint="eastAsia"/>
                    </w:rPr>
                    <w:t>/</w:t>
                  </w:r>
                </w:p>
              </w:tc>
              <w:tc>
                <w:tcPr>
                  <w:tcW w:w="4099" w:type="dxa"/>
                  <w:tcMar>
                    <w:left w:w="0" w:type="dxa"/>
                    <w:right w:w="0" w:type="dxa"/>
                  </w:tcMar>
                  <w:vAlign w:val="center"/>
                </w:tcPr>
                <w:p>
                  <w:pPr>
                    <w:pStyle w:val="45"/>
                    <w:keepNext/>
                  </w:pPr>
                  <w:r>
                    <w:rPr>
                      <w:rFonts w:hint="eastAsia"/>
                    </w:rPr>
                    <w:t>/</w:t>
                  </w:r>
                </w:p>
              </w:tc>
              <w:tc>
                <w:tcPr>
                  <w:tcW w:w="1215" w:type="dxa"/>
                  <w:tcMar>
                    <w:left w:w="0" w:type="dxa"/>
                    <w:right w:w="0" w:type="dxa"/>
                  </w:tcMar>
                  <w:vAlign w:val="center"/>
                </w:tcPr>
                <w:p>
                  <w:pPr>
                    <w:pStyle w:val="45"/>
                    <w:keepNext/>
                  </w:pPr>
                  <w:r>
                    <w:t>102</w:t>
                  </w:r>
                </w:p>
              </w:tc>
              <w:tc>
                <w:tcPr>
                  <w:tcW w:w="575" w:type="dxa"/>
                  <w:vMerge w:val="continue"/>
                  <w:tcMar>
                    <w:left w:w="0" w:type="dxa"/>
                    <w:right w:w="0" w:type="dxa"/>
                  </w:tcMar>
                  <w:vAlign w:val="center"/>
                </w:tcPr>
                <w:p>
                  <w:pPr>
                    <w:pStyle w:val="45"/>
                    <w:keepNext/>
                  </w:pPr>
                </w:p>
              </w:tc>
            </w:tr>
          </w:tbl>
          <w:p/>
        </w:tc>
      </w:tr>
    </w:tbl>
    <w:p>
      <w:pPr>
        <w:sectPr>
          <w:pgSz w:w="11907" w:h="16840"/>
          <w:pgMar w:top="1418" w:right="1588" w:bottom="1418" w:left="1588" w:header="851" w:footer="1077" w:gutter="0"/>
          <w:cols w:space="720" w:num="1"/>
          <w:docGrid w:linePitch="312" w:charSpace="0"/>
        </w:sectPr>
      </w:pPr>
    </w:p>
    <w:p>
      <w:pPr>
        <w:pStyle w:val="14"/>
        <w:spacing w:before="0" w:beforeAutospacing="0" w:after="0" w:afterAutospacing="0" w:line="360" w:lineRule="auto"/>
        <w:jc w:val="center"/>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17"/>
        <w:tblW w:w="87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4022"/>
        <w:gridCol w:w="1789"/>
        <w:gridCol w:w="895"/>
        <w:gridCol w:w="6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vMerge w:val="restart"/>
            <w:tcBorders>
              <w:top w:val="single" w:color="auto" w:sz="8" w:space="0"/>
              <w:bottom w:val="single" w:color="auto" w:sz="4" w:space="0"/>
              <w:right w:val="single" w:color="auto" w:sz="4" w:space="0"/>
              <w:tl2br w:val="single" w:color="auto" w:sz="4" w:space="0"/>
            </w:tcBorders>
            <w:vAlign w:val="center"/>
          </w:tcPr>
          <w:p>
            <w:pPr>
              <w:pStyle w:val="14"/>
              <w:jc w:val="center"/>
              <w:rPr>
                <w:rFonts w:cs="宋体"/>
                <w:szCs w:val="21"/>
              </w:rPr>
            </w:pPr>
            <w:r>
              <w:rPr>
                <w:rFonts w:hint="eastAsia" w:cs="宋体"/>
                <w:szCs w:val="21"/>
              </w:rPr>
              <w:t xml:space="preserve"> 内容</w:t>
            </w:r>
          </w:p>
          <w:p>
            <w:pPr>
              <w:pStyle w:val="14"/>
              <w:adjustRightInd w:val="0"/>
              <w:snapToGrid w:val="0"/>
              <w:spacing w:before="0" w:beforeAutospacing="0" w:after="0" w:afterAutospacing="0" w:line="300" w:lineRule="exact"/>
              <w:rPr>
                <w:rFonts w:cs="宋体"/>
                <w:kern w:val="2"/>
                <w:sz w:val="21"/>
                <w:szCs w:val="21"/>
              </w:rPr>
            </w:pPr>
            <w:r>
              <w:rPr>
                <w:rFonts w:hint="eastAsia" w:cs="宋体"/>
                <w:kern w:val="2"/>
                <w:sz w:val="21"/>
                <w:szCs w:val="21"/>
              </w:rPr>
              <w:t>要素</w:t>
            </w:r>
          </w:p>
        </w:tc>
        <w:tc>
          <w:tcPr>
            <w:tcW w:w="5811" w:type="dxa"/>
            <w:gridSpan w:val="2"/>
            <w:tcBorders>
              <w:top w:val="single" w:color="auto" w:sz="8" w:space="0"/>
              <w:left w:val="single" w:color="auto" w:sz="4" w:space="0"/>
              <w:bottom w:val="single" w:color="auto" w:sz="4" w:space="0"/>
              <w:right w:val="single" w:color="auto" w:sz="4" w:space="0"/>
            </w:tcBorders>
            <w:vAlign w:val="center"/>
          </w:tcPr>
          <w:p>
            <w:pPr>
              <w:pStyle w:val="14"/>
              <w:adjustRightInd w:val="0"/>
              <w:snapToGrid w:val="0"/>
              <w:spacing w:before="0" w:beforeAutospacing="0" w:after="0" w:afterAutospacing="0" w:line="300" w:lineRule="exact"/>
              <w:jc w:val="center"/>
              <w:rPr>
                <w:rFonts w:cs="宋体"/>
                <w:kern w:val="2"/>
                <w:sz w:val="21"/>
                <w:szCs w:val="21"/>
              </w:rPr>
            </w:pPr>
            <w:r>
              <w:rPr>
                <w:rFonts w:hint="eastAsia" w:cs="宋体"/>
                <w:kern w:val="2"/>
                <w:sz w:val="21"/>
                <w:szCs w:val="21"/>
              </w:rPr>
              <w:t>施工期</w:t>
            </w:r>
          </w:p>
        </w:tc>
        <w:tc>
          <w:tcPr>
            <w:tcW w:w="1566" w:type="dxa"/>
            <w:gridSpan w:val="2"/>
            <w:tcBorders>
              <w:top w:val="single" w:color="auto" w:sz="8" w:space="0"/>
              <w:left w:val="single" w:color="auto" w:sz="4" w:space="0"/>
              <w:bottom w:val="single" w:color="auto" w:sz="4" w:space="0"/>
            </w:tcBorders>
            <w:vAlign w:val="center"/>
          </w:tcPr>
          <w:p>
            <w:pPr>
              <w:pStyle w:val="14"/>
              <w:adjustRightInd w:val="0"/>
              <w:snapToGrid w:val="0"/>
              <w:spacing w:before="0" w:beforeAutospacing="0" w:after="0" w:afterAutospacing="0" w:line="300" w:lineRule="exact"/>
              <w:jc w:val="center"/>
              <w:rPr>
                <w:rFonts w:cs="宋体"/>
                <w:kern w:val="2"/>
                <w:sz w:val="21"/>
                <w:szCs w:val="21"/>
              </w:rPr>
            </w:pPr>
            <w:r>
              <w:rPr>
                <w:rFonts w:hint="eastAsia" w:cs="宋体"/>
                <w:kern w:val="2"/>
                <w:sz w:val="21"/>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vMerge w:val="continue"/>
            <w:tcBorders>
              <w:top w:val="single" w:color="auto" w:sz="4" w:space="0"/>
              <w:bottom w:val="single" w:color="auto" w:sz="4" w:space="0"/>
              <w:right w:val="single" w:color="auto" w:sz="4" w:space="0"/>
            </w:tcBorders>
            <w:vAlign w:val="center"/>
          </w:tcPr>
          <w:p>
            <w:pPr>
              <w:pStyle w:val="14"/>
              <w:adjustRightInd w:val="0"/>
              <w:snapToGrid w:val="0"/>
              <w:spacing w:before="0" w:beforeAutospacing="0" w:after="0" w:afterAutospacing="0" w:line="300" w:lineRule="exact"/>
              <w:jc w:val="center"/>
              <w:rPr>
                <w:rFonts w:cs="宋体"/>
                <w:kern w:val="2"/>
                <w:sz w:val="21"/>
                <w:szCs w:val="21"/>
              </w:rPr>
            </w:pPr>
          </w:p>
        </w:tc>
        <w:tc>
          <w:tcPr>
            <w:tcW w:w="4022"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before="0" w:beforeAutospacing="0" w:after="0" w:afterAutospacing="0" w:line="300" w:lineRule="exact"/>
              <w:jc w:val="center"/>
              <w:rPr>
                <w:rFonts w:cs="宋体"/>
                <w:kern w:val="2"/>
                <w:sz w:val="21"/>
                <w:szCs w:val="21"/>
              </w:rPr>
            </w:pPr>
            <w:r>
              <w:rPr>
                <w:rFonts w:hint="eastAsia" w:cs="宋体"/>
                <w:kern w:val="2"/>
                <w:sz w:val="21"/>
                <w:szCs w:val="21"/>
              </w:rPr>
              <w:t>环境保护措施</w:t>
            </w:r>
          </w:p>
        </w:tc>
        <w:tc>
          <w:tcPr>
            <w:tcW w:w="178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before="0" w:beforeAutospacing="0" w:after="0" w:afterAutospacing="0" w:line="300" w:lineRule="exact"/>
              <w:jc w:val="center"/>
              <w:rPr>
                <w:rFonts w:cs="宋体"/>
                <w:kern w:val="2"/>
                <w:sz w:val="21"/>
                <w:szCs w:val="21"/>
              </w:rPr>
            </w:pPr>
            <w:r>
              <w:rPr>
                <w:rFonts w:hint="eastAsia" w:cs="宋体"/>
                <w:kern w:val="2"/>
                <w:sz w:val="21"/>
                <w:szCs w:val="21"/>
              </w:rPr>
              <w:t>验收要求</w:t>
            </w:r>
          </w:p>
        </w:tc>
        <w:tc>
          <w:tcPr>
            <w:tcW w:w="895"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before="0" w:beforeAutospacing="0" w:after="0" w:afterAutospacing="0" w:line="300" w:lineRule="exact"/>
              <w:jc w:val="center"/>
              <w:rPr>
                <w:rFonts w:cs="宋体"/>
                <w:kern w:val="2"/>
                <w:sz w:val="21"/>
                <w:szCs w:val="21"/>
              </w:rPr>
            </w:pPr>
            <w:r>
              <w:rPr>
                <w:rFonts w:hint="eastAsia" w:cs="宋体"/>
                <w:kern w:val="2"/>
                <w:sz w:val="21"/>
                <w:szCs w:val="21"/>
              </w:rPr>
              <w:t>环境保护措施</w:t>
            </w:r>
          </w:p>
        </w:tc>
        <w:tc>
          <w:tcPr>
            <w:tcW w:w="671" w:type="dxa"/>
            <w:tcBorders>
              <w:top w:val="single" w:color="auto" w:sz="4" w:space="0"/>
              <w:left w:val="single" w:color="auto" w:sz="4" w:space="0"/>
              <w:bottom w:val="single" w:color="auto" w:sz="4" w:space="0"/>
            </w:tcBorders>
            <w:vAlign w:val="center"/>
          </w:tcPr>
          <w:p>
            <w:pPr>
              <w:pStyle w:val="14"/>
              <w:adjustRightInd w:val="0"/>
              <w:snapToGrid w:val="0"/>
              <w:spacing w:before="0" w:beforeAutospacing="0" w:after="0" w:afterAutospacing="0" w:line="300" w:lineRule="exact"/>
              <w:jc w:val="center"/>
              <w:rPr>
                <w:rFonts w:cs="宋体"/>
                <w:kern w:val="2"/>
                <w:sz w:val="21"/>
                <w:szCs w:val="21"/>
              </w:rPr>
            </w:pPr>
            <w:r>
              <w:rPr>
                <w:rFonts w:hint="eastAsia" w:cs="宋体"/>
                <w:kern w:val="2"/>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66"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陆生生态</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1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严格划定路线，禁止乱碾乱轧；确保各环保设施正常运行，避免各种污染物对土壤环境的影响；②严格控制占地，严格规定各类工作人员的活动范围；③完井后施工设备及时撤离，固体废物全部妥善处置，现场禁止遗留，占地应清理平整，尽量利用井场及临时道路施工时产生的表层弃土对临时占地进行覆盖；</w:t>
            </w: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4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④</w:t>
            </w:r>
            <w:r>
              <w:rPr>
                <w:rFonts w:ascii="宋体" w:hAnsi="宋体" w:cs="宋体"/>
                <w:szCs w:val="21"/>
              </w:rPr>
              <w:fldChar w:fldCharType="end"/>
            </w:r>
            <w:r>
              <w:rPr>
                <w:rFonts w:hint="eastAsia" w:ascii="宋体" w:hAnsi="宋体" w:cs="宋体"/>
                <w:szCs w:val="21"/>
              </w:rPr>
              <w:t>按用地审批手续进行经济补偿费</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b/>
                <w:bCs/>
                <w:szCs w:val="21"/>
              </w:rPr>
              <w:t>验收内容：</w:t>
            </w:r>
            <w:r>
              <w:rPr>
                <w:rFonts w:hint="eastAsia" w:ascii="宋体" w:hAnsi="宋体" w:cs="宋体"/>
                <w:szCs w:val="21"/>
              </w:rPr>
              <w:t>生态保护措施落实情况；井场及周边占地恢复情况。</w:t>
            </w:r>
            <w:r>
              <w:rPr>
                <w:rFonts w:hint="eastAsia" w:ascii="宋体" w:hAnsi="宋体" w:cs="宋体"/>
                <w:b/>
                <w:bCs/>
                <w:szCs w:val="21"/>
              </w:rPr>
              <w:t>验收效果：</w:t>
            </w:r>
            <w:r>
              <w:rPr>
                <w:rFonts w:ascii="宋体" w:hAnsi="宋体" w:cs="宋体"/>
                <w:szCs w:val="21"/>
              </w:rPr>
              <w:t>项目施工结束后清理、平整并压实</w:t>
            </w:r>
            <w:r>
              <w:rPr>
                <w:rFonts w:hint="eastAsia" w:ascii="宋体" w:hAnsi="宋体" w:cs="宋体"/>
                <w:szCs w:val="21"/>
              </w:rPr>
              <w:t>临时占地</w:t>
            </w:r>
            <w:r>
              <w:rPr>
                <w:rFonts w:ascii="宋体" w:hAnsi="宋体" w:cs="宋体"/>
                <w:szCs w:val="21"/>
              </w:rPr>
              <w:t>，以利于土壤、植被的自然恢复</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34"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水土保持</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①严格划定施工活动范围，严格控制和管理运输车辆及重型机械的运行范围，不另辟施工便道，不得离开运输道路及随意驾驶；②</w:t>
            </w:r>
            <w:r>
              <w:rPr>
                <w:rFonts w:ascii="宋体" w:hAnsi="宋体" w:cs="宋体"/>
                <w:szCs w:val="21"/>
              </w:rPr>
              <w:t>优化施工组织，缩短施工时间</w:t>
            </w:r>
            <w:r>
              <w:rPr>
                <w:rFonts w:hint="eastAsia" w:ascii="宋体" w:hAnsi="宋体" w:cs="宋体"/>
                <w:szCs w:val="21"/>
              </w:rPr>
              <w:t>；③</w:t>
            </w:r>
            <w:r>
              <w:rPr>
                <w:rFonts w:ascii="宋体" w:hAnsi="宋体" w:cs="宋体"/>
                <w:szCs w:val="21"/>
              </w:rPr>
              <w:t>施工结束后</w:t>
            </w:r>
            <w:r>
              <w:rPr>
                <w:rFonts w:hint="eastAsia" w:ascii="宋体" w:hAnsi="宋体" w:cs="宋体"/>
                <w:szCs w:val="21"/>
              </w:rPr>
              <w:t>及时</w:t>
            </w:r>
            <w:r>
              <w:rPr>
                <w:rFonts w:ascii="宋体" w:hAnsi="宋体" w:cs="宋体"/>
                <w:szCs w:val="21"/>
              </w:rPr>
              <w:t>对场地进行清理、平整并压实</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b/>
                <w:bCs/>
                <w:szCs w:val="21"/>
              </w:rPr>
              <w:t>验收内容：</w:t>
            </w:r>
            <w:r>
              <w:rPr>
                <w:rFonts w:hint="eastAsia" w:ascii="宋体" w:hAnsi="宋体" w:cs="宋体"/>
                <w:szCs w:val="21"/>
              </w:rPr>
              <w:t>水土流失防治措施落实情况；井场及周边占地恢复情况。</w:t>
            </w:r>
            <w:r>
              <w:rPr>
                <w:rFonts w:hint="eastAsia" w:ascii="宋体" w:hAnsi="宋体" w:cs="宋体"/>
                <w:b/>
                <w:bCs/>
                <w:szCs w:val="21"/>
              </w:rPr>
              <w:t>验收效果：</w:t>
            </w:r>
            <w:r>
              <w:rPr>
                <w:rFonts w:ascii="宋体" w:hAnsi="宋体" w:cs="宋体"/>
                <w:szCs w:val="21"/>
              </w:rPr>
              <w:t>项目施工结束后清理、平整并压实</w:t>
            </w:r>
            <w:r>
              <w:rPr>
                <w:rFonts w:hint="eastAsia" w:ascii="宋体" w:hAnsi="宋体" w:cs="宋体"/>
                <w:szCs w:val="21"/>
              </w:rPr>
              <w:t>临时占地</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水生生态</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b/>
                <w:bCs/>
                <w:szCs w:val="21"/>
              </w:rPr>
            </w:pPr>
            <w:r>
              <w:rPr>
                <w:rFonts w:hint="eastAsia" w:ascii="宋体" w:hAnsi="宋体" w:cs="宋体"/>
                <w:szCs w:val="21"/>
              </w:rPr>
              <w:t>/</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地表水环境</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b/>
                <w:bCs/>
                <w:szCs w:val="21"/>
              </w:rPr>
            </w:pPr>
            <w:r>
              <w:rPr>
                <w:rFonts w:hint="eastAsia" w:ascii="宋体" w:hAnsi="宋体" w:cs="宋体"/>
                <w:szCs w:val="21"/>
              </w:rPr>
              <w:t>/</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声环境</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设备底部进行基础减震</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b/>
                <w:bCs/>
                <w:szCs w:val="21"/>
              </w:rPr>
            </w:pPr>
            <w:r>
              <w:rPr>
                <w:rFonts w:hint="eastAsia" w:ascii="宋体" w:hAnsi="宋体" w:cs="宋体"/>
                <w:szCs w:val="21"/>
              </w:rPr>
              <w:t>/</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振动</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b/>
                <w:bCs/>
                <w:szCs w:val="21"/>
              </w:rPr>
            </w:pPr>
            <w:r>
              <w:rPr>
                <w:rFonts w:hint="eastAsia" w:ascii="宋体" w:hAnsi="宋体" w:cs="宋体"/>
                <w:szCs w:val="21"/>
              </w:rPr>
              <w:t>/</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地下水及土壤环境</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①生活污水：排至生活污水临时储集防渗池，完井后清运至吉木萨尔县污水处理厂；②洗井废水：集中收集后送至沙南联合站</w:t>
            </w:r>
            <w:r>
              <w:rPr>
                <w:rFonts w:ascii="宋体" w:hAnsi="宋体" w:cs="宋体"/>
                <w:szCs w:val="21"/>
              </w:rPr>
              <w:t>采出水</w:t>
            </w:r>
            <w:r>
              <w:rPr>
                <w:rFonts w:hint="eastAsia" w:ascii="宋体" w:hAnsi="宋体" w:cs="宋体"/>
                <w:szCs w:val="21"/>
              </w:rPr>
              <w:t>处理</w:t>
            </w:r>
            <w:r>
              <w:rPr>
                <w:rFonts w:ascii="宋体" w:hAnsi="宋体" w:cs="宋体"/>
                <w:szCs w:val="21"/>
              </w:rPr>
              <w:t>系统</w:t>
            </w:r>
            <w:r>
              <w:rPr>
                <w:rFonts w:hint="eastAsia" w:ascii="宋体" w:hAnsi="宋体" w:cs="宋体"/>
                <w:bCs/>
                <w:szCs w:val="21"/>
              </w:rPr>
              <w:t>处理</w:t>
            </w:r>
            <w:r>
              <w:rPr>
                <w:rFonts w:hint="eastAsia" w:ascii="宋体" w:hAnsi="宋体" w:cs="宋体"/>
                <w:szCs w:val="21"/>
              </w:rPr>
              <w:t>；③</w:t>
            </w:r>
            <w:r>
              <w:rPr>
                <w:rFonts w:ascii="宋体" w:hAnsi="宋体" w:cs="宋体"/>
                <w:szCs w:val="21"/>
              </w:rPr>
              <w:t>严禁机油、柴油等油料落地，擦洗设备和更换的废油品料要集中到废油回收罐，</w:t>
            </w:r>
            <w:r>
              <w:rPr>
                <w:rFonts w:hint="eastAsia" w:ascii="宋体" w:hAnsi="宋体" w:cs="宋体"/>
                <w:szCs w:val="21"/>
              </w:rPr>
              <w:t>在施工结束后委托有相关资质单位</w:t>
            </w:r>
            <w:r>
              <w:rPr>
                <w:rFonts w:ascii="宋体" w:hAnsi="宋体" w:cs="宋体"/>
                <w:szCs w:val="21"/>
              </w:rPr>
              <w:t>处理</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b/>
                <w:bCs/>
                <w:szCs w:val="21"/>
              </w:rPr>
              <w:t>验收内容：</w:t>
            </w:r>
            <w:r>
              <w:rPr>
                <w:rFonts w:hint="eastAsia" w:ascii="宋体" w:hAnsi="宋体"/>
                <w:szCs w:val="21"/>
              </w:rPr>
              <w:t>①生活污水签订清运协议；</w:t>
            </w:r>
            <w:r>
              <w:rPr>
                <w:rFonts w:hint="eastAsia" w:ascii="宋体" w:hAnsi="宋体" w:cs="宋体"/>
                <w:szCs w:val="21"/>
              </w:rPr>
              <w:t>②洗井废水不外排。</w:t>
            </w:r>
            <w:r>
              <w:rPr>
                <w:rFonts w:hint="eastAsia" w:ascii="宋体" w:hAnsi="宋体" w:cs="宋体"/>
                <w:b/>
                <w:bCs/>
                <w:szCs w:val="21"/>
              </w:rPr>
              <w:t>验收效果：</w:t>
            </w:r>
            <w:r>
              <w:rPr>
                <w:rFonts w:hint="eastAsia" w:ascii="宋体" w:hAnsi="宋体" w:cs="宋体"/>
                <w:szCs w:val="21"/>
              </w:rPr>
              <w:t>验收时现场无遗留问题，废水经处理后综合利用</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75"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大气环境</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①使用达标柴油，加强设备维护；②试油期产生的伴生气含量较少，不具备回收利用条件，经放喷管燃烧后排放；③对易起尘物料遮盖，加强车辆管理，避免大风时作业</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b/>
                <w:bCs/>
                <w:szCs w:val="21"/>
              </w:rPr>
              <w:t>验收效果：</w:t>
            </w:r>
            <w:r>
              <w:rPr>
                <w:rFonts w:hint="eastAsia" w:ascii="宋体" w:hAnsi="宋体" w:cs="宋体"/>
                <w:szCs w:val="21"/>
              </w:rPr>
              <w:t>验收时现场无施工遗留问题</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vMerge w:val="restart"/>
            <w:tcBorders>
              <w:top w:val="single" w:color="auto" w:sz="4" w:space="0"/>
              <w:bottom w:val="single" w:color="auto" w:sz="4" w:space="0"/>
              <w:right w:val="single" w:color="auto" w:sz="4" w:space="0"/>
              <w:tl2br w:val="single" w:color="auto" w:sz="4" w:space="0"/>
            </w:tcBorders>
            <w:vAlign w:val="center"/>
          </w:tcPr>
          <w:p>
            <w:pPr>
              <w:adjustRightInd w:val="0"/>
              <w:snapToGrid w:val="0"/>
              <w:spacing w:line="300" w:lineRule="exact"/>
              <w:ind w:firstLine="630" w:firstLineChars="300"/>
              <w:rPr>
                <w:rFonts w:ascii="宋体" w:hAnsi="宋体" w:cs="宋体"/>
                <w:szCs w:val="21"/>
              </w:rPr>
            </w:pPr>
            <w:r>
              <w:rPr>
                <w:rFonts w:hint="eastAsia" w:ascii="宋体" w:hAnsi="宋体" w:cs="宋体"/>
                <w:szCs w:val="21"/>
              </w:rPr>
              <w:t>内容</w:t>
            </w:r>
          </w:p>
          <w:p>
            <w:pPr>
              <w:adjustRightInd w:val="0"/>
              <w:snapToGrid w:val="0"/>
              <w:spacing w:line="300" w:lineRule="exact"/>
              <w:rPr>
                <w:rFonts w:ascii="宋体" w:hAnsi="宋体" w:cs="宋体"/>
                <w:szCs w:val="21"/>
              </w:rPr>
            </w:pPr>
            <w:r>
              <w:rPr>
                <w:rFonts w:hint="eastAsia" w:ascii="宋体" w:hAnsi="宋体" w:cs="宋体"/>
                <w:szCs w:val="21"/>
              </w:rPr>
              <w:t>要素</w:t>
            </w:r>
          </w:p>
        </w:tc>
        <w:tc>
          <w:tcPr>
            <w:tcW w:w="58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cs="宋体"/>
                <w:szCs w:val="21"/>
              </w:rPr>
              <w:t>施工期</w:t>
            </w:r>
          </w:p>
        </w:tc>
        <w:tc>
          <w:tcPr>
            <w:tcW w:w="1566" w:type="dxa"/>
            <w:gridSpan w:val="2"/>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cs="宋体"/>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vMerge w:val="continue"/>
            <w:tcBorders>
              <w:top w:val="single" w:color="auto" w:sz="4" w:space="0"/>
              <w:bottom w:val="single" w:color="auto" w:sz="4" w:space="0"/>
              <w:right w:val="single" w:color="auto" w:sz="4" w:space="0"/>
              <w:tl2br w:val="single" w:color="auto" w:sz="4" w:space="0"/>
            </w:tcBorders>
            <w:vAlign w:val="center"/>
          </w:tcPr>
          <w:p>
            <w:pPr>
              <w:adjustRightInd w:val="0"/>
              <w:snapToGrid w:val="0"/>
              <w:spacing w:line="300" w:lineRule="exact"/>
              <w:jc w:val="center"/>
              <w:rPr>
                <w:rFonts w:ascii="宋体" w:hAnsi="宋体" w:cs="宋体"/>
                <w:szCs w:val="21"/>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cs="宋体"/>
                <w:szCs w:val="21"/>
              </w:rPr>
              <w:t>环境保护措施</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cs="宋体"/>
                <w:szCs w:val="21"/>
              </w:rPr>
              <w:t>验收要求</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环境保护措施</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cs="宋体"/>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固体废物</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①水基钻井岩屑：</w:t>
            </w:r>
            <w:r>
              <w:rPr>
                <w:rFonts w:hint="eastAsia" w:ascii="宋体" w:hAnsi="宋体" w:cs="宋体"/>
                <w:color w:val="000000"/>
                <w:szCs w:val="21"/>
              </w:rPr>
              <w:t>采用不落地系统进行处理，处理后固相进岩屑专用方罐，交由岩屑处置单位转运至岩屑处理单位进行岩屑无害化处理；②油基钻井岩屑：经不落地系统处理后，在井场采用专用方罐储存，最终</w:t>
            </w:r>
            <w:bookmarkStart w:id="26" w:name="_Hlk77034470"/>
            <w:r>
              <w:rPr>
                <w:rFonts w:hint="eastAsia" w:ascii="宋体" w:hAnsi="宋体" w:cs="宋体"/>
                <w:color w:val="000000"/>
                <w:szCs w:val="21"/>
              </w:rPr>
              <w:t>交由具有相关危险废物处置资质的单位接收、转运、处置</w:t>
            </w:r>
            <w:bookmarkEnd w:id="26"/>
            <w:r>
              <w:rPr>
                <w:rFonts w:hint="eastAsia" w:ascii="宋体" w:hAnsi="宋体" w:cs="宋体"/>
                <w:color w:val="000000"/>
                <w:szCs w:val="21"/>
              </w:rPr>
              <w:t>；③废防渗膜：场地清理时拆除的未破损的防渗膜由施工单位集中回收利用，破损的废防渗膜集中收集后与油基钻井岩屑一同交由具有相关危险废物处置资质的单位接收、转运以及处置；④</w:t>
            </w:r>
            <w:r>
              <w:rPr>
                <w:rFonts w:hint="eastAsia" w:ascii="宋体" w:hAnsi="宋体" w:cs="宋体"/>
                <w:szCs w:val="21"/>
              </w:rPr>
              <w:t>生活垃圾：集中收集后送至吉木萨尔县生活垃圾填埋场填埋处置</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b/>
                <w:bCs/>
                <w:szCs w:val="21"/>
              </w:rPr>
              <w:t>验收内容：</w:t>
            </w:r>
            <w:r>
              <w:rPr>
                <w:rFonts w:hint="eastAsia" w:ascii="宋体" w:hAnsi="宋体" w:cs="宋体"/>
                <w:szCs w:val="21"/>
              </w:rPr>
              <w:t>①水基钻井岩屑签订处置协议；②油基钻井岩屑签订处置协议，查阅危险废物台账，检查现场是否有遗留；③生活垃圾签订接收协议；</w:t>
            </w: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4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④</w:t>
            </w:r>
            <w:r>
              <w:rPr>
                <w:rFonts w:ascii="宋体" w:hAnsi="宋体" w:cs="宋体"/>
                <w:szCs w:val="21"/>
              </w:rPr>
              <w:fldChar w:fldCharType="end"/>
            </w:r>
            <w:r>
              <w:rPr>
                <w:rFonts w:hint="eastAsia" w:ascii="宋体" w:hAnsi="宋体" w:cs="宋体"/>
                <w:szCs w:val="21"/>
              </w:rPr>
              <w:t>破损的废防渗膜接收台账。</w:t>
            </w:r>
            <w:r>
              <w:rPr>
                <w:rFonts w:hint="eastAsia" w:ascii="宋体" w:hAnsi="宋体" w:cs="宋体"/>
                <w:b/>
                <w:bCs/>
                <w:szCs w:val="21"/>
              </w:rPr>
              <w:t>验收效果：</w:t>
            </w:r>
            <w:r>
              <w:rPr>
                <w:rFonts w:ascii="宋体" w:hAnsi="宋体" w:cs="宋体"/>
                <w:szCs w:val="21"/>
              </w:rPr>
              <w:t>岩屑</w:t>
            </w:r>
            <w:r>
              <w:rPr>
                <w:rFonts w:hint="eastAsia" w:ascii="宋体" w:hAnsi="宋体" w:cs="宋体"/>
                <w:szCs w:val="21"/>
              </w:rPr>
              <w:t>检测</w:t>
            </w:r>
            <w:r>
              <w:rPr>
                <w:rFonts w:ascii="宋体" w:hAnsi="宋体" w:cs="宋体"/>
                <w:szCs w:val="21"/>
              </w:rPr>
              <w:t>结果是否达标，现场</w:t>
            </w:r>
            <w:r>
              <w:rPr>
                <w:rFonts w:hint="eastAsia" w:ascii="宋体" w:hAnsi="宋体" w:cs="宋体"/>
                <w:szCs w:val="21"/>
              </w:rPr>
              <w:t>无</w:t>
            </w:r>
            <w:r>
              <w:rPr>
                <w:rFonts w:ascii="宋体" w:hAnsi="宋体" w:cs="宋体"/>
                <w:szCs w:val="21"/>
              </w:rPr>
              <w:t>岩屑</w:t>
            </w:r>
            <w:r>
              <w:rPr>
                <w:rFonts w:hint="eastAsia" w:ascii="宋体" w:hAnsi="宋体" w:cs="宋体"/>
                <w:szCs w:val="21"/>
              </w:rPr>
              <w:t>及生活垃圾</w:t>
            </w:r>
            <w:r>
              <w:rPr>
                <w:rFonts w:ascii="宋体" w:hAnsi="宋体" w:cs="宋体"/>
                <w:szCs w:val="21"/>
              </w:rPr>
              <w:t>遗留</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电磁环境</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环境风险</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①施工时应严格执行相关风险防范措施和规章制度，严禁违规操作加强设备维修与巡检，避免储罐泄露事故的发生；②在井口安装井控装置，杜绝井喷的发生；</w:t>
            </w: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3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③</w:t>
            </w:r>
            <w:r>
              <w:rPr>
                <w:rFonts w:ascii="宋体" w:hAnsi="宋体" w:cs="宋体"/>
                <w:szCs w:val="21"/>
              </w:rPr>
              <w:fldChar w:fldCharType="end"/>
            </w:r>
            <w:r>
              <w:rPr>
                <w:rFonts w:hint="eastAsia" w:ascii="宋体" w:hAnsi="宋体" w:cs="宋体"/>
                <w:szCs w:val="21"/>
              </w:rPr>
              <w:t>定期检查固井质量，发现固井质量不合格应及时采取措施，保证固井质量合格；</w:t>
            </w: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4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④</w:t>
            </w:r>
            <w:r>
              <w:rPr>
                <w:rFonts w:ascii="宋体" w:hAnsi="宋体" w:cs="宋体"/>
                <w:szCs w:val="21"/>
              </w:rPr>
              <w:fldChar w:fldCharType="end"/>
            </w:r>
            <w:r>
              <w:rPr>
                <w:rFonts w:hint="eastAsia" w:ascii="宋体" w:hAnsi="宋体" w:cs="宋体"/>
                <w:szCs w:val="21"/>
              </w:rPr>
              <w:t>加强各类储罐及放喷管线的日常管理及安全检查；</w:t>
            </w: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5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⑤</w:t>
            </w:r>
            <w:r>
              <w:rPr>
                <w:rFonts w:ascii="宋体" w:hAnsi="宋体" w:cs="宋体"/>
                <w:szCs w:val="21"/>
              </w:rPr>
              <w:fldChar w:fldCharType="end"/>
            </w:r>
            <w:r>
              <w:rPr>
                <w:rFonts w:hint="eastAsia" w:ascii="宋体" w:hAnsi="宋体" w:cs="宋体"/>
                <w:szCs w:val="21"/>
              </w:rPr>
              <w:t>应将本项目纳入《新疆油田公司勘探事业部突发环境事件应急预案》</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33" w:type="dxa"/>
            <w:tcBorders>
              <w:top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环境监测</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1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05" w:hRule="atLeast"/>
          <w:jc w:val="center"/>
        </w:trPr>
        <w:tc>
          <w:tcPr>
            <w:tcW w:w="1333" w:type="dxa"/>
            <w:tcBorders>
              <w:top w:val="single" w:color="auto" w:sz="4" w:space="0"/>
              <w:bottom w:val="single" w:color="auto" w:sz="8"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其他</w:t>
            </w:r>
          </w:p>
        </w:tc>
        <w:tc>
          <w:tcPr>
            <w:tcW w:w="4022"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00" w:lineRule="exact"/>
              <w:jc w:val="center"/>
              <w:rPr>
                <w:rFonts w:ascii="宋体" w:hAnsi="宋体" w:cs="宋体"/>
                <w:szCs w:val="21"/>
              </w:rPr>
            </w:pPr>
            <w:r>
              <w:rPr>
                <w:rFonts w:ascii="宋体" w:hAnsi="宋体" w:cs="宋体"/>
                <w:szCs w:val="21"/>
              </w:rPr>
              <w:t>施工单位应建立环境保护档案，保存施工前后项目区的影像资料，使施工全过程各类污染物产生、去向和各个污染措施及实施情况均记录在案。建设单位对施工单位钻井期间进行环保日常检查并做好记录；完工交井前，建设单位主管部门现场验收，合格后方可记录为完工，做到工完料净场地清，并做好记录</w:t>
            </w:r>
          </w:p>
        </w:tc>
        <w:tc>
          <w:tcPr>
            <w:tcW w:w="178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环境管理制度是否建立并完善，环保机构及人员是否设置到位；是否保留必要的影像资料</w:t>
            </w:r>
          </w:p>
        </w:tc>
        <w:tc>
          <w:tcPr>
            <w:tcW w:w="895"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c>
          <w:tcPr>
            <w:tcW w:w="671" w:type="dxa"/>
            <w:tcBorders>
              <w:top w:val="single" w:color="auto" w:sz="4" w:space="0"/>
              <w:left w:val="single" w:color="auto" w:sz="4" w:space="0"/>
              <w:bottom w:val="single" w:color="auto" w:sz="8" w:space="0"/>
            </w:tcBorders>
            <w:vAlign w:val="center"/>
          </w:tcPr>
          <w:p>
            <w:pPr>
              <w:adjustRightInd w:val="0"/>
              <w:snapToGrid w:val="0"/>
              <w:spacing w:line="300" w:lineRule="exact"/>
              <w:jc w:val="center"/>
              <w:rPr>
                <w:rFonts w:ascii="宋体" w:hAnsi="宋体" w:cs="宋体"/>
                <w:szCs w:val="21"/>
              </w:rPr>
            </w:pPr>
            <w:r>
              <w:rPr>
                <w:rFonts w:hint="eastAsia" w:ascii="宋体" w:hAnsi="宋体" w:cs="宋体"/>
                <w:szCs w:val="21"/>
              </w:rPr>
              <w:t>/</w:t>
            </w:r>
          </w:p>
        </w:tc>
      </w:tr>
    </w:tbl>
    <w:p>
      <w:pPr>
        <w:pStyle w:val="14"/>
        <w:spacing w:before="0" w:beforeAutospacing="0" w:line="15" w:lineRule="auto"/>
        <w:jc w:val="center"/>
        <w:rPr>
          <w:rFonts w:ascii="黑体" w:hAnsi="黑体" w:eastAsia="黑体"/>
          <w:snapToGrid w:val="0"/>
          <w:sz w:val="30"/>
          <w:szCs w:val="30"/>
        </w:rPr>
      </w:pPr>
      <w:r>
        <w:rPr>
          <w:rFonts w:ascii="黑体" w:hAnsi="黑体" w:eastAsia="黑体"/>
          <w:snapToGrid w:val="0"/>
          <w:sz w:val="30"/>
          <w:szCs w:val="30"/>
        </w:rPr>
        <w:br w:type="page"/>
      </w:r>
    </w:p>
    <w:p>
      <w:pPr>
        <w:pStyle w:val="14"/>
        <w:spacing w:before="0" w:beforeAutospacing="0" w:after="0" w:afterAutospacing="0" w:line="360" w:lineRule="auto"/>
        <w:jc w:val="center"/>
        <w:outlineLvl w:val="0"/>
        <w:rPr>
          <w:rFonts w:ascii="黑体" w:hAnsi="黑体" w:eastAsia="黑体"/>
          <w:snapToGrid w:val="0"/>
          <w:sz w:val="30"/>
          <w:szCs w:val="30"/>
        </w:rPr>
      </w:pPr>
      <w:r>
        <w:rPr>
          <w:rFonts w:hint="eastAsia" w:ascii="黑体" w:hAnsi="黑体" w:eastAsia="黑体"/>
          <w:snapToGrid w:val="0"/>
          <w:sz w:val="30"/>
          <w:szCs w:val="30"/>
        </w:rPr>
        <w:t>七、结论</w:t>
      </w:r>
    </w:p>
    <w:tbl>
      <w:tblPr>
        <w:tblStyle w:val="17"/>
        <w:tblW w:w="92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349" w:hRule="atLeast"/>
          <w:jc w:val="center"/>
        </w:trPr>
        <w:tc>
          <w:tcPr>
            <w:tcW w:w="9289" w:type="dxa"/>
          </w:tcPr>
          <w:p>
            <w:pPr>
              <w:pStyle w:val="47"/>
              <w:ind w:firstLine="480"/>
              <w:rPr>
                <w:rFonts w:cs="宋体"/>
                <w:szCs w:val="21"/>
              </w:rPr>
            </w:pPr>
            <w:r>
              <w:rPr>
                <w:rFonts w:hint="eastAsia"/>
              </w:rPr>
              <w:t>本项目符合国家有关产业政策。在严格执行已有各项环保政策、规定的基础上，认真落实本报告表中提出的环保措施与建议的前提下，从环境保护角度分析，该项目的建设可行。</w:t>
            </w:r>
          </w:p>
        </w:tc>
      </w:tr>
    </w:tbl>
    <w:p>
      <w:pPr>
        <w:rPr>
          <w:rFonts w:ascii="宋体"/>
        </w:rPr>
      </w:pPr>
    </w:p>
    <w:p>
      <w:pPr>
        <w:pStyle w:val="47"/>
        <w:ind w:firstLine="480"/>
        <w:rPr>
          <w:snapToGrid w:val="0"/>
        </w:rPr>
      </w:pPr>
    </w:p>
    <w:p>
      <w:pPr>
        <w:pStyle w:val="14"/>
        <w:adjustRightInd w:val="0"/>
        <w:snapToGrid w:val="0"/>
        <w:spacing w:before="0" w:beforeAutospacing="0" w:after="0" w:afterAutospacing="0" w:line="500" w:lineRule="exact"/>
        <w:outlineLvl w:val="0"/>
        <w:rPr>
          <w:b/>
          <w:bCs/>
        </w:rPr>
        <w:sectPr>
          <w:type w:val="nextColumn"/>
          <w:pgSz w:w="11906" w:h="16838"/>
          <w:pgMar w:top="1418" w:right="1588" w:bottom="1418" w:left="1588" w:header="851" w:footer="1077" w:gutter="0"/>
          <w:cols w:space="720" w:num="1"/>
          <w:docGrid w:linePitch="312" w:charSpace="0"/>
        </w:sectPr>
      </w:pPr>
    </w:p>
    <w:p>
      <w:pPr>
        <w:widowControl/>
        <w:adjustRightInd w:val="0"/>
        <w:snapToGrid w:val="0"/>
        <w:jc w:val="left"/>
        <w:outlineLvl w:val="0"/>
        <w:rPr>
          <w:rFonts w:ascii="宋体" w:hAnsi="宋体"/>
          <w:b/>
          <w:bCs/>
          <w:kern w:val="0"/>
          <w:sz w:val="24"/>
        </w:rPr>
        <w:sectPr>
          <w:type w:val="nextColumn"/>
          <w:pgSz w:w="11906" w:h="16838"/>
          <w:pgMar w:top="1588" w:right="1418" w:bottom="1588" w:left="1418" w:header="851" w:footer="1077" w:gutter="0"/>
          <w:cols w:space="720" w:num="1"/>
          <w:docGrid w:linePitch="312" w:charSpace="0"/>
        </w:sectPr>
      </w:pPr>
      <w:r>
        <w:rPr>
          <w:rFonts w:hint="eastAsia" w:ascii="宋体" w:hAnsi="宋体"/>
          <w:b/>
          <w:bCs/>
          <w:kern w:val="0"/>
          <w:sz w:val="24"/>
        </w:rPr>
        <w:t>附表</w:t>
      </w:r>
      <w:r>
        <w:rPr>
          <w:rFonts w:ascii="宋体" w:hAnsi="宋体"/>
          <w:b/>
          <w:bCs/>
          <w:kern w:val="0"/>
          <w:sz w:val="24"/>
        </w:rPr>
        <w:drawing>
          <wp:anchor distT="0" distB="0" distL="114300" distR="114300" simplePos="0" relativeHeight="251673600" behindDoc="0" locked="0" layoutInCell="1" allowOverlap="1">
            <wp:simplePos x="0" y="0"/>
            <wp:positionH relativeFrom="column">
              <wp:posOffset>1270</wp:posOffset>
            </wp:positionH>
            <wp:positionV relativeFrom="paragraph">
              <wp:posOffset>198120</wp:posOffset>
            </wp:positionV>
            <wp:extent cx="5759450" cy="8149590"/>
            <wp:effectExtent l="0" t="0" r="0" b="381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8149590"/>
                    </a:xfrm>
                    <a:prstGeom prst="rect">
                      <a:avLst/>
                    </a:prstGeom>
                  </pic:spPr>
                </pic:pic>
              </a:graphicData>
            </a:graphic>
          </wp:anchor>
        </w:drawing>
      </w:r>
    </w:p>
    <w:p>
      <w:pPr>
        <w:spacing w:before="192" w:beforeLines="80" w:line="1120" w:lineRule="exact"/>
        <w:rPr>
          <w:rFonts w:hint="eastAsia"/>
        </w:rPr>
      </w:pPr>
      <w:bookmarkStart w:id="27" w:name="_GoBack"/>
      <w:bookmarkEnd w:id="27"/>
    </w:p>
    <w:sectPr>
      <w:footerReference r:id="rId7" w:type="default"/>
      <w:type w:val="nextColumn"/>
      <w:pgSz w:w="11906" w:h="16838"/>
      <w:pgMar w:top="1418" w:right="1588" w:bottom="141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_GBK">
    <w:altName w:val="Microsoft YaHei UI"/>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678521"/>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940702"/>
    </w:sdtPr>
    <w:sdtContent>
      <w:p>
        <w:pPr>
          <w:pStyle w:val="12"/>
          <w:jc w:val="center"/>
        </w:pPr>
        <w:r>
          <w:fldChar w:fldCharType="begin"/>
        </w:r>
        <w:r>
          <w:instrText xml:space="preserve">PAGE   \* MERGEFORMAT</w:instrText>
        </w:r>
        <w:r>
          <w:fldChar w:fldCharType="separate"/>
        </w:r>
        <w:r>
          <w:rPr>
            <w:lang w:val="zh-CN"/>
          </w:rPr>
          <w:t>49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51</w:t>
    </w:r>
    <w:r>
      <w:rPr>
        <w:rFonts w:ascii="宋体" w:hAnsi="宋体"/>
      </w:rP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CED"/>
    <w:rsid w:val="00001E67"/>
    <w:rsid w:val="00002CE9"/>
    <w:rsid w:val="000033D4"/>
    <w:rsid w:val="00003CD8"/>
    <w:rsid w:val="00004AE6"/>
    <w:rsid w:val="00004AFA"/>
    <w:rsid w:val="000065E5"/>
    <w:rsid w:val="00012A47"/>
    <w:rsid w:val="000130BC"/>
    <w:rsid w:val="00013884"/>
    <w:rsid w:val="00014965"/>
    <w:rsid w:val="0001523A"/>
    <w:rsid w:val="000153AC"/>
    <w:rsid w:val="00015952"/>
    <w:rsid w:val="00016ECB"/>
    <w:rsid w:val="00017320"/>
    <w:rsid w:val="00017400"/>
    <w:rsid w:val="00020C27"/>
    <w:rsid w:val="00023D50"/>
    <w:rsid w:val="00025682"/>
    <w:rsid w:val="00025BE6"/>
    <w:rsid w:val="00026990"/>
    <w:rsid w:val="000269F6"/>
    <w:rsid w:val="000272D1"/>
    <w:rsid w:val="00031939"/>
    <w:rsid w:val="00031D50"/>
    <w:rsid w:val="0003201E"/>
    <w:rsid w:val="00032D25"/>
    <w:rsid w:val="00032D9B"/>
    <w:rsid w:val="00033725"/>
    <w:rsid w:val="00034BD3"/>
    <w:rsid w:val="00034E5F"/>
    <w:rsid w:val="00036565"/>
    <w:rsid w:val="00036A77"/>
    <w:rsid w:val="00040FA5"/>
    <w:rsid w:val="00043436"/>
    <w:rsid w:val="0004358A"/>
    <w:rsid w:val="00045730"/>
    <w:rsid w:val="0005219D"/>
    <w:rsid w:val="00054B0F"/>
    <w:rsid w:val="0005568F"/>
    <w:rsid w:val="00055C0A"/>
    <w:rsid w:val="000567BB"/>
    <w:rsid w:val="00057A63"/>
    <w:rsid w:val="000606A7"/>
    <w:rsid w:val="0006153D"/>
    <w:rsid w:val="00061B1F"/>
    <w:rsid w:val="00062350"/>
    <w:rsid w:val="00064BFD"/>
    <w:rsid w:val="00065FED"/>
    <w:rsid w:val="000664DB"/>
    <w:rsid w:val="000665A2"/>
    <w:rsid w:val="0007127D"/>
    <w:rsid w:val="00071A53"/>
    <w:rsid w:val="00071AE5"/>
    <w:rsid w:val="0007353E"/>
    <w:rsid w:val="00074783"/>
    <w:rsid w:val="00076632"/>
    <w:rsid w:val="00077539"/>
    <w:rsid w:val="000779AD"/>
    <w:rsid w:val="0008011B"/>
    <w:rsid w:val="000801E0"/>
    <w:rsid w:val="00082A29"/>
    <w:rsid w:val="0008331D"/>
    <w:rsid w:val="0008376B"/>
    <w:rsid w:val="00083C18"/>
    <w:rsid w:val="00084344"/>
    <w:rsid w:val="00085283"/>
    <w:rsid w:val="00090441"/>
    <w:rsid w:val="0009262E"/>
    <w:rsid w:val="00092899"/>
    <w:rsid w:val="000948DC"/>
    <w:rsid w:val="0009657F"/>
    <w:rsid w:val="00096580"/>
    <w:rsid w:val="000977B1"/>
    <w:rsid w:val="00097858"/>
    <w:rsid w:val="000A178E"/>
    <w:rsid w:val="000A1C60"/>
    <w:rsid w:val="000A21C6"/>
    <w:rsid w:val="000A2AC4"/>
    <w:rsid w:val="000A2D93"/>
    <w:rsid w:val="000A557E"/>
    <w:rsid w:val="000A6AFF"/>
    <w:rsid w:val="000A7D80"/>
    <w:rsid w:val="000B0246"/>
    <w:rsid w:val="000B058F"/>
    <w:rsid w:val="000B0D1C"/>
    <w:rsid w:val="000B0FCC"/>
    <w:rsid w:val="000B1D52"/>
    <w:rsid w:val="000B3829"/>
    <w:rsid w:val="000B4DCD"/>
    <w:rsid w:val="000B54B1"/>
    <w:rsid w:val="000B557A"/>
    <w:rsid w:val="000B693F"/>
    <w:rsid w:val="000B6D2D"/>
    <w:rsid w:val="000B76C2"/>
    <w:rsid w:val="000C09AC"/>
    <w:rsid w:val="000C0A41"/>
    <w:rsid w:val="000C0A63"/>
    <w:rsid w:val="000C1F4B"/>
    <w:rsid w:val="000C2376"/>
    <w:rsid w:val="000C2869"/>
    <w:rsid w:val="000C437E"/>
    <w:rsid w:val="000C7B9C"/>
    <w:rsid w:val="000D01FA"/>
    <w:rsid w:val="000D29CA"/>
    <w:rsid w:val="000D46EE"/>
    <w:rsid w:val="000D62CA"/>
    <w:rsid w:val="000E1C77"/>
    <w:rsid w:val="000E21A8"/>
    <w:rsid w:val="000E2485"/>
    <w:rsid w:val="000E2694"/>
    <w:rsid w:val="000E59EC"/>
    <w:rsid w:val="000E5F16"/>
    <w:rsid w:val="000F0F09"/>
    <w:rsid w:val="000F118E"/>
    <w:rsid w:val="000F21C1"/>
    <w:rsid w:val="000F25D3"/>
    <w:rsid w:val="000F4452"/>
    <w:rsid w:val="000F6DA1"/>
    <w:rsid w:val="000F701B"/>
    <w:rsid w:val="00100317"/>
    <w:rsid w:val="00100D81"/>
    <w:rsid w:val="00100DAB"/>
    <w:rsid w:val="00101164"/>
    <w:rsid w:val="00101235"/>
    <w:rsid w:val="001035A3"/>
    <w:rsid w:val="00103899"/>
    <w:rsid w:val="0010561F"/>
    <w:rsid w:val="001056A0"/>
    <w:rsid w:val="001063FD"/>
    <w:rsid w:val="0010778E"/>
    <w:rsid w:val="0011149B"/>
    <w:rsid w:val="001126FD"/>
    <w:rsid w:val="00113C1D"/>
    <w:rsid w:val="00115279"/>
    <w:rsid w:val="00115697"/>
    <w:rsid w:val="00117459"/>
    <w:rsid w:val="0011746A"/>
    <w:rsid w:val="0011749A"/>
    <w:rsid w:val="00120B0F"/>
    <w:rsid w:val="0012175E"/>
    <w:rsid w:val="0012271A"/>
    <w:rsid w:val="00123072"/>
    <w:rsid w:val="001232B0"/>
    <w:rsid w:val="00125185"/>
    <w:rsid w:val="0012611D"/>
    <w:rsid w:val="00127A68"/>
    <w:rsid w:val="001318C7"/>
    <w:rsid w:val="00131BD8"/>
    <w:rsid w:val="001324B4"/>
    <w:rsid w:val="00132F40"/>
    <w:rsid w:val="00137113"/>
    <w:rsid w:val="00140B13"/>
    <w:rsid w:val="001413B5"/>
    <w:rsid w:val="00141B68"/>
    <w:rsid w:val="00142C5F"/>
    <w:rsid w:val="00145391"/>
    <w:rsid w:val="001462D9"/>
    <w:rsid w:val="001466DA"/>
    <w:rsid w:val="00147CEB"/>
    <w:rsid w:val="00150145"/>
    <w:rsid w:val="0015112F"/>
    <w:rsid w:val="0015206C"/>
    <w:rsid w:val="00152FCB"/>
    <w:rsid w:val="001539ED"/>
    <w:rsid w:val="00154DE1"/>
    <w:rsid w:val="00155B40"/>
    <w:rsid w:val="00156E3A"/>
    <w:rsid w:val="00157435"/>
    <w:rsid w:val="001617FA"/>
    <w:rsid w:val="00161F05"/>
    <w:rsid w:val="00162C03"/>
    <w:rsid w:val="00163637"/>
    <w:rsid w:val="00163948"/>
    <w:rsid w:val="00163EEA"/>
    <w:rsid w:val="001640E9"/>
    <w:rsid w:val="00164899"/>
    <w:rsid w:val="00165A2F"/>
    <w:rsid w:val="00167A07"/>
    <w:rsid w:val="00167D2C"/>
    <w:rsid w:val="0017046A"/>
    <w:rsid w:val="001704A3"/>
    <w:rsid w:val="001708A1"/>
    <w:rsid w:val="00171EE9"/>
    <w:rsid w:val="00172693"/>
    <w:rsid w:val="001734F4"/>
    <w:rsid w:val="001735A9"/>
    <w:rsid w:val="001744DD"/>
    <w:rsid w:val="00174BD3"/>
    <w:rsid w:val="00174D60"/>
    <w:rsid w:val="00174E68"/>
    <w:rsid w:val="0017504D"/>
    <w:rsid w:val="00177422"/>
    <w:rsid w:val="00177D99"/>
    <w:rsid w:val="00180794"/>
    <w:rsid w:val="00180BD4"/>
    <w:rsid w:val="00180FFE"/>
    <w:rsid w:val="0018124D"/>
    <w:rsid w:val="00182446"/>
    <w:rsid w:val="00183161"/>
    <w:rsid w:val="00183803"/>
    <w:rsid w:val="00183966"/>
    <w:rsid w:val="001847A7"/>
    <w:rsid w:val="00184F10"/>
    <w:rsid w:val="00185546"/>
    <w:rsid w:val="00186441"/>
    <w:rsid w:val="001866AE"/>
    <w:rsid w:val="001874C0"/>
    <w:rsid w:val="0018752F"/>
    <w:rsid w:val="00190A52"/>
    <w:rsid w:val="0019146B"/>
    <w:rsid w:val="00192BA3"/>
    <w:rsid w:val="00194398"/>
    <w:rsid w:val="00194E09"/>
    <w:rsid w:val="00195CE3"/>
    <w:rsid w:val="00195E6A"/>
    <w:rsid w:val="00195F19"/>
    <w:rsid w:val="001960B1"/>
    <w:rsid w:val="00196E61"/>
    <w:rsid w:val="00197136"/>
    <w:rsid w:val="001A1DC9"/>
    <w:rsid w:val="001A312C"/>
    <w:rsid w:val="001A4446"/>
    <w:rsid w:val="001A462A"/>
    <w:rsid w:val="001A550A"/>
    <w:rsid w:val="001A5DCC"/>
    <w:rsid w:val="001A638A"/>
    <w:rsid w:val="001A7D2A"/>
    <w:rsid w:val="001B111A"/>
    <w:rsid w:val="001B150D"/>
    <w:rsid w:val="001B1D3C"/>
    <w:rsid w:val="001B206B"/>
    <w:rsid w:val="001B30F8"/>
    <w:rsid w:val="001B48FB"/>
    <w:rsid w:val="001B49DF"/>
    <w:rsid w:val="001B574C"/>
    <w:rsid w:val="001B636D"/>
    <w:rsid w:val="001B7898"/>
    <w:rsid w:val="001C0AF9"/>
    <w:rsid w:val="001C155A"/>
    <w:rsid w:val="001C21F2"/>
    <w:rsid w:val="001C2227"/>
    <w:rsid w:val="001C22EE"/>
    <w:rsid w:val="001C33A6"/>
    <w:rsid w:val="001C4019"/>
    <w:rsid w:val="001C4204"/>
    <w:rsid w:val="001C48C0"/>
    <w:rsid w:val="001C4E61"/>
    <w:rsid w:val="001C5DE7"/>
    <w:rsid w:val="001D1E1F"/>
    <w:rsid w:val="001D4F37"/>
    <w:rsid w:val="001D6726"/>
    <w:rsid w:val="001D6A57"/>
    <w:rsid w:val="001D7C8E"/>
    <w:rsid w:val="001E17D3"/>
    <w:rsid w:val="001E21EA"/>
    <w:rsid w:val="001E297B"/>
    <w:rsid w:val="001E2F80"/>
    <w:rsid w:val="001E7F49"/>
    <w:rsid w:val="001F1CD8"/>
    <w:rsid w:val="001F3347"/>
    <w:rsid w:val="001F3434"/>
    <w:rsid w:val="001F4440"/>
    <w:rsid w:val="001F481A"/>
    <w:rsid w:val="001F5C3E"/>
    <w:rsid w:val="001F621C"/>
    <w:rsid w:val="001F69E4"/>
    <w:rsid w:val="001F75B2"/>
    <w:rsid w:val="001F7C24"/>
    <w:rsid w:val="00200355"/>
    <w:rsid w:val="00203CC5"/>
    <w:rsid w:val="0020516A"/>
    <w:rsid w:val="0020599C"/>
    <w:rsid w:val="00206A65"/>
    <w:rsid w:val="002111A6"/>
    <w:rsid w:val="00212D31"/>
    <w:rsid w:val="002130C7"/>
    <w:rsid w:val="0021469C"/>
    <w:rsid w:val="00214AB1"/>
    <w:rsid w:val="00216CD0"/>
    <w:rsid w:val="002218A8"/>
    <w:rsid w:val="00221C85"/>
    <w:rsid w:val="0022306D"/>
    <w:rsid w:val="00223826"/>
    <w:rsid w:val="002242A5"/>
    <w:rsid w:val="002248F8"/>
    <w:rsid w:val="00226574"/>
    <w:rsid w:val="0022744B"/>
    <w:rsid w:val="002278EC"/>
    <w:rsid w:val="0022796E"/>
    <w:rsid w:val="00230261"/>
    <w:rsid w:val="002307FC"/>
    <w:rsid w:val="002322E6"/>
    <w:rsid w:val="002352C8"/>
    <w:rsid w:val="002357C7"/>
    <w:rsid w:val="00235E0C"/>
    <w:rsid w:val="002367C4"/>
    <w:rsid w:val="002370E7"/>
    <w:rsid w:val="002401D4"/>
    <w:rsid w:val="00240523"/>
    <w:rsid w:val="002424D5"/>
    <w:rsid w:val="00243C3A"/>
    <w:rsid w:val="00244154"/>
    <w:rsid w:val="0024577B"/>
    <w:rsid w:val="00247EFB"/>
    <w:rsid w:val="002538B0"/>
    <w:rsid w:val="00254180"/>
    <w:rsid w:val="002543F4"/>
    <w:rsid w:val="0025679E"/>
    <w:rsid w:val="00256A78"/>
    <w:rsid w:val="00256BF9"/>
    <w:rsid w:val="00257109"/>
    <w:rsid w:val="0025748B"/>
    <w:rsid w:val="00257494"/>
    <w:rsid w:val="0026083F"/>
    <w:rsid w:val="00260C68"/>
    <w:rsid w:val="002627DE"/>
    <w:rsid w:val="002648B0"/>
    <w:rsid w:val="00264E5A"/>
    <w:rsid w:val="00264F5B"/>
    <w:rsid w:val="00265E26"/>
    <w:rsid w:val="002667DC"/>
    <w:rsid w:val="00267442"/>
    <w:rsid w:val="00270A70"/>
    <w:rsid w:val="0027157D"/>
    <w:rsid w:val="00271A1C"/>
    <w:rsid w:val="00271D18"/>
    <w:rsid w:val="002733C0"/>
    <w:rsid w:val="00275271"/>
    <w:rsid w:val="0027535E"/>
    <w:rsid w:val="00275AA6"/>
    <w:rsid w:val="002769D7"/>
    <w:rsid w:val="002800C2"/>
    <w:rsid w:val="002803E1"/>
    <w:rsid w:val="002807D5"/>
    <w:rsid w:val="00281078"/>
    <w:rsid w:val="00281AA9"/>
    <w:rsid w:val="00281FB5"/>
    <w:rsid w:val="002822BE"/>
    <w:rsid w:val="00282CCD"/>
    <w:rsid w:val="00282EFB"/>
    <w:rsid w:val="002839AB"/>
    <w:rsid w:val="0028452C"/>
    <w:rsid w:val="00285D13"/>
    <w:rsid w:val="00286AE1"/>
    <w:rsid w:val="00291023"/>
    <w:rsid w:val="002920C7"/>
    <w:rsid w:val="00293DB4"/>
    <w:rsid w:val="0029616E"/>
    <w:rsid w:val="00297371"/>
    <w:rsid w:val="00297494"/>
    <w:rsid w:val="002978A9"/>
    <w:rsid w:val="002A01CC"/>
    <w:rsid w:val="002A04ED"/>
    <w:rsid w:val="002A168C"/>
    <w:rsid w:val="002A2C48"/>
    <w:rsid w:val="002A3024"/>
    <w:rsid w:val="002A3EED"/>
    <w:rsid w:val="002A4A39"/>
    <w:rsid w:val="002A4A51"/>
    <w:rsid w:val="002A5A17"/>
    <w:rsid w:val="002A61F9"/>
    <w:rsid w:val="002A6425"/>
    <w:rsid w:val="002A687F"/>
    <w:rsid w:val="002A6889"/>
    <w:rsid w:val="002A7374"/>
    <w:rsid w:val="002A764E"/>
    <w:rsid w:val="002A7C80"/>
    <w:rsid w:val="002B14F4"/>
    <w:rsid w:val="002B2665"/>
    <w:rsid w:val="002B27B5"/>
    <w:rsid w:val="002B45E3"/>
    <w:rsid w:val="002B49E2"/>
    <w:rsid w:val="002B533F"/>
    <w:rsid w:val="002B7B00"/>
    <w:rsid w:val="002B7C44"/>
    <w:rsid w:val="002C1388"/>
    <w:rsid w:val="002C1FDE"/>
    <w:rsid w:val="002C30A2"/>
    <w:rsid w:val="002C37B8"/>
    <w:rsid w:val="002C3C6A"/>
    <w:rsid w:val="002C4413"/>
    <w:rsid w:val="002C4579"/>
    <w:rsid w:val="002C5105"/>
    <w:rsid w:val="002C5EF1"/>
    <w:rsid w:val="002D0A64"/>
    <w:rsid w:val="002D2F47"/>
    <w:rsid w:val="002D38ED"/>
    <w:rsid w:val="002D394B"/>
    <w:rsid w:val="002D3B6F"/>
    <w:rsid w:val="002D42DB"/>
    <w:rsid w:val="002D610C"/>
    <w:rsid w:val="002D70BB"/>
    <w:rsid w:val="002E0304"/>
    <w:rsid w:val="002E064B"/>
    <w:rsid w:val="002E1169"/>
    <w:rsid w:val="002E13F4"/>
    <w:rsid w:val="002E1673"/>
    <w:rsid w:val="002E1F3A"/>
    <w:rsid w:val="002E298A"/>
    <w:rsid w:val="002E3205"/>
    <w:rsid w:val="002E3834"/>
    <w:rsid w:val="002E5E57"/>
    <w:rsid w:val="002E7504"/>
    <w:rsid w:val="002F0111"/>
    <w:rsid w:val="002F02A4"/>
    <w:rsid w:val="002F0DA6"/>
    <w:rsid w:val="002F272B"/>
    <w:rsid w:val="002F2A63"/>
    <w:rsid w:val="002F2B01"/>
    <w:rsid w:val="002F2FBC"/>
    <w:rsid w:val="002F711E"/>
    <w:rsid w:val="002F79C1"/>
    <w:rsid w:val="002F7C6D"/>
    <w:rsid w:val="003002A2"/>
    <w:rsid w:val="00300DFE"/>
    <w:rsid w:val="00300FBD"/>
    <w:rsid w:val="00301531"/>
    <w:rsid w:val="003027E4"/>
    <w:rsid w:val="0030332C"/>
    <w:rsid w:val="00303579"/>
    <w:rsid w:val="003044A9"/>
    <w:rsid w:val="00306D30"/>
    <w:rsid w:val="00310EE3"/>
    <w:rsid w:val="00311ADB"/>
    <w:rsid w:val="00311B42"/>
    <w:rsid w:val="00312296"/>
    <w:rsid w:val="00312997"/>
    <w:rsid w:val="00312B9B"/>
    <w:rsid w:val="00313181"/>
    <w:rsid w:val="0031340E"/>
    <w:rsid w:val="003149AD"/>
    <w:rsid w:val="00314FFA"/>
    <w:rsid w:val="00316464"/>
    <w:rsid w:val="0031660F"/>
    <w:rsid w:val="00317980"/>
    <w:rsid w:val="0032073A"/>
    <w:rsid w:val="00321D8E"/>
    <w:rsid w:val="00323BE5"/>
    <w:rsid w:val="00325587"/>
    <w:rsid w:val="003261FB"/>
    <w:rsid w:val="0032635B"/>
    <w:rsid w:val="0033127B"/>
    <w:rsid w:val="003316C8"/>
    <w:rsid w:val="00332DC0"/>
    <w:rsid w:val="00334996"/>
    <w:rsid w:val="0033530A"/>
    <w:rsid w:val="00335921"/>
    <w:rsid w:val="00336969"/>
    <w:rsid w:val="00336C52"/>
    <w:rsid w:val="003375B4"/>
    <w:rsid w:val="00340907"/>
    <w:rsid w:val="0034191B"/>
    <w:rsid w:val="00341B3E"/>
    <w:rsid w:val="00341B42"/>
    <w:rsid w:val="00341ECF"/>
    <w:rsid w:val="0034331D"/>
    <w:rsid w:val="00344100"/>
    <w:rsid w:val="00344B9A"/>
    <w:rsid w:val="00345154"/>
    <w:rsid w:val="0034560E"/>
    <w:rsid w:val="00345BE7"/>
    <w:rsid w:val="00346447"/>
    <w:rsid w:val="00350523"/>
    <w:rsid w:val="00352975"/>
    <w:rsid w:val="0035652C"/>
    <w:rsid w:val="00356868"/>
    <w:rsid w:val="003569C9"/>
    <w:rsid w:val="00356DB0"/>
    <w:rsid w:val="00360779"/>
    <w:rsid w:val="003617A1"/>
    <w:rsid w:val="00362AFB"/>
    <w:rsid w:val="00362CA6"/>
    <w:rsid w:val="00363374"/>
    <w:rsid w:val="00363456"/>
    <w:rsid w:val="00364753"/>
    <w:rsid w:val="0036485B"/>
    <w:rsid w:val="00364E64"/>
    <w:rsid w:val="00365E8A"/>
    <w:rsid w:val="00367511"/>
    <w:rsid w:val="00367E72"/>
    <w:rsid w:val="00370AB3"/>
    <w:rsid w:val="00373B0D"/>
    <w:rsid w:val="0037586C"/>
    <w:rsid w:val="00375B5E"/>
    <w:rsid w:val="003764BB"/>
    <w:rsid w:val="00376988"/>
    <w:rsid w:val="003769F4"/>
    <w:rsid w:val="00377BEB"/>
    <w:rsid w:val="00381A72"/>
    <w:rsid w:val="00381C3D"/>
    <w:rsid w:val="00383519"/>
    <w:rsid w:val="003839CD"/>
    <w:rsid w:val="00383E33"/>
    <w:rsid w:val="00385595"/>
    <w:rsid w:val="003856F4"/>
    <w:rsid w:val="0038593B"/>
    <w:rsid w:val="00385BDC"/>
    <w:rsid w:val="00392AE3"/>
    <w:rsid w:val="00392F34"/>
    <w:rsid w:val="0039315D"/>
    <w:rsid w:val="00395B6C"/>
    <w:rsid w:val="00396360"/>
    <w:rsid w:val="003968D7"/>
    <w:rsid w:val="003975D8"/>
    <w:rsid w:val="003A178E"/>
    <w:rsid w:val="003A1948"/>
    <w:rsid w:val="003A4AD8"/>
    <w:rsid w:val="003A526E"/>
    <w:rsid w:val="003A5408"/>
    <w:rsid w:val="003A59DD"/>
    <w:rsid w:val="003A6276"/>
    <w:rsid w:val="003B152A"/>
    <w:rsid w:val="003B1BB0"/>
    <w:rsid w:val="003B2A48"/>
    <w:rsid w:val="003B42F0"/>
    <w:rsid w:val="003B522E"/>
    <w:rsid w:val="003B545B"/>
    <w:rsid w:val="003B55C1"/>
    <w:rsid w:val="003B62A0"/>
    <w:rsid w:val="003B700D"/>
    <w:rsid w:val="003B7326"/>
    <w:rsid w:val="003B7341"/>
    <w:rsid w:val="003C0296"/>
    <w:rsid w:val="003C03CB"/>
    <w:rsid w:val="003C1649"/>
    <w:rsid w:val="003C3873"/>
    <w:rsid w:val="003C3D44"/>
    <w:rsid w:val="003C4826"/>
    <w:rsid w:val="003C66B7"/>
    <w:rsid w:val="003D3EE9"/>
    <w:rsid w:val="003D50A8"/>
    <w:rsid w:val="003D64BC"/>
    <w:rsid w:val="003D69F4"/>
    <w:rsid w:val="003D7B92"/>
    <w:rsid w:val="003E19F8"/>
    <w:rsid w:val="003E2113"/>
    <w:rsid w:val="003E2331"/>
    <w:rsid w:val="003E2724"/>
    <w:rsid w:val="003E4B9E"/>
    <w:rsid w:val="003E4F6C"/>
    <w:rsid w:val="003E534C"/>
    <w:rsid w:val="003E7681"/>
    <w:rsid w:val="003E7AC2"/>
    <w:rsid w:val="003F01FA"/>
    <w:rsid w:val="003F0221"/>
    <w:rsid w:val="003F0809"/>
    <w:rsid w:val="003F53EF"/>
    <w:rsid w:val="003F611C"/>
    <w:rsid w:val="003F755C"/>
    <w:rsid w:val="003F79D6"/>
    <w:rsid w:val="003F7D58"/>
    <w:rsid w:val="00401817"/>
    <w:rsid w:val="00401DE8"/>
    <w:rsid w:val="0040220D"/>
    <w:rsid w:val="004022E0"/>
    <w:rsid w:val="004050D3"/>
    <w:rsid w:val="00406912"/>
    <w:rsid w:val="00406F01"/>
    <w:rsid w:val="004072E5"/>
    <w:rsid w:val="00407744"/>
    <w:rsid w:val="00410A81"/>
    <w:rsid w:val="00410FC4"/>
    <w:rsid w:val="00411B36"/>
    <w:rsid w:val="004121D7"/>
    <w:rsid w:val="00413A85"/>
    <w:rsid w:val="00416D50"/>
    <w:rsid w:val="00417772"/>
    <w:rsid w:val="00417BA1"/>
    <w:rsid w:val="00417C1D"/>
    <w:rsid w:val="004203AD"/>
    <w:rsid w:val="004207C4"/>
    <w:rsid w:val="00420DC4"/>
    <w:rsid w:val="00420E6A"/>
    <w:rsid w:val="004230E1"/>
    <w:rsid w:val="00425800"/>
    <w:rsid w:val="00425F57"/>
    <w:rsid w:val="00427152"/>
    <w:rsid w:val="00430274"/>
    <w:rsid w:val="00430356"/>
    <w:rsid w:val="00433CA9"/>
    <w:rsid w:val="004351DD"/>
    <w:rsid w:val="0043521D"/>
    <w:rsid w:val="00435A19"/>
    <w:rsid w:val="00435A4A"/>
    <w:rsid w:val="0043799A"/>
    <w:rsid w:val="0044031F"/>
    <w:rsid w:val="00440500"/>
    <w:rsid w:val="0044111C"/>
    <w:rsid w:val="004411BF"/>
    <w:rsid w:val="004414C5"/>
    <w:rsid w:val="00442024"/>
    <w:rsid w:val="0044254C"/>
    <w:rsid w:val="00443322"/>
    <w:rsid w:val="00443F6A"/>
    <w:rsid w:val="00443FF3"/>
    <w:rsid w:val="004454D1"/>
    <w:rsid w:val="004459D7"/>
    <w:rsid w:val="00450A17"/>
    <w:rsid w:val="00450C70"/>
    <w:rsid w:val="00451A26"/>
    <w:rsid w:val="00451F33"/>
    <w:rsid w:val="004520DC"/>
    <w:rsid w:val="004531E0"/>
    <w:rsid w:val="00454C39"/>
    <w:rsid w:val="00454EDD"/>
    <w:rsid w:val="00457C91"/>
    <w:rsid w:val="00460AE2"/>
    <w:rsid w:val="00463151"/>
    <w:rsid w:val="00466321"/>
    <w:rsid w:val="0046660B"/>
    <w:rsid w:val="00466C18"/>
    <w:rsid w:val="004672AF"/>
    <w:rsid w:val="00471E2C"/>
    <w:rsid w:val="004724EB"/>
    <w:rsid w:val="004727B0"/>
    <w:rsid w:val="0047345E"/>
    <w:rsid w:val="00473D88"/>
    <w:rsid w:val="004763AD"/>
    <w:rsid w:val="00476611"/>
    <w:rsid w:val="00477022"/>
    <w:rsid w:val="00477D9E"/>
    <w:rsid w:val="00480247"/>
    <w:rsid w:val="004802AE"/>
    <w:rsid w:val="0048081D"/>
    <w:rsid w:val="0048117E"/>
    <w:rsid w:val="00481C7C"/>
    <w:rsid w:val="0048253C"/>
    <w:rsid w:val="004830B3"/>
    <w:rsid w:val="004840E1"/>
    <w:rsid w:val="004855F6"/>
    <w:rsid w:val="004867EE"/>
    <w:rsid w:val="00486F0C"/>
    <w:rsid w:val="00487D1B"/>
    <w:rsid w:val="004903A7"/>
    <w:rsid w:val="00490F99"/>
    <w:rsid w:val="0049222E"/>
    <w:rsid w:val="004923CF"/>
    <w:rsid w:val="00494670"/>
    <w:rsid w:val="00494813"/>
    <w:rsid w:val="0049520A"/>
    <w:rsid w:val="00495416"/>
    <w:rsid w:val="004968BA"/>
    <w:rsid w:val="004A0EB4"/>
    <w:rsid w:val="004A1B88"/>
    <w:rsid w:val="004A3234"/>
    <w:rsid w:val="004A3823"/>
    <w:rsid w:val="004A389D"/>
    <w:rsid w:val="004A59BB"/>
    <w:rsid w:val="004B1E62"/>
    <w:rsid w:val="004B2CE1"/>
    <w:rsid w:val="004B43A3"/>
    <w:rsid w:val="004B4C49"/>
    <w:rsid w:val="004B58A5"/>
    <w:rsid w:val="004B5D4E"/>
    <w:rsid w:val="004B5FAF"/>
    <w:rsid w:val="004B63D9"/>
    <w:rsid w:val="004B7719"/>
    <w:rsid w:val="004C0882"/>
    <w:rsid w:val="004C2322"/>
    <w:rsid w:val="004C297E"/>
    <w:rsid w:val="004C2D3B"/>
    <w:rsid w:val="004C36A3"/>
    <w:rsid w:val="004C4C01"/>
    <w:rsid w:val="004C55BE"/>
    <w:rsid w:val="004C589E"/>
    <w:rsid w:val="004C5D48"/>
    <w:rsid w:val="004C6D29"/>
    <w:rsid w:val="004D3125"/>
    <w:rsid w:val="004D3E71"/>
    <w:rsid w:val="004D42B4"/>
    <w:rsid w:val="004D438D"/>
    <w:rsid w:val="004D697D"/>
    <w:rsid w:val="004D73A9"/>
    <w:rsid w:val="004E1112"/>
    <w:rsid w:val="004E1CE5"/>
    <w:rsid w:val="004E3579"/>
    <w:rsid w:val="004E457E"/>
    <w:rsid w:val="004E5B30"/>
    <w:rsid w:val="004E5F5E"/>
    <w:rsid w:val="004E76C7"/>
    <w:rsid w:val="004F0779"/>
    <w:rsid w:val="004F1230"/>
    <w:rsid w:val="004F173F"/>
    <w:rsid w:val="004F177C"/>
    <w:rsid w:val="004F2723"/>
    <w:rsid w:val="004F2DCE"/>
    <w:rsid w:val="004F3C0F"/>
    <w:rsid w:val="004F6538"/>
    <w:rsid w:val="004F7F83"/>
    <w:rsid w:val="0050041C"/>
    <w:rsid w:val="00500597"/>
    <w:rsid w:val="0050176A"/>
    <w:rsid w:val="00501C76"/>
    <w:rsid w:val="005030AC"/>
    <w:rsid w:val="005035D6"/>
    <w:rsid w:val="005039CB"/>
    <w:rsid w:val="00504EC8"/>
    <w:rsid w:val="0050558F"/>
    <w:rsid w:val="005057E0"/>
    <w:rsid w:val="00506286"/>
    <w:rsid w:val="00506545"/>
    <w:rsid w:val="0050718D"/>
    <w:rsid w:val="0050733D"/>
    <w:rsid w:val="00507CD3"/>
    <w:rsid w:val="0051007F"/>
    <w:rsid w:val="0051013D"/>
    <w:rsid w:val="00510813"/>
    <w:rsid w:val="00510A69"/>
    <w:rsid w:val="0051162B"/>
    <w:rsid w:val="00511BE2"/>
    <w:rsid w:val="00511DE0"/>
    <w:rsid w:val="00512D08"/>
    <w:rsid w:val="00512DAA"/>
    <w:rsid w:val="0051337A"/>
    <w:rsid w:val="00514207"/>
    <w:rsid w:val="00514424"/>
    <w:rsid w:val="0051497F"/>
    <w:rsid w:val="005151B9"/>
    <w:rsid w:val="00517A3B"/>
    <w:rsid w:val="00517F02"/>
    <w:rsid w:val="00517F67"/>
    <w:rsid w:val="00521C29"/>
    <w:rsid w:val="005220B4"/>
    <w:rsid w:val="00523764"/>
    <w:rsid w:val="00524547"/>
    <w:rsid w:val="00524639"/>
    <w:rsid w:val="00525248"/>
    <w:rsid w:val="005258A2"/>
    <w:rsid w:val="005260BE"/>
    <w:rsid w:val="00526A50"/>
    <w:rsid w:val="00526E94"/>
    <w:rsid w:val="00530F7C"/>
    <w:rsid w:val="00531B64"/>
    <w:rsid w:val="00532AD3"/>
    <w:rsid w:val="00534567"/>
    <w:rsid w:val="00534940"/>
    <w:rsid w:val="00534F43"/>
    <w:rsid w:val="00534F78"/>
    <w:rsid w:val="005351C8"/>
    <w:rsid w:val="005355F3"/>
    <w:rsid w:val="00535A84"/>
    <w:rsid w:val="00536889"/>
    <w:rsid w:val="00536DC1"/>
    <w:rsid w:val="0053789A"/>
    <w:rsid w:val="005429AE"/>
    <w:rsid w:val="00542C96"/>
    <w:rsid w:val="00542E07"/>
    <w:rsid w:val="00542F97"/>
    <w:rsid w:val="0054372E"/>
    <w:rsid w:val="00544337"/>
    <w:rsid w:val="005446F2"/>
    <w:rsid w:val="00546534"/>
    <w:rsid w:val="0055061D"/>
    <w:rsid w:val="00550E82"/>
    <w:rsid w:val="00553795"/>
    <w:rsid w:val="00554671"/>
    <w:rsid w:val="00554A7B"/>
    <w:rsid w:val="00555448"/>
    <w:rsid w:val="0055572C"/>
    <w:rsid w:val="00557E4B"/>
    <w:rsid w:val="0056064F"/>
    <w:rsid w:val="005607A1"/>
    <w:rsid w:val="0056149A"/>
    <w:rsid w:val="00561B84"/>
    <w:rsid w:val="00562494"/>
    <w:rsid w:val="00567735"/>
    <w:rsid w:val="00570AE0"/>
    <w:rsid w:val="00571D98"/>
    <w:rsid w:val="005720AE"/>
    <w:rsid w:val="005727E9"/>
    <w:rsid w:val="00572E89"/>
    <w:rsid w:val="005756DC"/>
    <w:rsid w:val="005762DC"/>
    <w:rsid w:val="00577E81"/>
    <w:rsid w:val="0058030D"/>
    <w:rsid w:val="00581879"/>
    <w:rsid w:val="00582045"/>
    <w:rsid w:val="0058234D"/>
    <w:rsid w:val="0058239F"/>
    <w:rsid w:val="00583157"/>
    <w:rsid w:val="00583B7E"/>
    <w:rsid w:val="00587560"/>
    <w:rsid w:val="00590AE3"/>
    <w:rsid w:val="00590E81"/>
    <w:rsid w:val="005918F1"/>
    <w:rsid w:val="0059206F"/>
    <w:rsid w:val="00592890"/>
    <w:rsid w:val="005A0637"/>
    <w:rsid w:val="005A06B7"/>
    <w:rsid w:val="005A0F1E"/>
    <w:rsid w:val="005A1431"/>
    <w:rsid w:val="005A1759"/>
    <w:rsid w:val="005A5D9D"/>
    <w:rsid w:val="005B0949"/>
    <w:rsid w:val="005B1E80"/>
    <w:rsid w:val="005B1FAA"/>
    <w:rsid w:val="005B6F0B"/>
    <w:rsid w:val="005B773E"/>
    <w:rsid w:val="005B789C"/>
    <w:rsid w:val="005C0584"/>
    <w:rsid w:val="005C09D7"/>
    <w:rsid w:val="005C1E2C"/>
    <w:rsid w:val="005C2475"/>
    <w:rsid w:val="005C277F"/>
    <w:rsid w:val="005C4257"/>
    <w:rsid w:val="005C49BB"/>
    <w:rsid w:val="005C55FB"/>
    <w:rsid w:val="005C5908"/>
    <w:rsid w:val="005C7BBC"/>
    <w:rsid w:val="005D0369"/>
    <w:rsid w:val="005D0CC4"/>
    <w:rsid w:val="005D1FD7"/>
    <w:rsid w:val="005D2011"/>
    <w:rsid w:val="005D2B4A"/>
    <w:rsid w:val="005D4E0F"/>
    <w:rsid w:val="005D53FE"/>
    <w:rsid w:val="005D5BB4"/>
    <w:rsid w:val="005D6658"/>
    <w:rsid w:val="005D7A0F"/>
    <w:rsid w:val="005E03F6"/>
    <w:rsid w:val="005E0438"/>
    <w:rsid w:val="005E05C1"/>
    <w:rsid w:val="005E1791"/>
    <w:rsid w:val="005E21C7"/>
    <w:rsid w:val="005E2CE6"/>
    <w:rsid w:val="005E3150"/>
    <w:rsid w:val="005E3B51"/>
    <w:rsid w:val="005E402D"/>
    <w:rsid w:val="005E58F6"/>
    <w:rsid w:val="005E5F39"/>
    <w:rsid w:val="005E6324"/>
    <w:rsid w:val="005F1654"/>
    <w:rsid w:val="005F228B"/>
    <w:rsid w:val="005F29CD"/>
    <w:rsid w:val="005F4DDA"/>
    <w:rsid w:val="005F4DFB"/>
    <w:rsid w:val="005F6C2E"/>
    <w:rsid w:val="005F6CC0"/>
    <w:rsid w:val="006000D9"/>
    <w:rsid w:val="00602034"/>
    <w:rsid w:val="00602684"/>
    <w:rsid w:val="00602A0E"/>
    <w:rsid w:val="00603E5B"/>
    <w:rsid w:val="00603F10"/>
    <w:rsid w:val="006046F9"/>
    <w:rsid w:val="00604BC8"/>
    <w:rsid w:val="00605909"/>
    <w:rsid w:val="00607031"/>
    <w:rsid w:val="006075D2"/>
    <w:rsid w:val="00610A33"/>
    <w:rsid w:val="00611557"/>
    <w:rsid w:val="00612D66"/>
    <w:rsid w:val="00612FB3"/>
    <w:rsid w:val="006135A1"/>
    <w:rsid w:val="00613610"/>
    <w:rsid w:val="00614621"/>
    <w:rsid w:val="00615B4C"/>
    <w:rsid w:val="00615B5D"/>
    <w:rsid w:val="00617207"/>
    <w:rsid w:val="00620351"/>
    <w:rsid w:val="006212F8"/>
    <w:rsid w:val="006213E9"/>
    <w:rsid w:val="0062146F"/>
    <w:rsid w:val="00621897"/>
    <w:rsid w:val="00621CF5"/>
    <w:rsid w:val="00621FCA"/>
    <w:rsid w:val="006222E5"/>
    <w:rsid w:val="006231B1"/>
    <w:rsid w:val="00623235"/>
    <w:rsid w:val="0062468A"/>
    <w:rsid w:val="0062490D"/>
    <w:rsid w:val="00624BE1"/>
    <w:rsid w:val="00625369"/>
    <w:rsid w:val="006271BE"/>
    <w:rsid w:val="00631EDF"/>
    <w:rsid w:val="006320A9"/>
    <w:rsid w:val="00632872"/>
    <w:rsid w:val="00632C3B"/>
    <w:rsid w:val="00632F61"/>
    <w:rsid w:val="00633260"/>
    <w:rsid w:val="006343AF"/>
    <w:rsid w:val="0063595D"/>
    <w:rsid w:val="0063634A"/>
    <w:rsid w:val="0064250D"/>
    <w:rsid w:val="00644C1C"/>
    <w:rsid w:val="00644D9B"/>
    <w:rsid w:val="00646902"/>
    <w:rsid w:val="00646A86"/>
    <w:rsid w:val="00647802"/>
    <w:rsid w:val="00647E94"/>
    <w:rsid w:val="00647F9D"/>
    <w:rsid w:val="00650301"/>
    <w:rsid w:val="00651EE6"/>
    <w:rsid w:val="006535EB"/>
    <w:rsid w:val="006545A0"/>
    <w:rsid w:val="00654903"/>
    <w:rsid w:val="0065513E"/>
    <w:rsid w:val="006557F5"/>
    <w:rsid w:val="006609E6"/>
    <w:rsid w:val="0066286C"/>
    <w:rsid w:val="00662F97"/>
    <w:rsid w:val="00663016"/>
    <w:rsid w:val="00664446"/>
    <w:rsid w:val="00664AB0"/>
    <w:rsid w:val="00664DE4"/>
    <w:rsid w:val="00665C1C"/>
    <w:rsid w:val="00667A6E"/>
    <w:rsid w:val="00667DA6"/>
    <w:rsid w:val="00670704"/>
    <w:rsid w:val="00674605"/>
    <w:rsid w:val="006748B8"/>
    <w:rsid w:val="00676282"/>
    <w:rsid w:val="006819EF"/>
    <w:rsid w:val="0068535B"/>
    <w:rsid w:val="0068736E"/>
    <w:rsid w:val="0069136F"/>
    <w:rsid w:val="00691A17"/>
    <w:rsid w:val="0069290A"/>
    <w:rsid w:val="006931F4"/>
    <w:rsid w:val="00693DFF"/>
    <w:rsid w:val="00694A78"/>
    <w:rsid w:val="00695D8E"/>
    <w:rsid w:val="006962B2"/>
    <w:rsid w:val="00697032"/>
    <w:rsid w:val="006975AC"/>
    <w:rsid w:val="006A1098"/>
    <w:rsid w:val="006A15FB"/>
    <w:rsid w:val="006A3A58"/>
    <w:rsid w:val="006A72BF"/>
    <w:rsid w:val="006B332A"/>
    <w:rsid w:val="006B33BD"/>
    <w:rsid w:val="006B4D3A"/>
    <w:rsid w:val="006B6275"/>
    <w:rsid w:val="006B707A"/>
    <w:rsid w:val="006B7352"/>
    <w:rsid w:val="006C0B46"/>
    <w:rsid w:val="006C2AB0"/>
    <w:rsid w:val="006C3C4B"/>
    <w:rsid w:val="006C3F75"/>
    <w:rsid w:val="006C4985"/>
    <w:rsid w:val="006D170E"/>
    <w:rsid w:val="006D39C8"/>
    <w:rsid w:val="006D3A45"/>
    <w:rsid w:val="006D79E7"/>
    <w:rsid w:val="006E06AF"/>
    <w:rsid w:val="006E220D"/>
    <w:rsid w:val="006E60AD"/>
    <w:rsid w:val="006E7241"/>
    <w:rsid w:val="006F03BE"/>
    <w:rsid w:val="006F0B8B"/>
    <w:rsid w:val="006F12E0"/>
    <w:rsid w:val="006F1789"/>
    <w:rsid w:val="006F186A"/>
    <w:rsid w:val="006F2744"/>
    <w:rsid w:val="006F497B"/>
    <w:rsid w:val="006F56EB"/>
    <w:rsid w:val="007007A5"/>
    <w:rsid w:val="00702245"/>
    <w:rsid w:val="0070408E"/>
    <w:rsid w:val="00704122"/>
    <w:rsid w:val="00705F83"/>
    <w:rsid w:val="00706C5D"/>
    <w:rsid w:val="0071090A"/>
    <w:rsid w:val="007118E6"/>
    <w:rsid w:val="00712237"/>
    <w:rsid w:val="00714F64"/>
    <w:rsid w:val="00715409"/>
    <w:rsid w:val="00716829"/>
    <w:rsid w:val="00717F11"/>
    <w:rsid w:val="00722141"/>
    <w:rsid w:val="007225C9"/>
    <w:rsid w:val="00722629"/>
    <w:rsid w:val="00722D8F"/>
    <w:rsid w:val="0072311A"/>
    <w:rsid w:val="00723411"/>
    <w:rsid w:val="0073004E"/>
    <w:rsid w:val="00730A9D"/>
    <w:rsid w:val="00732BED"/>
    <w:rsid w:val="00733A43"/>
    <w:rsid w:val="007350E3"/>
    <w:rsid w:val="0073510D"/>
    <w:rsid w:val="007358BA"/>
    <w:rsid w:val="00735CD7"/>
    <w:rsid w:val="00736E50"/>
    <w:rsid w:val="00737137"/>
    <w:rsid w:val="00737AE3"/>
    <w:rsid w:val="00740337"/>
    <w:rsid w:val="007414E9"/>
    <w:rsid w:val="00741AEB"/>
    <w:rsid w:val="00741F04"/>
    <w:rsid w:val="0074495D"/>
    <w:rsid w:val="007468CD"/>
    <w:rsid w:val="00747712"/>
    <w:rsid w:val="00747D9E"/>
    <w:rsid w:val="0075056D"/>
    <w:rsid w:val="00750AE8"/>
    <w:rsid w:val="00750B2F"/>
    <w:rsid w:val="0075164C"/>
    <w:rsid w:val="00751C60"/>
    <w:rsid w:val="00753FCB"/>
    <w:rsid w:val="00754034"/>
    <w:rsid w:val="00754BA2"/>
    <w:rsid w:val="00754BF1"/>
    <w:rsid w:val="00754DB5"/>
    <w:rsid w:val="00754E3C"/>
    <w:rsid w:val="00755A30"/>
    <w:rsid w:val="00755CD1"/>
    <w:rsid w:val="00755E1C"/>
    <w:rsid w:val="00756556"/>
    <w:rsid w:val="00756FE7"/>
    <w:rsid w:val="00757768"/>
    <w:rsid w:val="0076117D"/>
    <w:rsid w:val="0076132B"/>
    <w:rsid w:val="0076157F"/>
    <w:rsid w:val="007623AE"/>
    <w:rsid w:val="00763C29"/>
    <w:rsid w:val="00764ED2"/>
    <w:rsid w:val="00765291"/>
    <w:rsid w:val="007704AC"/>
    <w:rsid w:val="00770B19"/>
    <w:rsid w:val="0077113F"/>
    <w:rsid w:val="00774BAD"/>
    <w:rsid w:val="00774FA0"/>
    <w:rsid w:val="0077528D"/>
    <w:rsid w:val="00776620"/>
    <w:rsid w:val="00777B6D"/>
    <w:rsid w:val="00782DC2"/>
    <w:rsid w:val="0078407B"/>
    <w:rsid w:val="00784855"/>
    <w:rsid w:val="00784F39"/>
    <w:rsid w:val="0078545C"/>
    <w:rsid w:val="007859FB"/>
    <w:rsid w:val="00786506"/>
    <w:rsid w:val="007906C4"/>
    <w:rsid w:val="00790BFC"/>
    <w:rsid w:val="007926E8"/>
    <w:rsid w:val="007940EA"/>
    <w:rsid w:val="007967E8"/>
    <w:rsid w:val="007A07B8"/>
    <w:rsid w:val="007A1A9B"/>
    <w:rsid w:val="007A2749"/>
    <w:rsid w:val="007A2AFC"/>
    <w:rsid w:val="007A63F2"/>
    <w:rsid w:val="007B0644"/>
    <w:rsid w:val="007B109C"/>
    <w:rsid w:val="007B34A7"/>
    <w:rsid w:val="007B414B"/>
    <w:rsid w:val="007B43A7"/>
    <w:rsid w:val="007B45BB"/>
    <w:rsid w:val="007B502A"/>
    <w:rsid w:val="007B5300"/>
    <w:rsid w:val="007B61B4"/>
    <w:rsid w:val="007B68DE"/>
    <w:rsid w:val="007B7EB8"/>
    <w:rsid w:val="007C13E7"/>
    <w:rsid w:val="007C1857"/>
    <w:rsid w:val="007C514F"/>
    <w:rsid w:val="007C5C3A"/>
    <w:rsid w:val="007C6BC1"/>
    <w:rsid w:val="007C6F72"/>
    <w:rsid w:val="007C7211"/>
    <w:rsid w:val="007D05C6"/>
    <w:rsid w:val="007D0F95"/>
    <w:rsid w:val="007D1F58"/>
    <w:rsid w:val="007D2E22"/>
    <w:rsid w:val="007D7ECB"/>
    <w:rsid w:val="007E25A1"/>
    <w:rsid w:val="007E2FB2"/>
    <w:rsid w:val="007E34CD"/>
    <w:rsid w:val="007E4BD2"/>
    <w:rsid w:val="007E5E87"/>
    <w:rsid w:val="007E6518"/>
    <w:rsid w:val="007E7145"/>
    <w:rsid w:val="007F2F94"/>
    <w:rsid w:val="007F3778"/>
    <w:rsid w:val="007F3916"/>
    <w:rsid w:val="007F5960"/>
    <w:rsid w:val="007F7447"/>
    <w:rsid w:val="007F7DF9"/>
    <w:rsid w:val="00801179"/>
    <w:rsid w:val="00802479"/>
    <w:rsid w:val="0080375D"/>
    <w:rsid w:val="00805372"/>
    <w:rsid w:val="00805B7B"/>
    <w:rsid w:val="00807A92"/>
    <w:rsid w:val="008104F3"/>
    <w:rsid w:val="008122C3"/>
    <w:rsid w:val="0081293E"/>
    <w:rsid w:val="00812C7D"/>
    <w:rsid w:val="00813F73"/>
    <w:rsid w:val="00814089"/>
    <w:rsid w:val="00814FFB"/>
    <w:rsid w:val="00815790"/>
    <w:rsid w:val="00815830"/>
    <w:rsid w:val="00815C3E"/>
    <w:rsid w:val="008175FB"/>
    <w:rsid w:val="0082050F"/>
    <w:rsid w:val="00820568"/>
    <w:rsid w:val="00820D57"/>
    <w:rsid w:val="008210F0"/>
    <w:rsid w:val="008233E3"/>
    <w:rsid w:val="008246B7"/>
    <w:rsid w:val="00826C4B"/>
    <w:rsid w:val="00827807"/>
    <w:rsid w:val="008301D8"/>
    <w:rsid w:val="00830428"/>
    <w:rsid w:val="00831A80"/>
    <w:rsid w:val="008324E1"/>
    <w:rsid w:val="008327C7"/>
    <w:rsid w:val="008332C8"/>
    <w:rsid w:val="008332D2"/>
    <w:rsid w:val="00833743"/>
    <w:rsid w:val="008340A4"/>
    <w:rsid w:val="008343F6"/>
    <w:rsid w:val="00834C6C"/>
    <w:rsid w:val="00836165"/>
    <w:rsid w:val="00836799"/>
    <w:rsid w:val="00836D47"/>
    <w:rsid w:val="00837028"/>
    <w:rsid w:val="00837131"/>
    <w:rsid w:val="00840221"/>
    <w:rsid w:val="008403BC"/>
    <w:rsid w:val="00842FB3"/>
    <w:rsid w:val="008440A0"/>
    <w:rsid w:val="00844308"/>
    <w:rsid w:val="00845600"/>
    <w:rsid w:val="00845F57"/>
    <w:rsid w:val="00846559"/>
    <w:rsid w:val="008467B9"/>
    <w:rsid w:val="008504B4"/>
    <w:rsid w:val="008521E0"/>
    <w:rsid w:val="008525B0"/>
    <w:rsid w:val="00853843"/>
    <w:rsid w:val="00854C80"/>
    <w:rsid w:val="00856804"/>
    <w:rsid w:val="008604A6"/>
    <w:rsid w:val="0086091D"/>
    <w:rsid w:val="008615D4"/>
    <w:rsid w:val="008649E4"/>
    <w:rsid w:val="00865792"/>
    <w:rsid w:val="00865889"/>
    <w:rsid w:val="00867CBC"/>
    <w:rsid w:val="008717C1"/>
    <w:rsid w:val="00872350"/>
    <w:rsid w:val="00873EA2"/>
    <w:rsid w:val="00874051"/>
    <w:rsid w:val="00874469"/>
    <w:rsid w:val="0087482B"/>
    <w:rsid w:val="00874F5D"/>
    <w:rsid w:val="00875148"/>
    <w:rsid w:val="00876C30"/>
    <w:rsid w:val="00877017"/>
    <w:rsid w:val="008773C0"/>
    <w:rsid w:val="00877EAD"/>
    <w:rsid w:val="00880364"/>
    <w:rsid w:val="0088148A"/>
    <w:rsid w:val="00883159"/>
    <w:rsid w:val="00885AC1"/>
    <w:rsid w:val="00885ECC"/>
    <w:rsid w:val="00886B42"/>
    <w:rsid w:val="00886C4C"/>
    <w:rsid w:val="0088711C"/>
    <w:rsid w:val="008902D8"/>
    <w:rsid w:val="008914D1"/>
    <w:rsid w:val="00891664"/>
    <w:rsid w:val="008922C9"/>
    <w:rsid w:val="00892ECF"/>
    <w:rsid w:val="00892F06"/>
    <w:rsid w:val="00894285"/>
    <w:rsid w:val="008973D6"/>
    <w:rsid w:val="00897ED4"/>
    <w:rsid w:val="008A0016"/>
    <w:rsid w:val="008A0348"/>
    <w:rsid w:val="008A0F27"/>
    <w:rsid w:val="008A1354"/>
    <w:rsid w:val="008A1A04"/>
    <w:rsid w:val="008A29BC"/>
    <w:rsid w:val="008A2A32"/>
    <w:rsid w:val="008A2AC4"/>
    <w:rsid w:val="008A2F16"/>
    <w:rsid w:val="008A325E"/>
    <w:rsid w:val="008A40AE"/>
    <w:rsid w:val="008A4E19"/>
    <w:rsid w:val="008A50AB"/>
    <w:rsid w:val="008A6359"/>
    <w:rsid w:val="008A67C5"/>
    <w:rsid w:val="008A70F9"/>
    <w:rsid w:val="008A7978"/>
    <w:rsid w:val="008A7AB1"/>
    <w:rsid w:val="008B037F"/>
    <w:rsid w:val="008B1766"/>
    <w:rsid w:val="008B22E1"/>
    <w:rsid w:val="008B3315"/>
    <w:rsid w:val="008B3C78"/>
    <w:rsid w:val="008B4AE9"/>
    <w:rsid w:val="008B5937"/>
    <w:rsid w:val="008B7588"/>
    <w:rsid w:val="008C2796"/>
    <w:rsid w:val="008C30AD"/>
    <w:rsid w:val="008C4891"/>
    <w:rsid w:val="008C49A9"/>
    <w:rsid w:val="008C5DC9"/>
    <w:rsid w:val="008C7B6F"/>
    <w:rsid w:val="008D02DA"/>
    <w:rsid w:val="008D068E"/>
    <w:rsid w:val="008D0F7A"/>
    <w:rsid w:val="008D1B29"/>
    <w:rsid w:val="008D30DE"/>
    <w:rsid w:val="008D3711"/>
    <w:rsid w:val="008D5227"/>
    <w:rsid w:val="008D5564"/>
    <w:rsid w:val="008D6010"/>
    <w:rsid w:val="008D623B"/>
    <w:rsid w:val="008D63BE"/>
    <w:rsid w:val="008D70E2"/>
    <w:rsid w:val="008D734B"/>
    <w:rsid w:val="008E0CFF"/>
    <w:rsid w:val="008E40D8"/>
    <w:rsid w:val="008E4BE3"/>
    <w:rsid w:val="008E5D6B"/>
    <w:rsid w:val="008E6105"/>
    <w:rsid w:val="008E689B"/>
    <w:rsid w:val="008E76F0"/>
    <w:rsid w:val="008F00C5"/>
    <w:rsid w:val="008F15FE"/>
    <w:rsid w:val="008F2160"/>
    <w:rsid w:val="008F22FF"/>
    <w:rsid w:val="008F2497"/>
    <w:rsid w:val="008F2A94"/>
    <w:rsid w:val="008F4809"/>
    <w:rsid w:val="008F5187"/>
    <w:rsid w:val="008F709C"/>
    <w:rsid w:val="00900D82"/>
    <w:rsid w:val="00901447"/>
    <w:rsid w:val="00901FED"/>
    <w:rsid w:val="0090312B"/>
    <w:rsid w:val="0090404D"/>
    <w:rsid w:val="00904961"/>
    <w:rsid w:val="0090609B"/>
    <w:rsid w:val="00911DEA"/>
    <w:rsid w:val="00912610"/>
    <w:rsid w:val="00912A72"/>
    <w:rsid w:val="00914EFB"/>
    <w:rsid w:val="00915424"/>
    <w:rsid w:val="00915FAB"/>
    <w:rsid w:val="0091736D"/>
    <w:rsid w:val="009204FF"/>
    <w:rsid w:val="00920CFD"/>
    <w:rsid w:val="00920DDA"/>
    <w:rsid w:val="009216DA"/>
    <w:rsid w:val="00921709"/>
    <w:rsid w:val="0092227E"/>
    <w:rsid w:val="0092477B"/>
    <w:rsid w:val="00925778"/>
    <w:rsid w:val="009258F0"/>
    <w:rsid w:val="0093035F"/>
    <w:rsid w:val="00930ECE"/>
    <w:rsid w:val="00931001"/>
    <w:rsid w:val="00931863"/>
    <w:rsid w:val="009323BA"/>
    <w:rsid w:val="00933151"/>
    <w:rsid w:val="00933524"/>
    <w:rsid w:val="0093428D"/>
    <w:rsid w:val="009345DC"/>
    <w:rsid w:val="0093475A"/>
    <w:rsid w:val="00935030"/>
    <w:rsid w:val="00936522"/>
    <w:rsid w:val="0093689D"/>
    <w:rsid w:val="009370AB"/>
    <w:rsid w:val="00937E1C"/>
    <w:rsid w:val="00940949"/>
    <w:rsid w:val="0094278D"/>
    <w:rsid w:val="009433A1"/>
    <w:rsid w:val="00943EAC"/>
    <w:rsid w:val="00946014"/>
    <w:rsid w:val="00946BD7"/>
    <w:rsid w:val="009471D8"/>
    <w:rsid w:val="00950F42"/>
    <w:rsid w:val="0095308A"/>
    <w:rsid w:val="00955AEE"/>
    <w:rsid w:val="00956F14"/>
    <w:rsid w:val="00957EF4"/>
    <w:rsid w:val="00960C11"/>
    <w:rsid w:val="009620FD"/>
    <w:rsid w:val="0096247A"/>
    <w:rsid w:val="00962944"/>
    <w:rsid w:val="009645EF"/>
    <w:rsid w:val="00964907"/>
    <w:rsid w:val="00965648"/>
    <w:rsid w:val="00965E98"/>
    <w:rsid w:val="00965F4B"/>
    <w:rsid w:val="00970F8A"/>
    <w:rsid w:val="00971FB5"/>
    <w:rsid w:val="009720B9"/>
    <w:rsid w:val="00972732"/>
    <w:rsid w:val="00972CFD"/>
    <w:rsid w:val="00972D2A"/>
    <w:rsid w:val="00973CC1"/>
    <w:rsid w:val="00975CC5"/>
    <w:rsid w:val="00976146"/>
    <w:rsid w:val="00976328"/>
    <w:rsid w:val="00976B4E"/>
    <w:rsid w:val="009805D2"/>
    <w:rsid w:val="0098209C"/>
    <w:rsid w:val="0098352F"/>
    <w:rsid w:val="00984458"/>
    <w:rsid w:val="00984ADE"/>
    <w:rsid w:val="00985283"/>
    <w:rsid w:val="009872E8"/>
    <w:rsid w:val="00987322"/>
    <w:rsid w:val="00990BF4"/>
    <w:rsid w:val="009919CE"/>
    <w:rsid w:val="00995B4E"/>
    <w:rsid w:val="00997371"/>
    <w:rsid w:val="009A0EB4"/>
    <w:rsid w:val="009A0F3B"/>
    <w:rsid w:val="009A3BCA"/>
    <w:rsid w:val="009A3C82"/>
    <w:rsid w:val="009A6C4F"/>
    <w:rsid w:val="009A72C7"/>
    <w:rsid w:val="009B01C5"/>
    <w:rsid w:val="009B0897"/>
    <w:rsid w:val="009B0B42"/>
    <w:rsid w:val="009B2CFD"/>
    <w:rsid w:val="009B5971"/>
    <w:rsid w:val="009B6B16"/>
    <w:rsid w:val="009B6DFD"/>
    <w:rsid w:val="009C03B1"/>
    <w:rsid w:val="009C0D74"/>
    <w:rsid w:val="009C1021"/>
    <w:rsid w:val="009C19CF"/>
    <w:rsid w:val="009C2826"/>
    <w:rsid w:val="009C4222"/>
    <w:rsid w:val="009D01AE"/>
    <w:rsid w:val="009D044B"/>
    <w:rsid w:val="009D0852"/>
    <w:rsid w:val="009D0F58"/>
    <w:rsid w:val="009D1508"/>
    <w:rsid w:val="009D1FBF"/>
    <w:rsid w:val="009D3FBD"/>
    <w:rsid w:val="009D65AE"/>
    <w:rsid w:val="009D6FE9"/>
    <w:rsid w:val="009E320C"/>
    <w:rsid w:val="009E399C"/>
    <w:rsid w:val="009E3F0C"/>
    <w:rsid w:val="009E43C1"/>
    <w:rsid w:val="009E56EC"/>
    <w:rsid w:val="009E709B"/>
    <w:rsid w:val="009E7E95"/>
    <w:rsid w:val="009F116F"/>
    <w:rsid w:val="009F117D"/>
    <w:rsid w:val="009F1CA8"/>
    <w:rsid w:val="009F329E"/>
    <w:rsid w:val="009F387B"/>
    <w:rsid w:val="009F5DF9"/>
    <w:rsid w:val="009F7543"/>
    <w:rsid w:val="009F7C55"/>
    <w:rsid w:val="009F7D0B"/>
    <w:rsid w:val="009F7ED3"/>
    <w:rsid w:val="00A011D2"/>
    <w:rsid w:val="00A02F91"/>
    <w:rsid w:val="00A02FB1"/>
    <w:rsid w:val="00A03607"/>
    <w:rsid w:val="00A046E0"/>
    <w:rsid w:val="00A047FF"/>
    <w:rsid w:val="00A04EE2"/>
    <w:rsid w:val="00A04FEF"/>
    <w:rsid w:val="00A063FA"/>
    <w:rsid w:val="00A06B8A"/>
    <w:rsid w:val="00A07475"/>
    <w:rsid w:val="00A07CAD"/>
    <w:rsid w:val="00A07EB4"/>
    <w:rsid w:val="00A1026E"/>
    <w:rsid w:val="00A103AA"/>
    <w:rsid w:val="00A11290"/>
    <w:rsid w:val="00A122CD"/>
    <w:rsid w:val="00A12A32"/>
    <w:rsid w:val="00A14248"/>
    <w:rsid w:val="00A14947"/>
    <w:rsid w:val="00A15727"/>
    <w:rsid w:val="00A16295"/>
    <w:rsid w:val="00A164AF"/>
    <w:rsid w:val="00A17169"/>
    <w:rsid w:val="00A2025E"/>
    <w:rsid w:val="00A20872"/>
    <w:rsid w:val="00A20A47"/>
    <w:rsid w:val="00A20FE3"/>
    <w:rsid w:val="00A21118"/>
    <w:rsid w:val="00A22866"/>
    <w:rsid w:val="00A22A98"/>
    <w:rsid w:val="00A23B8B"/>
    <w:rsid w:val="00A23DC5"/>
    <w:rsid w:val="00A24280"/>
    <w:rsid w:val="00A24965"/>
    <w:rsid w:val="00A27961"/>
    <w:rsid w:val="00A34028"/>
    <w:rsid w:val="00A34F90"/>
    <w:rsid w:val="00A35568"/>
    <w:rsid w:val="00A362A2"/>
    <w:rsid w:val="00A36C4F"/>
    <w:rsid w:val="00A37056"/>
    <w:rsid w:val="00A406B1"/>
    <w:rsid w:val="00A41E98"/>
    <w:rsid w:val="00A42B5D"/>
    <w:rsid w:val="00A4358F"/>
    <w:rsid w:val="00A453A4"/>
    <w:rsid w:val="00A46F67"/>
    <w:rsid w:val="00A474F6"/>
    <w:rsid w:val="00A47C8E"/>
    <w:rsid w:val="00A51523"/>
    <w:rsid w:val="00A536A7"/>
    <w:rsid w:val="00A53AB3"/>
    <w:rsid w:val="00A54AA1"/>
    <w:rsid w:val="00A55A63"/>
    <w:rsid w:val="00A560EE"/>
    <w:rsid w:val="00A568FF"/>
    <w:rsid w:val="00A5738C"/>
    <w:rsid w:val="00A60749"/>
    <w:rsid w:val="00A60C76"/>
    <w:rsid w:val="00A61496"/>
    <w:rsid w:val="00A61833"/>
    <w:rsid w:val="00A624C6"/>
    <w:rsid w:val="00A63117"/>
    <w:rsid w:val="00A63CEC"/>
    <w:rsid w:val="00A63FB0"/>
    <w:rsid w:val="00A66740"/>
    <w:rsid w:val="00A66B7F"/>
    <w:rsid w:val="00A66BD8"/>
    <w:rsid w:val="00A67672"/>
    <w:rsid w:val="00A6775B"/>
    <w:rsid w:val="00A7031E"/>
    <w:rsid w:val="00A71B3B"/>
    <w:rsid w:val="00A728B1"/>
    <w:rsid w:val="00A747B2"/>
    <w:rsid w:val="00A756EA"/>
    <w:rsid w:val="00A7582A"/>
    <w:rsid w:val="00A75906"/>
    <w:rsid w:val="00A763DE"/>
    <w:rsid w:val="00A76F23"/>
    <w:rsid w:val="00A77200"/>
    <w:rsid w:val="00A803D6"/>
    <w:rsid w:val="00A80556"/>
    <w:rsid w:val="00A81282"/>
    <w:rsid w:val="00A81E17"/>
    <w:rsid w:val="00A82593"/>
    <w:rsid w:val="00A826CB"/>
    <w:rsid w:val="00A82AE1"/>
    <w:rsid w:val="00A8713F"/>
    <w:rsid w:val="00A872CE"/>
    <w:rsid w:val="00A87E15"/>
    <w:rsid w:val="00A90379"/>
    <w:rsid w:val="00A91167"/>
    <w:rsid w:val="00A9171C"/>
    <w:rsid w:val="00A91A20"/>
    <w:rsid w:val="00A92FFD"/>
    <w:rsid w:val="00A942BE"/>
    <w:rsid w:val="00A94A31"/>
    <w:rsid w:val="00A94E0A"/>
    <w:rsid w:val="00A95975"/>
    <w:rsid w:val="00A96750"/>
    <w:rsid w:val="00A9708D"/>
    <w:rsid w:val="00A97256"/>
    <w:rsid w:val="00AA084D"/>
    <w:rsid w:val="00AA2C17"/>
    <w:rsid w:val="00AA4172"/>
    <w:rsid w:val="00AA4C21"/>
    <w:rsid w:val="00AA6516"/>
    <w:rsid w:val="00AB1914"/>
    <w:rsid w:val="00AB1A98"/>
    <w:rsid w:val="00AB1BC3"/>
    <w:rsid w:val="00AB411B"/>
    <w:rsid w:val="00AB5330"/>
    <w:rsid w:val="00AB5342"/>
    <w:rsid w:val="00AB62A6"/>
    <w:rsid w:val="00AB6A10"/>
    <w:rsid w:val="00AB6CF4"/>
    <w:rsid w:val="00AB7747"/>
    <w:rsid w:val="00AC1799"/>
    <w:rsid w:val="00AC1C3C"/>
    <w:rsid w:val="00AC2532"/>
    <w:rsid w:val="00AC395A"/>
    <w:rsid w:val="00AC396C"/>
    <w:rsid w:val="00AC3FE9"/>
    <w:rsid w:val="00AC4709"/>
    <w:rsid w:val="00AC52F1"/>
    <w:rsid w:val="00AC59DD"/>
    <w:rsid w:val="00AD1507"/>
    <w:rsid w:val="00AD4931"/>
    <w:rsid w:val="00AD5A70"/>
    <w:rsid w:val="00AD738B"/>
    <w:rsid w:val="00AD7431"/>
    <w:rsid w:val="00AD7FAD"/>
    <w:rsid w:val="00AE12A2"/>
    <w:rsid w:val="00AE16B8"/>
    <w:rsid w:val="00AE1BF4"/>
    <w:rsid w:val="00AE1E6C"/>
    <w:rsid w:val="00AE1FCF"/>
    <w:rsid w:val="00AE30D6"/>
    <w:rsid w:val="00AE499B"/>
    <w:rsid w:val="00AE5D97"/>
    <w:rsid w:val="00AE6794"/>
    <w:rsid w:val="00AE6994"/>
    <w:rsid w:val="00AF2C93"/>
    <w:rsid w:val="00AF362C"/>
    <w:rsid w:val="00AF418C"/>
    <w:rsid w:val="00AF6FF3"/>
    <w:rsid w:val="00AF7DC2"/>
    <w:rsid w:val="00B01110"/>
    <w:rsid w:val="00B02262"/>
    <w:rsid w:val="00B03CEC"/>
    <w:rsid w:val="00B0460C"/>
    <w:rsid w:val="00B05203"/>
    <w:rsid w:val="00B079DF"/>
    <w:rsid w:val="00B11111"/>
    <w:rsid w:val="00B1209F"/>
    <w:rsid w:val="00B1226F"/>
    <w:rsid w:val="00B12AD0"/>
    <w:rsid w:val="00B14E08"/>
    <w:rsid w:val="00B17C55"/>
    <w:rsid w:val="00B212AF"/>
    <w:rsid w:val="00B220A0"/>
    <w:rsid w:val="00B22CC8"/>
    <w:rsid w:val="00B22CF0"/>
    <w:rsid w:val="00B22E22"/>
    <w:rsid w:val="00B240C3"/>
    <w:rsid w:val="00B24F30"/>
    <w:rsid w:val="00B26F20"/>
    <w:rsid w:val="00B31ABF"/>
    <w:rsid w:val="00B32527"/>
    <w:rsid w:val="00B32957"/>
    <w:rsid w:val="00B335AE"/>
    <w:rsid w:val="00B3600D"/>
    <w:rsid w:val="00B362E3"/>
    <w:rsid w:val="00B367D8"/>
    <w:rsid w:val="00B36CBC"/>
    <w:rsid w:val="00B36F6E"/>
    <w:rsid w:val="00B37C48"/>
    <w:rsid w:val="00B37CE1"/>
    <w:rsid w:val="00B40ACF"/>
    <w:rsid w:val="00B430C7"/>
    <w:rsid w:val="00B4389F"/>
    <w:rsid w:val="00B43F4D"/>
    <w:rsid w:val="00B44FEF"/>
    <w:rsid w:val="00B451B2"/>
    <w:rsid w:val="00B4682D"/>
    <w:rsid w:val="00B46BAA"/>
    <w:rsid w:val="00B46CC0"/>
    <w:rsid w:val="00B5074A"/>
    <w:rsid w:val="00B50B5F"/>
    <w:rsid w:val="00B5274E"/>
    <w:rsid w:val="00B52D35"/>
    <w:rsid w:val="00B54128"/>
    <w:rsid w:val="00B5472D"/>
    <w:rsid w:val="00B54E03"/>
    <w:rsid w:val="00B54F0F"/>
    <w:rsid w:val="00B5502C"/>
    <w:rsid w:val="00B55826"/>
    <w:rsid w:val="00B60426"/>
    <w:rsid w:val="00B6097D"/>
    <w:rsid w:val="00B61116"/>
    <w:rsid w:val="00B61357"/>
    <w:rsid w:val="00B61C86"/>
    <w:rsid w:val="00B61ED3"/>
    <w:rsid w:val="00B622DD"/>
    <w:rsid w:val="00B63522"/>
    <w:rsid w:val="00B67A02"/>
    <w:rsid w:val="00B712F4"/>
    <w:rsid w:val="00B71D8B"/>
    <w:rsid w:val="00B72770"/>
    <w:rsid w:val="00B75563"/>
    <w:rsid w:val="00B76F1D"/>
    <w:rsid w:val="00B84387"/>
    <w:rsid w:val="00B872FA"/>
    <w:rsid w:val="00B908F4"/>
    <w:rsid w:val="00B917C2"/>
    <w:rsid w:val="00B92511"/>
    <w:rsid w:val="00B92A19"/>
    <w:rsid w:val="00B9544C"/>
    <w:rsid w:val="00B95689"/>
    <w:rsid w:val="00B96A50"/>
    <w:rsid w:val="00B96F44"/>
    <w:rsid w:val="00B96F85"/>
    <w:rsid w:val="00B9784C"/>
    <w:rsid w:val="00B97FBA"/>
    <w:rsid w:val="00BA04A3"/>
    <w:rsid w:val="00BA0FAF"/>
    <w:rsid w:val="00BA16AB"/>
    <w:rsid w:val="00BA29E9"/>
    <w:rsid w:val="00BA4CB9"/>
    <w:rsid w:val="00BA6A08"/>
    <w:rsid w:val="00BB10E8"/>
    <w:rsid w:val="00BB1248"/>
    <w:rsid w:val="00BB161C"/>
    <w:rsid w:val="00BB3618"/>
    <w:rsid w:val="00BB37E9"/>
    <w:rsid w:val="00BB4C38"/>
    <w:rsid w:val="00BB5FC7"/>
    <w:rsid w:val="00BC065F"/>
    <w:rsid w:val="00BC0C9E"/>
    <w:rsid w:val="00BC12AF"/>
    <w:rsid w:val="00BC2924"/>
    <w:rsid w:val="00BC2B0C"/>
    <w:rsid w:val="00BC32DC"/>
    <w:rsid w:val="00BC3C45"/>
    <w:rsid w:val="00BC4DB2"/>
    <w:rsid w:val="00BC628A"/>
    <w:rsid w:val="00BC657F"/>
    <w:rsid w:val="00BC669C"/>
    <w:rsid w:val="00BC72A1"/>
    <w:rsid w:val="00BC74D8"/>
    <w:rsid w:val="00BC7CF2"/>
    <w:rsid w:val="00BD06FA"/>
    <w:rsid w:val="00BD1B51"/>
    <w:rsid w:val="00BD47F6"/>
    <w:rsid w:val="00BD5174"/>
    <w:rsid w:val="00BD788E"/>
    <w:rsid w:val="00BE13D4"/>
    <w:rsid w:val="00BE1517"/>
    <w:rsid w:val="00BE312D"/>
    <w:rsid w:val="00BE3FCA"/>
    <w:rsid w:val="00BE3FE7"/>
    <w:rsid w:val="00BE49DE"/>
    <w:rsid w:val="00BF594C"/>
    <w:rsid w:val="00BF6873"/>
    <w:rsid w:val="00BF7CB1"/>
    <w:rsid w:val="00C0020B"/>
    <w:rsid w:val="00C03B0B"/>
    <w:rsid w:val="00C04A0F"/>
    <w:rsid w:val="00C0521A"/>
    <w:rsid w:val="00C05719"/>
    <w:rsid w:val="00C06A0B"/>
    <w:rsid w:val="00C07891"/>
    <w:rsid w:val="00C10578"/>
    <w:rsid w:val="00C10C41"/>
    <w:rsid w:val="00C10E7A"/>
    <w:rsid w:val="00C12DF3"/>
    <w:rsid w:val="00C14E57"/>
    <w:rsid w:val="00C151D0"/>
    <w:rsid w:val="00C160D1"/>
    <w:rsid w:val="00C16611"/>
    <w:rsid w:val="00C170A3"/>
    <w:rsid w:val="00C178E2"/>
    <w:rsid w:val="00C17D62"/>
    <w:rsid w:val="00C20ABB"/>
    <w:rsid w:val="00C210DB"/>
    <w:rsid w:val="00C217C6"/>
    <w:rsid w:val="00C2186F"/>
    <w:rsid w:val="00C21FDC"/>
    <w:rsid w:val="00C229A4"/>
    <w:rsid w:val="00C24174"/>
    <w:rsid w:val="00C24EE7"/>
    <w:rsid w:val="00C2596A"/>
    <w:rsid w:val="00C25C3D"/>
    <w:rsid w:val="00C271BE"/>
    <w:rsid w:val="00C27425"/>
    <w:rsid w:val="00C328FE"/>
    <w:rsid w:val="00C32B72"/>
    <w:rsid w:val="00C334AA"/>
    <w:rsid w:val="00C33A05"/>
    <w:rsid w:val="00C374B7"/>
    <w:rsid w:val="00C377DB"/>
    <w:rsid w:val="00C40011"/>
    <w:rsid w:val="00C40A9E"/>
    <w:rsid w:val="00C413F7"/>
    <w:rsid w:val="00C42392"/>
    <w:rsid w:val="00C42500"/>
    <w:rsid w:val="00C4409D"/>
    <w:rsid w:val="00C455BE"/>
    <w:rsid w:val="00C45D6F"/>
    <w:rsid w:val="00C518BA"/>
    <w:rsid w:val="00C51E5F"/>
    <w:rsid w:val="00C53859"/>
    <w:rsid w:val="00C5595E"/>
    <w:rsid w:val="00C5659B"/>
    <w:rsid w:val="00C61317"/>
    <w:rsid w:val="00C61E4B"/>
    <w:rsid w:val="00C62D5F"/>
    <w:rsid w:val="00C62E3A"/>
    <w:rsid w:val="00C63CD8"/>
    <w:rsid w:val="00C64503"/>
    <w:rsid w:val="00C64A1F"/>
    <w:rsid w:val="00C64BFF"/>
    <w:rsid w:val="00C64DA4"/>
    <w:rsid w:val="00C70C07"/>
    <w:rsid w:val="00C7156F"/>
    <w:rsid w:val="00C71EE2"/>
    <w:rsid w:val="00C72409"/>
    <w:rsid w:val="00C73064"/>
    <w:rsid w:val="00C730E0"/>
    <w:rsid w:val="00C731E2"/>
    <w:rsid w:val="00C74C78"/>
    <w:rsid w:val="00C76098"/>
    <w:rsid w:val="00C763C9"/>
    <w:rsid w:val="00C766A3"/>
    <w:rsid w:val="00C76729"/>
    <w:rsid w:val="00C77E9E"/>
    <w:rsid w:val="00C80057"/>
    <w:rsid w:val="00C819A2"/>
    <w:rsid w:val="00C81F75"/>
    <w:rsid w:val="00C82C79"/>
    <w:rsid w:val="00C832ED"/>
    <w:rsid w:val="00C84753"/>
    <w:rsid w:val="00C85063"/>
    <w:rsid w:val="00C85BE7"/>
    <w:rsid w:val="00C8687F"/>
    <w:rsid w:val="00C87B0C"/>
    <w:rsid w:val="00C90BB4"/>
    <w:rsid w:val="00C91611"/>
    <w:rsid w:val="00C91B72"/>
    <w:rsid w:val="00C92630"/>
    <w:rsid w:val="00C92D41"/>
    <w:rsid w:val="00C93813"/>
    <w:rsid w:val="00C95304"/>
    <w:rsid w:val="00C95988"/>
    <w:rsid w:val="00CA0032"/>
    <w:rsid w:val="00CA1E94"/>
    <w:rsid w:val="00CA3585"/>
    <w:rsid w:val="00CA3D5A"/>
    <w:rsid w:val="00CA3E75"/>
    <w:rsid w:val="00CA478A"/>
    <w:rsid w:val="00CA4C7C"/>
    <w:rsid w:val="00CA585A"/>
    <w:rsid w:val="00CB0183"/>
    <w:rsid w:val="00CB0926"/>
    <w:rsid w:val="00CB0EDC"/>
    <w:rsid w:val="00CB134E"/>
    <w:rsid w:val="00CB13ED"/>
    <w:rsid w:val="00CB1EA3"/>
    <w:rsid w:val="00CB3576"/>
    <w:rsid w:val="00CB3DE6"/>
    <w:rsid w:val="00CB552C"/>
    <w:rsid w:val="00CB6A9E"/>
    <w:rsid w:val="00CB6BA0"/>
    <w:rsid w:val="00CC0ACF"/>
    <w:rsid w:val="00CC137D"/>
    <w:rsid w:val="00CC2376"/>
    <w:rsid w:val="00CC2FE2"/>
    <w:rsid w:val="00CC37FF"/>
    <w:rsid w:val="00CC5C7B"/>
    <w:rsid w:val="00CC6181"/>
    <w:rsid w:val="00CD0EDE"/>
    <w:rsid w:val="00CD1139"/>
    <w:rsid w:val="00CD225D"/>
    <w:rsid w:val="00CD2BCD"/>
    <w:rsid w:val="00CD2D6D"/>
    <w:rsid w:val="00CD36AA"/>
    <w:rsid w:val="00CD3791"/>
    <w:rsid w:val="00CD3A22"/>
    <w:rsid w:val="00CD3C2D"/>
    <w:rsid w:val="00CD65B0"/>
    <w:rsid w:val="00CD6B07"/>
    <w:rsid w:val="00CD7ABB"/>
    <w:rsid w:val="00CE0243"/>
    <w:rsid w:val="00CE02CD"/>
    <w:rsid w:val="00CE0DC7"/>
    <w:rsid w:val="00CE10E9"/>
    <w:rsid w:val="00CE1C94"/>
    <w:rsid w:val="00CE1DC4"/>
    <w:rsid w:val="00CE287E"/>
    <w:rsid w:val="00CE2F75"/>
    <w:rsid w:val="00CE5647"/>
    <w:rsid w:val="00CE5812"/>
    <w:rsid w:val="00CE677F"/>
    <w:rsid w:val="00CE7B5C"/>
    <w:rsid w:val="00CF13C2"/>
    <w:rsid w:val="00CF1BFA"/>
    <w:rsid w:val="00CF4902"/>
    <w:rsid w:val="00CF49CE"/>
    <w:rsid w:val="00CF5352"/>
    <w:rsid w:val="00CF7B8A"/>
    <w:rsid w:val="00D0072E"/>
    <w:rsid w:val="00D01941"/>
    <w:rsid w:val="00D035B2"/>
    <w:rsid w:val="00D03CCF"/>
    <w:rsid w:val="00D0494E"/>
    <w:rsid w:val="00D04B9E"/>
    <w:rsid w:val="00D1069B"/>
    <w:rsid w:val="00D138BB"/>
    <w:rsid w:val="00D14D6D"/>
    <w:rsid w:val="00D153D3"/>
    <w:rsid w:val="00D156A9"/>
    <w:rsid w:val="00D15727"/>
    <w:rsid w:val="00D15FA2"/>
    <w:rsid w:val="00D16332"/>
    <w:rsid w:val="00D17AF2"/>
    <w:rsid w:val="00D202CA"/>
    <w:rsid w:val="00D20666"/>
    <w:rsid w:val="00D2080C"/>
    <w:rsid w:val="00D21A88"/>
    <w:rsid w:val="00D21B43"/>
    <w:rsid w:val="00D247A8"/>
    <w:rsid w:val="00D24972"/>
    <w:rsid w:val="00D24B3D"/>
    <w:rsid w:val="00D24E7F"/>
    <w:rsid w:val="00D2515E"/>
    <w:rsid w:val="00D270E8"/>
    <w:rsid w:val="00D30818"/>
    <w:rsid w:val="00D308ED"/>
    <w:rsid w:val="00D322BC"/>
    <w:rsid w:val="00D326F2"/>
    <w:rsid w:val="00D33399"/>
    <w:rsid w:val="00D33FA9"/>
    <w:rsid w:val="00D35C68"/>
    <w:rsid w:val="00D35D1E"/>
    <w:rsid w:val="00D371E6"/>
    <w:rsid w:val="00D41F5A"/>
    <w:rsid w:val="00D43CB4"/>
    <w:rsid w:val="00D443E1"/>
    <w:rsid w:val="00D4471E"/>
    <w:rsid w:val="00D461A1"/>
    <w:rsid w:val="00D46AEC"/>
    <w:rsid w:val="00D47F99"/>
    <w:rsid w:val="00D50282"/>
    <w:rsid w:val="00D5044D"/>
    <w:rsid w:val="00D51A2D"/>
    <w:rsid w:val="00D52210"/>
    <w:rsid w:val="00D5230B"/>
    <w:rsid w:val="00D55022"/>
    <w:rsid w:val="00D55328"/>
    <w:rsid w:val="00D56178"/>
    <w:rsid w:val="00D5620D"/>
    <w:rsid w:val="00D565F5"/>
    <w:rsid w:val="00D567B0"/>
    <w:rsid w:val="00D56CF0"/>
    <w:rsid w:val="00D56D7F"/>
    <w:rsid w:val="00D56F5C"/>
    <w:rsid w:val="00D60080"/>
    <w:rsid w:val="00D604DA"/>
    <w:rsid w:val="00D611C8"/>
    <w:rsid w:val="00D6408E"/>
    <w:rsid w:val="00D65ADE"/>
    <w:rsid w:val="00D65F05"/>
    <w:rsid w:val="00D65FFB"/>
    <w:rsid w:val="00D6635C"/>
    <w:rsid w:val="00D668FB"/>
    <w:rsid w:val="00D66972"/>
    <w:rsid w:val="00D704B1"/>
    <w:rsid w:val="00D70B63"/>
    <w:rsid w:val="00D72B92"/>
    <w:rsid w:val="00D72ED4"/>
    <w:rsid w:val="00D73F61"/>
    <w:rsid w:val="00D754C0"/>
    <w:rsid w:val="00D76E75"/>
    <w:rsid w:val="00D776A2"/>
    <w:rsid w:val="00D801C4"/>
    <w:rsid w:val="00D82355"/>
    <w:rsid w:val="00D84BE5"/>
    <w:rsid w:val="00D85285"/>
    <w:rsid w:val="00D87C0F"/>
    <w:rsid w:val="00D87FCE"/>
    <w:rsid w:val="00D90836"/>
    <w:rsid w:val="00D940A4"/>
    <w:rsid w:val="00D95896"/>
    <w:rsid w:val="00D95CC6"/>
    <w:rsid w:val="00D95D14"/>
    <w:rsid w:val="00D96838"/>
    <w:rsid w:val="00D96D08"/>
    <w:rsid w:val="00D9727B"/>
    <w:rsid w:val="00D97D58"/>
    <w:rsid w:val="00DA0397"/>
    <w:rsid w:val="00DA257C"/>
    <w:rsid w:val="00DA2843"/>
    <w:rsid w:val="00DA2B63"/>
    <w:rsid w:val="00DA2DA3"/>
    <w:rsid w:val="00DA4077"/>
    <w:rsid w:val="00DA47DE"/>
    <w:rsid w:val="00DA4A2B"/>
    <w:rsid w:val="00DA6015"/>
    <w:rsid w:val="00DA6615"/>
    <w:rsid w:val="00DA7243"/>
    <w:rsid w:val="00DA76AE"/>
    <w:rsid w:val="00DB02E3"/>
    <w:rsid w:val="00DB181E"/>
    <w:rsid w:val="00DB1C7A"/>
    <w:rsid w:val="00DB2983"/>
    <w:rsid w:val="00DB343D"/>
    <w:rsid w:val="00DB5579"/>
    <w:rsid w:val="00DB5766"/>
    <w:rsid w:val="00DB5CFE"/>
    <w:rsid w:val="00DB729E"/>
    <w:rsid w:val="00DB770D"/>
    <w:rsid w:val="00DC0D05"/>
    <w:rsid w:val="00DC154D"/>
    <w:rsid w:val="00DC2994"/>
    <w:rsid w:val="00DC2A4A"/>
    <w:rsid w:val="00DC2CC1"/>
    <w:rsid w:val="00DC2F03"/>
    <w:rsid w:val="00DC530E"/>
    <w:rsid w:val="00DC72A6"/>
    <w:rsid w:val="00DD1244"/>
    <w:rsid w:val="00DD1710"/>
    <w:rsid w:val="00DD2113"/>
    <w:rsid w:val="00DD265E"/>
    <w:rsid w:val="00DD31F5"/>
    <w:rsid w:val="00DD43AF"/>
    <w:rsid w:val="00DD53D0"/>
    <w:rsid w:val="00DD7132"/>
    <w:rsid w:val="00DD761B"/>
    <w:rsid w:val="00DE1D89"/>
    <w:rsid w:val="00DE23CC"/>
    <w:rsid w:val="00DE3152"/>
    <w:rsid w:val="00DE475B"/>
    <w:rsid w:val="00DE557A"/>
    <w:rsid w:val="00DE5D9C"/>
    <w:rsid w:val="00DE7637"/>
    <w:rsid w:val="00DF0623"/>
    <w:rsid w:val="00DF1930"/>
    <w:rsid w:val="00DF2487"/>
    <w:rsid w:val="00DF335C"/>
    <w:rsid w:val="00DF4B19"/>
    <w:rsid w:val="00DF514A"/>
    <w:rsid w:val="00DF5F51"/>
    <w:rsid w:val="00DF64F8"/>
    <w:rsid w:val="00E01452"/>
    <w:rsid w:val="00E01AD4"/>
    <w:rsid w:val="00E022A7"/>
    <w:rsid w:val="00E0358D"/>
    <w:rsid w:val="00E042AF"/>
    <w:rsid w:val="00E04AFA"/>
    <w:rsid w:val="00E051C6"/>
    <w:rsid w:val="00E06327"/>
    <w:rsid w:val="00E07051"/>
    <w:rsid w:val="00E077CB"/>
    <w:rsid w:val="00E103CB"/>
    <w:rsid w:val="00E10F0E"/>
    <w:rsid w:val="00E132C2"/>
    <w:rsid w:val="00E14626"/>
    <w:rsid w:val="00E15A05"/>
    <w:rsid w:val="00E16364"/>
    <w:rsid w:val="00E16DC2"/>
    <w:rsid w:val="00E16F66"/>
    <w:rsid w:val="00E202E5"/>
    <w:rsid w:val="00E2064B"/>
    <w:rsid w:val="00E25113"/>
    <w:rsid w:val="00E25239"/>
    <w:rsid w:val="00E265B1"/>
    <w:rsid w:val="00E275B0"/>
    <w:rsid w:val="00E30481"/>
    <w:rsid w:val="00E30FEB"/>
    <w:rsid w:val="00E35B07"/>
    <w:rsid w:val="00E369BA"/>
    <w:rsid w:val="00E412D0"/>
    <w:rsid w:val="00E42DE1"/>
    <w:rsid w:val="00E42EDB"/>
    <w:rsid w:val="00E43CAE"/>
    <w:rsid w:val="00E4413E"/>
    <w:rsid w:val="00E452F5"/>
    <w:rsid w:val="00E45723"/>
    <w:rsid w:val="00E459FF"/>
    <w:rsid w:val="00E45E0B"/>
    <w:rsid w:val="00E46340"/>
    <w:rsid w:val="00E475EB"/>
    <w:rsid w:val="00E47A06"/>
    <w:rsid w:val="00E47CDB"/>
    <w:rsid w:val="00E502DA"/>
    <w:rsid w:val="00E51A59"/>
    <w:rsid w:val="00E52AF8"/>
    <w:rsid w:val="00E544B9"/>
    <w:rsid w:val="00E5626F"/>
    <w:rsid w:val="00E566BC"/>
    <w:rsid w:val="00E567B6"/>
    <w:rsid w:val="00E56B00"/>
    <w:rsid w:val="00E57A95"/>
    <w:rsid w:val="00E60430"/>
    <w:rsid w:val="00E60982"/>
    <w:rsid w:val="00E60C8D"/>
    <w:rsid w:val="00E6121B"/>
    <w:rsid w:val="00E6162F"/>
    <w:rsid w:val="00E6311B"/>
    <w:rsid w:val="00E65B34"/>
    <w:rsid w:val="00E65D97"/>
    <w:rsid w:val="00E661DE"/>
    <w:rsid w:val="00E67A32"/>
    <w:rsid w:val="00E67BD4"/>
    <w:rsid w:val="00E67EFD"/>
    <w:rsid w:val="00E702DC"/>
    <w:rsid w:val="00E71335"/>
    <w:rsid w:val="00E715F5"/>
    <w:rsid w:val="00E71FFB"/>
    <w:rsid w:val="00E732AC"/>
    <w:rsid w:val="00E76CC1"/>
    <w:rsid w:val="00E76D1D"/>
    <w:rsid w:val="00E77B33"/>
    <w:rsid w:val="00E806F8"/>
    <w:rsid w:val="00E80EE3"/>
    <w:rsid w:val="00E82A83"/>
    <w:rsid w:val="00E831FA"/>
    <w:rsid w:val="00E84C74"/>
    <w:rsid w:val="00E85702"/>
    <w:rsid w:val="00E861F6"/>
    <w:rsid w:val="00E8668D"/>
    <w:rsid w:val="00E875EF"/>
    <w:rsid w:val="00E87752"/>
    <w:rsid w:val="00E8793B"/>
    <w:rsid w:val="00E90F81"/>
    <w:rsid w:val="00E91853"/>
    <w:rsid w:val="00E91A6D"/>
    <w:rsid w:val="00E9242D"/>
    <w:rsid w:val="00E92637"/>
    <w:rsid w:val="00E94E3A"/>
    <w:rsid w:val="00E96B9F"/>
    <w:rsid w:val="00E97809"/>
    <w:rsid w:val="00E97C05"/>
    <w:rsid w:val="00EA1252"/>
    <w:rsid w:val="00EA158C"/>
    <w:rsid w:val="00EA1BCC"/>
    <w:rsid w:val="00EA1C75"/>
    <w:rsid w:val="00EA2A13"/>
    <w:rsid w:val="00EA44A9"/>
    <w:rsid w:val="00EA49DB"/>
    <w:rsid w:val="00EA55D4"/>
    <w:rsid w:val="00EA68A2"/>
    <w:rsid w:val="00EB041C"/>
    <w:rsid w:val="00EB06BD"/>
    <w:rsid w:val="00EB2AF8"/>
    <w:rsid w:val="00EB679E"/>
    <w:rsid w:val="00EB6A15"/>
    <w:rsid w:val="00EC0DB8"/>
    <w:rsid w:val="00EC0FAB"/>
    <w:rsid w:val="00EC18EA"/>
    <w:rsid w:val="00EC2914"/>
    <w:rsid w:val="00EC2B1C"/>
    <w:rsid w:val="00EC3679"/>
    <w:rsid w:val="00EC4F83"/>
    <w:rsid w:val="00EC5874"/>
    <w:rsid w:val="00EC6120"/>
    <w:rsid w:val="00ED0391"/>
    <w:rsid w:val="00ED0A5E"/>
    <w:rsid w:val="00ED135C"/>
    <w:rsid w:val="00ED192D"/>
    <w:rsid w:val="00ED1CB3"/>
    <w:rsid w:val="00ED2447"/>
    <w:rsid w:val="00ED2F39"/>
    <w:rsid w:val="00ED30B4"/>
    <w:rsid w:val="00ED31F5"/>
    <w:rsid w:val="00ED574F"/>
    <w:rsid w:val="00EE3A3F"/>
    <w:rsid w:val="00EE797D"/>
    <w:rsid w:val="00EF082D"/>
    <w:rsid w:val="00EF22C1"/>
    <w:rsid w:val="00EF234C"/>
    <w:rsid w:val="00EF2759"/>
    <w:rsid w:val="00EF2C82"/>
    <w:rsid w:val="00EF45EB"/>
    <w:rsid w:val="00EF4E12"/>
    <w:rsid w:val="00EF5099"/>
    <w:rsid w:val="00EF542C"/>
    <w:rsid w:val="00EF586E"/>
    <w:rsid w:val="00EF5E33"/>
    <w:rsid w:val="00EF6FBA"/>
    <w:rsid w:val="00F00075"/>
    <w:rsid w:val="00F003DE"/>
    <w:rsid w:val="00F0126C"/>
    <w:rsid w:val="00F0254A"/>
    <w:rsid w:val="00F04975"/>
    <w:rsid w:val="00F0545F"/>
    <w:rsid w:val="00F058A4"/>
    <w:rsid w:val="00F06C63"/>
    <w:rsid w:val="00F07822"/>
    <w:rsid w:val="00F07BCE"/>
    <w:rsid w:val="00F12960"/>
    <w:rsid w:val="00F15C95"/>
    <w:rsid w:val="00F17480"/>
    <w:rsid w:val="00F211B5"/>
    <w:rsid w:val="00F22333"/>
    <w:rsid w:val="00F225FD"/>
    <w:rsid w:val="00F22985"/>
    <w:rsid w:val="00F235C2"/>
    <w:rsid w:val="00F23C0A"/>
    <w:rsid w:val="00F241AB"/>
    <w:rsid w:val="00F24FD6"/>
    <w:rsid w:val="00F27490"/>
    <w:rsid w:val="00F27E72"/>
    <w:rsid w:val="00F31382"/>
    <w:rsid w:val="00F3185B"/>
    <w:rsid w:val="00F32EE7"/>
    <w:rsid w:val="00F342CE"/>
    <w:rsid w:val="00F34EC7"/>
    <w:rsid w:val="00F3540F"/>
    <w:rsid w:val="00F35829"/>
    <w:rsid w:val="00F36747"/>
    <w:rsid w:val="00F36ED9"/>
    <w:rsid w:val="00F40502"/>
    <w:rsid w:val="00F406D8"/>
    <w:rsid w:val="00F408E6"/>
    <w:rsid w:val="00F4151A"/>
    <w:rsid w:val="00F42868"/>
    <w:rsid w:val="00F42CA4"/>
    <w:rsid w:val="00F4379C"/>
    <w:rsid w:val="00F43BCF"/>
    <w:rsid w:val="00F43CA5"/>
    <w:rsid w:val="00F44A91"/>
    <w:rsid w:val="00F46112"/>
    <w:rsid w:val="00F465A7"/>
    <w:rsid w:val="00F46F2B"/>
    <w:rsid w:val="00F47738"/>
    <w:rsid w:val="00F50466"/>
    <w:rsid w:val="00F50A51"/>
    <w:rsid w:val="00F50B7C"/>
    <w:rsid w:val="00F51639"/>
    <w:rsid w:val="00F51CA3"/>
    <w:rsid w:val="00F5202D"/>
    <w:rsid w:val="00F52CF6"/>
    <w:rsid w:val="00F53177"/>
    <w:rsid w:val="00F532B1"/>
    <w:rsid w:val="00F54496"/>
    <w:rsid w:val="00F55175"/>
    <w:rsid w:val="00F56A56"/>
    <w:rsid w:val="00F56EFA"/>
    <w:rsid w:val="00F603D0"/>
    <w:rsid w:val="00F6084B"/>
    <w:rsid w:val="00F61097"/>
    <w:rsid w:val="00F65F88"/>
    <w:rsid w:val="00F7136F"/>
    <w:rsid w:val="00F72DF7"/>
    <w:rsid w:val="00F72F72"/>
    <w:rsid w:val="00F73935"/>
    <w:rsid w:val="00F74345"/>
    <w:rsid w:val="00F74441"/>
    <w:rsid w:val="00F760CE"/>
    <w:rsid w:val="00F7668D"/>
    <w:rsid w:val="00F77410"/>
    <w:rsid w:val="00F77F30"/>
    <w:rsid w:val="00F82589"/>
    <w:rsid w:val="00F8265B"/>
    <w:rsid w:val="00F82B19"/>
    <w:rsid w:val="00F8371D"/>
    <w:rsid w:val="00F8387F"/>
    <w:rsid w:val="00F83AC7"/>
    <w:rsid w:val="00F85773"/>
    <w:rsid w:val="00F90343"/>
    <w:rsid w:val="00F90AA7"/>
    <w:rsid w:val="00F90BAB"/>
    <w:rsid w:val="00F90C25"/>
    <w:rsid w:val="00F9212D"/>
    <w:rsid w:val="00FA301A"/>
    <w:rsid w:val="00FA3762"/>
    <w:rsid w:val="00FA406A"/>
    <w:rsid w:val="00FA4376"/>
    <w:rsid w:val="00FA5CB6"/>
    <w:rsid w:val="00FA5E6A"/>
    <w:rsid w:val="00FA7FE9"/>
    <w:rsid w:val="00FB1CE3"/>
    <w:rsid w:val="00FB5907"/>
    <w:rsid w:val="00FB5F0A"/>
    <w:rsid w:val="00FC31DF"/>
    <w:rsid w:val="00FC66AC"/>
    <w:rsid w:val="00FC68E6"/>
    <w:rsid w:val="00FC7C76"/>
    <w:rsid w:val="00FD017D"/>
    <w:rsid w:val="00FD1809"/>
    <w:rsid w:val="00FD18F4"/>
    <w:rsid w:val="00FD2ABE"/>
    <w:rsid w:val="00FD4C70"/>
    <w:rsid w:val="00FD69C6"/>
    <w:rsid w:val="00FD74B4"/>
    <w:rsid w:val="00FD75BD"/>
    <w:rsid w:val="00FE01A8"/>
    <w:rsid w:val="00FE12D7"/>
    <w:rsid w:val="00FE2304"/>
    <w:rsid w:val="00FE2DF5"/>
    <w:rsid w:val="00FE2EA2"/>
    <w:rsid w:val="00FE35F9"/>
    <w:rsid w:val="00FE36A1"/>
    <w:rsid w:val="00FE477E"/>
    <w:rsid w:val="00FE4E20"/>
    <w:rsid w:val="00FF0274"/>
    <w:rsid w:val="00FF307D"/>
    <w:rsid w:val="00FF4FD5"/>
    <w:rsid w:val="00FF56A0"/>
    <w:rsid w:val="00FF6FCE"/>
    <w:rsid w:val="00FF7518"/>
    <w:rsid w:val="00FF7A6B"/>
    <w:rsid w:val="00FF7D2B"/>
    <w:rsid w:val="00FF7FD8"/>
    <w:rsid w:val="044829AD"/>
    <w:rsid w:val="05742AC8"/>
    <w:rsid w:val="06352F05"/>
    <w:rsid w:val="063E7D85"/>
    <w:rsid w:val="06997FA3"/>
    <w:rsid w:val="070875E0"/>
    <w:rsid w:val="07293586"/>
    <w:rsid w:val="07295285"/>
    <w:rsid w:val="07770C56"/>
    <w:rsid w:val="092217DD"/>
    <w:rsid w:val="093A7294"/>
    <w:rsid w:val="0B3061F2"/>
    <w:rsid w:val="0BD27BF6"/>
    <w:rsid w:val="0E110D06"/>
    <w:rsid w:val="0F13775A"/>
    <w:rsid w:val="0F9A112B"/>
    <w:rsid w:val="106D2F64"/>
    <w:rsid w:val="10B63710"/>
    <w:rsid w:val="111C2F7A"/>
    <w:rsid w:val="113013DE"/>
    <w:rsid w:val="122B06C2"/>
    <w:rsid w:val="13951726"/>
    <w:rsid w:val="14396509"/>
    <w:rsid w:val="1447165C"/>
    <w:rsid w:val="15E41A98"/>
    <w:rsid w:val="17735226"/>
    <w:rsid w:val="1A1C66C0"/>
    <w:rsid w:val="1A42393B"/>
    <w:rsid w:val="1B046F80"/>
    <w:rsid w:val="1B3267B5"/>
    <w:rsid w:val="1BC25DC8"/>
    <w:rsid w:val="1C5E7925"/>
    <w:rsid w:val="1C887FC8"/>
    <w:rsid w:val="1D5F6196"/>
    <w:rsid w:val="1D6132A5"/>
    <w:rsid w:val="1D8E56D5"/>
    <w:rsid w:val="1E7A43DA"/>
    <w:rsid w:val="1EB277FE"/>
    <w:rsid w:val="1FE7539E"/>
    <w:rsid w:val="20963CB8"/>
    <w:rsid w:val="20B07FB6"/>
    <w:rsid w:val="213B74B1"/>
    <w:rsid w:val="215A2310"/>
    <w:rsid w:val="21DE318A"/>
    <w:rsid w:val="21EF5B80"/>
    <w:rsid w:val="22576990"/>
    <w:rsid w:val="229C4EAB"/>
    <w:rsid w:val="2355755B"/>
    <w:rsid w:val="252D53FE"/>
    <w:rsid w:val="25EC2D81"/>
    <w:rsid w:val="264528BD"/>
    <w:rsid w:val="27D15DD1"/>
    <w:rsid w:val="28A76295"/>
    <w:rsid w:val="29206EB8"/>
    <w:rsid w:val="29E325E0"/>
    <w:rsid w:val="2A452503"/>
    <w:rsid w:val="2AE840AE"/>
    <w:rsid w:val="2BA936A8"/>
    <w:rsid w:val="2C315A5A"/>
    <w:rsid w:val="2D4E0983"/>
    <w:rsid w:val="2D9E56F5"/>
    <w:rsid w:val="2E667F96"/>
    <w:rsid w:val="2E8226AB"/>
    <w:rsid w:val="2F832C79"/>
    <w:rsid w:val="2FEF2D58"/>
    <w:rsid w:val="2FFFC6FD"/>
    <w:rsid w:val="30580BC9"/>
    <w:rsid w:val="311E2ED7"/>
    <w:rsid w:val="315C449C"/>
    <w:rsid w:val="31B82709"/>
    <w:rsid w:val="32400B34"/>
    <w:rsid w:val="329E6876"/>
    <w:rsid w:val="33D934D4"/>
    <w:rsid w:val="33FE2F6A"/>
    <w:rsid w:val="36074A7F"/>
    <w:rsid w:val="36923549"/>
    <w:rsid w:val="36B75FBF"/>
    <w:rsid w:val="36FB4891"/>
    <w:rsid w:val="387F4CA0"/>
    <w:rsid w:val="38F12CD3"/>
    <w:rsid w:val="38F94775"/>
    <w:rsid w:val="392971ED"/>
    <w:rsid w:val="3B3763D1"/>
    <w:rsid w:val="3BEF693C"/>
    <w:rsid w:val="3CDA245A"/>
    <w:rsid w:val="3CEE0A37"/>
    <w:rsid w:val="3F660E74"/>
    <w:rsid w:val="407A6407"/>
    <w:rsid w:val="423A3BCC"/>
    <w:rsid w:val="433A6FE6"/>
    <w:rsid w:val="4350713C"/>
    <w:rsid w:val="436653E0"/>
    <w:rsid w:val="44CD14E0"/>
    <w:rsid w:val="451724F0"/>
    <w:rsid w:val="458946E9"/>
    <w:rsid w:val="46D955A7"/>
    <w:rsid w:val="47133957"/>
    <w:rsid w:val="4779329E"/>
    <w:rsid w:val="47A07E0C"/>
    <w:rsid w:val="4870272E"/>
    <w:rsid w:val="49DC7715"/>
    <w:rsid w:val="4A023139"/>
    <w:rsid w:val="4A7B576F"/>
    <w:rsid w:val="4C4A0649"/>
    <w:rsid w:val="4CE470D3"/>
    <w:rsid w:val="4DEC4FB0"/>
    <w:rsid w:val="4E075D8A"/>
    <w:rsid w:val="4FC62A8C"/>
    <w:rsid w:val="4FE20F0D"/>
    <w:rsid w:val="50504C4B"/>
    <w:rsid w:val="509C6E7C"/>
    <w:rsid w:val="5162104E"/>
    <w:rsid w:val="52093F4A"/>
    <w:rsid w:val="53A039CC"/>
    <w:rsid w:val="53A1505A"/>
    <w:rsid w:val="54063E08"/>
    <w:rsid w:val="543437E8"/>
    <w:rsid w:val="559B174B"/>
    <w:rsid w:val="55CE0CF4"/>
    <w:rsid w:val="56B22A9C"/>
    <w:rsid w:val="57B72A76"/>
    <w:rsid w:val="5A3C747D"/>
    <w:rsid w:val="5ABE2233"/>
    <w:rsid w:val="5B276D18"/>
    <w:rsid w:val="5BDF5D95"/>
    <w:rsid w:val="5DF87A0F"/>
    <w:rsid w:val="5F1A2B43"/>
    <w:rsid w:val="5FB837BB"/>
    <w:rsid w:val="5FC04FEE"/>
    <w:rsid w:val="62364782"/>
    <w:rsid w:val="63D40BE9"/>
    <w:rsid w:val="63E0211F"/>
    <w:rsid w:val="65373578"/>
    <w:rsid w:val="673F2C7A"/>
    <w:rsid w:val="681F6961"/>
    <w:rsid w:val="68610A2F"/>
    <w:rsid w:val="68805514"/>
    <w:rsid w:val="694E2071"/>
    <w:rsid w:val="697A3B33"/>
    <w:rsid w:val="699E2456"/>
    <w:rsid w:val="6B322639"/>
    <w:rsid w:val="6C636C38"/>
    <w:rsid w:val="6DB34098"/>
    <w:rsid w:val="6DB545B6"/>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31F5D5E"/>
    <w:rsid w:val="741E793C"/>
    <w:rsid w:val="758D75E2"/>
    <w:rsid w:val="761C0527"/>
    <w:rsid w:val="77762421"/>
    <w:rsid w:val="780F09F4"/>
    <w:rsid w:val="789C4F47"/>
    <w:rsid w:val="78A90480"/>
    <w:rsid w:val="79811327"/>
    <w:rsid w:val="7A364017"/>
    <w:rsid w:val="7A8265E1"/>
    <w:rsid w:val="7B686D42"/>
    <w:rsid w:val="7B841746"/>
    <w:rsid w:val="7B9C0F33"/>
    <w:rsid w:val="7D0239FF"/>
    <w:rsid w:val="7D5E40CD"/>
    <w:rsid w:val="7D693BED"/>
    <w:rsid w:val="7DE25835"/>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qFormat="1" w:unhideWhenUsed="0" w:uiPriority="0" w:semiHidden="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verflowPunct w:val="0"/>
      <w:snapToGrid w:val="0"/>
      <w:spacing w:line="360" w:lineRule="auto"/>
      <w:ind w:left="431" w:hanging="431"/>
      <w:jc w:val="center"/>
      <w:outlineLvl w:val="0"/>
    </w:pPr>
    <w:rPr>
      <w:rFonts w:eastAsia="黑体"/>
      <w:bCs/>
      <w:color w:val="000000"/>
      <w:kern w:val="44"/>
      <w:sz w:val="30"/>
      <w:szCs w:val="30"/>
    </w:rPr>
  </w:style>
  <w:style w:type="paragraph" w:styleId="3">
    <w:name w:val="heading 2"/>
    <w:basedOn w:val="1"/>
    <w:next w:val="1"/>
    <w:link w:val="27"/>
    <w:qFormat/>
    <w:locked/>
    <w:uiPriority w:val="0"/>
    <w:pPr>
      <w:keepNext/>
      <w:keepLines/>
      <w:spacing w:before="260" w:after="260" w:line="416" w:lineRule="auto"/>
      <w:outlineLvl w:val="1"/>
    </w:pPr>
    <w:rPr>
      <w:rFonts w:ascii="Cambria" w:hAnsi="Cambria"/>
      <w:b/>
      <w:bCs/>
      <w:sz w:val="32"/>
      <w:szCs w:val="32"/>
    </w:rPr>
  </w:style>
  <w:style w:type="character" w:default="1" w:styleId="23">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caption"/>
    <w:basedOn w:val="1"/>
    <w:next w:val="1"/>
    <w:link w:val="28"/>
    <w:qFormat/>
    <w:locked/>
    <w:uiPriority w:val="0"/>
    <w:pPr>
      <w:spacing w:line="500" w:lineRule="exact"/>
      <w:jc w:val="center"/>
    </w:pPr>
    <w:rPr>
      <w:rFonts w:ascii="黑体" w:hAnsi="黑体" w:eastAsia="黑体"/>
      <w:szCs w:val="20"/>
    </w:rPr>
  </w:style>
  <w:style w:type="paragraph" w:styleId="6">
    <w:name w:val="annotation text"/>
    <w:basedOn w:val="1"/>
    <w:link w:val="29"/>
    <w:semiHidden/>
    <w:qFormat/>
    <w:uiPriority w:val="0"/>
    <w:pPr>
      <w:jc w:val="left"/>
    </w:pPr>
    <w:rPr>
      <w:kern w:val="0"/>
      <w:sz w:val="20"/>
    </w:rPr>
  </w:style>
  <w:style w:type="paragraph" w:styleId="7">
    <w:name w:val="Body Text"/>
    <w:basedOn w:val="1"/>
    <w:link w:val="30"/>
    <w:qFormat/>
    <w:uiPriority w:val="1"/>
    <w:pPr>
      <w:widowControl/>
      <w:snapToGrid w:val="0"/>
      <w:spacing w:before="60" w:after="160" w:line="259" w:lineRule="auto"/>
      <w:ind w:right="113"/>
    </w:pPr>
    <w:rPr>
      <w:kern w:val="0"/>
      <w:sz w:val="18"/>
      <w:szCs w:val="18"/>
    </w:rPr>
  </w:style>
  <w:style w:type="paragraph" w:styleId="8">
    <w:name w:val="Body Text Indent"/>
    <w:basedOn w:val="1"/>
    <w:link w:val="31"/>
    <w:semiHidden/>
    <w:qFormat/>
    <w:uiPriority w:val="0"/>
    <w:pPr>
      <w:spacing w:after="120"/>
      <w:ind w:left="420" w:leftChars="200"/>
    </w:pPr>
  </w:style>
  <w:style w:type="paragraph" w:styleId="9">
    <w:name w:val="Date"/>
    <w:basedOn w:val="1"/>
    <w:next w:val="1"/>
    <w:link w:val="32"/>
    <w:qFormat/>
    <w:uiPriority w:val="0"/>
    <w:pPr>
      <w:ind w:left="100" w:leftChars="2500"/>
    </w:pPr>
    <w:rPr>
      <w:kern w:val="0"/>
      <w:sz w:val="20"/>
    </w:rPr>
  </w:style>
  <w:style w:type="paragraph" w:styleId="10">
    <w:name w:val="Body Text Indent 2"/>
    <w:basedOn w:val="1"/>
    <w:link w:val="83"/>
    <w:qFormat/>
    <w:uiPriority w:val="99"/>
    <w:pPr>
      <w:spacing w:after="120" w:line="480" w:lineRule="auto"/>
      <w:ind w:left="420" w:leftChars="200"/>
    </w:pPr>
    <w:rPr>
      <w:kern w:val="0"/>
      <w:sz w:val="20"/>
      <w:szCs w:val="21"/>
    </w:rPr>
  </w:style>
  <w:style w:type="paragraph" w:styleId="11">
    <w:name w:val="Balloon Text"/>
    <w:basedOn w:val="1"/>
    <w:link w:val="33"/>
    <w:semiHidden/>
    <w:qFormat/>
    <w:uiPriority w:val="0"/>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36"/>
    <w:qFormat/>
    <w:uiPriority w:val="99"/>
    <w:pPr>
      <w:widowControl/>
      <w:spacing w:before="100" w:beforeAutospacing="1" w:after="100" w:afterAutospacing="1"/>
      <w:jc w:val="left"/>
    </w:pPr>
    <w:rPr>
      <w:rFonts w:ascii="宋体" w:hAnsi="宋体"/>
      <w:kern w:val="0"/>
      <w:sz w:val="24"/>
    </w:rPr>
  </w:style>
  <w:style w:type="paragraph" w:styleId="15">
    <w:name w:val="Title"/>
    <w:basedOn w:val="1"/>
    <w:next w:val="1"/>
    <w:link w:val="70"/>
    <w:qFormat/>
    <w:locked/>
    <w:uiPriority w:val="0"/>
    <w:pPr>
      <w:spacing w:line="360" w:lineRule="auto"/>
      <w:jc w:val="center"/>
      <w:outlineLvl w:val="0"/>
    </w:pPr>
    <w:rPr>
      <w:rFonts w:eastAsia="黑体" w:asciiTheme="majorHAnsi" w:hAnsiTheme="majorHAnsi" w:cstheme="majorBidi"/>
      <w:bCs/>
      <w:sz w:val="30"/>
      <w:szCs w:val="32"/>
    </w:rPr>
  </w:style>
  <w:style w:type="paragraph" w:styleId="16">
    <w:name w:val="annotation subject"/>
    <w:basedOn w:val="6"/>
    <w:next w:val="6"/>
    <w:link w:val="37"/>
    <w:semiHidden/>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9">
    <w:name w:val="Table Theme"/>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0">
    <w:name w:val="Table Classic 1"/>
    <w:basedOn w:val="17"/>
    <w:qFormat/>
    <w:uiPriority w:val="0"/>
    <w:pPr>
      <w:widowControl w:val="0"/>
      <w:jc w:val="both"/>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21">
    <w:name w:val="Table Grid 1"/>
    <w:basedOn w:val="1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22">
    <w:name w:val="Table Grid 2"/>
    <w:basedOn w:val="17"/>
    <w:qFormat/>
    <w:uiPriority w:val="0"/>
    <w:pPr>
      <w:widowControl w:val="0"/>
      <w:jc w:val="both"/>
    </w:p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character" w:styleId="24">
    <w:name w:val="page number"/>
    <w:qFormat/>
    <w:uiPriority w:val="0"/>
  </w:style>
  <w:style w:type="character" w:styleId="25">
    <w:name w:val="Hyperlink"/>
    <w:basedOn w:val="23"/>
    <w:qFormat/>
    <w:uiPriority w:val="0"/>
    <w:rPr>
      <w:color w:val="0563C1" w:themeColor="hyperlink"/>
      <w:u w:val="single"/>
      <w14:textFill>
        <w14:solidFill>
          <w14:schemeClr w14:val="hlink"/>
        </w14:solidFill>
      </w14:textFill>
    </w:rPr>
  </w:style>
  <w:style w:type="character" w:styleId="26">
    <w:name w:val="annotation reference"/>
    <w:semiHidden/>
    <w:qFormat/>
    <w:uiPriority w:val="0"/>
    <w:rPr>
      <w:sz w:val="21"/>
    </w:rPr>
  </w:style>
  <w:style w:type="character" w:customStyle="1" w:styleId="27">
    <w:name w:val="标题 2 字符"/>
    <w:link w:val="3"/>
    <w:semiHidden/>
    <w:qFormat/>
    <w:uiPriority w:val="0"/>
    <w:rPr>
      <w:rFonts w:ascii="Cambria" w:hAnsi="Cambria" w:eastAsia="宋体" w:cs="Times New Roman"/>
      <w:b/>
      <w:bCs/>
      <w:kern w:val="2"/>
      <w:sz w:val="32"/>
      <w:szCs w:val="32"/>
    </w:rPr>
  </w:style>
  <w:style w:type="character" w:customStyle="1" w:styleId="28">
    <w:name w:val="题注 字符"/>
    <w:link w:val="5"/>
    <w:qFormat/>
    <w:uiPriority w:val="0"/>
    <w:rPr>
      <w:rFonts w:ascii="黑体" w:hAnsi="黑体" w:eastAsia="黑体"/>
      <w:kern w:val="2"/>
      <w:sz w:val="21"/>
    </w:rPr>
  </w:style>
  <w:style w:type="character" w:customStyle="1" w:styleId="29">
    <w:name w:val="批注文字 字符"/>
    <w:link w:val="6"/>
    <w:qFormat/>
    <w:locked/>
    <w:uiPriority w:val="0"/>
    <w:rPr>
      <w:rFonts w:ascii="Times New Roman" w:hAnsi="Times New Roman" w:eastAsia="宋体"/>
      <w:sz w:val="24"/>
    </w:rPr>
  </w:style>
  <w:style w:type="character" w:customStyle="1" w:styleId="30">
    <w:name w:val="正文文本 字符"/>
    <w:link w:val="7"/>
    <w:qFormat/>
    <w:locked/>
    <w:uiPriority w:val="1"/>
    <w:rPr>
      <w:sz w:val="18"/>
    </w:rPr>
  </w:style>
  <w:style w:type="character" w:customStyle="1" w:styleId="31">
    <w:name w:val="正文文本缩进 字符"/>
    <w:link w:val="8"/>
    <w:semiHidden/>
    <w:qFormat/>
    <w:locked/>
    <w:uiPriority w:val="0"/>
    <w:rPr>
      <w:rFonts w:ascii="Times New Roman" w:hAnsi="Times New Roman" w:eastAsia="宋体" w:cs="Times New Roman"/>
      <w:sz w:val="24"/>
      <w:szCs w:val="24"/>
    </w:rPr>
  </w:style>
  <w:style w:type="character" w:customStyle="1" w:styleId="32">
    <w:name w:val="日期 字符1"/>
    <w:link w:val="9"/>
    <w:qFormat/>
    <w:locked/>
    <w:uiPriority w:val="0"/>
    <w:rPr>
      <w:rFonts w:ascii="Times New Roman" w:hAnsi="Times New Roman" w:eastAsia="宋体"/>
      <w:sz w:val="24"/>
    </w:rPr>
  </w:style>
  <w:style w:type="character" w:customStyle="1" w:styleId="33">
    <w:name w:val="批注框文本 字符"/>
    <w:link w:val="11"/>
    <w:semiHidden/>
    <w:qFormat/>
    <w:locked/>
    <w:uiPriority w:val="0"/>
    <w:rPr>
      <w:rFonts w:ascii="Times New Roman" w:hAnsi="Times New Roman" w:eastAsia="宋体" w:cs="Times New Roman"/>
      <w:sz w:val="18"/>
      <w:szCs w:val="18"/>
    </w:rPr>
  </w:style>
  <w:style w:type="character" w:customStyle="1" w:styleId="34">
    <w:name w:val="页脚 字符1"/>
    <w:link w:val="12"/>
    <w:qFormat/>
    <w:locked/>
    <w:uiPriority w:val="0"/>
    <w:rPr>
      <w:rFonts w:cs="Times New Roman"/>
      <w:sz w:val="18"/>
      <w:szCs w:val="18"/>
    </w:rPr>
  </w:style>
  <w:style w:type="character" w:customStyle="1" w:styleId="35">
    <w:name w:val="页眉 字符"/>
    <w:link w:val="13"/>
    <w:qFormat/>
    <w:locked/>
    <w:uiPriority w:val="99"/>
    <w:rPr>
      <w:rFonts w:cs="Times New Roman"/>
      <w:sz w:val="18"/>
      <w:szCs w:val="18"/>
    </w:rPr>
  </w:style>
  <w:style w:type="character" w:customStyle="1" w:styleId="36">
    <w:name w:val="普通(网站) 字符"/>
    <w:link w:val="14"/>
    <w:qFormat/>
    <w:locked/>
    <w:uiPriority w:val="0"/>
    <w:rPr>
      <w:rFonts w:ascii="宋体" w:hAnsi="宋体" w:eastAsia="宋体"/>
      <w:sz w:val="24"/>
    </w:rPr>
  </w:style>
  <w:style w:type="character" w:customStyle="1" w:styleId="37">
    <w:name w:val="批注主题 字符"/>
    <w:link w:val="16"/>
    <w:semiHidden/>
    <w:qFormat/>
    <w:locked/>
    <w:uiPriority w:val="0"/>
    <w:rPr>
      <w:rFonts w:ascii="Times New Roman" w:hAnsi="Times New Roman" w:eastAsia="宋体" w:cs="Times New Roman"/>
      <w:b/>
      <w:bCs/>
      <w:kern w:val="2"/>
      <w:sz w:val="24"/>
      <w:szCs w:val="24"/>
    </w:rPr>
  </w:style>
  <w:style w:type="character" w:customStyle="1" w:styleId="38">
    <w:name w:val="日期 字符"/>
    <w:semiHidden/>
    <w:qFormat/>
    <w:uiPriority w:val="0"/>
    <w:rPr>
      <w:rFonts w:ascii="Times New Roman" w:hAnsi="Times New Roman" w:eastAsia="宋体" w:cs="Times New Roman"/>
      <w:sz w:val="24"/>
      <w:szCs w:val="24"/>
    </w:rPr>
  </w:style>
  <w:style w:type="character" w:customStyle="1" w:styleId="39">
    <w:name w:val="正文文本 字符1"/>
    <w:semiHidden/>
    <w:qFormat/>
    <w:uiPriority w:val="0"/>
    <w:rPr>
      <w:rFonts w:ascii="Times New Roman" w:hAnsi="Times New Roman" w:eastAsia="宋体" w:cs="Times New Roman"/>
      <w:sz w:val="24"/>
      <w:szCs w:val="24"/>
    </w:rPr>
  </w:style>
  <w:style w:type="paragraph" w:customStyle="1" w:styleId="40">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1">
    <w:name w:val="表格 Char"/>
    <w:link w:val="42"/>
    <w:qFormat/>
    <w:locked/>
    <w:uiPriority w:val="0"/>
    <w:rPr>
      <w:rFonts w:ascii="宋体"/>
      <w:sz w:val="21"/>
    </w:rPr>
  </w:style>
  <w:style w:type="paragraph" w:customStyle="1" w:styleId="42">
    <w:name w:val="表格"/>
    <w:basedOn w:val="1"/>
    <w:next w:val="1"/>
    <w:link w:val="41"/>
    <w:qFormat/>
    <w:uiPriority w:val="0"/>
    <w:pPr>
      <w:adjustRightInd w:val="0"/>
      <w:snapToGrid w:val="0"/>
      <w:spacing w:beforeLines="10" w:afterLines="10" w:line="259" w:lineRule="auto"/>
      <w:jc w:val="center"/>
    </w:pPr>
    <w:rPr>
      <w:rFonts w:ascii="宋体"/>
      <w:kern w:val="0"/>
      <w:sz w:val="20"/>
      <w:szCs w:val="21"/>
    </w:rPr>
  </w:style>
  <w:style w:type="character" w:customStyle="1" w:styleId="43">
    <w:name w:val="批注文字 字符1"/>
    <w:semiHidden/>
    <w:qFormat/>
    <w:uiPriority w:val="0"/>
    <w:rPr>
      <w:rFonts w:ascii="Times New Roman" w:hAnsi="Times New Roman" w:eastAsia="宋体" w:cs="Times New Roman"/>
      <w:sz w:val="24"/>
      <w:szCs w:val="24"/>
    </w:rPr>
  </w:style>
  <w:style w:type="character" w:customStyle="1" w:styleId="44">
    <w:name w:val="普通(网站) Char"/>
    <w:qFormat/>
    <w:locked/>
    <w:uiPriority w:val="0"/>
    <w:rPr>
      <w:rFonts w:ascii="宋体" w:hAnsi="宋体" w:eastAsia="宋体"/>
      <w:sz w:val="24"/>
    </w:rPr>
  </w:style>
  <w:style w:type="paragraph" w:customStyle="1" w:styleId="45">
    <w:name w:val="MEL表字-书"/>
    <w:basedOn w:val="1"/>
    <w:link w:val="46"/>
    <w:qFormat/>
    <w:uiPriority w:val="0"/>
    <w:pPr>
      <w:spacing w:line="300" w:lineRule="exact"/>
      <w:jc w:val="center"/>
    </w:pPr>
    <w:rPr>
      <w:rFonts w:ascii="宋体" w:hAnsi="宋体"/>
      <w:kern w:val="0"/>
      <w:szCs w:val="21"/>
    </w:rPr>
  </w:style>
  <w:style w:type="character" w:customStyle="1" w:styleId="46">
    <w:name w:val="MEL表字-书 字符"/>
    <w:link w:val="45"/>
    <w:qFormat/>
    <w:uiPriority w:val="0"/>
    <w:rPr>
      <w:rFonts w:ascii="宋体" w:hAnsi="宋体"/>
      <w:sz w:val="21"/>
      <w:szCs w:val="21"/>
    </w:rPr>
  </w:style>
  <w:style w:type="paragraph" w:customStyle="1" w:styleId="47">
    <w:name w:val="MEL正文*"/>
    <w:basedOn w:val="1"/>
    <w:link w:val="48"/>
    <w:qFormat/>
    <w:uiPriority w:val="0"/>
    <w:pPr>
      <w:spacing w:line="500" w:lineRule="exact"/>
      <w:ind w:firstLine="200" w:firstLineChars="200"/>
    </w:pPr>
    <w:rPr>
      <w:rFonts w:ascii="宋体" w:hAnsi="宋体"/>
      <w:kern w:val="0"/>
      <w:sz w:val="24"/>
    </w:rPr>
  </w:style>
  <w:style w:type="character" w:customStyle="1" w:styleId="48">
    <w:name w:val="MEL正文* 字符"/>
    <w:link w:val="47"/>
    <w:qFormat/>
    <w:uiPriority w:val="0"/>
    <w:rPr>
      <w:rFonts w:ascii="宋体" w:hAnsi="宋体"/>
      <w:sz w:val="24"/>
      <w:szCs w:val="24"/>
    </w:rPr>
  </w:style>
  <w:style w:type="character" w:customStyle="1" w:styleId="49">
    <w:name w:val="表字-书 Char"/>
    <w:link w:val="50"/>
    <w:qFormat/>
    <w:uiPriority w:val="0"/>
    <w:rPr>
      <w:rFonts w:ascii="宋体" w:hAnsi="宋体" w:cs="Arial"/>
      <w:kern w:val="2"/>
      <w:sz w:val="21"/>
      <w:szCs w:val="21"/>
    </w:rPr>
  </w:style>
  <w:style w:type="paragraph" w:customStyle="1" w:styleId="50">
    <w:name w:val="表字-书"/>
    <w:basedOn w:val="1"/>
    <w:link w:val="49"/>
    <w:qFormat/>
    <w:uiPriority w:val="0"/>
    <w:pPr>
      <w:widowControl/>
      <w:spacing w:line="240" w:lineRule="exact"/>
      <w:jc w:val="center"/>
    </w:pPr>
    <w:rPr>
      <w:rFonts w:ascii="宋体" w:hAnsi="宋体" w:cs="Arial"/>
      <w:szCs w:val="21"/>
    </w:rPr>
  </w:style>
  <w:style w:type="character" w:customStyle="1" w:styleId="51">
    <w:name w:val="题注 字符1"/>
    <w:qFormat/>
    <w:uiPriority w:val="0"/>
    <w:rPr>
      <w:rFonts w:ascii="宋体" w:hAnsi="宋体" w:eastAsia="黑体" w:cs="宋体"/>
      <w:sz w:val="21"/>
      <w:szCs w:val="24"/>
    </w:rPr>
  </w:style>
  <w:style w:type="character" w:customStyle="1" w:styleId="52">
    <w:name w:val="页脚 字符"/>
    <w:qFormat/>
    <w:uiPriority w:val="99"/>
  </w:style>
  <w:style w:type="character" w:customStyle="1" w:styleId="53">
    <w:name w:val="YJ正文* 字符"/>
    <w:link w:val="54"/>
    <w:qFormat/>
    <w:locked/>
    <w:uiPriority w:val="0"/>
    <w:rPr>
      <w:rFonts w:ascii="宋体" w:hAnsi="宋体" w:cs="宋体"/>
      <w:sz w:val="24"/>
      <w:szCs w:val="24"/>
    </w:rPr>
  </w:style>
  <w:style w:type="paragraph" w:customStyle="1" w:styleId="54">
    <w:name w:val="YJ正文*"/>
    <w:basedOn w:val="1"/>
    <w:link w:val="53"/>
    <w:qFormat/>
    <w:uiPriority w:val="0"/>
    <w:pPr>
      <w:widowControl/>
      <w:spacing w:line="500" w:lineRule="exact"/>
      <w:ind w:firstLine="200" w:firstLineChars="200"/>
    </w:pPr>
    <w:rPr>
      <w:rFonts w:ascii="宋体" w:hAnsi="宋体" w:cs="宋体"/>
      <w:kern w:val="0"/>
      <w:sz w:val="24"/>
    </w:rPr>
  </w:style>
  <w:style w:type="paragraph" w:customStyle="1" w:styleId="55">
    <w:name w:val="正文 CDD"/>
    <w:basedOn w:val="1"/>
    <w:qFormat/>
    <w:uiPriority w:val="0"/>
    <w:pPr>
      <w:ind w:firstLine="480"/>
    </w:pPr>
    <w:rPr>
      <w:rFonts w:ascii="等线" w:hAnsi="宋体"/>
      <w:sz w:val="24"/>
    </w:rPr>
  </w:style>
  <w:style w:type="paragraph" w:customStyle="1" w:styleId="56">
    <w:name w:val="标题3 CDD"/>
    <w:basedOn w:val="1"/>
    <w:qFormat/>
    <w:uiPriority w:val="0"/>
    <w:pPr>
      <w:adjustRightInd w:val="0"/>
      <w:snapToGrid w:val="0"/>
      <w:spacing w:line="500" w:lineRule="exact"/>
      <w:ind w:firstLine="482"/>
    </w:pPr>
    <w:rPr>
      <w:rFonts w:hAnsi="宋体"/>
      <w:b/>
      <w:sz w:val="24"/>
    </w:rPr>
  </w:style>
  <w:style w:type="character" w:customStyle="1" w:styleId="57">
    <w:name w:val="正文(首行缩进) Char Char"/>
    <w:link w:val="58"/>
    <w:qFormat/>
    <w:locked/>
    <w:uiPriority w:val="99"/>
    <w:rPr>
      <w:rFonts w:hAnsi="宋体"/>
      <w:spacing w:val="-2"/>
      <w:sz w:val="24"/>
      <w:szCs w:val="24"/>
    </w:rPr>
  </w:style>
  <w:style w:type="paragraph" w:customStyle="1" w:styleId="58">
    <w:name w:val="正文(首行缩进)"/>
    <w:basedOn w:val="1"/>
    <w:link w:val="57"/>
    <w:qFormat/>
    <w:uiPriority w:val="99"/>
    <w:pPr>
      <w:widowControl/>
      <w:tabs>
        <w:tab w:val="left" w:pos="4584"/>
      </w:tabs>
      <w:adjustRightInd w:val="0"/>
      <w:snapToGrid w:val="0"/>
      <w:ind w:firstLine="531" w:firstLineChars="225"/>
      <w:jc w:val="left"/>
    </w:pPr>
    <w:rPr>
      <w:rFonts w:hAnsi="宋体"/>
      <w:spacing w:val="-2"/>
      <w:kern w:val="0"/>
      <w:sz w:val="24"/>
    </w:rPr>
  </w:style>
  <w:style w:type="character" w:customStyle="1" w:styleId="59">
    <w:name w:val="表内样式 字符"/>
    <w:link w:val="60"/>
    <w:qFormat/>
    <w:uiPriority w:val="0"/>
    <w:rPr>
      <w:rFonts w:ascii="宋体" w:hAnsi="宋体" w:eastAsia="仿宋_GB2312"/>
      <w:kern w:val="2"/>
      <w:sz w:val="21"/>
      <w:szCs w:val="21"/>
    </w:rPr>
  </w:style>
  <w:style w:type="paragraph" w:customStyle="1" w:styleId="60">
    <w:name w:val="表内样式"/>
    <w:basedOn w:val="42"/>
    <w:link w:val="59"/>
    <w:qFormat/>
    <w:uiPriority w:val="0"/>
    <w:pPr>
      <w:widowControl/>
      <w:overflowPunct w:val="0"/>
      <w:spacing w:beforeLines="0" w:afterLines="0" w:line="300" w:lineRule="atLeast"/>
      <w:jc w:val="left"/>
    </w:pPr>
    <w:rPr>
      <w:rFonts w:hAnsi="宋体" w:eastAsia="仿宋_GB2312"/>
      <w:kern w:val="2"/>
      <w:sz w:val="21"/>
    </w:rPr>
  </w:style>
  <w:style w:type="character" w:customStyle="1" w:styleId="61">
    <w:name w:val="表内文字 字符"/>
    <w:link w:val="62"/>
    <w:qFormat/>
    <w:locked/>
    <w:uiPriority w:val="0"/>
    <w:rPr>
      <w:rFonts w:ascii="宋体" w:hAnsi="宋体"/>
      <w:sz w:val="21"/>
      <w:szCs w:val="22"/>
    </w:rPr>
  </w:style>
  <w:style w:type="paragraph" w:customStyle="1" w:styleId="62">
    <w:name w:val="表内文字"/>
    <w:basedOn w:val="63"/>
    <w:link w:val="61"/>
    <w:qFormat/>
    <w:uiPriority w:val="0"/>
    <w:pPr>
      <w:widowControl/>
      <w:spacing w:line="300" w:lineRule="exact"/>
    </w:pPr>
    <w:rPr>
      <w:rFonts w:ascii="宋体" w:hAnsi="宋体"/>
      <w:szCs w:val="22"/>
    </w:rPr>
  </w:style>
  <w:style w:type="paragraph" w:customStyle="1" w:styleId="63">
    <w:name w:val="表文字"/>
    <w:basedOn w:val="1"/>
    <w:qFormat/>
    <w:uiPriority w:val="0"/>
    <w:pPr>
      <w:overflowPunct w:val="0"/>
      <w:autoSpaceDE w:val="0"/>
      <w:autoSpaceDN w:val="0"/>
      <w:adjustRightInd w:val="0"/>
      <w:spacing w:line="240" w:lineRule="atLeast"/>
      <w:jc w:val="center"/>
      <w:textAlignment w:val="baseline"/>
    </w:pPr>
    <w:rPr>
      <w:kern w:val="0"/>
    </w:rPr>
  </w:style>
  <w:style w:type="table" w:customStyle="1" w:styleId="64">
    <w:name w:val="样式1"/>
    <w:basedOn w:val="17"/>
    <w:qFormat/>
    <w:uiPriority w:val="99"/>
    <w:pPr>
      <w:spacing w:line="300" w:lineRule="exact"/>
      <w:jc w:val="center"/>
    </w:pPr>
    <w:rPr>
      <w:sz w:val="21"/>
    </w:rPr>
    <w:tblPr>
      <w:tblBorders>
        <w:top w:val="single" w:color="auto" w:sz="12" w:space="0"/>
        <w:bottom w:val="single" w:color="auto" w:sz="12" w:space="0"/>
        <w:insideH w:val="single" w:color="auto" w:sz="4" w:space="0"/>
        <w:insideV w:val="single" w:color="auto" w:sz="4" w:space="0"/>
      </w:tblBorders>
      <w:tblLayout w:type="fixed"/>
    </w:tblPr>
    <w:tcPr>
      <w:vAlign w:val="center"/>
    </w:tcPr>
  </w:style>
  <w:style w:type="character" w:customStyle="1" w:styleId="65">
    <w:name w:val="刘群正文文本 Char"/>
    <w:link w:val="66"/>
    <w:qFormat/>
    <w:locked/>
    <w:uiPriority w:val="99"/>
    <w:rPr>
      <w:rFonts w:eastAsia="楷体_GB2312"/>
      <w:sz w:val="24"/>
    </w:rPr>
  </w:style>
  <w:style w:type="paragraph" w:customStyle="1" w:styleId="66">
    <w:name w:val="刘群正文文本"/>
    <w:basedOn w:val="4"/>
    <w:link w:val="65"/>
    <w:qFormat/>
    <w:uiPriority w:val="99"/>
    <w:pPr>
      <w:widowControl/>
      <w:tabs>
        <w:tab w:val="left" w:pos="8176"/>
      </w:tabs>
      <w:ind w:firstLine="480" w:firstLineChars="0"/>
      <w:jc w:val="left"/>
    </w:pPr>
    <w:rPr>
      <w:rFonts w:eastAsia="楷体_GB2312"/>
      <w:kern w:val="0"/>
      <w:sz w:val="24"/>
      <w:szCs w:val="20"/>
    </w:rPr>
  </w:style>
  <w:style w:type="paragraph" w:customStyle="1" w:styleId="67">
    <w:name w:val="例"/>
    <w:basedOn w:val="1"/>
    <w:qFormat/>
    <w:uiPriority w:val="0"/>
    <w:pPr>
      <w:widowControl/>
      <w:tabs>
        <w:tab w:val="left" w:pos="420"/>
      </w:tabs>
      <w:spacing w:line="360" w:lineRule="auto"/>
      <w:ind w:firstLine="483" w:firstLineChars="200"/>
      <w:outlineLvl w:val="2"/>
    </w:pPr>
    <w:rPr>
      <w:rFonts w:ascii="Arial" w:hAnsi="Arial" w:eastAsia="方正仿宋简体" w:cs="Arial"/>
      <w:bCs/>
      <w:kern w:val="0"/>
      <w:sz w:val="24"/>
      <w:szCs w:val="32"/>
    </w:rPr>
  </w:style>
  <w:style w:type="character" w:customStyle="1" w:styleId="68">
    <w:name w:val="题注 字符2"/>
    <w:qFormat/>
    <w:uiPriority w:val="0"/>
    <w:rPr>
      <w:rFonts w:ascii="宋体" w:hAnsi="宋体"/>
      <w:b/>
    </w:rPr>
  </w:style>
  <w:style w:type="paragraph" w:customStyle="1" w:styleId="69">
    <w:name w:val="YJ题注"/>
    <w:basedOn w:val="5"/>
    <w:link w:val="71"/>
    <w:qFormat/>
    <w:uiPriority w:val="0"/>
    <w:pPr>
      <w:spacing w:line="520" w:lineRule="exact"/>
    </w:pPr>
    <w:rPr>
      <w:rFonts w:ascii="宋体" w:hAnsi="宋体"/>
      <w:szCs w:val="24"/>
    </w:rPr>
  </w:style>
  <w:style w:type="character" w:customStyle="1" w:styleId="70">
    <w:name w:val="标题 字符"/>
    <w:basedOn w:val="23"/>
    <w:link w:val="15"/>
    <w:qFormat/>
    <w:uiPriority w:val="0"/>
    <w:rPr>
      <w:rFonts w:eastAsia="黑体" w:asciiTheme="majorHAnsi" w:hAnsiTheme="majorHAnsi" w:cstheme="majorBidi"/>
      <w:bCs/>
      <w:kern w:val="2"/>
      <w:sz w:val="30"/>
      <w:szCs w:val="32"/>
    </w:rPr>
  </w:style>
  <w:style w:type="character" w:customStyle="1" w:styleId="71">
    <w:name w:val="YJ题注 Char"/>
    <w:link w:val="69"/>
    <w:qFormat/>
    <w:uiPriority w:val="0"/>
    <w:rPr>
      <w:rFonts w:ascii="宋体" w:hAnsi="宋体" w:eastAsia="黑体"/>
      <w:kern w:val="2"/>
      <w:sz w:val="21"/>
      <w:szCs w:val="24"/>
    </w:rPr>
  </w:style>
  <w:style w:type="character" w:customStyle="1" w:styleId="72">
    <w:name w:val="YJ表中字体 Char"/>
    <w:link w:val="73"/>
    <w:qFormat/>
    <w:uiPriority w:val="0"/>
  </w:style>
  <w:style w:type="paragraph" w:customStyle="1" w:styleId="73">
    <w:name w:val="YJ表中字体"/>
    <w:basedOn w:val="4"/>
    <w:link w:val="72"/>
    <w:qFormat/>
    <w:uiPriority w:val="0"/>
    <w:pPr>
      <w:spacing w:line="240" w:lineRule="exact"/>
      <w:ind w:firstLine="0" w:firstLineChars="0"/>
      <w:jc w:val="center"/>
    </w:pPr>
    <w:rPr>
      <w:kern w:val="0"/>
      <w:sz w:val="20"/>
      <w:szCs w:val="20"/>
    </w:rPr>
  </w:style>
  <w:style w:type="paragraph" w:customStyle="1" w:styleId="7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75">
    <w:name w:val="表中字体 Char"/>
    <w:link w:val="76"/>
    <w:qFormat/>
    <w:uiPriority w:val="0"/>
    <w:rPr>
      <w:sz w:val="21"/>
    </w:rPr>
  </w:style>
  <w:style w:type="paragraph" w:customStyle="1" w:styleId="76">
    <w:name w:val="表中字体"/>
    <w:basedOn w:val="4"/>
    <w:link w:val="75"/>
    <w:qFormat/>
    <w:uiPriority w:val="0"/>
    <w:pPr>
      <w:tabs>
        <w:tab w:val="left" w:pos="8176"/>
      </w:tabs>
      <w:spacing w:line="240" w:lineRule="exact"/>
      <w:ind w:firstLine="0" w:firstLineChars="0"/>
      <w:jc w:val="center"/>
    </w:pPr>
    <w:rPr>
      <w:kern w:val="0"/>
      <w:szCs w:val="20"/>
    </w:rPr>
  </w:style>
  <w:style w:type="character" w:customStyle="1" w:styleId="77">
    <w:name w:val="日期 Char1"/>
    <w:qFormat/>
    <w:uiPriority w:val="0"/>
    <w:rPr>
      <w:rFonts w:ascii="宋体" w:hAnsi="宋体"/>
      <w:kern w:val="2"/>
      <w:sz w:val="28"/>
    </w:rPr>
  </w:style>
  <w:style w:type="paragraph" w:customStyle="1" w:styleId="78">
    <w:name w:val="列表段落1"/>
    <w:basedOn w:val="1"/>
    <w:qFormat/>
    <w:uiPriority w:val="99"/>
    <w:pPr>
      <w:ind w:firstLine="420" w:firstLineChars="200"/>
    </w:pPr>
  </w:style>
  <w:style w:type="paragraph" w:customStyle="1" w:styleId="79">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8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8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82">
    <w:name w:val="正文文本缩进 2 字符"/>
    <w:basedOn w:val="23"/>
    <w:qFormat/>
    <w:uiPriority w:val="0"/>
    <w:rPr>
      <w:kern w:val="2"/>
      <w:sz w:val="21"/>
      <w:szCs w:val="24"/>
    </w:rPr>
  </w:style>
  <w:style w:type="character" w:customStyle="1" w:styleId="83">
    <w:name w:val="正文文本缩进 2 字符1"/>
    <w:link w:val="10"/>
    <w:qFormat/>
    <w:uiPriority w:val="99"/>
    <w:rPr>
      <w:szCs w:val="21"/>
    </w:rPr>
  </w:style>
  <w:style w:type="character" w:customStyle="1" w:styleId="84">
    <w:name w:val="未处理的提及1"/>
    <w:basedOn w:val="2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29364-2016-46D1-A2BD-3A63AF6D37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3971</Words>
  <Characters>22639</Characters>
  <Lines>188</Lines>
  <Paragraphs>53</Paragraphs>
  <TotalTime>32</TotalTime>
  <ScaleCrop>false</ScaleCrop>
  <LinksUpToDate>false</LinksUpToDate>
  <CharactersWithSpaces>26557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2022-04-07T05:23:00Z</dcterms:created>
  <dc:creator>lhj</dc:creator>
  <cp:lastModifiedBy>pc20181112</cp:lastModifiedBy>
  <cp:lastPrinted>2022-03-15T10:47:00Z</cp:lastPrinted>
  <dcterms:modified xsi:type="dcterms:W3CDTF">2022-04-13T03:56:44Z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ECD571132CD24548BEC6671CED46CFC1</vt:lpwstr>
  </property>
</Properties>
</file>