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b/>
          <w:bCs/>
          <w:kern w:val="0"/>
          <w:sz w:val="44"/>
          <w:szCs w:val="44"/>
        </w:rPr>
      </w:pPr>
      <w:r>
        <w:rPr>
          <w:rFonts w:hint="eastAsia" w:ascii="黑体" w:hAnsi="黑体" w:eastAsia="黑体"/>
          <w:sz w:val="32"/>
          <w:szCs w:val="32"/>
        </w:rPr>
        <w:t>附件2：</w:t>
      </w:r>
    </w:p>
    <w:p>
      <w:pPr>
        <w:rPr>
          <w:rFonts w:ascii="宋体" w:hAnsi="宋体" w:cs="宋体"/>
          <w:b/>
          <w:bCs/>
          <w:kern w:val="0"/>
          <w:sz w:val="44"/>
          <w:szCs w:val="44"/>
        </w:rPr>
      </w:pPr>
    </w:p>
    <w:p>
      <w:pPr>
        <w:rPr>
          <w:rFonts w:ascii="宋体" w:hAnsi="宋体" w:cs="宋体"/>
          <w:b/>
          <w:bCs/>
          <w:kern w:val="0"/>
          <w:sz w:val="44"/>
          <w:szCs w:val="44"/>
        </w:rPr>
      </w:pPr>
    </w:p>
    <w:p>
      <w:pPr>
        <w:rPr>
          <w:rFonts w:ascii="宋体" w:hAnsi="宋体" w:cs="宋体"/>
          <w:b/>
          <w:bCs/>
          <w:kern w:val="0"/>
          <w:sz w:val="44"/>
          <w:szCs w:val="44"/>
        </w:rPr>
      </w:pPr>
    </w:p>
    <w:p>
      <w:pPr>
        <w:rPr>
          <w:rFonts w:ascii="黑体" w:hAnsi="黑体" w:eastAsia="黑体"/>
          <w:sz w:val="32"/>
          <w:szCs w:val="32"/>
        </w:rPr>
      </w:pPr>
    </w:p>
    <w:p>
      <w:pPr>
        <w:rPr>
          <w:rFonts w:ascii="宋体" w:hAnsi="宋体" w:cs="宋体"/>
          <w:b/>
          <w:bCs/>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昌吉州医疗保障局2021年部门预算公开</w:t>
      </w: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line="480" w:lineRule="exact"/>
        <w:outlineLvl w:val="1"/>
        <w:rPr>
          <w:rFonts w:ascii="黑体" w:hAnsi="黑体" w:eastAsia="黑体"/>
          <w:kern w:val="0"/>
          <w:sz w:val="36"/>
          <w:szCs w:val="32"/>
        </w:rPr>
      </w:pPr>
    </w:p>
    <w:p>
      <w:pPr>
        <w:widowControl/>
        <w:spacing w:line="480" w:lineRule="exact"/>
        <w:jc w:val="center"/>
        <w:outlineLvl w:val="1"/>
        <w:rPr>
          <w:rFonts w:ascii="黑体" w:hAnsi="黑体" w:eastAsia="黑体"/>
          <w:kern w:val="0"/>
          <w:sz w:val="36"/>
          <w:szCs w:val="32"/>
        </w:rPr>
      </w:pPr>
      <w:r>
        <w:rPr>
          <w:rFonts w:hint="eastAsia" w:ascii="黑体" w:hAnsi="黑体" w:eastAsia="黑体"/>
          <w:kern w:val="0"/>
          <w:sz w:val="36"/>
          <w:szCs w:val="32"/>
        </w:rPr>
        <w:t>目 录</w:t>
      </w:r>
    </w:p>
    <w:p>
      <w:pPr>
        <w:widowControl/>
        <w:spacing w:line="480" w:lineRule="exact"/>
        <w:ind w:firstLine="883" w:firstLineChars="200"/>
        <w:outlineLvl w:val="1"/>
        <w:rPr>
          <w:rFonts w:ascii="宋体" w:hAnsi="宋体"/>
          <w:b/>
          <w:kern w:val="0"/>
          <w:sz w:val="44"/>
          <w:szCs w:val="44"/>
        </w:rPr>
      </w:pPr>
    </w:p>
    <w:p>
      <w:pPr>
        <w:widowControl/>
        <w:spacing w:line="48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第一部分  昌吉州医疗保障局概况</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一、主要职能</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二、机构设置及人员情况</w:t>
      </w:r>
    </w:p>
    <w:p>
      <w:pPr>
        <w:widowControl/>
        <w:spacing w:line="48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第二部分  2021年部门（单位）预算公开表</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一、昌吉州医疗保障局收支总体情况表</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二、昌吉州医疗保障局收入总体情况表</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三、昌吉州医疗保障局支出总体情况表</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四、财政拨款收支总体情况表</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七、一般公共预算</w:t>
      </w:r>
      <w:r>
        <w:rPr>
          <w:rFonts w:hint="eastAsia" w:ascii="仿宋_GB2312" w:hAnsi="宋体" w:eastAsia="仿宋_GB2312"/>
          <w:bCs/>
          <w:kern w:val="0"/>
          <w:sz w:val="32"/>
          <w:szCs w:val="32"/>
        </w:rPr>
        <w:t>项目支出情况表</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p>
      <w:pPr>
        <w:widowControl/>
        <w:spacing w:line="48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第三部分  2021年部门（单位）预算情况说明</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一、关于昌吉州医疗保障局2021年收支预算情况的总体说明</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二、关于昌吉州医疗保障局2021年收入预算情况说明</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三、关于昌吉州医疗保障局2021年支出预算情况说明</w:t>
      </w:r>
    </w:p>
    <w:p>
      <w:pPr>
        <w:widowControl/>
        <w:spacing w:line="480" w:lineRule="exact"/>
        <w:ind w:firstLine="640" w:firstLineChars="200"/>
        <w:outlineLvl w:val="1"/>
        <w:rPr>
          <w:rFonts w:ascii="仿宋_GB2312" w:hAnsi="宋体" w:eastAsia="仿宋_GB2312"/>
          <w:bCs/>
          <w:kern w:val="0"/>
          <w:sz w:val="32"/>
          <w:szCs w:val="32"/>
        </w:rPr>
      </w:pPr>
      <w:r>
        <w:rPr>
          <w:rFonts w:hint="eastAsia" w:ascii="仿宋_GB2312" w:hAnsi="宋体" w:eastAsia="仿宋_GB2312"/>
          <w:bCs/>
          <w:kern w:val="0"/>
          <w:sz w:val="32"/>
          <w:szCs w:val="32"/>
        </w:rPr>
        <w:t>四、关于</w:t>
      </w:r>
      <w:r>
        <w:rPr>
          <w:rFonts w:hint="eastAsia" w:ascii="仿宋_GB2312" w:hAnsi="宋体" w:eastAsia="仿宋_GB2312"/>
          <w:kern w:val="0"/>
          <w:sz w:val="32"/>
          <w:szCs w:val="32"/>
        </w:rPr>
        <w:t>昌吉州医疗保障局2021</w:t>
      </w:r>
      <w:r>
        <w:rPr>
          <w:rFonts w:hint="eastAsia" w:ascii="仿宋_GB2312" w:hAnsi="宋体" w:eastAsia="仿宋_GB2312"/>
          <w:bCs/>
          <w:kern w:val="0"/>
          <w:sz w:val="32"/>
          <w:szCs w:val="32"/>
        </w:rPr>
        <w:t>年财政拨款收支预算情况的总体说明</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五、关于昌吉州医疗保障局2021年一般公共预算当年拨款情况说明</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六、关于昌吉州医疗保障局2021年一般公共预算基本支出情况说明</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七、关于昌吉州医疗保障局2021年一般公共预算项目支出情况说明</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八、关于昌吉州医疗保障局2021年一般公共预算“三公”经费预算情况说明</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九、关于昌吉州医疗保障局2021年政府性基金预算拨款情况说明</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十、其他重要事项的情况说明</w:t>
      </w:r>
    </w:p>
    <w:p>
      <w:pPr>
        <w:widowControl/>
        <w:spacing w:line="48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第四部分  名词解释</w:t>
      </w:r>
    </w:p>
    <w:p>
      <w:pPr>
        <w:widowControl/>
        <w:spacing w:line="480" w:lineRule="exact"/>
        <w:jc w:val="center"/>
        <w:outlineLvl w:val="1"/>
        <w:rPr>
          <w:rFonts w:ascii="黑体" w:hAnsi="黑体" w:eastAsia="黑体"/>
          <w:kern w:val="0"/>
          <w:sz w:val="32"/>
          <w:szCs w:val="32"/>
        </w:rPr>
      </w:pPr>
    </w:p>
    <w:p>
      <w:pPr>
        <w:widowControl/>
        <w:spacing w:line="480" w:lineRule="exact"/>
        <w:jc w:val="center"/>
        <w:outlineLvl w:val="1"/>
        <w:rPr>
          <w:rFonts w:ascii="黑体" w:hAnsi="黑体" w:eastAsia="黑体"/>
          <w:kern w:val="0"/>
          <w:sz w:val="32"/>
          <w:szCs w:val="32"/>
        </w:rPr>
      </w:pPr>
    </w:p>
    <w:p>
      <w:pPr>
        <w:widowControl/>
        <w:spacing w:line="480" w:lineRule="exact"/>
        <w:jc w:val="center"/>
        <w:outlineLvl w:val="1"/>
        <w:rPr>
          <w:rFonts w:ascii="黑体" w:hAnsi="黑体" w:eastAsia="黑体"/>
          <w:kern w:val="0"/>
          <w:sz w:val="32"/>
          <w:szCs w:val="32"/>
        </w:rPr>
      </w:pPr>
    </w:p>
    <w:p>
      <w:pPr>
        <w:widowControl/>
        <w:spacing w:line="480" w:lineRule="exact"/>
        <w:jc w:val="center"/>
        <w:outlineLvl w:val="1"/>
        <w:rPr>
          <w:rFonts w:ascii="黑体" w:hAnsi="黑体" w:eastAsia="黑体"/>
          <w:kern w:val="0"/>
          <w:sz w:val="32"/>
          <w:szCs w:val="32"/>
        </w:rPr>
      </w:pPr>
    </w:p>
    <w:p>
      <w:pPr>
        <w:widowControl/>
        <w:spacing w:line="480" w:lineRule="exact"/>
        <w:jc w:val="center"/>
        <w:outlineLvl w:val="1"/>
        <w:rPr>
          <w:rFonts w:ascii="黑体" w:hAnsi="黑体" w:eastAsia="黑体"/>
          <w:kern w:val="0"/>
          <w:sz w:val="32"/>
          <w:szCs w:val="32"/>
        </w:rPr>
      </w:pPr>
    </w:p>
    <w:p>
      <w:pPr>
        <w:widowControl/>
        <w:spacing w:line="480" w:lineRule="exact"/>
        <w:jc w:val="center"/>
        <w:outlineLvl w:val="1"/>
        <w:rPr>
          <w:rFonts w:ascii="黑体" w:hAnsi="黑体" w:eastAsia="黑体"/>
          <w:kern w:val="0"/>
          <w:sz w:val="32"/>
          <w:szCs w:val="32"/>
        </w:rPr>
      </w:pPr>
    </w:p>
    <w:p>
      <w:pPr>
        <w:widowControl/>
        <w:spacing w:line="480" w:lineRule="exact"/>
        <w:jc w:val="center"/>
        <w:outlineLvl w:val="1"/>
        <w:rPr>
          <w:rFonts w:ascii="黑体" w:hAnsi="黑体" w:eastAsia="黑体"/>
          <w:kern w:val="0"/>
          <w:sz w:val="32"/>
          <w:szCs w:val="32"/>
        </w:rPr>
      </w:pPr>
    </w:p>
    <w:p>
      <w:pPr>
        <w:widowControl/>
        <w:spacing w:line="480" w:lineRule="exact"/>
        <w:jc w:val="center"/>
        <w:outlineLvl w:val="1"/>
        <w:rPr>
          <w:rFonts w:ascii="黑体" w:hAnsi="黑体" w:eastAsia="黑体"/>
          <w:kern w:val="0"/>
          <w:sz w:val="32"/>
          <w:szCs w:val="32"/>
        </w:rPr>
      </w:pPr>
    </w:p>
    <w:p>
      <w:pPr>
        <w:widowControl/>
        <w:spacing w:line="480" w:lineRule="exact"/>
        <w:jc w:val="center"/>
        <w:outlineLvl w:val="1"/>
        <w:rPr>
          <w:rFonts w:ascii="黑体" w:hAnsi="黑体" w:eastAsia="黑体"/>
          <w:kern w:val="0"/>
          <w:sz w:val="32"/>
          <w:szCs w:val="32"/>
        </w:rPr>
      </w:pPr>
    </w:p>
    <w:p>
      <w:pPr>
        <w:widowControl/>
        <w:spacing w:line="480" w:lineRule="exact"/>
        <w:jc w:val="center"/>
        <w:outlineLvl w:val="1"/>
        <w:rPr>
          <w:rFonts w:ascii="黑体" w:hAnsi="黑体" w:eastAsia="黑体"/>
          <w:kern w:val="0"/>
          <w:sz w:val="32"/>
          <w:szCs w:val="32"/>
        </w:rPr>
      </w:pPr>
    </w:p>
    <w:p>
      <w:pPr>
        <w:widowControl/>
        <w:spacing w:line="480" w:lineRule="exact"/>
        <w:jc w:val="center"/>
        <w:outlineLvl w:val="1"/>
        <w:rPr>
          <w:rFonts w:ascii="黑体" w:hAnsi="黑体" w:eastAsia="黑体"/>
          <w:kern w:val="0"/>
          <w:sz w:val="32"/>
          <w:szCs w:val="32"/>
        </w:rPr>
      </w:pPr>
    </w:p>
    <w:p>
      <w:pPr>
        <w:widowControl/>
        <w:spacing w:line="480" w:lineRule="exact"/>
        <w:jc w:val="center"/>
        <w:outlineLvl w:val="1"/>
        <w:rPr>
          <w:rFonts w:ascii="黑体" w:hAnsi="黑体" w:eastAsia="黑体"/>
          <w:kern w:val="0"/>
          <w:sz w:val="32"/>
          <w:szCs w:val="32"/>
        </w:rPr>
      </w:pPr>
    </w:p>
    <w:p>
      <w:pPr>
        <w:widowControl/>
        <w:spacing w:line="480" w:lineRule="exact"/>
        <w:jc w:val="center"/>
        <w:outlineLvl w:val="1"/>
        <w:rPr>
          <w:rFonts w:ascii="黑体" w:hAnsi="黑体" w:eastAsia="黑体"/>
          <w:kern w:val="0"/>
          <w:sz w:val="32"/>
          <w:szCs w:val="32"/>
        </w:rPr>
      </w:pPr>
    </w:p>
    <w:p>
      <w:pPr>
        <w:widowControl/>
        <w:spacing w:line="480" w:lineRule="exact"/>
        <w:jc w:val="center"/>
        <w:outlineLvl w:val="1"/>
        <w:rPr>
          <w:rFonts w:ascii="黑体" w:hAnsi="黑体" w:eastAsia="黑体"/>
          <w:kern w:val="0"/>
          <w:sz w:val="32"/>
          <w:szCs w:val="32"/>
        </w:rPr>
      </w:pPr>
    </w:p>
    <w:p>
      <w:pPr>
        <w:widowControl/>
        <w:spacing w:line="480" w:lineRule="exact"/>
        <w:jc w:val="center"/>
        <w:outlineLvl w:val="1"/>
        <w:rPr>
          <w:rFonts w:ascii="黑体" w:hAnsi="黑体" w:eastAsia="黑体"/>
          <w:kern w:val="0"/>
          <w:sz w:val="32"/>
          <w:szCs w:val="32"/>
        </w:rPr>
      </w:pPr>
    </w:p>
    <w:p>
      <w:pPr>
        <w:widowControl/>
        <w:spacing w:line="480" w:lineRule="exact"/>
        <w:jc w:val="center"/>
        <w:outlineLvl w:val="1"/>
        <w:rPr>
          <w:rFonts w:ascii="黑体" w:hAnsi="黑体" w:eastAsia="黑体"/>
          <w:kern w:val="0"/>
          <w:sz w:val="32"/>
          <w:szCs w:val="32"/>
        </w:rPr>
      </w:pPr>
    </w:p>
    <w:p>
      <w:pPr>
        <w:widowControl/>
        <w:spacing w:line="480" w:lineRule="exact"/>
        <w:jc w:val="center"/>
        <w:outlineLvl w:val="1"/>
        <w:rPr>
          <w:rFonts w:ascii="黑体" w:hAnsi="黑体" w:eastAsia="黑体"/>
          <w:kern w:val="0"/>
          <w:sz w:val="32"/>
          <w:szCs w:val="32"/>
        </w:rPr>
      </w:pPr>
    </w:p>
    <w:p>
      <w:pPr>
        <w:widowControl/>
        <w:spacing w:line="480" w:lineRule="exact"/>
        <w:jc w:val="center"/>
        <w:outlineLvl w:val="1"/>
        <w:rPr>
          <w:rFonts w:ascii="黑体" w:hAnsi="黑体" w:eastAsia="黑体"/>
          <w:kern w:val="0"/>
          <w:sz w:val="32"/>
          <w:szCs w:val="32"/>
        </w:rPr>
      </w:pPr>
    </w:p>
    <w:p>
      <w:pPr>
        <w:widowControl/>
        <w:spacing w:line="480" w:lineRule="exact"/>
        <w:jc w:val="center"/>
        <w:outlineLvl w:val="1"/>
        <w:rPr>
          <w:rFonts w:ascii="黑体" w:hAnsi="黑体" w:eastAsia="黑体"/>
          <w:kern w:val="0"/>
          <w:sz w:val="32"/>
          <w:szCs w:val="32"/>
        </w:rPr>
      </w:pPr>
      <w:r>
        <w:rPr>
          <w:rFonts w:hint="eastAsia" w:ascii="黑体" w:hAnsi="黑体" w:eastAsia="黑体"/>
          <w:kern w:val="0"/>
          <w:sz w:val="32"/>
          <w:szCs w:val="32"/>
        </w:rPr>
        <w:t>第一部分   昌吉州医疗保障局单位概况</w:t>
      </w:r>
    </w:p>
    <w:p>
      <w:pPr>
        <w:widowControl/>
        <w:spacing w:line="480" w:lineRule="exact"/>
        <w:jc w:val="center"/>
        <w:outlineLvl w:val="1"/>
        <w:rPr>
          <w:rFonts w:ascii="宋体" w:hAnsi="宋体"/>
          <w:b/>
          <w:kern w:val="0"/>
          <w:sz w:val="32"/>
          <w:szCs w:val="32"/>
        </w:rPr>
      </w:pPr>
    </w:p>
    <w:p>
      <w:pPr>
        <w:widowControl/>
        <w:spacing w:line="48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一、主要职能</w:t>
      </w:r>
    </w:p>
    <w:p>
      <w:pPr>
        <w:pStyle w:val="3"/>
        <w:tabs>
          <w:tab w:val="left" w:pos="5060"/>
        </w:tabs>
        <w:autoSpaceDE w:val="0"/>
        <w:autoSpaceDN w:val="0"/>
        <w:spacing w:line="600" w:lineRule="exact"/>
        <w:ind w:firstLine="640" w:firstLineChars="200"/>
        <w:rPr>
          <w:rFonts w:ascii="仿宋_GB2312" w:eastAsia="仿宋_GB2312"/>
        </w:rPr>
      </w:pPr>
      <w:r>
        <w:rPr>
          <w:rFonts w:hint="eastAsia" w:ascii="仿宋_GB2312" w:eastAsia="仿宋_GB2312"/>
        </w:rPr>
        <w:t>(1）贯彻落实国家和自治区医疗保险、生育保险、人身意外伤害保险、医疗救助等医疗保障政策，拟订医疗保障制度的规章草案、政策措施、规划和标准并组织实施；拟订医疗保险、生育保险、大病保险、大额医疗补助、公务员医疗补助、企事业单位补充医疗保险、长期护理保险、医疗救助、享受国务院特殊津贴专家、离休人员和优抚对象医疗保障等政策措施、管理办法并组织实施。</w:t>
      </w:r>
    </w:p>
    <w:p>
      <w:pPr>
        <w:pStyle w:val="3"/>
        <w:tabs>
          <w:tab w:val="left" w:pos="5060"/>
        </w:tabs>
        <w:autoSpaceDE w:val="0"/>
        <w:autoSpaceDN w:val="0"/>
        <w:spacing w:line="600" w:lineRule="exact"/>
        <w:ind w:firstLine="640" w:firstLineChars="200"/>
        <w:rPr>
          <w:rFonts w:ascii="仿宋_GB2312" w:eastAsia="仿宋_GB2312"/>
        </w:rPr>
      </w:pPr>
      <w:r>
        <w:rPr>
          <w:rFonts w:hint="eastAsia" w:ascii="仿宋_GB2312" w:eastAsia="仿宋_GB2312"/>
        </w:rPr>
        <w:t>（2）组织制定并实施医疗保障基金监督管理办法，建立健全医疗保障基金安全防控机制，承担推进医疗保障基金支付方式改革工作，编制自治州医疗保障基金预决算草案。</w:t>
      </w:r>
    </w:p>
    <w:p>
      <w:pPr>
        <w:pStyle w:val="3"/>
        <w:tabs>
          <w:tab w:val="left" w:pos="5060"/>
        </w:tabs>
        <w:autoSpaceDE w:val="0"/>
        <w:autoSpaceDN w:val="0"/>
        <w:spacing w:line="600" w:lineRule="exact"/>
        <w:ind w:firstLine="640" w:firstLineChars="200"/>
        <w:rPr>
          <w:rFonts w:ascii="仿宋_GB2312" w:eastAsia="仿宋_GB2312"/>
        </w:rPr>
      </w:pPr>
      <w:r>
        <w:rPr>
          <w:rFonts w:hint="eastAsia" w:ascii="仿宋_GB2312" w:eastAsia="仿宋_GB2312"/>
        </w:rPr>
        <w:t>（3）组织拟订医疗保障筹资和待遇政策措施，完善动态调整，统筹城乡医疗保障待遇标准，建立健全与筹资水平相适应的待遇调整机制。拟订贯彻长期护理保险制度改革的方案并组织实施。</w:t>
      </w:r>
    </w:p>
    <w:p>
      <w:pPr>
        <w:pStyle w:val="3"/>
        <w:tabs>
          <w:tab w:val="left" w:pos="5060"/>
        </w:tabs>
        <w:autoSpaceDE w:val="0"/>
        <w:autoSpaceDN w:val="0"/>
        <w:spacing w:line="600" w:lineRule="exact"/>
        <w:ind w:firstLine="640" w:firstLineChars="200"/>
        <w:rPr>
          <w:rFonts w:ascii="仿宋_GB2312" w:eastAsia="仿宋_GB2312"/>
        </w:rPr>
      </w:pPr>
      <w:r>
        <w:rPr>
          <w:rFonts w:hint="eastAsia" w:ascii="仿宋_GB2312" w:eastAsia="仿宋_GB2312"/>
        </w:rPr>
        <w:t>（4）组织拟订药品、医用耗材价格和医疗服务项目、医疗服务设施收费等政策措施并监督实施，执行自治区制定的药品、医用耗材的招标采购政策并监督实施，建立医保支付医药服务价格合理确定和动态调整机制，建立市场主导的社会医药服务价格形成机制，建立医药服务价格信息监测和信息发布制度。</w:t>
      </w:r>
    </w:p>
    <w:p>
      <w:pPr>
        <w:pStyle w:val="3"/>
        <w:tabs>
          <w:tab w:val="left" w:pos="5060"/>
        </w:tabs>
        <w:autoSpaceDE w:val="0"/>
        <w:autoSpaceDN w:val="0"/>
        <w:spacing w:line="600" w:lineRule="exact"/>
        <w:ind w:firstLine="640" w:firstLineChars="200"/>
        <w:rPr>
          <w:rFonts w:ascii="仿宋_GB2312" w:eastAsia="仿宋_GB2312"/>
        </w:rPr>
      </w:pPr>
      <w:r>
        <w:rPr>
          <w:rFonts w:hint="eastAsia" w:ascii="仿宋_GB2312" w:eastAsia="仿宋_GB2312"/>
        </w:rPr>
        <w:t>（5）组织制定药品、医用耗材、医疗服务项目、医疗服务设施等医保目录和支付标准，建立动态调整机制。</w:t>
      </w:r>
    </w:p>
    <w:p>
      <w:pPr>
        <w:pStyle w:val="3"/>
        <w:tabs>
          <w:tab w:val="left" w:pos="5060"/>
        </w:tabs>
        <w:autoSpaceDE w:val="0"/>
        <w:autoSpaceDN w:val="0"/>
        <w:spacing w:line="600" w:lineRule="exact"/>
        <w:ind w:firstLine="640" w:firstLineChars="200"/>
        <w:rPr>
          <w:rFonts w:ascii="仿宋_GB2312" w:eastAsia="仿宋_GB2312"/>
        </w:rPr>
      </w:pPr>
      <w:r>
        <w:rPr>
          <w:rFonts w:hint="eastAsia" w:ascii="仿宋_GB2312" w:eastAsia="仿宋_GB2312"/>
        </w:rPr>
        <w:t>（6）制定定点医药机构协议和支付管理办法并组织实施，建立健全医疗保障信用评价体系和信息技露制度，监督管理纳入医保范围内的医疗服务行为和医疗费用，依法查处医疗保障、生育保险领域违法违规行为。</w:t>
      </w:r>
    </w:p>
    <w:p>
      <w:pPr>
        <w:pStyle w:val="3"/>
        <w:tabs>
          <w:tab w:val="left" w:pos="5060"/>
        </w:tabs>
        <w:autoSpaceDE w:val="0"/>
        <w:autoSpaceDN w:val="0"/>
        <w:spacing w:line="600" w:lineRule="exact"/>
        <w:ind w:firstLine="640" w:firstLineChars="200"/>
        <w:rPr>
          <w:rFonts w:ascii="仿宋_GB2312" w:eastAsia="仿宋_GB2312"/>
        </w:rPr>
      </w:pPr>
      <w:r>
        <w:rPr>
          <w:rFonts w:hint="eastAsia" w:ascii="仿宋_GB2312" w:eastAsia="仿宋_GB2312"/>
        </w:rPr>
        <w:t>（7）负责医疗保障经办管理、公共服务体系和信息化建设。贯彻落实国家和自治区跨省异地就医管理和费用结算政策，组织制定异地就医和费用结算政策措施。建立健全医疗保障关系转移接续制度。指导医疗保障经办机构开展业务工作。</w:t>
      </w:r>
    </w:p>
    <w:p>
      <w:pPr>
        <w:pStyle w:val="3"/>
        <w:tabs>
          <w:tab w:val="left" w:pos="5060"/>
        </w:tabs>
        <w:autoSpaceDE w:val="0"/>
        <w:autoSpaceDN w:val="0"/>
        <w:spacing w:line="600" w:lineRule="exact"/>
        <w:ind w:firstLine="640" w:firstLineChars="200"/>
        <w:rPr>
          <w:rFonts w:ascii="仿宋_GB2312" w:eastAsia="仿宋_GB2312"/>
        </w:rPr>
      </w:pPr>
      <w:r>
        <w:rPr>
          <w:rFonts w:hint="eastAsia" w:ascii="仿宋_GB2312" w:eastAsia="仿宋_GB2312"/>
        </w:rPr>
        <w:t>（8）完成自治州党委、自治州人民政府交办的其他任务。</w:t>
      </w:r>
    </w:p>
    <w:p>
      <w:pPr>
        <w:pStyle w:val="3"/>
        <w:tabs>
          <w:tab w:val="left" w:pos="5060"/>
        </w:tabs>
        <w:autoSpaceDE w:val="0"/>
        <w:autoSpaceDN w:val="0"/>
        <w:spacing w:line="600" w:lineRule="exact"/>
        <w:ind w:firstLine="640" w:firstLineChars="200"/>
        <w:rPr>
          <w:rFonts w:ascii="仿宋_GB2312" w:eastAsia="仿宋_GB2312"/>
        </w:rPr>
      </w:pPr>
      <w:r>
        <w:rPr>
          <w:rFonts w:hint="eastAsia" w:ascii="仿宋_GB2312" w:eastAsia="仿宋_GB2312"/>
        </w:rPr>
        <w:t>（9）职能转变。自治州医疗保障局应完善统一的城乡居民基本医疗保险制度和大病保险制度，建立健全覆盖全民、城乡统筹的多层次医疗保障体系，不断提高医疗保障水平，确保医保资金合理使用、安全可控，推进医疗、医保、医药“三医联动”改革，更好保障人民群众就医需求、减轻医药费用负担。</w:t>
      </w:r>
    </w:p>
    <w:p>
      <w:pPr>
        <w:pStyle w:val="3"/>
        <w:tabs>
          <w:tab w:val="left" w:pos="5060"/>
        </w:tabs>
        <w:autoSpaceDE w:val="0"/>
        <w:autoSpaceDN w:val="0"/>
        <w:spacing w:line="600" w:lineRule="exact"/>
        <w:ind w:firstLine="640" w:firstLineChars="200"/>
        <w:rPr>
          <w:rFonts w:ascii="仿宋_GB2312" w:eastAsia="仿宋_GB2312"/>
        </w:rPr>
      </w:pPr>
      <w:r>
        <w:rPr>
          <w:rFonts w:hint="eastAsia" w:ascii="仿宋_GB2312" w:eastAsia="仿宋_GB2312"/>
        </w:rPr>
        <w:t>（10）与自治州卫生健康委员会的有关职责分工。自治州卫生健康委员会、自治州医疗保障局等部门在医疗、医保、医药等方面加强制度、政策衔接，建立沟通协商机制，协同推进改革，提高医疗资源使用效率和医疗保障水平。</w:t>
      </w:r>
    </w:p>
    <w:p>
      <w:pPr>
        <w:pStyle w:val="3"/>
        <w:tabs>
          <w:tab w:val="left" w:pos="5060"/>
        </w:tabs>
        <w:autoSpaceDE w:val="0"/>
        <w:autoSpaceDN w:val="0"/>
        <w:spacing w:line="600" w:lineRule="exact"/>
        <w:ind w:firstLine="636"/>
        <w:rPr>
          <w:rFonts w:ascii="仿宋_GB2312" w:eastAsia="仿宋_GB2312"/>
        </w:rPr>
      </w:pPr>
      <w:r>
        <w:rPr>
          <w:rFonts w:hint="eastAsia" w:ascii="仿宋_GB2312" w:eastAsia="仿宋_GB2312"/>
        </w:rPr>
        <w:t>州医保局医疗保障经办服务中心负责综合管理全州医疗保险、生育保险和医疗救助经办服务、长期护理保险失能评定、人身意外伤害保险人员核定等，以及各保险的档案管理、基金管理、稽核、信息系统维护、政策宣传等。</w:t>
      </w:r>
    </w:p>
    <w:p>
      <w:pPr>
        <w:widowControl/>
        <w:spacing w:line="480" w:lineRule="exact"/>
        <w:jc w:val="left"/>
        <w:rPr>
          <w:rFonts w:ascii="仿宋_GB2312" w:hAnsi="宋体" w:eastAsia="仿宋_GB2312" w:cs="宋体"/>
          <w:bCs/>
          <w:kern w:val="0"/>
          <w:sz w:val="32"/>
          <w:szCs w:val="32"/>
        </w:rPr>
      </w:pPr>
      <w:r>
        <w:rPr>
          <w:rFonts w:hint="eastAsia" w:ascii="仿宋_GB2312" w:hAnsi="宋体" w:eastAsia="仿宋_GB2312" w:cs="宋体"/>
          <w:bCs/>
          <w:kern w:val="0"/>
          <w:sz w:val="32"/>
          <w:szCs w:val="32"/>
        </w:rPr>
        <w:t xml:space="preserve"> </w:t>
      </w:r>
    </w:p>
    <w:p>
      <w:pPr>
        <w:widowControl/>
        <w:spacing w:line="48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二、机构设置及人员情况</w:t>
      </w:r>
    </w:p>
    <w:p>
      <w:pPr>
        <w:widowControl/>
        <w:spacing w:line="48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昌吉州医疗保障局</w:t>
      </w:r>
      <w:r>
        <w:rPr>
          <w:rFonts w:hint="eastAsia" w:ascii="仿宋_GB2312" w:hAnsi="黑体" w:eastAsia="仿宋_GB2312" w:cs="宋体"/>
          <w:bCs/>
          <w:kern w:val="0"/>
          <w:sz w:val="32"/>
          <w:szCs w:val="32"/>
        </w:rPr>
        <w:t>无下属预算单位，下设四个科室，分别是：</w:t>
      </w:r>
      <w:r>
        <w:rPr>
          <w:rFonts w:hint="eastAsia" w:ascii="仿宋_GB2312" w:eastAsia="仿宋_GB2312"/>
          <w:sz w:val="32"/>
          <w:szCs w:val="32"/>
        </w:rPr>
        <w:t>办公室、基金监管科、保障管理科、经办服务中心。</w:t>
      </w:r>
    </w:p>
    <w:p>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昌吉州医疗保障局编制数28，实有人数26人，其中：在职26人，增加0人；退休0人，增加0人；离休0人，增加0人。</w:t>
      </w:r>
    </w:p>
    <w:p>
      <w:pPr>
        <w:widowControl/>
        <w:spacing w:line="480" w:lineRule="exact"/>
        <w:jc w:val="left"/>
        <w:rPr>
          <w:rFonts w:ascii="仿宋_GB2312" w:hAnsi="宋体" w:eastAsia="仿宋_GB2312" w:cs="宋体"/>
          <w:kern w:val="0"/>
          <w:sz w:val="32"/>
          <w:szCs w:val="32"/>
        </w:rPr>
      </w:pPr>
    </w:p>
    <w:p>
      <w:pPr>
        <w:widowControl/>
        <w:spacing w:line="480" w:lineRule="exact"/>
        <w:ind w:firstLine="640"/>
        <w:jc w:val="left"/>
        <w:rPr>
          <w:rFonts w:ascii="仿宋_GB2312" w:hAnsi="宋体" w:eastAsia="仿宋_GB2312" w:cs="宋体"/>
          <w:kern w:val="0"/>
          <w:sz w:val="32"/>
          <w:szCs w:val="32"/>
        </w:rPr>
      </w:pPr>
    </w:p>
    <w:p>
      <w:pPr>
        <w:widowControl/>
        <w:spacing w:line="48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pPr>
        <w:widowControl/>
        <w:spacing w:line="480" w:lineRule="exact"/>
        <w:jc w:val="left"/>
        <w:rPr>
          <w:rFonts w:ascii="仿宋_GB2312" w:hAnsi="宋体" w:eastAsia="仿宋_GB2312" w:cs="宋体"/>
          <w:kern w:val="0"/>
          <w:sz w:val="32"/>
          <w:szCs w:val="32"/>
        </w:rPr>
      </w:pPr>
    </w:p>
    <w:p>
      <w:pPr>
        <w:widowControl/>
        <w:spacing w:line="440" w:lineRule="exact"/>
        <w:jc w:val="center"/>
        <w:outlineLvl w:val="1"/>
        <w:rPr>
          <w:rFonts w:ascii="黑体" w:hAnsi="黑体" w:eastAsia="黑体"/>
          <w:kern w:val="0"/>
          <w:sz w:val="32"/>
          <w:szCs w:val="32"/>
        </w:rPr>
      </w:pPr>
    </w:p>
    <w:p>
      <w:pPr>
        <w:widowControl/>
        <w:spacing w:line="440" w:lineRule="exact"/>
        <w:jc w:val="center"/>
        <w:outlineLvl w:val="1"/>
        <w:rPr>
          <w:rFonts w:ascii="黑体" w:hAnsi="黑体" w:eastAsia="黑体"/>
          <w:kern w:val="0"/>
          <w:sz w:val="32"/>
          <w:szCs w:val="32"/>
        </w:rPr>
      </w:pPr>
    </w:p>
    <w:p>
      <w:pPr>
        <w:widowControl/>
        <w:spacing w:line="440" w:lineRule="exact"/>
        <w:jc w:val="center"/>
        <w:outlineLvl w:val="1"/>
        <w:rPr>
          <w:rFonts w:ascii="黑体" w:hAnsi="黑体" w:eastAsia="黑体"/>
          <w:kern w:val="0"/>
          <w:sz w:val="32"/>
          <w:szCs w:val="32"/>
        </w:rPr>
      </w:pPr>
    </w:p>
    <w:p>
      <w:pPr>
        <w:widowControl/>
        <w:spacing w:line="440" w:lineRule="exact"/>
        <w:jc w:val="center"/>
        <w:outlineLvl w:val="1"/>
        <w:rPr>
          <w:rFonts w:ascii="黑体" w:hAnsi="黑体" w:eastAsia="黑体"/>
          <w:kern w:val="0"/>
          <w:sz w:val="32"/>
          <w:szCs w:val="32"/>
        </w:rPr>
      </w:pPr>
    </w:p>
    <w:p>
      <w:pPr>
        <w:widowControl/>
        <w:spacing w:line="440" w:lineRule="exact"/>
        <w:jc w:val="center"/>
        <w:outlineLvl w:val="1"/>
        <w:rPr>
          <w:rFonts w:ascii="黑体" w:hAnsi="黑体" w:eastAsia="黑体"/>
          <w:kern w:val="0"/>
          <w:sz w:val="32"/>
          <w:szCs w:val="32"/>
        </w:rPr>
      </w:pPr>
    </w:p>
    <w:p>
      <w:pPr>
        <w:widowControl/>
        <w:spacing w:line="440" w:lineRule="exact"/>
        <w:jc w:val="center"/>
        <w:outlineLvl w:val="1"/>
        <w:rPr>
          <w:rFonts w:ascii="黑体" w:hAnsi="黑体" w:eastAsia="黑体"/>
          <w:kern w:val="0"/>
          <w:sz w:val="32"/>
          <w:szCs w:val="32"/>
        </w:rPr>
      </w:pPr>
    </w:p>
    <w:p>
      <w:pPr>
        <w:widowControl/>
        <w:spacing w:line="440" w:lineRule="exact"/>
        <w:jc w:val="center"/>
        <w:outlineLvl w:val="1"/>
        <w:rPr>
          <w:rFonts w:ascii="黑体" w:hAnsi="黑体" w:eastAsia="黑体"/>
          <w:kern w:val="0"/>
          <w:sz w:val="32"/>
          <w:szCs w:val="32"/>
        </w:rPr>
      </w:pPr>
    </w:p>
    <w:p>
      <w:pPr>
        <w:widowControl/>
        <w:spacing w:line="440" w:lineRule="exact"/>
        <w:jc w:val="center"/>
        <w:outlineLvl w:val="1"/>
        <w:rPr>
          <w:rFonts w:ascii="黑体" w:hAnsi="黑体" w:eastAsia="黑体"/>
          <w:kern w:val="0"/>
          <w:sz w:val="32"/>
          <w:szCs w:val="32"/>
        </w:rPr>
      </w:pPr>
    </w:p>
    <w:p>
      <w:pPr>
        <w:widowControl/>
        <w:spacing w:line="440" w:lineRule="exact"/>
        <w:jc w:val="center"/>
        <w:outlineLvl w:val="1"/>
        <w:rPr>
          <w:rFonts w:ascii="黑体" w:hAnsi="黑体" w:eastAsia="黑体"/>
          <w:kern w:val="0"/>
          <w:sz w:val="32"/>
          <w:szCs w:val="32"/>
        </w:rPr>
      </w:pPr>
    </w:p>
    <w:p>
      <w:pPr>
        <w:widowControl/>
        <w:spacing w:line="440" w:lineRule="exact"/>
        <w:jc w:val="center"/>
        <w:outlineLvl w:val="1"/>
        <w:rPr>
          <w:rFonts w:ascii="黑体" w:hAnsi="黑体" w:eastAsia="黑体"/>
          <w:kern w:val="0"/>
          <w:sz w:val="32"/>
          <w:szCs w:val="32"/>
        </w:rPr>
      </w:pPr>
    </w:p>
    <w:p>
      <w:pPr>
        <w:pStyle w:val="2"/>
      </w:pPr>
    </w:p>
    <w:p>
      <w:pPr>
        <w:widowControl/>
        <w:spacing w:line="440" w:lineRule="exact"/>
        <w:jc w:val="center"/>
        <w:outlineLvl w:val="1"/>
        <w:rPr>
          <w:rFonts w:ascii="黑体" w:hAnsi="黑体" w:eastAsia="黑体"/>
          <w:kern w:val="0"/>
          <w:sz w:val="32"/>
          <w:szCs w:val="32"/>
        </w:rPr>
      </w:pPr>
    </w:p>
    <w:p>
      <w:pPr>
        <w:widowControl/>
        <w:spacing w:line="440" w:lineRule="exact"/>
        <w:jc w:val="center"/>
        <w:outlineLvl w:val="1"/>
        <w:rPr>
          <w:rFonts w:ascii="黑体" w:hAnsi="黑体" w:eastAsia="黑体"/>
          <w:kern w:val="0"/>
          <w:sz w:val="32"/>
          <w:szCs w:val="32"/>
        </w:rPr>
      </w:pPr>
      <w:r>
        <w:rPr>
          <w:rFonts w:hint="eastAsia" w:ascii="黑体" w:hAnsi="黑体" w:eastAsia="黑体"/>
          <w:kern w:val="0"/>
          <w:sz w:val="32"/>
          <w:szCs w:val="32"/>
        </w:rPr>
        <w:t>第二部分  2021年部门（单位）预算公开表</w:t>
      </w:r>
    </w:p>
    <w:p>
      <w:pPr>
        <w:widowControl/>
        <w:spacing w:line="44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表一：</w:t>
      </w:r>
    </w:p>
    <w:p>
      <w:pPr>
        <w:widowControl/>
        <w:spacing w:line="44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部门（单位）收支总体情况表</w:t>
      </w:r>
    </w:p>
    <w:p>
      <w:pPr>
        <w:widowControl/>
        <w:spacing w:line="440" w:lineRule="exact"/>
        <w:outlineLvl w:val="1"/>
        <w:rPr>
          <w:rFonts w:ascii="仿宋_GB2312" w:hAnsi="宋体" w:eastAsia="仿宋_GB2312"/>
          <w:kern w:val="0"/>
          <w:sz w:val="24"/>
        </w:rPr>
      </w:pPr>
      <w:r>
        <w:rPr>
          <w:rFonts w:hint="eastAsia" w:ascii="仿宋_GB2312" w:hAnsi="宋体" w:eastAsia="仿宋_GB2312"/>
          <w:kern w:val="0"/>
          <w:sz w:val="24"/>
        </w:rPr>
        <w:t>编制部门（单位）： 昌吉州医疗保障局                         单位：万元</w:t>
      </w:r>
    </w:p>
    <w:tbl>
      <w:tblPr>
        <w:tblStyle w:val="9"/>
        <w:tblW w:w="8662" w:type="dxa"/>
        <w:tblInd w:w="93" w:type="dxa"/>
        <w:tblLayout w:type="fixed"/>
        <w:tblCellMar>
          <w:top w:w="0" w:type="dxa"/>
          <w:left w:w="108" w:type="dxa"/>
          <w:bottom w:w="0" w:type="dxa"/>
          <w:right w:w="108" w:type="dxa"/>
        </w:tblCellMar>
      </w:tblPr>
      <w:tblGrid>
        <w:gridCol w:w="2425"/>
        <w:gridCol w:w="1418"/>
        <w:gridCol w:w="3260"/>
        <w:gridCol w:w="1559"/>
      </w:tblGrid>
      <w:tr>
        <w:tblPrEx>
          <w:tblLayout w:type="fixed"/>
          <w:tblCellMar>
            <w:top w:w="0" w:type="dxa"/>
            <w:left w:w="108" w:type="dxa"/>
            <w:bottom w:w="0" w:type="dxa"/>
            <w:right w:w="108" w:type="dxa"/>
          </w:tblCellMar>
        </w:tblPrEx>
        <w:trPr>
          <w:trHeight w:val="360" w:hRule="atLeast"/>
        </w:trPr>
        <w:tc>
          <w:tcPr>
            <w:tcW w:w="3843" w:type="dxa"/>
            <w:gridSpan w:val="2"/>
            <w:tcBorders>
              <w:top w:val="single" w:color="auto" w:sz="4" w:space="0"/>
              <w:left w:val="single" w:color="auto" w:sz="4" w:space="0"/>
              <w:bottom w:val="single" w:color="auto" w:sz="4" w:space="0"/>
              <w:right w:val="single" w:color="000000" w:sz="4" w:space="0"/>
            </w:tcBorders>
            <w:noWrap/>
            <w:vAlign w:val="bottom"/>
          </w:tcPr>
          <w:p>
            <w:pPr>
              <w:widowControl/>
              <w:spacing w:line="28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收     入</w:t>
            </w:r>
          </w:p>
        </w:tc>
        <w:tc>
          <w:tcPr>
            <w:tcW w:w="4819" w:type="dxa"/>
            <w:gridSpan w:val="2"/>
            <w:tcBorders>
              <w:top w:val="single" w:color="auto" w:sz="4" w:space="0"/>
              <w:left w:val="nil"/>
              <w:bottom w:val="single" w:color="auto" w:sz="4" w:space="0"/>
              <w:right w:val="single" w:color="auto" w:sz="4" w:space="0"/>
            </w:tcBorders>
            <w:noWrap/>
            <w:vAlign w:val="bottom"/>
          </w:tcPr>
          <w:p>
            <w:pPr>
              <w:widowControl/>
              <w:spacing w:line="28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支     出</w:t>
            </w:r>
          </w:p>
        </w:tc>
      </w:tr>
      <w:tr>
        <w:tblPrEx>
          <w:tblLayout w:type="fixed"/>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kern w:val="0"/>
                <w:sz w:val="18"/>
                <w:szCs w:val="18"/>
              </w:rPr>
            </w:pPr>
            <w:r>
              <w:rPr>
                <w:rFonts w:hint="eastAsia" w:ascii="仿宋_GB2312" w:hAnsi="宋体" w:eastAsia="仿宋_GB2312" w:cs="宋体"/>
                <w:b/>
                <w:kern w:val="0"/>
                <w:sz w:val="18"/>
                <w:szCs w:val="18"/>
              </w:rPr>
              <w:t>项     目</w:t>
            </w:r>
          </w:p>
        </w:tc>
        <w:tc>
          <w:tcPr>
            <w:tcW w:w="1418"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kern w:val="0"/>
                <w:sz w:val="18"/>
                <w:szCs w:val="18"/>
              </w:rPr>
            </w:pPr>
            <w:r>
              <w:rPr>
                <w:rFonts w:hint="eastAsia" w:ascii="仿宋_GB2312" w:hAnsi="宋体" w:eastAsia="仿宋_GB2312" w:cs="宋体"/>
                <w:b/>
                <w:kern w:val="0"/>
                <w:sz w:val="18"/>
                <w:szCs w:val="18"/>
              </w:rPr>
              <w:t>预算数</w:t>
            </w:r>
          </w:p>
        </w:tc>
        <w:tc>
          <w:tcPr>
            <w:tcW w:w="3260"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kern w:val="0"/>
                <w:sz w:val="18"/>
                <w:szCs w:val="18"/>
              </w:rPr>
            </w:pPr>
            <w:r>
              <w:rPr>
                <w:rFonts w:hint="eastAsia" w:ascii="仿宋_GB2312" w:hAnsi="宋体" w:eastAsia="仿宋_GB2312" w:cs="宋体"/>
                <w:b/>
                <w:kern w:val="0"/>
                <w:sz w:val="18"/>
                <w:szCs w:val="18"/>
              </w:rPr>
              <w:t>功能分类</w:t>
            </w:r>
          </w:p>
        </w:tc>
        <w:tc>
          <w:tcPr>
            <w:tcW w:w="1559"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kern w:val="0"/>
                <w:sz w:val="18"/>
                <w:szCs w:val="18"/>
              </w:rPr>
            </w:pPr>
            <w:r>
              <w:rPr>
                <w:rFonts w:hint="eastAsia" w:ascii="仿宋_GB2312" w:hAnsi="宋体" w:eastAsia="仿宋_GB2312" w:cs="宋体"/>
                <w:b/>
                <w:kern w:val="0"/>
                <w:sz w:val="18"/>
                <w:szCs w:val="18"/>
              </w:rPr>
              <w:t>预算数</w:t>
            </w:r>
          </w:p>
        </w:tc>
      </w:tr>
      <w:tr>
        <w:tblPrEx>
          <w:tblLayout w:type="fixed"/>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41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1573.6　</w:t>
            </w: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一般公共预算</w:t>
            </w:r>
          </w:p>
        </w:tc>
        <w:tc>
          <w:tcPr>
            <w:tcW w:w="141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1573.6　　</w:t>
            </w: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政府性基金预算</w:t>
            </w:r>
          </w:p>
        </w:tc>
        <w:tc>
          <w:tcPr>
            <w:tcW w:w="141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国有资本经营预算</w:t>
            </w:r>
          </w:p>
        </w:tc>
        <w:tc>
          <w:tcPr>
            <w:tcW w:w="141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教育收费（财政专户）</w:t>
            </w:r>
          </w:p>
        </w:tc>
        <w:tc>
          <w:tcPr>
            <w:tcW w:w="141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事业收入</w:t>
            </w:r>
          </w:p>
        </w:tc>
        <w:tc>
          <w:tcPr>
            <w:tcW w:w="141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41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单位其他资金收入</w:t>
            </w:r>
          </w:p>
        </w:tc>
        <w:tc>
          <w:tcPr>
            <w:tcW w:w="141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32.01　</w:t>
            </w:r>
          </w:p>
        </w:tc>
      </w:tr>
      <w:tr>
        <w:tblPrEx>
          <w:tblLayout w:type="fixed"/>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209 社会保险基金支出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p>
        </w:tc>
        <w:tc>
          <w:tcPr>
            <w:tcW w:w="1418"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kern w:val="0"/>
                <w:sz w:val="18"/>
                <w:szCs w:val="18"/>
              </w:rPr>
            </w:pP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1541.59</w:t>
            </w:r>
          </w:p>
        </w:tc>
      </w:tr>
      <w:tr>
        <w:tblPrEx>
          <w:tblLayout w:type="fixed"/>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p>
        </w:tc>
        <w:tc>
          <w:tcPr>
            <w:tcW w:w="1418"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kern w:val="0"/>
                <w:sz w:val="18"/>
                <w:szCs w:val="18"/>
              </w:rPr>
            </w:pP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223 国有资本经营预算支出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p>
        </w:tc>
        <w:tc>
          <w:tcPr>
            <w:tcW w:w="1418"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kern w:val="0"/>
                <w:sz w:val="18"/>
                <w:szCs w:val="18"/>
              </w:rPr>
            </w:pP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p>
        </w:tc>
        <w:tc>
          <w:tcPr>
            <w:tcW w:w="1418"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kern w:val="0"/>
                <w:sz w:val="18"/>
                <w:szCs w:val="18"/>
              </w:rPr>
            </w:pP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230转移性支出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noWrap/>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p>
        </w:tc>
        <w:tc>
          <w:tcPr>
            <w:tcW w:w="1418" w:type="dxa"/>
            <w:tcBorders>
              <w:top w:val="nil"/>
              <w:left w:val="single" w:color="auto" w:sz="4" w:space="0"/>
              <w:bottom w:val="single" w:color="auto" w:sz="4" w:space="0"/>
              <w:right w:val="single" w:color="auto" w:sz="4" w:space="0"/>
            </w:tcBorders>
            <w:noWrap/>
            <w:vAlign w:val="center"/>
          </w:tcPr>
          <w:p>
            <w:pPr>
              <w:widowControl/>
              <w:spacing w:line="280" w:lineRule="exact"/>
              <w:jc w:val="right"/>
              <w:rPr>
                <w:rFonts w:ascii="仿宋_GB2312" w:hAnsi="宋体" w:eastAsia="仿宋_GB2312" w:cs="宋体"/>
                <w:kern w:val="0"/>
                <w:sz w:val="18"/>
                <w:szCs w:val="18"/>
              </w:rPr>
            </w:pPr>
          </w:p>
        </w:tc>
        <w:tc>
          <w:tcPr>
            <w:tcW w:w="3260" w:type="dxa"/>
            <w:tcBorders>
              <w:top w:val="nil"/>
              <w:left w:val="nil"/>
              <w:bottom w:val="single" w:color="auto" w:sz="4" w:space="0"/>
              <w:right w:val="single" w:color="auto" w:sz="4" w:space="0"/>
            </w:tcBorders>
            <w:noWrap/>
            <w:vAlign w:val="center"/>
          </w:tcPr>
          <w:p>
            <w:pPr>
              <w:widowControl/>
              <w:spacing w:line="28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234 抗疫特别国债还本支出</w:t>
            </w:r>
          </w:p>
        </w:tc>
        <w:tc>
          <w:tcPr>
            <w:tcW w:w="1559" w:type="dxa"/>
            <w:tcBorders>
              <w:top w:val="nil"/>
              <w:left w:val="nil"/>
              <w:bottom w:val="single" w:color="auto" w:sz="4" w:space="0"/>
              <w:right w:val="single" w:color="auto" w:sz="4" w:space="0"/>
            </w:tcBorders>
            <w:noWrap/>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nil"/>
            </w:tcBorders>
            <w:noWrap/>
            <w:vAlign w:val="center"/>
          </w:tcPr>
          <w:p>
            <w:pPr>
              <w:widowControl/>
              <w:spacing w:line="280" w:lineRule="exact"/>
              <w:jc w:val="left"/>
              <w:rPr>
                <w:rFonts w:ascii="仿宋_GB2312" w:hAnsi="宋体" w:eastAsia="仿宋_GB2312" w:cs="宋体"/>
                <w:kern w:val="0"/>
                <w:sz w:val="18"/>
                <w:szCs w:val="18"/>
              </w:rPr>
            </w:pPr>
          </w:p>
        </w:tc>
        <w:tc>
          <w:tcPr>
            <w:tcW w:w="1418" w:type="dxa"/>
            <w:tcBorders>
              <w:top w:val="nil"/>
              <w:left w:val="single" w:color="auto" w:sz="4" w:space="0"/>
              <w:bottom w:val="single" w:color="auto" w:sz="4" w:space="0"/>
              <w:right w:val="single" w:color="auto" w:sz="4" w:space="0"/>
            </w:tcBorders>
            <w:noWrap/>
            <w:vAlign w:val="center"/>
          </w:tcPr>
          <w:p>
            <w:pPr>
              <w:widowControl/>
              <w:spacing w:line="280" w:lineRule="exact"/>
              <w:jc w:val="right"/>
              <w:rPr>
                <w:rFonts w:ascii="仿宋_GB2312" w:hAnsi="宋体" w:eastAsia="仿宋_GB2312" w:cs="宋体"/>
                <w:kern w:val="0"/>
                <w:sz w:val="18"/>
                <w:szCs w:val="18"/>
              </w:rPr>
            </w:pPr>
          </w:p>
        </w:tc>
        <w:tc>
          <w:tcPr>
            <w:tcW w:w="3260" w:type="dxa"/>
            <w:tcBorders>
              <w:top w:val="nil"/>
              <w:left w:val="nil"/>
              <w:bottom w:val="single" w:color="auto" w:sz="4" w:space="0"/>
              <w:right w:val="single" w:color="auto" w:sz="4" w:space="0"/>
            </w:tcBorders>
            <w:noWrap/>
            <w:vAlign w:val="center"/>
          </w:tcPr>
          <w:p>
            <w:pPr>
              <w:widowControl/>
              <w:spacing w:line="280" w:lineRule="exact"/>
              <w:jc w:val="left"/>
              <w:textAlignment w:val="center"/>
              <w:rPr>
                <w:rFonts w:ascii="仿宋_GB2312" w:hAnsi="宋体" w:eastAsia="仿宋_GB2312" w:cs="宋体"/>
                <w:kern w:val="0"/>
                <w:sz w:val="18"/>
                <w:szCs w:val="18"/>
                <w:lang w:bidi="ar"/>
              </w:rPr>
            </w:pPr>
          </w:p>
        </w:tc>
        <w:tc>
          <w:tcPr>
            <w:tcW w:w="1559" w:type="dxa"/>
            <w:tcBorders>
              <w:top w:val="nil"/>
              <w:left w:val="nil"/>
              <w:bottom w:val="single" w:color="auto" w:sz="4" w:space="0"/>
              <w:right w:val="single" w:color="auto" w:sz="4" w:space="0"/>
            </w:tcBorders>
            <w:noWrap/>
            <w:vAlign w:val="center"/>
          </w:tcPr>
          <w:p>
            <w:pPr>
              <w:widowControl/>
              <w:spacing w:line="28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65" w:hRule="atLeast"/>
        </w:trPr>
        <w:tc>
          <w:tcPr>
            <w:tcW w:w="2425" w:type="dxa"/>
            <w:tcBorders>
              <w:top w:val="nil"/>
              <w:left w:val="single" w:color="auto" w:sz="4" w:space="0"/>
              <w:bottom w:val="single" w:color="auto" w:sz="4" w:space="0"/>
              <w:right w:val="nil"/>
            </w:tcBorders>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收  入  总  计</w:t>
            </w:r>
          </w:p>
        </w:tc>
        <w:tc>
          <w:tcPr>
            <w:tcW w:w="1418"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1573.6　</w:t>
            </w:r>
          </w:p>
        </w:tc>
        <w:tc>
          <w:tcPr>
            <w:tcW w:w="3260" w:type="dxa"/>
            <w:tcBorders>
              <w:top w:val="nil"/>
              <w:left w:val="nil"/>
              <w:bottom w:val="single" w:color="auto" w:sz="4" w:space="0"/>
              <w:right w:val="nil"/>
            </w:tcBorders>
            <w:noWrap/>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  出  总  计</w:t>
            </w:r>
          </w:p>
        </w:tc>
        <w:tc>
          <w:tcPr>
            <w:tcW w:w="1559" w:type="dxa"/>
            <w:tcBorders>
              <w:top w:val="nil"/>
              <w:left w:val="single" w:color="auto" w:sz="4" w:space="0"/>
              <w:bottom w:val="single" w:color="auto" w:sz="4" w:space="0"/>
              <w:right w:val="single" w:color="auto" w:sz="4" w:space="0"/>
            </w:tcBorders>
            <w:noWrap/>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1573.6　</w:t>
            </w:r>
          </w:p>
        </w:tc>
      </w:tr>
    </w:tbl>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表二：</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部门（单位）收入总体情况表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编制部门（单位）：昌吉州医疗保障局                               单位：万元</w:t>
      </w:r>
    </w:p>
    <w:tbl>
      <w:tblPr>
        <w:tblStyle w:val="9"/>
        <w:tblW w:w="9741" w:type="dxa"/>
        <w:tblInd w:w="-450" w:type="dxa"/>
        <w:tblLayout w:type="fixed"/>
        <w:tblCellMar>
          <w:top w:w="0" w:type="dxa"/>
          <w:left w:w="108" w:type="dxa"/>
          <w:bottom w:w="0" w:type="dxa"/>
          <w:right w:w="108" w:type="dxa"/>
        </w:tblCellMar>
      </w:tblPr>
      <w:tblGrid>
        <w:gridCol w:w="558"/>
        <w:gridCol w:w="426"/>
        <w:gridCol w:w="567"/>
        <w:gridCol w:w="1845"/>
        <w:gridCol w:w="1018"/>
        <w:gridCol w:w="850"/>
        <w:gridCol w:w="709"/>
        <w:gridCol w:w="795"/>
        <w:gridCol w:w="921"/>
        <w:gridCol w:w="660"/>
        <w:gridCol w:w="708"/>
        <w:gridCol w:w="684"/>
      </w:tblGrid>
      <w:tr>
        <w:tblPrEx>
          <w:tblLayout w:type="fixed"/>
          <w:tblCellMar>
            <w:top w:w="0" w:type="dxa"/>
            <w:left w:w="108" w:type="dxa"/>
            <w:bottom w:w="0" w:type="dxa"/>
            <w:right w:w="108" w:type="dxa"/>
          </w:tblCellMar>
        </w:tblPrEx>
        <w:trPr>
          <w:trHeight w:val="510" w:hRule="atLeast"/>
        </w:trPr>
        <w:tc>
          <w:tcPr>
            <w:tcW w:w="155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功能分类科目编码</w:t>
            </w:r>
          </w:p>
        </w:tc>
        <w:tc>
          <w:tcPr>
            <w:tcW w:w="1845"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功能分类科目名称</w:t>
            </w:r>
          </w:p>
        </w:tc>
        <w:tc>
          <w:tcPr>
            <w:tcW w:w="1018"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总  计</w:t>
            </w:r>
          </w:p>
        </w:tc>
        <w:tc>
          <w:tcPr>
            <w:tcW w:w="85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一般公共预算拨款</w:t>
            </w:r>
          </w:p>
        </w:tc>
        <w:tc>
          <w:tcPr>
            <w:tcW w:w="709"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政府性基金预算拨款</w:t>
            </w:r>
          </w:p>
        </w:tc>
        <w:tc>
          <w:tcPr>
            <w:tcW w:w="795"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国有资本经营预算</w:t>
            </w:r>
          </w:p>
        </w:tc>
        <w:tc>
          <w:tcPr>
            <w:tcW w:w="921"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财政专户（教育收费）</w:t>
            </w:r>
          </w:p>
        </w:tc>
        <w:tc>
          <w:tcPr>
            <w:tcW w:w="66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事业收入</w:t>
            </w:r>
          </w:p>
        </w:tc>
        <w:tc>
          <w:tcPr>
            <w:tcW w:w="708"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事业单位经营收入</w:t>
            </w:r>
          </w:p>
        </w:tc>
        <w:tc>
          <w:tcPr>
            <w:tcW w:w="684"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单位其他资金收入</w:t>
            </w:r>
          </w:p>
        </w:tc>
      </w:tr>
      <w:tr>
        <w:tblPrEx>
          <w:tblLayout w:type="fixed"/>
          <w:tblCellMar>
            <w:top w:w="0" w:type="dxa"/>
            <w:left w:w="108" w:type="dxa"/>
            <w:bottom w:w="0" w:type="dxa"/>
            <w:right w:w="108" w:type="dxa"/>
          </w:tblCellMar>
        </w:tblPrEx>
        <w:trPr>
          <w:trHeight w:val="1870" w:hRule="atLeast"/>
        </w:trPr>
        <w:tc>
          <w:tcPr>
            <w:tcW w:w="55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类</w:t>
            </w:r>
          </w:p>
        </w:tc>
        <w:tc>
          <w:tcPr>
            <w:tcW w:w="426"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款</w:t>
            </w: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项</w:t>
            </w:r>
          </w:p>
        </w:tc>
        <w:tc>
          <w:tcPr>
            <w:tcW w:w="1845"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18"/>
                <w:szCs w:val="18"/>
              </w:rPr>
            </w:pPr>
          </w:p>
        </w:tc>
        <w:tc>
          <w:tcPr>
            <w:tcW w:w="101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18"/>
                <w:szCs w:val="18"/>
              </w:rPr>
            </w:pPr>
          </w:p>
        </w:tc>
        <w:tc>
          <w:tcPr>
            <w:tcW w:w="85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18"/>
                <w:szCs w:val="18"/>
              </w:rPr>
            </w:pPr>
          </w:p>
        </w:tc>
        <w:tc>
          <w:tcPr>
            <w:tcW w:w="709"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18"/>
                <w:szCs w:val="18"/>
              </w:rPr>
            </w:pPr>
          </w:p>
        </w:tc>
        <w:tc>
          <w:tcPr>
            <w:tcW w:w="795"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18"/>
                <w:szCs w:val="18"/>
              </w:rPr>
            </w:pPr>
          </w:p>
        </w:tc>
        <w:tc>
          <w:tcPr>
            <w:tcW w:w="921"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18"/>
                <w:szCs w:val="18"/>
              </w:rPr>
            </w:pPr>
          </w:p>
        </w:tc>
        <w:tc>
          <w:tcPr>
            <w:tcW w:w="66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18"/>
                <w:szCs w:val="18"/>
              </w:rPr>
            </w:pPr>
          </w:p>
        </w:tc>
        <w:tc>
          <w:tcPr>
            <w:tcW w:w="70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18"/>
                <w:szCs w:val="18"/>
              </w:rPr>
            </w:pPr>
          </w:p>
        </w:tc>
        <w:tc>
          <w:tcPr>
            <w:tcW w:w="684"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2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56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184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合计</w:t>
            </w:r>
          </w:p>
        </w:tc>
        <w:tc>
          <w:tcPr>
            <w:tcW w:w="1018"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1573.6</w:t>
            </w:r>
          </w:p>
        </w:tc>
        <w:tc>
          <w:tcPr>
            <w:tcW w:w="850"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1573.6</w:t>
            </w:r>
          </w:p>
        </w:tc>
        <w:tc>
          <w:tcPr>
            <w:tcW w:w="709"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shd w:val="clear" w:color="000000" w:fill="FFFFFF"/>
            <w:noWrap/>
            <w:vAlign w:val="center"/>
          </w:tcPr>
          <w:p>
            <w:pPr>
              <w:jc w:val="right"/>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b w:val="0"/>
                <w:bCs w:val="0"/>
                <w:color w:val="000000"/>
                <w:kern w:val="0"/>
                <w:sz w:val="18"/>
                <w:szCs w:val="18"/>
                <w:lang w:val="en-US" w:eastAsia="zh-CN"/>
              </w:rPr>
              <w:t>208</w:t>
            </w:r>
          </w:p>
        </w:tc>
        <w:tc>
          <w:tcPr>
            <w:tcW w:w="42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1845" w:type="dxa"/>
            <w:tcBorders>
              <w:top w:val="nil"/>
              <w:left w:val="nil"/>
              <w:bottom w:val="single" w:color="auto" w:sz="4" w:space="0"/>
              <w:right w:val="single" w:color="auto" w:sz="4" w:space="0"/>
            </w:tcBorders>
            <w:vAlign w:val="center"/>
          </w:tcPr>
          <w:p>
            <w:pPr>
              <w:jc w:val="left"/>
              <w:rPr>
                <w:rFonts w:ascii="仿宋_GB2312" w:hAnsi="宋体" w:eastAsia="仿宋_GB2312" w:cs="宋体"/>
                <w:color w:val="000000"/>
                <w:sz w:val="18"/>
                <w:szCs w:val="18"/>
              </w:rPr>
            </w:pPr>
            <w:r>
              <w:rPr>
                <w:rFonts w:hint="eastAsia" w:ascii="仿宋_GB2312" w:hAnsi="宋体" w:eastAsia="仿宋_GB2312" w:cs="宋体"/>
                <w:b w:val="0"/>
                <w:bCs w:val="0"/>
                <w:color w:val="000000"/>
                <w:sz w:val="18"/>
                <w:szCs w:val="18"/>
                <w:lang w:eastAsia="zh-CN"/>
              </w:rPr>
              <w:t>社会保障和就业支出</w:t>
            </w:r>
          </w:p>
        </w:tc>
        <w:tc>
          <w:tcPr>
            <w:tcW w:w="101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hAnsi="宋体" w:eastAsia="仿宋_GB2312" w:cs="宋体"/>
                <w:b w:val="0"/>
                <w:bCs w:val="0"/>
                <w:color w:val="000000"/>
                <w:sz w:val="18"/>
                <w:szCs w:val="18"/>
              </w:rPr>
              <w:t>32.01</w:t>
            </w:r>
          </w:p>
        </w:tc>
        <w:tc>
          <w:tcPr>
            <w:tcW w:w="8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hAnsi="宋体" w:eastAsia="仿宋_GB2312" w:cs="宋体"/>
                <w:b w:val="0"/>
                <w:bCs w:val="0"/>
                <w:color w:val="000000"/>
                <w:sz w:val="18"/>
                <w:szCs w:val="18"/>
              </w:rPr>
              <w:t>32.01</w:t>
            </w:r>
          </w:p>
        </w:tc>
        <w:tc>
          <w:tcPr>
            <w:tcW w:w="709"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b w:val="0"/>
                <w:bCs w:val="0"/>
                <w:color w:val="000000"/>
                <w:kern w:val="0"/>
                <w:sz w:val="18"/>
                <w:szCs w:val="18"/>
                <w:lang w:val="en-US" w:eastAsia="zh-CN"/>
              </w:rPr>
              <w:t>208</w:t>
            </w:r>
          </w:p>
        </w:tc>
        <w:tc>
          <w:tcPr>
            <w:tcW w:w="42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b w:val="0"/>
                <w:bCs w:val="0"/>
                <w:color w:val="000000"/>
                <w:kern w:val="0"/>
                <w:sz w:val="18"/>
                <w:szCs w:val="18"/>
                <w:lang w:val="en-US" w:eastAsia="zh-CN"/>
              </w:rPr>
              <w:t>05</w:t>
            </w: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1845" w:type="dxa"/>
            <w:tcBorders>
              <w:top w:val="nil"/>
              <w:left w:val="nil"/>
              <w:bottom w:val="single" w:color="auto" w:sz="4" w:space="0"/>
              <w:right w:val="single" w:color="auto" w:sz="4" w:space="0"/>
            </w:tcBorders>
            <w:vAlign w:val="center"/>
          </w:tcPr>
          <w:p>
            <w:pPr>
              <w:jc w:val="left"/>
              <w:rPr>
                <w:rFonts w:ascii="仿宋_GB2312" w:hAnsi="宋体" w:eastAsia="仿宋_GB2312" w:cs="宋体"/>
                <w:color w:val="000000"/>
                <w:sz w:val="18"/>
                <w:szCs w:val="18"/>
              </w:rPr>
            </w:pPr>
            <w:r>
              <w:rPr>
                <w:rFonts w:hint="eastAsia" w:ascii="仿宋_GB2312" w:hAnsi="宋体" w:eastAsia="仿宋_GB2312" w:cs="宋体"/>
                <w:b w:val="0"/>
                <w:bCs w:val="0"/>
                <w:color w:val="000000"/>
                <w:sz w:val="18"/>
                <w:szCs w:val="18"/>
                <w:lang w:eastAsia="zh-CN"/>
              </w:rPr>
              <w:t>行政事业单位养老支出</w:t>
            </w:r>
          </w:p>
        </w:tc>
        <w:tc>
          <w:tcPr>
            <w:tcW w:w="101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hAnsi="宋体" w:eastAsia="仿宋_GB2312" w:cs="宋体"/>
                <w:b w:val="0"/>
                <w:bCs w:val="0"/>
                <w:color w:val="000000"/>
                <w:sz w:val="18"/>
                <w:szCs w:val="18"/>
              </w:rPr>
              <w:t>32.01</w:t>
            </w:r>
          </w:p>
        </w:tc>
        <w:tc>
          <w:tcPr>
            <w:tcW w:w="8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hAnsi="宋体" w:eastAsia="仿宋_GB2312" w:cs="宋体"/>
                <w:b w:val="0"/>
                <w:bCs w:val="0"/>
                <w:color w:val="000000"/>
                <w:sz w:val="18"/>
                <w:szCs w:val="18"/>
              </w:rPr>
              <w:t>32.01</w:t>
            </w:r>
          </w:p>
        </w:tc>
        <w:tc>
          <w:tcPr>
            <w:tcW w:w="709"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b w:val="0"/>
                <w:bCs w:val="0"/>
                <w:color w:val="000000"/>
                <w:sz w:val="18"/>
                <w:szCs w:val="18"/>
              </w:rPr>
              <w:t>208</w:t>
            </w:r>
          </w:p>
        </w:tc>
        <w:tc>
          <w:tcPr>
            <w:tcW w:w="42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b w:val="0"/>
                <w:bCs w:val="0"/>
                <w:color w:val="000000"/>
                <w:sz w:val="18"/>
                <w:szCs w:val="18"/>
              </w:rPr>
              <w:t>05</w:t>
            </w: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b w:val="0"/>
                <w:bCs w:val="0"/>
                <w:color w:val="000000"/>
                <w:sz w:val="18"/>
                <w:szCs w:val="18"/>
              </w:rPr>
              <w:t>05</w:t>
            </w:r>
          </w:p>
        </w:tc>
        <w:tc>
          <w:tcPr>
            <w:tcW w:w="1845" w:type="dxa"/>
            <w:tcBorders>
              <w:top w:val="nil"/>
              <w:left w:val="nil"/>
              <w:bottom w:val="single" w:color="auto" w:sz="4" w:space="0"/>
              <w:right w:val="single" w:color="auto" w:sz="4" w:space="0"/>
            </w:tcBorders>
            <w:vAlign w:val="center"/>
          </w:tcPr>
          <w:p>
            <w:pPr>
              <w:jc w:val="left"/>
              <w:rPr>
                <w:rFonts w:ascii="仿宋_GB2312" w:hAnsi="宋体" w:eastAsia="仿宋_GB2312" w:cs="宋体"/>
                <w:color w:val="000000"/>
                <w:sz w:val="18"/>
                <w:szCs w:val="18"/>
              </w:rPr>
            </w:pPr>
            <w:r>
              <w:rPr>
                <w:rFonts w:hint="eastAsia" w:ascii="仿宋_GB2312" w:hAnsi="宋体" w:eastAsia="仿宋_GB2312" w:cs="宋体"/>
                <w:b w:val="0"/>
                <w:bCs w:val="0"/>
                <w:color w:val="000000"/>
                <w:sz w:val="18"/>
                <w:szCs w:val="18"/>
              </w:rPr>
              <w:t>机关事业单位基本养老保险缴费支出</w:t>
            </w:r>
          </w:p>
        </w:tc>
        <w:tc>
          <w:tcPr>
            <w:tcW w:w="101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hAnsi="宋体" w:eastAsia="仿宋_GB2312" w:cs="宋体"/>
                <w:b w:val="0"/>
                <w:bCs w:val="0"/>
                <w:color w:val="000000"/>
                <w:sz w:val="18"/>
                <w:szCs w:val="18"/>
              </w:rPr>
              <w:t>32.01</w:t>
            </w:r>
          </w:p>
        </w:tc>
        <w:tc>
          <w:tcPr>
            <w:tcW w:w="8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hAnsi="宋体" w:eastAsia="仿宋_GB2312" w:cs="宋体"/>
                <w:b w:val="0"/>
                <w:bCs w:val="0"/>
                <w:color w:val="000000"/>
                <w:sz w:val="18"/>
                <w:szCs w:val="18"/>
              </w:rPr>
              <w:t>32.01</w:t>
            </w:r>
          </w:p>
        </w:tc>
        <w:tc>
          <w:tcPr>
            <w:tcW w:w="709"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b w:val="0"/>
                <w:bCs w:val="0"/>
                <w:color w:val="000000"/>
                <w:kern w:val="0"/>
                <w:sz w:val="18"/>
                <w:szCs w:val="18"/>
                <w:lang w:val="en-US" w:eastAsia="zh-CN"/>
              </w:rPr>
              <w:t>210</w:t>
            </w:r>
          </w:p>
        </w:tc>
        <w:tc>
          <w:tcPr>
            <w:tcW w:w="42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1845" w:type="dxa"/>
            <w:tcBorders>
              <w:top w:val="nil"/>
              <w:left w:val="nil"/>
              <w:bottom w:val="single" w:color="auto" w:sz="4" w:space="0"/>
              <w:right w:val="single" w:color="auto" w:sz="4" w:space="0"/>
            </w:tcBorders>
            <w:vAlign w:val="center"/>
          </w:tcPr>
          <w:p>
            <w:pPr>
              <w:jc w:val="left"/>
              <w:rPr>
                <w:rFonts w:ascii="仿宋_GB2312" w:hAnsi="宋体" w:eastAsia="仿宋_GB2312" w:cs="宋体"/>
                <w:color w:val="000000"/>
                <w:sz w:val="18"/>
                <w:szCs w:val="18"/>
              </w:rPr>
            </w:pPr>
            <w:r>
              <w:rPr>
                <w:rFonts w:hint="eastAsia" w:ascii="仿宋_GB2312" w:hAnsi="宋体" w:eastAsia="仿宋_GB2312" w:cs="宋体"/>
                <w:b w:val="0"/>
                <w:bCs w:val="0"/>
                <w:color w:val="000000"/>
                <w:sz w:val="18"/>
                <w:szCs w:val="18"/>
                <w:lang w:eastAsia="zh-CN"/>
              </w:rPr>
              <w:t>卫生健康支出</w:t>
            </w:r>
          </w:p>
        </w:tc>
        <w:tc>
          <w:tcPr>
            <w:tcW w:w="101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hAnsi="宋体" w:eastAsia="仿宋_GB2312" w:cs="宋体"/>
                <w:b w:val="0"/>
                <w:bCs w:val="0"/>
                <w:color w:val="000000"/>
                <w:sz w:val="18"/>
                <w:szCs w:val="18"/>
                <w:lang w:val="en-US" w:eastAsia="zh-CN"/>
              </w:rPr>
              <w:t>1541.59</w:t>
            </w:r>
          </w:p>
        </w:tc>
        <w:tc>
          <w:tcPr>
            <w:tcW w:w="8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hAnsi="宋体" w:eastAsia="仿宋_GB2312" w:cs="宋体"/>
                <w:b w:val="0"/>
                <w:bCs w:val="0"/>
                <w:color w:val="000000"/>
                <w:sz w:val="18"/>
                <w:szCs w:val="18"/>
                <w:lang w:val="en-US" w:eastAsia="zh-CN"/>
              </w:rPr>
              <w:t>1541.59</w:t>
            </w:r>
          </w:p>
        </w:tc>
        <w:tc>
          <w:tcPr>
            <w:tcW w:w="709"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b w:val="0"/>
                <w:bCs w:val="0"/>
                <w:color w:val="000000"/>
                <w:kern w:val="0"/>
                <w:sz w:val="18"/>
                <w:szCs w:val="18"/>
                <w:lang w:val="en-US" w:eastAsia="zh-CN"/>
              </w:rPr>
              <w:t>210</w:t>
            </w:r>
          </w:p>
        </w:tc>
        <w:tc>
          <w:tcPr>
            <w:tcW w:w="42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b w:val="0"/>
                <w:bCs w:val="0"/>
                <w:color w:val="000000"/>
                <w:kern w:val="0"/>
                <w:sz w:val="18"/>
                <w:szCs w:val="18"/>
                <w:lang w:val="en-US" w:eastAsia="zh-CN"/>
              </w:rPr>
              <w:t>11</w:t>
            </w: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1845" w:type="dxa"/>
            <w:tcBorders>
              <w:top w:val="nil"/>
              <w:left w:val="nil"/>
              <w:bottom w:val="single" w:color="auto" w:sz="4" w:space="0"/>
              <w:right w:val="single" w:color="auto" w:sz="4" w:space="0"/>
            </w:tcBorders>
            <w:vAlign w:val="center"/>
          </w:tcPr>
          <w:p>
            <w:pPr>
              <w:jc w:val="left"/>
              <w:rPr>
                <w:rFonts w:ascii="仿宋_GB2312" w:hAnsi="宋体" w:eastAsia="仿宋_GB2312" w:cs="宋体"/>
                <w:color w:val="000000"/>
                <w:sz w:val="18"/>
                <w:szCs w:val="18"/>
              </w:rPr>
            </w:pPr>
            <w:r>
              <w:rPr>
                <w:rFonts w:hint="eastAsia" w:ascii="仿宋_GB2312" w:hAnsi="宋体" w:eastAsia="仿宋_GB2312" w:cs="宋体"/>
                <w:b w:val="0"/>
                <w:bCs w:val="0"/>
                <w:color w:val="000000"/>
                <w:sz w:val="18"/>
                <w:szCs w:val="18"/>
                <w:lang w:eastAsia="zh-CN"/>
              </w:rPr>
              <w:t>行政事业单位医疗</w:t>
            </w:r>
          </w:p>
        </w:tc>
        <w:tc>
          <w:tcPr>
            <w:tcW w:w="101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hAnsi="宋体" w:eastAsia="仿宋_GB2312" w:cs="宋体"/>
                <w:b w:val="0"/>
                <w:bCs w:val="0"/>
                <w:color w:val="000000"/>
                <w:sz w:val="18"/>
                <w:szCs w:val="18"/>
                <w:lang w:val="en-US" w:eastAsia="zh-CN"/>
              </w:rPr>
              <w:t>25.56</w:t>
            </w:r>
          </w:p>
        </w:tc>
        <w:tc>
          <w:tcPr>
            <w:tcW w:w="8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hAnsi="宋体" w:eastAsia="仿宋_GB2312" w:cs="宋体"/>
                <w:b w:val="0"/>
                <w:bCs w:val="0"/>
                <w:color w:val="000000"/>
                <w:sz w:val="18"/>
                <w:szCs w:val="18"/>
                <w:lang w:val="en-US" w:eastAsia="zh-CN"/>
              </w:rPr>
              <w:t>25.56</w:t>
            </w:r>
          </w:p>
        </w:tc>
        <w:tc>
          <w:tcPr>
            <w:tcW w:w="709"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b w:val="0"/>
                <w:bCs w:val="0"/>
                <w:color w:val="000000"/>
                <w:sz w:val="18"/>
                <w:szCs w:val="18"/>
              </w:rPr>
              <w:t>210</w:t>
            </w:r>
          </w:p>
        </w:tc>
        <w:tc>
          <w:tcPr>
            <w:tcW w:w="42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b w:val="0"/>
                <w:bCs w:val="0"/>
                <w:color w:val="000000"/>
                <w:sz w:val="18"/>
                <w:szCs w:val="18"/>
              </w:rPr>
              <w:t>11</w:t>
            </w: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b w:val="0"/>
                <w:bCs w:val="0"/>
                <w:color w:val="000000"/>
                <w:sz w:val="18"/>
                <w:szCs w:val="18"/>
              </w:rPr>
              <w:t>01</w:t>
            </w:r>
          </w:p>
        </w:tc>
        <w:tc>
          <w:tcPr>
            <w:tcW w:w="1845" w:type="dxa"/>
            <w:tcBorders>
              <w:top w:val="nil"/>
              <w:left w:val="nil"/>
              <w:bottom w:val="single" w:color="auto" w:sz="4" w:space="0"/>
              <w:right w:val="single" w:color="auto" w:sz="4" w:space="0"/>
            </w:tcBorders>
            <w:vAlign w:val="center"/>
          </w:tcPr>
          <w:p>
            <w:pPr>
              <w:jc w:val="left"/>
              <w:rPr>
                <w:rFonts w:ascii="仿宋_GB2312" w:hAnsi="宋体" w:eastAsia="仿宋_GB2312" w:cs="宋体"/>
                <w:color w:val="000000"/>
                <w:sz w:val="18"/>
                <w:szCs w:val="18"/>
              </w:rPr>
            </w:pPr>
            <w:r>
              <w:rPr>
                <w:rFonts w:hint="eastAsia" w:ascii="仿宋_GB2312" w:hAnsi="宋体" w:eastAsia="仿宋_GB2312" w:cs="宋体"/>
                <w:b w:val="0"/>
                <w:bCs w:val="0"/>
                <w:color w:val="000000"/>
                <w:sz w:val="18"/>
                <w:szCs w:val="18"/>
              </w:rPr>
              <w:t>行政单位医疗</w:t>
            </w:r>
          </w:p>
        </w:tc>
        <w:tc>
          <w:tcPr>
            <w:tcW w:w="101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hAnsi="宋体" w:eastAsia="仿宋_GB2312" w:cs="宋体"/>
                <w:b w:val="0"/>
                <w:bCs w:val="0"/>
                <w:color w:val="000000"/>
                <w:sz w:val="18"/>
                <w:szCs w:val="18"/>
              </w:rPr>
              <w:t>19</w:t>
            </w:r>
          </w:p>
        </w:tc>
        <w:tc>
          <w:tcPr>
            <w:tcW w:w="8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hAnsi="宋体" w:eastAsia="仿宋_GB2312" w:cs="宋体"/>
                <w:b w:val="0"/>
                <w:bCs w:val="0"/>
                <w:color w:val="000000"/>
                <w:sz w:val="18"/>
                <w:szCs w:val="18"/>
              </w:rPr>
              <w:t>19</w:t>
            </w:r>
          </w:p>
        </w:tc>
        <w:tc>
          <w:tcPr>
            <w:tcW w:w="709"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b w:val="0"/>
                <w:bCs w:val="0"/>
                <w:color w:val="000000"/>
                <w:sz w:val="18"/>
                <w:szCs w:val="18"/>
              </w:rPr>
              <w:t>210</w:t>
            </w:r>
          </w:p>
        </w:tc>
        <w:tc>
          <w:tcPr>
            <w:tcW w:w="42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b w:val="0"/>
                <w:bCs w:val="0"/>
                <w:color w:val="000000"/>
                <w:sz w:val="18"/>
                <w:szCs w:val="18"/>
              </w:rPr>
              <w:t>11</w:t>
            </w: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b w:val="0"/>
                <w:bCs w:val="0"/>
                <w:color w:val="000000"/>
                <w:sz w:val="18"/>
                <w:szCs w:val="18"/>
              </w:rPr>
              <w:t>03</w:t>
            </w:r>
          </w:p>
        </w:tc>
        <w:tc>
          <w:tcPr>
            <w:tcW w:w="1845" w:type="dxa"/>
            <w:tcBorders>
              <w:top w:val="nil"/>
              <w:left w:val="nil"/>
              <w:bottom w:val="single" w:color="auto" w:sz="4" w:space="0"/>
              <w:right w:val="single" w:color="auto" w:sz="4" w:space="0"/>
            </w:tcBorders>
            <w:vAlign w:val="center"/>
          </w:tcPr>
          <w:p>
            <w:pPr>
              <w:jc w:val="left"/>
              <w:rPr>
                <w:rFonts w:ascii="仿宋_GB2312" w:hAnsi="宋体" w:eastAsia="仿宋_GB2312" w:cs="宋体"/>
                <w:color w:val="000000"/>
                <w:sz w:val="18"/>
                <w:szCs w:val="18"/>
              </w:rPr>
            </w:pPr>
            <w:r>
              <w:rPr>
                <w:rFonts w:hint="eastAsia" w:ascii="仿宋_GB2312" w:hAnsi="宋体" w:eastAsia="仿宋_GB2312" w:cs="宋体"/>
                <w:b w:val="0"/>
                <w:bCs w:val="0"/>
                <w:color w:val="000000"/>
                <w:sz w:val="18"/>
                <w:szCs w:val="18"/>
              </w:rPr>
              <w:t>公务员医疗补助</w:t>
            </w:r>
          </w:p>
        </w:tc>
        <w:tc>
          <w:tcPr>
            <w:tcW w:w="101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hAnsi="宋体" w:eastAsia="仿宋_GB2312" w:cs="宋体"/>
                <w:b w:val="0"/>
                <w:bCs w:val="0"/>
                <w:color w:val="000000"/>
                <w:sz w:val="18"/>
                <w:szCs w:val="18"/>
              </w:rPr>
              <w:t>6</w:t>
            </w:r>
          </w:p>
        </w:tc>
        <w:tc>
          <w:tcPr>
            <w:tcW w:w="8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hAnsi="宋体" w:eastAsia="仿宋_GB2312" w:cs="宋体"/>
                <w:b w:val="0"/>
                <w:bCs w:val="0"/>
                <w:color w:val="000000"/>
                <w:sz w:val="18"/>
                <w:szCs w:val="18"/>
              </w:rPr>
              <w:t>6</w:t>
            </w:r>
          </w:p>
        </w:tc>
        <w:tc>
          <w:tcPr>
            <w:tcW w:w="709"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b w:val="0"/>
                <w:bCs w:val="0"/>
                <w:color w:val="000000"/>
                <w:sz w:val="18"/>
                <w:szCs w:val="18"/>
              </w:rPr>
              <w:t>210</w:t>
            </w:r>
          </w:p>
        </w:tc>
        <w:tc>
          <w:tcPr>
            <w:tcW w:w="42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b w:val="0"/>
                <w:bCs w:val="0"/>
                <w:color w:val="000000"/>
                <w:sz w:val="18"/>
                <w:szCs w:val="18"/>
              </w:rPr>
              <w:t>11</w:t>
            </w: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b w:val="0"/>
                <w:bCs w:val="0"/>
                <w:color w:val="000000"/>
                <w:sz w:val="18"/>
                <w:szCs w:val="18"/>
              </w:rPr>
              <w:t>99</w:t>
            </w:r>
          </w:p>
        </w:tc>
        <w:tc>
          <w:tcPr>
            <w:tcW w:w="1845" w:type="dxa"/>
            <w:tcBorders>
              <w:top w:val="nil"/>
              <w:left w:val="nil"/>
              <w:bottom w:val="single" w:color="auto" w:sz="4" w:space="0"/>
              <w:right w:val="single" w:color="auto" w:sz="4" w:space="0"/>
            </w:tcBorders>
            <w:vAlign w:val="center"/>
          </w:tcPr>
          <w:p>
            <w:pPr>
              <w:jc w:val="left"/>
              <w:rPr>
                <w:rFonts w:ascii="仿宋_GB2312" w:hAnsi="宋体" w:eastAsia="仿宋_GB2312" w:cs="宋体"/>
                <w:color w:val="000000"/>
                <w:sz w:val="18"/>
                <w:szCs w:val="18"/>
              </w:rPr>
            </w:pPr>
            <w:r>
              <w:rPr>
                <w:rFonts w:hint="eastAsia" w:ascii="仿宋_GB2312" w:hAnsi="宋体" w:eastAsia="仿宋_GB2312" w:cs="宋体"/>
                <w:b w:val="0"/>
                <w:bCs w:val="0"/>
                <w:color w:val="000000"/>
                <w:sz w:val="18"/>
                <w:szCs w:val="18"/>
              </w:rPr>
              <w:t>其他行政事业单位医疗支出</w:t>
            </w:r>
          </w:p>
        </w:tc>
        <w:tc>
          <w:tcPr>
            <w:tcW w:w="101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hAnsi="宋体" w:eastAsia="仿宋_GB2312" w:cs="宋体"/>
                <w:b w:val="0"/>
                <w:bCs w:val="0"/>
                <w:color w:val="000000"/>
                <w:sz w:val="18"/>
                <w:szCs w:val="18"/>
              </w:rPr>
              <w:t>0.56</w:t>
            </w:r>
          </w:p>
        </w:tc>
        <w:tc>
          <w:tcPr>
            <w:tcW w:w="8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hAnsi="宋体" w:eastAsia="仿宋_GB2312" w:cs="宋体"/>
                <w:b w:val="0"/>
                <w:bCs w:val="0"/>
                <w:color w:val="000000"/>
                <w:sz w:val="18"/>
                <w:szCs w:val="18"/>
              </w:rPr>
              <w:t>0.56</w:t>
            </w:r>
          </w:p>
        </w:tc>
        <w:tc>
          <w:tcPr>
            <w:tcW w:w="7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8"/>
                <w:szCs w:val="18"/>
              </w:rPr>
            </w:pPr>
            <w:r>
              <w:rPr>
                <w:rFonts w:hint="eastAsia" w:ascii="仿宋_GB2312" w:hAnsi="宋体" w:eastAsia="仿宋_GB2312" w:cs="宋体"/>
                <w:b w:val="0"/>
                <w:bCs w:val="0"/>
                <w:color w:val="000000"/>
                <w:kern w:val="0"/>
                <w:sz w:val="18"/>
                <w:szCs w:val="18"/>
                <w:lang w:val="en-US" w:eastAsia="zh-CN"/>
              </w:rPr>
              <w:t>210</w:t>
            </w:r>
          </w:p>
        </w:tc>
        <w:tc>
          <w:tcPr>
            <w:tcW w:w="42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8"/>
                <w:szCs w:val="18"/>
              </w:rPr>
            </w:pPr>
            <w:r>
              <w:rPr>
                <w:rFonts w:hint="eastAsia" w:ascii="仿宋_GB2312" w:hAnsi="宋体" w:eastAsia="仿宋_GB2312" w:cs="宋体"/>
                <w:b w:val="0"/>
                <w:bCs w:val="0"/>
                <w:color w:val="000000"/>
                <w:kern w:val="0"/>
                <w:sz w:val="18"/>
                <w:szCs w:val="18"/>
                <w:lang w:val="en-US" w:eastAsia="zh-CN"/>
              </w:rPr>
              <w:t>15</w:t>
            </w:r>
          </w:p>
        </w:tc>
        <w:tc>
          <w:tcPr>
            <w:tcW w:w="56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sz w:val="18"/>
                <w:szCs w:val="18"/>
              </w:rPr>
            </w:pPr>
          </w:p>
        </w:tc>
        <w:tc>
          <w:tcPr>
            <w:tcW w:w="1845"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sz w:val="18"/>
                <w:szCs w:val="18"/>
              </w:rPr>
            </w:pPr>
            <w:r>
              <w:rPr>
                <w:rFonts w:hint="eastAsia" w:ascii="仿宋_GB2312" w:hAnsi="宋体" w:eastAsia="仿宋_GB2312" w:cs="宋体"/>
                <w:b w:val="0"/>
                <w:bCs w:val="0"/>
                <w:color w:val="000000"/>
                <w:kern w:val="0"/>
                <w:sz w:val="18"/>
                <w:szCs w:val="18"/>
                <w:lang w:eastAsia="zh-CN"/>
              </w:rPr>
              <w:t>医疗保障管理事务</w:t>
            </w: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sz w:val="18"/>
                <w:szCs w:val="18"/>
              </w:rPr>
            </w:pPr>
            <w:r>
              <w:rPr>
                <w:rFonts w:hint="eastAsia" w:ascii="仿宋_GB2312" w:hAnsi="宋体" w:eastAsia="仿宋_GB2312" w:cs="宋体"/>
                <w:b w:val="0"/>
                <w:bCs w:val="0"/>
                <w:color w:val="000000"/>
                <w:kern w:val="0"/>
                <w:sz w:val="18"/>
                <w:szCs w:val="18"/>
                <w:lang w:val="en-US" w:eastAsia="zh-CN"/>
              </w:rPr>
              <w:t>1516.03</w:t>
            </w:r>
          </w:p>
        </w:tc>
        <w:tc>
          <w:tcPr>
            <w:tcW w:w="85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sz w:val="18"/>
                <w:szCs w:val="18"/>
              </w:rPr>
            </w:pPr>
            <w:r>
              <w:rPr>
                <w:rFonts w:hint="eastAsia" w:ascii="仿宋_GB2312" w:hAnsi="宋体" w:eastAsia="仿宋_GB2312" w:cs="宋体"/>
                <w:b w:val="0"/>
                <w:bCs w:val="0"/>
                <w:color w:val="000000"/>
                <w:kern w:val="0"/>
                <w:sz w:val="18"/>
                <w:szCs w:val="18"/>
                <w:lang w:val="en-US" w:eastAsia="zh-CN"/>
              </w:rPr>
              <w:t>1516.03</w:t>
            </w:r>
          </w:p>
        </w:tc>
        <w:tc>
          <w:tcPr>
            <w:tcW w:w="7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b w:val="0"/>
                <w:bCs w:val="0"/>
                <w:color w:val="000000"/>
                <w:sz w:val="18"/>
                <w:szCs w:val="18"/>
              </w:rPr>
              <w:t>210</w:t>
            </w:r>
          </w:p>
        </w:tc>
        <w:tc>
          <w:tcPr>
            <w:tcW w:w="42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b w:val="0"/>
                <w:bCs w:val="0"/>
                <w:color w:val="000000"/>
                <w:sz w:val="18"/>
                <w:szCs w:val="18"/>
              </w:rPr>
              <w:t>15</w:t>
            </w: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b w:val="0"/>
                <w:bCs w:val="0"/>
                <w:color w:val="000000"/>
                <w:sz w:val="18"/>
                <w:szCs w:val="18"/>
              </w:rPr>
              <w:t>01</w:t>
            </w:r>
          </w:p>
        </w:tc>
        <w:tc>
          <w:tcPr>
            <w:tcW w:w="1845" w:type="dxa"/>
            <w:tcBorders>
              <w:top w:val="nil"/>
              <w:left w:val="nil"/>
              <w:bottom w:val="single" w:color="auto" w:sz="4" w:space="0"/>
              <w:right w:val="single" w:color="auto" w:sz="4" w:space="0"/>
            </w:tcBorders>
            <w:vAlign w:val="center"/>
          </w:tcPr>
          <w:p>
            <w:pPr>
              <w:jc w:val="left"/>
              <w:rPr>
                <w:rFonts w:ascii="仿宋_GB2312" w:hAnsi="宋体" w:eastAsia="仿宋_GB2312" w:cs="宋体"/>
                <w:color w:val="000000"/>
                <w:sz w:val="18"/>
                <w:szCs w:val="18"/>
              </w:rPr>
            </w:pPr>
            <w:r>
              <w:rPr>
                <w:rFonts w:hint="eastAsia" w:ascii="仿宋_GB2312" w:hAnsi="宋体" w:eastAsia="仿宋_GB2312" w:cs="宋体"/>
                <w:b w:val="0"/>
                <w:bCs w:val="0"/>
                <w:color w:val="000000"/>
                <w:sz w:val="18"/>
                <w:szCs w:val="18"/>
              </w:rPr>
              <w:t>行政运行</w:t>
            </w:r>
          </w:p>
        </w:tc>
        <w:tc>
          <w:tcPr>
            <w:tcW w:w="101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hAnsi="宋体" w:eastAsia="仿宋_GB2312" w:cs="宋体"/>
                <w:b w:val="0"/>
                <w:bCs w:val="0"/>
                <w:color w:val="000000"/>
                <w:sz w:val="18"/>
                <w:szCs w:val="18"/>
              </w:rPr>
              <w:t>329.53</w:t>
            </w:r>
          </w:p>
        </w:tc>
        <w:tc>
          <w:tcPr>
            <w:tcW w:w="8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hAnsi="宋体" w:eastAsia="仿宋_GB2312" w:cs="宋体"/>
                <w:b w:val="0"/>
                <w:bCs w:val="0"/>
                <w:color w:val="000000"/>
                <w:sz w:val="18"/>
                <w:szCs w:val="18"/>
              </w:rPr>
              <w:t>329.53</w:t>
            </w:r>
          </w:p>
        </w:tc>
        <w:tc>
          <w:tcPr>
            <w:tcW w:w="7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b w:val="0"/>
                <w:bCs w:val="0"/>
                <w:color w:val="000000"/>
                <w:sz w:val="18"/>
                <w:szCs w:val="18"/>
              </w:rPr>
              <w:t>210</w:t>
            </w:r>
          </w:p>
        </w:tc>
        <w:tc>
          <w:tcPr>
            <w:tcW w:w="42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b w:val="0"/>
                <w:bCs w:val="0"/>
                <w:color w:val="000000"/>
                <w:sz w:val="18"/>
                <w:szCs w:val="18"/>
              </w:rPr>
              <w:t>15</w:t>
            </w: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b w:val="0"/>
                <w:bCs w:val="0"/>
                <w:color w:val="000000"/>
                <w:sz w:val="18"/>
                <w:szCs w:val="18"/>
              </w:rPr>
              <w:t>02</w:t>
            </w:r>
          </w:p>
        </w:tc>
        <w:tc>
          <w:tcPr>
            <w:tcW w:w="1845" w:type="dxa"/>
            <w:tcBorders>
              <w:top w:val="nil"/>
              <w:left w:val="nil"/>
              <w:bottom w:val="single" w:color="auto" w:sz="4" w:space="0"/>
              <w:right w:val="single" w:color="auto" w:sz="4" w:space="0"/>
            </w:tcBorders>
            <w:vAlign w:val="center"/>
          </w:tcPr>
          <w:p>
            <w:pPr>
              <w:jc w:val="left"/>
              <w:rPr>
                <w:rFonts w:ascii="仿宋_GB2312" w:hAnsi="宋体" w:eastAsia="仿宋_GB2312" w:cs="宋体"/>
                <w:color w:val="000000"/>
                <w:sz w:val="18"/>
                <w:szCs w:val="18"/>
              </w:rPr>
            </w:pPr>
            <w:r>
              <w:rPr>
                <w:rFonts w:hint="eastAsia" w:ascii="仿宋_GB2312" w:hAnsi="宋体" w:eastAsia="仿宋_GB2312" w:cs="宋体"/>
                <w:b w:val="0"/>
                <w:bCs w:val="0"/>
                <w:color w:val="000000"/>
                <w:sz w:val="18"/>
                <w:szCs w:val="18"/>
              </w:rPr>
              <w:t>一般行政管理事务</w:t>
            </w:r>
          </w:p>
        </w:tc>
        <w:tc>
          <w:tcPr>
            <w:tcW w:w="101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hAnsi="宋体" w:eastAsia="仿宋_GB2312" w:cs="宋体"/>
                <w:b w:val="0"/>
                <w:bCs w:val="0"/>
                <w:color w:val="000000"/>
                <w:sz w:val="18"/>
                <w:szCs w:val="18"/>
              </w:rPr>
              <w:t xml:space="preserve">            100</w:t>
            </w:r>
          </w:p>
        </w:tc>
        <w:tc>
          <w:tcPr>
            <w:tcW w:w="8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hAnsi="宋体" w:eastAsia="仿宋_GB2312" w:cs="宋体"/>
                <w:b w:val="0"/>
                <w:bCs w:val="0"/>
                <w:color w:val="000000"/>
                <w:sz w:val="18"/>
                <w:szCs w:val="18"/>
              </w:rPr>
              <w:t xml:space="preserve">            100</w:t>
            </w:r>
          </w:p>
        </w:tc>
        <w:tc>
          <w:tcPr>
            <w:tcW w:w="7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b w:val="0"/>
                <w:bCs w:val="0"/>
                <w:color w:val="000000"/>
                <w:sz w:val="18"/>
                <w:szCs w:val="18"/>
              </w:rPr>
              <w:t>210</w:t>
            </w:r>
          </w:p>
        </w:tc>
        <w:tc>
          <w:tcPr>
            <w:tcW w:w="42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b w:val="0"/>
                <w:bCs w:val="0"/>
                <w:color w:val="000000"/>
                <w:sz w:val="18"/>
                <w:szCs w:val="18"/>
              </w:rPr>
              <w:t>15</w:t>
            </w: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b w:val="0"/>
                <w:bCs w:val="0"/>
                <w:color w:val="000000"/>
                <w:sz w:val="18"/>
                <w:szCs w:val="18"/>
              </w:rPr>
              <w:t>99</w:t>
            </w:r>
          </w:p>
        </w:tc>
        <w:tc>
          <w:tcPr>
            <w:tcW w:w="1845" w:type="dxa"/>
            <w:tcBorders>
              <w:top w:val="nil"/>
              <w:left w:val="nil"/>
              <w:bottom w:val="single" w:color="auto" w:sz="4" w:space="0"/>
              <w:right w:val="single" w:color="auto" w:sz="4" w:space="0"/>
            </w:tcBorders>
            <w:vAlign w:val="center"/>
          </w:tcPr>
          <w:p>
            <w:pPr>
              <w:jc w:val="left"/>
              <w:rPr>
                <w:rFonts w:ascii="仿宋_GB2312" w:hAnsi="宋体" w:eastAsia="仿宋_GB2312" w:cs="宋体"/>
                <w:color w:val="000000"/>
                <w:sz w:val="18"/>
                <w:szCs w:val="18"/>
              </w:rPr>
            </w:pPr>
            <w:r>
              <w:rPr>
                <w:rFonts w:hint="eastAsia" w:ascii="仿宋_GB2312" w:hAnsi="宋体" w:eastAsia="仿宋_GB2312" w:cs="宋体"/>
                <w:b w:val="0"/>
                <w:bCs w:val="0"/>
                <w:color w:val="000000"/>
                <w:sz w:val="18"/>
                <w:szCs w:val="18"/>
              </w:rPr>
              <w:t>其他医疗保障管理事务支出</w:t>
            </w:r>
          </w:p>
        </w:tc>
        <w:tc>
          <w:tcPr>
            <w:tcW w:w="101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hAnsi="宋体" w:eastAsia="仿宋_GB2312" w:cs="宋体"/>
                <w:b w:val="0"/>
                <w:bCs w:val="0"/>
                <w:color w:val="000000"/>
                <w:sz w:val="18"/>
                <w:szCs w:val="18"/>
              </w:rPr>
              <w:t>1086.5</w:t>
            </w:r>
          </w:p>
        </w:tc>
        <w:tc>
          <w:tcPr>
            <w:tcW w:w="8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hAnsi="宋体" w:eastAsia="仿宋_GB2312" w:cs="宋体"/>
                <w:b w:val="0"/>
                <w:bCs w:val="0"/>
                <w:color w:val="000000"/>
                <w:sz w:val="18"/>
                <w:szCs w:val="18"/>
              </w:rPr>
              <w:t>1086.5</w:t>
            </w:r>
          </w:p>
        </w:tc>
        <w:tc>
          <w:tcPr>
            <w:tcW w:w="7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42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184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101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8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42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184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101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8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42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184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101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8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42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184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101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8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42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184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eastAsia="仿宋_GB2312"/>
                <w:b/>
                <w:bCs/>
                <w:color w:val="000000"/>
                <w:sz w:val="18"/>
                <w:szCs w:val="18"/>
              </w:rPr>
              <w:t>合  计</w:t>
            </w:r>
          </w:p>
        </w:tc>
        <w:tc>
          <w:tcPr>
            <w:tcW w:w="101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1573.6</w:t>
            </w:r>
          </w:p>
        </w:tc>
        <w:tc>
          <w:tcPr>
            <w:tcW w:w="8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1573.6</w:t>
            </w:r>
          </w:p>
        </w:tc>
        <w:tc>
          <w:tcPr>
            <w:tcW w:w="7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r>
    </w:tbl>
    <w:p>
      <w:pPr>
        <w:widowControl/>
        <w:spacing w:line="360" w:lineRule="exact"/>
        <w:jc w:val="left"/>
        <w:outlineLvl w:val="1"/>
        <w:rPr>
          <w:rFonts w:ascii="仿宋_GB2312" w:hAnsi="宋体" w:eastAsia="仿宋_GB2312"/>
          <w:b/>
          <w:kern w:val="0"/>
          <w:sz w:val="32"/>
          <w:szCs w:val="32"/>
        </w:rPr>
      </w:pPr>
    </w:p>
    <w:p>
      <w:pPr>
        <w:widowControl/>
        <w:spacing w:line="360" w:lineRule="exact"/>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表三：</w:t>
      </w:r>
    </w:p>
    <w:p>
      <w:pPr>
        <w:widowControl/>
        <w:spacing w:line="36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部门（单位）支出总体情况表</w:t>
      </w:r>
    </w:p>
    <w:p>
      <w:pPr>
        <w:widowControl/>
        <w:spacing w:line="280" w:lineRule="exact"/>
        <w:jc w:val="center"/>
        <w:outlineLvl w:val="1"/>
        <w:rPr>
          <w:rFonts w:ascii="仿宋_GB2312" w:hAnsi="宋体" w:eastAsia="仿宋_GB2312"/>
          <w:b/>
          <w:kern w:val="0"/>
          <w:sz w:val="32"/>
          <w:szCs w:val="32"/>
        </w:rPr>
      </w:pPr>
    </w:p>
    <w:p>
      <w:pPr>
        <w:widowControl/>
        <w:spacing w:line="280" w:lineRule="exact"/>
        <w:jc w:val="left"/>
        <w:outlineLvl w:val="1"/>
        <w:rPr>
          <w:rFonts w:ascii="仿宋_GB2312" w:hAnsi="宋体" w:eastAsia="仿宋_GB2312"/>
          <w:kern w:val="0"/>
          <w:sz w:val="24"/>
        </w:rPr>
      </w:pPr>
      <w:r>
        <w:rPr>
          <w:rFonts w:hint="eastAsia" w:ascii="仿宋_GB2312" w:hAnsi="宋体" w:eastAsia="仿宋_GB2312"/>
          <w:kern w:val="0"/>
          <w:sz w:val="24"/>
        </w:rPr>
        <w:t>编制部门（单位）：昌吉州医疗保障局                               单位：万元</w:t>
      </w:r>
    </w:p>
    <w:tbl>
      <w:tblPr>
        <w:tblStyle w:val="9"/>
        <w:tblW w:w="9420" w:type="dxa"/>
        <w:tblInd w:w="-240" w:type="dxa"/>
        <w:tblLayout w:type="fixed"/>
        <w:tblCellMar>
          <w:top w:w="0" w:type="dxa"/>
          <w:left w:w="108" w:type="dxa"/>
          <w:bottom w:w="0" w:type="dxa"/>
          <w:right w:w="108" w:type="dxa"/>
        </w:tblCellMar>
      </w:tblPr>
      <w:tblGrid>
        <w:gridCol w:w="494"/>
        <w:gridCol w:w="453"/>
        <w:gridCol w:w="464"/>
        <w:gridCol w:w="2394"/>
        <w:gridCol w:w="1855"/>
        <w:gridCol w:w="1856"/>
        <w:gridCol w:w="1904"/>
      </w:tblGrid>
      <w:tr>
        <w:tblPrEx>
          <w:tblLayout w:type="fixed"/>
          <w:tblCellMar>
            <w:top w:w="0" w:type="dxa"/>
            <w:left w:w="108" w:type="dxa"/>
            <w:bottom w:w="0" w:type="dxa"/>
            <w:right w:w="108" w:type="dxa"/>
          </w:tblCellMar>
        </w:tblPrEx>
        <w:trPr>
          <w:trHeight w:val="345" w:hRule="atLeast"/>
        </w:trPr>
        <w:tc>
          <w:tcPr>
            <w:tcW w:w="3805" w:type="dxa"/>
            <w:gridSpan w:val="4"/>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项    目</w:t>
            </w:r>
          </w:p>
        </w:tc>
        <w:tc>
          <w:tcPr>
            <w:tcW w:w="5615" w:type="dxa"/>
            <w:gridSpan w:val="3"/>
            <w:tcBorders>
              <w:top w:val="single" w:color="auto" w:sz="4" w:space="0"/>
              <w:left w:val="nil"/>
              <w:bottom w:val="single" w:color="auto" w:sz="4" w:space="0"/>
              <w:right w:val="single" w:color="000000"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支出预算</w:t>
            </w:r>
          </w:p>
        </w:tc>
      </w:tr>
      <w:tr>
        <w:tblPrEx>
          <w:tblLayout w:type="fixed"/>
          <w:tblCellMar>
            <w:top w:w="0" w:type="dxa"/>
            <w:left w:w="108" w:type="dxa"/>
            <w:bottom w:w="0" w:type="dxa"/>
            <w:right w:w="108" w:type="dxa"/>
          </w:tblCellMar>
        </w:tblPrEx>
        <w:trPr>
          <w:trHeight w:val="480" w:hRule="atLeast"/>
        </w:trPr>
        <w:tc>
          <w:tcPr>
            <w:tcW w:w="1411"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394"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功能分类科目名称</w:t>
            </w:r>
          </w:p>
        </w:tc>
        <w:tc>
          <w:tcPr>
            <w:tcW w:w="1855"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合  计</w:t>
            </w:r>
          </w:p>
        </w:tc>
        <w:tc>
          <w:tcPr>
            <w:tcW w:w="185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基本支出</w:t>
            </w:r>
          </w:p>
        </w:tc>
        <w:tc>
          <w:tcPr>
            <w:tcW w:w="1904"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项目支出</w:t>
            </w:r>
          </w:p>
        </w:tc>
      </w:tr>
      <w:tr>
        <w:tblPrEx>
          <w:tblLayout w:type="fixed"/>
          <w:tblCellMar>
            <w:top w:w="0" w:type="dxa"/>
            <w:left w:w="108" w:type="dxa"/>
            <w:bottom w:w="0" w:type="dxa"/>
            <w:right w:w="108" w:type="dxa"/>
          </w:tblCellMar>
        </w:tblPrEx>
        <w:trPr>
          <w:trHeight w:val="270" w:hRule="atLeast"/>
        </w:trPr>
        <w:tc>
          <w:tcPr>
            <w:tcW w:w="494"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类</w:t>
            </w:r>
          </w:p>
        </w:tc>
        <w:tc>
          <w:tcPr>
            <w:tcW w:w="453"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款</w:t>
            </w:r>
          </w:p>
        </w:tc>
        <w:tc>
          <w:tcPr>
            <w:tcW w:w="46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项</w:t>
            </w:r>
          </w:p>
        </w:tc>
        <w:tc>
          <w:tcPr>
            <w:tcW w:w="2394"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18"/>
                <w:szCs w:val="18"/>
              </w:rPr>
            </w:pPr>
          </w:p>
        </w:tc>
        <w:tc>
          <w:tcPr>
            <w:tcW w:w="1855"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18"/>
                <w:szCs w:val="18"/>
              </w:rPr>
            </w:pPr>
          </w:p>
        </w:tc>
        <w:tc>
          <w:tcPr>
            <w:tcW w:w="185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18"/>
                <w:szCs w:val="18"/>
              </w:rPr>
            </w:pPr>
          </w:p>
        </w:tc>
        <w:tc>
          <w:tcPr>
            <w:tcW w:w="1904"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494"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val="0"/>
                <w:bCs w:val="0"/>
                <w:color w:val="000000"/>
                <w:kern w:val="0"/>
                <w:sz w:val="18"/>
                <w:szCs w:val="18"/>
              </w:rPr>
            </w:pPr>
          </w:p>
        </w:tc>
        <w:tc>
          <w:tcPr>
            <w:tcW w:w="453"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val="0"/>
                <w:bCs w:val="0"/>
                <w:color w:val="000000"/>
                <w:kern w:val="0"/>
                <w:sz w:val="18"/>
                <w:szCs w:val="18"/>
              </w:rPr>
            </w:pPr>
          </w:p>
        </w:tc>
        <w:tc>
          <w:tcPr>
            <w:tcW w:w="46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val="0"/>
                <w:bCs w:val="0"/>
                <w:color w:val="000000"/>
                <w:kern w:val="0"/>
                <w:sz w:val="18"/>
                <w:szCs w:val="18"/>
              </w:rPr>
            </w:pPr>
          </w:p>
        </w:tc>
        <w:tc>
          <w:tcPr>
            <w:tcW w:w="239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val="0"/>
                <w:bCs w:val="0"/>
                <w:color w:val="000000"/>
                <w:kern w:val="0"/>
                <w:sz w:val="18"/>
                <w:szCs w:val="18"/>
              </w:rPr>
            </w:pPr>
            <w:r>
              <w:rPr>
                <w:rFonts w:hint="eastAsia" w:ascii="仿宋_GB2312" w:hAnsi="宋体" w:eastAsia="仿宋_GB2312" w:cs="宋体"/>
                <w:b w:val="0"/>
                <w:bCs w:val="0"/>
                <w:color w:val="000000"/>
                <w:kern w:val="0"/>
                <w:sz w:val="18"/>
                <w:szCs w:val="18"/>
              </w:rPr>
              <w:t>合计</w:t>
            </w:r>
          </w:p>
        </w:tc>
        <w:tc>
          <w:tcPr>
            <w:tcW w:w="1855"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val="0"/>
                <w:bCs w:val="0"/>
                <w:color w:val="000000"/>
                <w:kern w:val="0"/>
                <w:sz w:val="18"/>
                <w:szCs w:val="18"/>
              </w:rPr>
            </w:pPr>
            <w:r>
              <w:rPr>
                <w:rFonts w:hint="eastAsia" w:ascii="仿宋_GB2312" w:hAnsi="宋体" w:eastAsia="仿宋_GB2312" w:cs="宋体"/>
                <w:b w:val="0"/>
                <w:bCs w:val="0"/>
                <w:color w:val="000000"/>
                <w:sz w:val="18"/>
                <w:szCs w:val="18"/>
              </w:rPr>
              <w:t>1573.6</w:t>
            </w:r>
          </w:p>
        </w:tc>
        <w:tc>
          <w:tcPr>
            <w:tcW w:w="1856"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val="0"/>
                <w:bCs w:val="0"/>
                <w:color w:val="000000"/>
                <w:kern w:val="0"/>
                <w:sz w:val="18"/>
                <w:szCs w:val="18"/>
              </w:rPr>
            </w:pPr>
            <w:r>
              <w:rPr>
                <w:rFonts w:hint="eastAsia" w:ascii="仿宋_GB2312" w:hAnsi="宋体" w:eastAsia="仿宋_GB2312" w:cs="宋体"/>
                <w:b w:val="0"/>
                <w:bCs w:val="0"/>
                <w:color w:val="000000"/>
                <w:kern w:val="0"/>
                <w:sz w:val="18"/>
                <w:szCs w:val="18"/>
              </w:rPr>
              <w:t>387.1</w:t>
            </w: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val="0"/>
                <w:bCs w:val="0"/>
                <w:color w:val="000000"/>
                <w:kern w:val="0"/>
                <w:sz w:val="18"/>
                <w:szCs w:val="18"/>
              </w:rPr>
            </w:pPr>
            <w:r>
              <w:rPr>
                <w:rFonts w:hint="eastAsia" w:ascii="仿宋_GB2312" w:hAnsi="宋体" w:eastAsia="仿宋_GB2312" w:cs="宋体"/>
                <w:b w:val="0"/>
                <w:bCs w:val="0"/>
                <w:color w:val="000000"/>
                <w:kern w:val="0"/>
                <w:sz w:val="18"/>
                <w:szCs w:val="18"/>
              </w:rPr>
              <w:t>1186.5</w:t>
            </w:r>
          </w:p>
        </w:tc>
      </w:tr>
      <w:tr>
        <w:tblPrEx>
          <w:tblLayout w:type="fixed"/>
          <w:tblCellMar>
            <w:top w:w="0" w:type="dxa"/>
            <w:left w:w="108" w:type="dxa"/>
            <w:bottom w:w="0" w:type="dxa"/>
            <w:right w:w="108" w:type="dxa"/>
          </w:tblCellMar>
        </w:tblPrEx>
        <w:trPr>
          <w:trHeight w:val="405" w:hRule="atLeast"/>
        </w:trPr>
        <w:tc>
          <w:tcPr>
            <w:tcW w:w="494"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b w:val="0"/>
                <w:bCs w:val="0"/>
                <w:color w:val="000000"/>
                <w:kern w:val="0"/>
                <w:sz w:val="18"/>
                <w:szCs w:val="18"/>
                <w:lang w:val="en-US" w:eastAsia="zh-CN"/>
              </w:rPr>
            </w:pPr>
            <w:r>
              <w:rPr>
                <w:rFonts w:hint="eastAsia" w:ascii="仿宋_GB2312" w:hAnsi="宋体" w:eastAsia="仿宋_GB2312" w:cs="宋体"/>
                <w:b w:val="0"/>
                <w:bCs w:val="0"/>
                <w:color w:val="000000"/>
                <w:kern w:val="0"/>
                <w:sz w:val="18"/>
                <w:szCs w:val="18"/>
                <w:lang w:val="en-US" w:eastAsia="zh-CN"/>
              </w:rPr>
              <w:t>208</w:t>
            </w:r>
          </w:p>
        </w:tc>
        <w:tc>
          <w:tcPr>
            <w:tcW w:w="453" w:type="dxa"/>
            <w:tcBorders>
              <w:top w:val="nil"/>
              <w:left w:val="nil"/>
              <w:bottom w:val="single" w:color="auto" w:sz="4" w:space="0"/>
              <w:right w:val="single" w:color="auto" w:sz="4" w:space="0"/>
            </w:tcBorders>
            <w:vAlign w:val="center"/>
          </w:tcPr>
          <w:p>
            <w:pPr>
              <w:jc w:val="center"/>
              <w:rPr>
                <w:rFonts w:ascii="仿宋_GB2312" w:hAnsi="宋体" w:eastAsia="仿宋_GB2312" w:cs="宋体"/>
                <w:b w:val="0"/>
                <w:bCs w:val="0"/>
                <w:color w:val="000000"/>
                <w:kern w:val="0"/>
                <w:sz w:val="18"/>
                <w:szCs w:val="18"/>
              </w:rPr>
            </w:pPr>
          </w:p>
        </w:tc>
        <w:tc>
          <w:tcPr>
            <w:tcW w:w="464" w:type="dxa"/>
            <w:tcBorders>
              <w:top w:val="nil"/>
              <w:left w:val="nil"/>
              <w:bottom w:val="single" w:color="auto" w:sz="4" w:space="0"/>
              <w:right w:val="single" w:color="auto" w:sz="4" w:space="0"/>
            </w:tcBorders>
            <w:vAlign w:val="center"/>
          </w:tcPr>
          <w:p>
            <w:pPr>
              <w:jc w:val="center"/>
              <w:rPr>
                <w:rFonts w:ascii="仿宋_GB2312" w:hAnsi="宋体" w:eastAsia="仿宋_GB2312" w:cs="宋体"/>
                <w:b w:val="0"/>
                <w:bCs w:val="0"/>
                <w:color w:val="000000"/>
                <w:kern w:val="0"/>
                <w:sz w:val="18"/>
                <w:szCs w:val="18"/>
              </w:rPr>
            </w:pPr>
          </w:p>
        </w:tc>
        <w:tc>
          <w:tcPr>
            <w:tcW w:w="2394" w:type="dxa"/>
            <w:tcBorders>
              <w:top w:val="nil"/>
              <w:left w:val="nil"/>
              <w:bottom w:val="single" w:color="auto" w:sz="4" w:space="0"/>
              <w:right w:val="single" w:color="auto" w:sz="4" w:space="0"/>
            </w:tcBorders>
            <w:vAlign w:val="center"/>
          </w:tcPr>
          <w:p>
            <w:pPr>
              <w:jc w:val="left"/>
              <w:rPr>
                <w:rFonts w:hint="eastAsia" w:ascii="仿宋_GB2312" w:hAnsi="宋体" w:eastAsia="仿宋_GB2312" w:cs="宋体"/>
                <w:b w:val="0"/>
                <w:bCs w:val="0"/>
                <w:color w:val="000000"/>
                <w:sz w:val="18"/>
                <w:szCs w:val="18"/>
                <w:lang w:eastAsia="zh-CN"/>
              </w:rPr>
            </w:pPr>
            <w:r>
              <w:rPr>
                <w:rFonts w:hint="eastAsia" w:ascii="仿宋_GB2312" w:hAnsi="宋体" w:eastAsia="仿宋_GB2312" w:cs="宋体"/>
                <w:b w:val="0"/>
                <w:bCs w:val="0"/>
                <w:color w:val="000000"/>
                <w:sz w:val="18"/>
                <w:szCs w:val="18"/>
                <w:lang w:eastAsia="zh-CN"/>
              </w:rPr>
              <w:t>社会保障和就业支出</w:t>
            </w:r>
          </w:p>
        </w:tc>
        <w:tc>
          <w:tcPr>
            <w:tcW w:w="1855" w:type="dxa"/>
            <w:tcBorders>
              <w:top w:val="nil"/>
              <w:left w:val="nil"/>
              <w:bottom w:val="single" w:color="auto" w:sz="4" w:space="0"/>
              <w:right w:val="single" w:color="auto" w:sz="4" w:space="0"/>
            </w:tcBorders>
            <w:vAlign w:val="center"/>
          </w:tcPr>
          <w:p>
            <w:pPr>
              <w:jc w:val="right"/>
              <w:rPr>
                <w:rFonts w:ascii="仿宋_GB2312" w:hAnsi="宋体" w:eastAsia="仿宋_GB2312" w:cs="宋体"/>
                <w:b w:val="0"/>
                <w:bCs w:val="0"/>
                <w:color w:val="000000"/>
                <w:sz w:val="18"/>
                <w:szCs w:val="18"/>
              </w:rPr>
            </w:pPr>
            <w:r>
              <w:rPr>
                <w:rFonts w:hint="eastAsia" w:ascii="仿宋_GB2312" w:hAnsi="宋体" w:eastAsia="仿宋_GB2312" w:cs="宋体"/>
                <w:b w:val="0"/>
                <w:bCs w:val="0"/>
                <w:color w:val="000000"/>
                <w:sz w:val="18"/>
                <w:szCs w:val="18"/>
              </w:rPr>
              <w:t>32.01</w:t>
            </w:r>
          </w:p>
        </w:tc>
        <w:tc>
          <w:tcPr>
            <w:tcW w:w="1856" w:type="dxa"/>
            <w:tcBorders>
              <w:top w:val="nil"/>
              <w:left w:val="nil"/>
              <w:bottom w:val="single" w:color="auto" w:sz="4" w:space="0"/>
              <w:right w:val="single" w:color="auto" w:sz="4" w:space="0"/>
            </w:tcBorders>
            <w:vAlign w:val="center"/>
          </w:tcPr>
          <w:p>
            <w:pPr>
              <w:jc w:val="right"/>
              <w:rPr>
                <w:rFonts w:ascii="仿宋_GB2312" w:hAnsi="宋体" w:eastAsia="仿宋_GB2312" w:cs="宋体"/>
                <w:b w:val="0"/>
                <w:bCs w:val="0"/>
                <w:color w:val="000000"/>
                <w:sz w:val="18"/>
                <w:szCs w:val="18"/>
              </w:rPr>
            </w:pPr>
            <w:r>
              <w:rPr>
                <w:rFonts w:hint="eastAsia" w:ascii="仿宋_GB2312" w:hAnsi="宋体" w:eastAsia="仿宋_GB2312" w:cs="宋体"/>
                <w:b w:val="0"/>
                <w:bCs w:val="0"/>
                <w:color w:val="000000"/>
                <w:sz w:val="18"/>
                <w:szCs w:val="18"/>
              </w:rPr>
              <w:t>32.01</w:t>
            </w:r>
          </w:p>
        </w:tc>
        <w:tc>
          <w:tcPr>
            <w:tcW w:w="1904" w:type="dxa"/>
            <w:tcBorders>
              <w:top w:val="nil"/>
              <w:left w:val="nil"/>
              <w:bottom w:val="single" w:color="auto" w:sz="4" w:space="0"/>
              <w:right w:val="single" w:color="auto" w:sz="4" w:space="0"/>
            </w:tcBorders>
            <w:vAlign w:val="center"/>
          </w:tcPr>
          <w:p>
            <w:pPr>
              <w:jc w:val="right"/>
              <w:rPr>
                <w:rFonts w:ascii="仿宋_GB2312" w:hAnsi="宋体" w:eastAsia="仿宋_GB2312" w:cs="宋体"/>
                <w:b w:val="0"/>
                <w:bCs w:val="0"/>
                <w:color w:val="000000"/>
                <w:sz w:val="18"/>
                <w:szCs w:val="18"/>
              </w:rPr>
            </w:pPr>
            <w:r>
              <w:rPr>
                <w:rFonts w:hint="eastAsia" w:ascii="仿宋_GB2312" w:hAnsi="宋体" w:eastAsia="仿宋_GB2312" w:cs="宋体"/>
                <w:b w:val="0"/>
                <w:bCs w:val="0"/>
                <w:color w:val="000000"/>
                <w:sz w:val="18"/>
                <w:szCs w:val="18"/>
              </w:rPr>
              <w:t>0</w:t>
            </w:r>
          </w:p>
        </w:tc>
      </w:tr>
      <w:tr>
        <w:tblPrEx>
          <w:tblLayout w:type="fixed"/>
          <w:tblCellMar>
            <w:top w:w="0" w:type="dxa"/>
            <w:left w:w="108" w:type="dxa"/>
            <w:bottom w:w="0" w:type="dxa"/>
            <w:right w:w="108" w:type="dxa"/>
          </w:tblCellMar>
        </w:tblPrEx>
        <w:trPr>
          <w:trHeight w:val="405" w:hRule="atLeast"/>
        </w:trPr>
        <w:tc>
          <w:tcPr>
            <w:tcW w:w="494"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b w:val="0"/>
                <w:bCs w:val="0"/>
                <w:color w:val="000000"/>
                <w:kern w:val="0"/>
                <w:sz w:val="18"/>
                <w:szCs w:val="18"/>
                <w:lang w:val="en-US" w:eastAsia="zh-CN"/>
              </w:rPr>
            </w:pPr>
            <w:r>
              <w:rPr>
                <w:rFonts w:hint="eastAsia" w:ascii="仿宋_GB2312" w:hAnsi="宋体" w:eastAsia="仿宋_GB2312" w:cs="宋体"/>
                <w:b w:val="0"/>
                <w:bCs w:val="0"/>
                <w:color w:val="000000"/>
                <w:kern w:val="0"/>
                <w:sz w:val="18"/>
                <w:szCs w:val="18"/>
                <w:lang w:val="en-US" w:eastAsia="zh-CN"/>
              </w:rPr>
              <w:t>208</w:t>
            </w:r>
          </w:p>
        </w:tc>
        <w:tc>
          <w:tcPr>
            <w:tcW w:w="453"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b w:val="0"/>
                <w:bCs w:val="0"/>
                <w:color w:val="000000"/>
                <w:kern w:val="0"/>
                <w:sz w:val="18"/>
                <w:szCs w:val="18"/>
                <w:lang w:val="en-US" w:eastAsia="zh-CN"/>
              </w:rPr>
            </w:pPr>
            <w:r>
              <w:rPr>
                <w:rFonts w:hint="eastAsia" w:ascii="仿宋_GB2312" w:hAnsi="宋体" w:eastAsia="仿宋_GB2312" w:cs="宋体"/>
                <w:b w:val="0"/>
                <w:bCs w:val="0"/>
                <w:color w:val="000000"/>
                <w:kern w:val="0"/>
                <w:sz w:val="18"/>
                <w:szCs w:val="18"/>
                <w:lang w:val="en-US" w:eastAsia="zh-CN"/>
              </w:rPr>
              <w:t>05</w:t>
            </w:r>
          </w:p>
        </w:tc>
        <w:tc>
          <w:tcPr>
            <w:tcW w:w="464" w:type="dxa"/>
            <w:tcBorders>
              <w:top w:val="nil"/>
              <w:left w:val="nil"/>
              <w:bottom w:val="single" w:color="auto" w:sz="4" w:space="0"/>
              <w:right w:val="single" w:color="auto" w:sz="4" w:space="0"/>
            </w:tcBorders>
            <w:vAlign w:val="center"/>
          </w:tcPr>
          <w:p>
            <w:pPr>
              <w:jc w:val="center"/>
              <w:rPr>
                <w:rFonts w:ascii="仿宋_GB2312" w:hAnsi="宋体" w:eastAsia="仿宋_GB2312" w:cs="宋体"/>
                <w:b w:val="0"/>
                <w:bCs w:val="0"/>
                <w:color w:val="000000"/>
                <w:kern w:val="0"/>
                <w:sz w:val="18"/>
                <w:szCs w:val="18"/>
              </w:rPr>
            </w:pPr>
          </w:p>
        </w:tc>
        <w:tc>
          <w:tcPr>
            <w:tcW w:w="2394" w:type="dxa"/>
            <w:tcBorders>
              <w:top w:val="nil"/>
              <w:left w:val="nil"/>
              <w:bottom w:val="single" w:color="auto" w:sz="4" w:space="0"/>
              <w:right w:val="single" w:color="auto" w:sz="4" w:space="0"/>
            </w:tcBorders>
            <w:vAlign w:val="center"/>
          </w:tcPr>
          <w:p>
            <w:pPr>
              <w:jc w:val="left"/>
              <w:rPr>
                <w:rFonts w:hint="eastAsia" w:ascii="仿宋_GB2312" w:hAnsi="宋体" w:eastAsia="仿宋_GB2312" w:cs="宋体"/>
                <w:b w:val="0"/>
                <w:bCs w:val="0"/>
                <w:color w:val="000000"/>
                <w:sz w:val="18"/>
                <w:szCs w:val="18"/>
                <w:lang w:eastAsia="zh-CN"/>
              </w:rPr>
            </w:pPr>
            <w:r>
              <w:rPr>
                <w:rFonts w:hint="eastAsia" w:ascii="仿宋_GB2312" w:hAnsi="宋体" w:eastAsia="仿宋_GB2312" w:cs="宋体"/>
                <w:b w:val="0"/>
                <w:bCs w:val="0"/>
                <w:color w:val="000000"/>
                <w:sz w:val="18"/>
                <w:szCs w:val="18"/>
                <w:lang w:eastAsia="zh-CN"/>
              </w:rPr>
              <w:t>行政事业单位养老支出</w:t>
            </w:r>
          </w:p>
        </w:tc>
        <w:tc>
          <w:tcPr>
            <w:tcW w:w="1855" w:type="dxa"/>
            <w:tcBorders>
              <w:top w:val="nil"/>
              <w:left w:val="nil"/>
              <w:bottom w:val="single" w:color="auto" w:sz="4" w:space="0"/>
              <w:right w:val="single" w:color="auto" w:sz="4" w:space="0"/>
            </w:tcBorders>
            <w:vAlign w:val="center"/>
          </w:tcPr>
          <w:p>
            <w:pPr>
              <w:jc w:val="right"/>
              <w:rPr>
                <w:rFonts w:ascii="仿宋_GB2312" w:hAnsi="宋体" w:eastAsia="仿宋_GB2312" w:cs="宋体"/>
                <w:b w:val="0"/>
                <w:bCs w:val="0"/>
                <w:color w:val="000000"/>
                <w:sz w:val="18"/>
                <w:szCs w:val="18"/>
              </w:rPr>
            </w:pPr>
            <w:r>
              <w:rPr>
                <w:rFonts w:hint="eastAsia" w:ascii="仿宋_GB2312" w:hAnsi="宋体" w:eastAsia="仿宋_GB2312" w:cs="宋体"/>
                <w:b w:val="0"/>
                <w:bCs w:val="0"/>
                <w:color w:val="000000"/>
                <w:sz w:val="18"/>
                <w:szCs w:val="18"/>
              </w:rPr>
              <w:t>32.01</w:t>
            </w:r>
          </w:p>
        </w:tc>
        <w:tc>
          <w:tcPr>
            <w:tcW w:w="1856" w:type="dxa"/>
            <w:tcBorders>
              <w:top w:val="nil"/>
              <w:left w:val="nil"/>
              <w:bottom w:val="single" w:color="auto" w:sz="4" w:space="0"/>
              <w:right w:val="single" w:color="auto" w:sz="4" w:space="0"/>
            </w:tcBorders>
            <w:vAlign w:val="center"/>
          </w:tcPr>
          <w:p>
            <w:pPr>
              <w:jc w:val="right"/>
              <w:rPr>
                <w:rFonts w:ascii="仿宋_GB2312" w:hAnsi="宋体" w:eastAsia="仿宋_GB2312" w:cs="宋体"/>
                <w:b w:val="0"/>
                <w:bCs w:val="0"/>
                <w:color w:val="000000"/>
                <w:sz w:val="18"/>
                <w:szCs w:val="18"/>
              </w:rPr>
            </w:pPr>
            <w:r>
              <w:rPr>
                <w:rFonts w:hint="eastAsia" w:ascii="仿宋_GB2312" w:hAnsi="宋体" w:eastAsia="仿宋_GB2312" w:cs="宋体"/>
                <w:b w:val="0"/>
                <w:bCs w:val="0"/>
                <w:color w:val="000000"/>
                <w:sz w:val="18"/>
                <w:szCs w:val="18"/>
              </w:rPr>
              <w:t>32.01</w:t>
            </w:r>
          </w:p>
        </w:tc>
        <w:tc>
          <w:tcPr>
            <w:tcW w:w="1904" w:type="dxa"/>
            <w:tcBorders>
              <w:top w:val="nil"/>
              <w:left w:val="nil"/>
              <w:bottom w:val="single" w:color="auto" w:sz="4" w:space="0"/>
              <w:right w:val="single" w:color="auto" w:sz="4" w:space="0"/>
            </w:tcBorders>
            <w:vAlign w:val="center"/>
          </w:tcPr>
          <w:p>
            <w:pPr>
              <w:jc w:val="right"/>
              <w:rPr>
                <w:rFonts w:ascii="仿宋_GB2312" w:hAnsi="宋体" w:eastAsia="仿宋_GB2312" w:cs="宋体"/>
                <w:b w:val="0"/>
                <w:bCs w:val="0"/>
                <w:color w:val="000000"/>
                <w:sz w:val="18"/>
                <w:szCs w:val="18"/>
              </w:rPr>
            </w:pPr>
            <w:r>
              <w:rPr>
                <w:rFonts w:hint="eastAsia" w:ascii="仿宋_GB2312" w:hAnsi="宋体" w:eastAsia="仿宋_GB2312" w:cs="宋体"/>
                <w:b w:val="0"/>
                <w:bCs w:val="0"/>
                <w:color w:val="000000"/>
                <w:sz w:val="18"/>
                <w:szCs w:val="18"/>
              </w:rPr>
              <w:t>0</w:t>
            </w:r>
          </w:p>
        </w:tc>
      </w:tr>
      <w:tr>
        <w:tblPrEx>
          <w:tblLayout w:type="fixed"/>
          <w:tblCellMar>
            <w:top w:w="0" w:type="dxa"/>
            <w:left w:w="108" w:type="dxa"/>
            <w:bottom w:w="0" w:type="dxa"/>
            <w:right w:w="108" w:type="dxa"/>
          </w:tblCellMar>
        </w:tblPrEx>
        <w:trPr>
          <w:trHeight w:val="405" w:hRule="atLeast"/>
        </w:trPr>
        <w:tc>
          <w:tcPr>
            <w:tcW w:w="494"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val="0"/>
                <w:bCs w:val="0"/>
                <w:color w:val="000000"/>
                <w:kern w:val="0"/>
                <w:sz w:val="18"/>
                <w:szCs w:val="18"/>
              </w:rPr>
            </w:pPr>
            <w:r>
              <w:rPr>
                <w:rFonts w:hint="eastAsia" w:ascii="仿宋_GB2312" w:hAnsi="宋体" w:eastAsia="仿宋_GB2312" w:cs="宋体"/>
                <w:b w:val="0"/>
                <w:bCs w:val="0"/>
                <w:color w:val="000000"/>
                <w:sz w:val="18"/>
                <w:szCs w:val="18"/>
              </w:rPr>
              <w:t>208</w:t>
            </w:r>
          </w:p>
        </w:tc>
        <w:tc>
          <w:tcPr>
            <w:tcW w:w="453" w:type="dxa"/>
            <w:tcBorders>
              <w:top w:val="nil"/>
              <w:left w:val="nil"/>
              <w:bottom w:val="single" w:color="auto" w:sz="4" w:space="0"/>
              <w:right w:val="single" w:color="auto" w:sz="4" w:space="0"/>
            </w:tcBorders>
            <w:vAlign w:val="center"/>
          </w:tcPr>
          <w:p>
            <w:pPr>
              <w:jc w:val="center"/>
              <w:rPr>
                <w:rFonts w:ascii="仿宋_GB2312" w:hAnsi="宋体" w:eastAsia="仿宋_GB2312" w:cs="宋体"/>
                <w:b w:val="0"/>
                <w:bCs w:val="0"/>
                <w:color w:val="000000"/>
                <w:kern w:val="0"/>
                <w:sz w:val="18"/>
                <w:szCs w:val="18"/>
              </w:rPr>
            </w:pPr>
            <w:r>
              <w:rPr>
                <w:rFonts w:hint="eastAsia" w:ascii="仿宋_GB2312" w:hAnsi="宋体" w:eastAsia="仿宋_GB2312" w:cs="宋体"/>
                <w:b w:val="0"/>
                <w:bCs w:val="0"/>
                <w:color w:val="000000"/>
                <w:sz w:val="18"/>
                <w:szCs w:val="18"/>
              </w:rPr>
              <w:t>05</w:t>
            </w:r>
          </w:p>
        </w:tc>
        <w:tc>
          <w:tcPr>
            <w:tcW w:w="464" w:type="dxa"/>
            <w:tcBorders>
              <w:top w:val="nil"/>
              <w:left w:val="nil"/>
              <w:bottom w:val="single" w:color="auto" w:sz="4" w:space="0"/>
              <w:right w:val="single" w:color="auto" w:sz="4" w:space="0"/>
            </w:tcBorders>
            <w:vAlign w:val="center"/>
          </w:tcPr>
          <w:p>
            <w:pPr>
              <w:jc w:val="center"/>
              <w:rPr>
                <w:rFonts w:ascii="仿宋_GB2312" w:hAnsi="宋体" w:eastAsia="仿宋_GB2312" w:cs="宋体"/>
                <w:b w:val="0"/>
                <w:bCs w:val="0"/>
                <w:color w:val="000000"/>
                <w:kern w:val="0"/>
                <w:sz w:val="18"/>
                <w:szCs w:val="18"/>
              </w:rPr>
            </w:pPr>
            <w:r>
              <w:rPr>
                <w:rFonts w:hint="eastAsia" w:ascii="仿宋_GB2312" w:hAnsi="宋体" w:eastAsia="仿宋_GB2312" w:cs="宋体"/>
                <w:b w:val="0"/>
                <w:bCs w:val="0"/>
                <w:color w:val="000000"/>
                <w:sz w:val="18"/>
                <w:szCs w:val="18"/>
              </w:rPr>
              <w:t>05</w:t>
            </w:r>
          </w:p>
        </w:tc>
        <w:tc>
          <w:tcPr>
            <w:tcW w:w="2394" w:type="dxa"/>
            <w:tcBorders>
              <w:top w:val="nil"/>
              <w:left w:val="nil"/>
              <w:bottom w:val="single" w:color="auto" w:sz="4" w:space="0"/>
              <w:right w:val="single" w:color="auto" w:sz="4" w:space="0"/>
            </w:tcBorders>
            <w:vAlign w:val="center"/>
          </w:tcPr>
          <w:p>
            <w:pPr>
              <w:jc w:val="left"/>
              <w:rPr>
                <w:rFonts w:ascii="仿宋_GB2312" w:hAnsi="宋体" w:eastAsia="仿宋_GB2312" w:cs="宋体"/>
                <w:b w:val="0"/>
                <w:bCs w:val="0"/>
                <w:color w:val="000000"/>
                <w:sz w:val="18"/>
                <w:szCs w:val="18"/>
              </w:rPr>
            </w:pPr>
            <w:r>
              <w:rPr>
                <w:rFonts w:hint="eastAsia" w:ascii="仿宋_GB2312" w:hAnsi="宋体" w:eastAsia="仿宋_GB2312" w:cs="宋体"/>
                <w:b w:val="0"/>
                <w:bCs w:val="0"/>
                <w:color w:val="000000"/>
                <w:sz w:val="18"/>
                <w:szCs w:val="18"/>
              </w:rPr>
              <w:t>机关事业单位基本养老保险缴费支出</w:t>
            </w:r>
          </w:p>
        </w:tc>
        <w:tc>
          <w:tcPr>
            <w:tcW w:w="1855" w:type="dxa"/>
            <w:tcBorders>
              <w:top w:val="nil"/>
              <w:left w:val="nil"/>
              <w:bottom w:val="single" w:color="auto" w:sz="4" w:space="0"/>
              <w:right w:val="single" w:color="auto" w:sz="4" w:space="0"/>
            </w:tcBorders>
            <w:vAlign w:val="center"/>
          </w:tcPr>
          <w:p>
            <w:pPr>
              <w:jc w:val="right"/>
              <w:rPr>
                <w:rFonts w:ascii="仿宋_GB2312" w:hAnsi="宋体" w:eastAsia="仿宋_GB2312" w:cs="宋体"/>
                <w:b w:val="0"/>
                <w:bCs w:val="0"/>
                <w:color w:val="000000"/>
                <w:sz w:val="18"/>
                <w:szCs w:val="18"/>
              </w:rPr>
            </w:pPr>
            <w:r>
              <w:rPr>
                <w:rFonts w:hint="eastAsia" w:ascii="仿宋_GB2312" w:hAnsi="宋体" w:eastAsia="仿宋_GB2312" w:cs="宋体"/>
                <w:b w:val="0"/>
                <w:bCs w:val="0"/>
                <w:color w:val="000000"/>
                <w:sz w:val="18"/>
                <w:szCs w:val="18"/>
              </w:rPr>
              <w:t>32.01</w:t>
            </w:r>
          </w:p>
        </w:tc>
        <w:tc>
          <w:tcPr>
            <w:tcW w:w="1856" w:type="dxa"/>
            <w:tcBorders>
              <w:top w:val="nil"/>
              <w:left w:val="nil"/>
              <w:bottom w:val="single" w:color="auto" w:sz="4" w:space="0"/>
              <w:right w:val="single" w:color="auto" w:sz="4" w:space="0"/>
            </w:tcBorders>
            <w:vAlign w:val="center"/>
          </w:tcPr>
          <w:p>
            <w:pPr>
              <w:jc w:val="right"/>
              <w:rPr>
                <w:rFonts w:ascii="仿宋_GB2312" w:hAnsi="宋体" w:eastAsia="仿宋_GB2312" w:cs="宋体"/>
                <w:b w:val="0"/>
                <w:bCs w:val="0"/>
                <w:color w:val="000000"/>
                <w:sz w:val="18"/>
                <w:szCs w:val="18"/>
              </w:rPr>
            </w:pPr>
            <w:r>
              <w:rPr>
                <w:rFonts w:hint="eastAsia" w:ascii="仿宋_GB2312" w:hAnsi="宋体" w:eastAsia="仿宋_GB2312" w:cs="宋体"/>
                <w:b w:val="0"/>
                <w:bCs w:val="0"/>
                <w:color w:val="000000"/>
                <w:sz w:val="18"/>
                <w:szCs w:val="18"/>
              </w:rPr>
              <w:t>32.01</w:t>
            </w:r>
          </w:p>
        </w:tc>
        <w:tc>
          <w:tcPr>
            <w:tcW w:w="1904" w:type="dxa"/>
            <w:tcBorders>
              <w:top w:val="nil"/>
              <w:left w:val="nil"/>
              <w:bottom w:val="single" w:color="auto" w:sz="4" w:space="0"/>
              <w:right w:val="single" w:color="auto" w:sz="4" w:space="0"/>
            </w:tcBorders>
            <w:vAlign w:val="center"/>
          </w:tcPr>
          <w:p>
            <w:pPr>
              <w:jc w:val="right"/>
              <w:rPr>
                <w:rFonts w:ascii="仿宋_GB2312" w:hAnsi="宋体" w:eastAsia="仿宋_GB2312" w:cs="宋体"/>
                <w:b w:val="0"/>
                <w:bCs w:val="0"/>
                <w:color w:val="000000"/>
                <w:sz w:val="18"/>
                <w:szCs w:val="18"/>
              </w:rPr>
            </w:pPr>
            <w:r>
              <w:rPr>
                <w:rFonts w:hint="eastAsia" w:ascii="仿宋_GB2312" w:hAnsi="宋体" w:eastAsia="仿宋_GB2312" w:cs="宋体"/>
                <w:b w:val="0"/>
                <w:bCs w:val="0"/>
                <w:color w:val="000000"/>
                <w:sz w:val="18"/>
                <w:szCs w:val="18"/>
              </w:rPr>
              <w:t>0</w:t>
            </w:r>
          </w:p>
        </w:tc>
      </w:tr>
      <w:tr>
        <w:tblPrEx>
          <w:tblLayout w:type="fixed"/>
          <w:tblCellMar>
            <w:top w:w="0" w:type="dxa"/>
            <w:left w:w="108" w:type="dxa"/>
            <w:bottom w:w="0" w:type="dxa"/>
            <w:right w:w="108" w:type="dxa"/>
          </w:tblCellMar>
        </w:tblPrEx>
        <w:trPr>
          <w:trHeight w:val="405" w:hRule="atLeast"/>
        </w:trPr>
        <w:tc>
          <w:tcPr>
            <w:tcW w:w="494"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b w:val="0"/>
                <w:bCs w:val="0"/>
                <w:color w:val="000000"/>
                <w:kern w:val="0"/>
                <w:sz w:val="18"/>
                <w:szCs w:val="18"/>
                <w:lang w:val="en-US" w:eastAsia="zh-CN"/>
              </w:rPr>
            </w:pPr>
            <w:r>
              <w:rPr>
                <w:rFonts w:hint="eastAsia" w:ascii="仿宋_GB2312" w:hAnsi="宋体" w:eastAsia="仿宋_GB2312" w:cs="宋体"/>
                <w:b w:val="0"/>
                <w:bCs w:val="0"/>
                <w:color w:val="000000"/>
                <w:kern w:val="0"/>
                <w:sz w:val="18"/>
                <w:szCs w:val="18"/>
                <w:lang w:val="en-US" w:eastAsia="zh-CN"/>
              </w:rPr>
              <w:t>210</w:t>
            </w:r>
          </w:p>
        </w:tc>
        <w:tc>
          <w:tcPr>
            <w:tcW w:w="453" w:type="dxa"/>
            <w:tcBorders>
              <w:top w:val="nil"/>
              <w:left w:val="nil"/>
              <w:bottom w:val="single" w:color="auto" w:sz="4" w:space="0"/>
              <w:right w:val="single" w:color="auto" w:sz="4" w:space="0"/>
            </w:tcBorders>
            <w:vAlign w:val="center"/>
          </w:tcPr>
          <w:p>
            <w:pPr>
              <w:jc w:val="center"/>
              <w:rPr>
                <w:rFonts w:ascii="仿宋_GB2312" w:hAnsi="宋体" w:eastAsia="仿宋_GB2312" w:cs="宋体"/>
                <w:b w:val="0"/>
                <w:bCs w:val="0"/>
                <w:color w:val="000000"/>
                <w:kern w:val="0"/>
                <w:sz w:val="18"/>
                <w:szCs w:val="18"/>
              </w:rPr>
            </w:pPr>
          </w:p>
        </w:tc>
        <w:tc>
          <w:tcPr>
            <w:tcW w:w="464" w:type="dxa"/>
            <w:tcBorders>
              <w:top w:val="nil"/>
              <w:left w:val="nil"/>
              <w:bottom w:val="single" w:color="auto" w:sz="4" w:space="0"/>
              <w:right w:val="single" w:color="auto" w:sz="4" w:space="0"/>
            </w:tcBorders>
            <w:vAlign w:val="center"/>
          </w:tcPr>
          <w:p>
            <w:pPr>
              <w:jc w:val="center"/>
              <w:rPr>
                <w:rFonts w:ascii="仿宋_GB2312" w:hAnsi="宋体" w:eastAsia="仿宋_GB2312" w:cs="宋体"/>
                <w:b w:val="0"/>
                <w:bCs w:val="0"/>
                <w:color w:val="000000"/>
                <w:kern w:val="0"/>
                <w:sz w:val="18"/>
                <w:szCs w:val="18"/>
              </w:rPr>
            </w:pPr>
          </w:p>
        </w:tc>
        <w:tc>
          <w:tcPr>
            <w:tcW w:w="2394" w:type="dxa"/>
            <w:tcBorders>
              <w:top w:val="nil"/>
              <w:left w:val="nil"/>
              <w:bottom w:val="single" w:color="auto" w:sz="4" w:space="0"/>
              <w:right w:val="single" w:color="auto" w:sz="4" w:space="0"/>
            </w:tcBorders>
            <w:vAlign w:val="center"/>
          </w:tcPr>
          <w:p>
            <w:pPr>
              <w:jc w:val="left"/>
              <w:rPr>
                <w:rFonts w:hint="eastAsia" w:ascii="仿宋_GB2312" w:hAnsi="宋体" w:eastAsia="仿宋_GB2312" w:cs="宋体"/>
                <w:b w:val="0"/>
                <w:bCs w:val="0"/>
                <w:color w:val="000000"/>
                <w:sz w:val="18"/>
                <w:szCs w:val="18"/>
                <w:lang w:eastAsia="zh-CN"/>
              </w:rPr>
            </w:pPr>
            <w:r>
              <w:rPr>
                <w:rFonts w:hint="eastAsia" w:ascii="仿宋_GB2312" w:hAnsi="宋体" w:eastAsia="仿宋_GB2312" w:cs="宋体"/>
                <w:b w:val="0"/>
                <w:bCs w:val="0"/>
                <w:color w:val="000000"/>
                <w:sz w:val="18"/>
                <w:szCs w:val="18"/>
                <w:lang w:eastAsia="zh-CN"/>
              </w:rPr>
              <w:t>卫生健康支出</w:t>
            </w:r>
          </w:p>
        </w:tc>
        <w:tc>
          <w:tcPr>
            <w:tcW w:w="1855" w:type="dxa"/>
            <w:tcBorders>
              <w:top w:val="nil"/>
              <w:left w:val="nil"/>
              <w:bottom w:val="single" w:color="auto" w:sz="4" w:space="0"/>
              <w:right w:val="single" w:color="auto" w:sz="4" w:space="0"/>
            </w:tcBorders>
            <w:vAlign w:val="center"/>
          </w:tcPr>
          <w:p>
            <w:pPr>
              <w:jc w:val="right"/>
              <w:rPr>
                <w:rFonts w:hint="default" w:ascii="仿宋_GB2312" w:hAnsi="宋体" w:eastAsia="仿宋_GB2312" w:cs="宋体"/>
                <w:b w:val="0"/>
                <w:bCs w:val="0"/>
                <w:color w:val="000000"/>
                <w:sz w:val="18"/>
                <w:szCs w:val="18"/>
                <w:lang w:val="en-US" w:eastAsia="zh-CN"/>
              </w:rPr>
            </w:pPr>
            <w:r>
              <w:rPr>
                <w:rFonts w:hint="eastAsia" w:ascii="仿宋_GB2312" w:hAnsi="宋体" w:eastAsia="仿宋_GB2312" w:cs="宋体"/>
                <w:b w:val="0"/>
                <w:bCs w:val="0"/>
                <w:color w:val="000000"/>
                <w:sz w:val="18"/>
                <w:szCs w:val="18"/>
                <w:lang w:val="en-US" w:eastAsia="zh-CN"/>
              </w:rPr>
              <w:t>1541.59</w:t>
            </w:r>
          </w:p>
        </w:tc>
        <w:tc>
          <w:tcPr>
            <w:tcW w:w="1856" w:type="dxa"/>
            <w:tcBorders>
              <w:top w:val="nil"/>
              <w:left w:val="nil"/>
              <w:bottom w:val="single" w:color="auto" w:sz="4" w:space="0"/>
              <w:right w:val="single" w:color="auto" w:sz="4" w:space="0"/>
            </w:tcBorders>
            <w:vAlign w:val="center"/>
          </w:tcPr>
          <w:p>
            <w:pPr>
              <w:jc w:val="right"/>
              <w:rPr>
                <w:rFonts w:hint="default" w:ascii="仿宋_GB2312" w:hAnsi="宋体" w:eastAsia="仿宋_GB2312" w:cs="宋体"/>
                <w:b w:val="0"/>
                <w:bCs w:val="0"/>
                <w:color w:val="000000"/>
                <w:sz w:val="18"/>
                <w:szCs w:val="18"/>
                <w:lang w:val="en-US" w:eastAsia="zh-CN"/>
              </w:rPr>
            </w:pPr>
            <w:r>
              <w:rPr>
                <w:rFonts w:hint="eastAsia" w:ascii="仿宋_GB2312" w:hAnsi="宋体" w:eastAsia="仿宋_GB2312" w:cs="宋体"/>
                <w:b w:val="0"/>
                <w:bCs w:val="0"/>
                <w:color w:val="000000"/>
                <w:sz w:val="18"/>
                <w:szCs w:val="18"/>
                <w:lang w:val="en-US" w:eastAsia="zh-CN"/>
              </w:rPr>
              <w:t>355.09</w:t>
            </w:r>
          </w:p>
        </w:tc>
        <w:tc>
          <w:tcPr>
            <w:tcW w:w="1904" w:type="dxa"/>
            <w:tcBorders>
              <w:top w:val="nil"/>
              <w:left w:val="nil"/>
              <w:bottom w:val="single" w:color="auto" w:sz="4" w:space="0"/>
              <w:right w:val="single" w:color="auto" w:sz="4" w:space="0"/>
            </w:tcBorders>
            <w:vAlign w:val="center"/>
          </w:tcPr>
          <w:p>
            <w:pPr>
              <w:jc w:val="right"/>
              <w:rPr>
                <w:rFonts w:hint="default" w:ascii="仿宋_GB2312" w:hAnsi="宋体" w:eastAsia="仿宋_GB2312" w:cs="宋体"/>
                <w:b w:val="0"/>
                <w:bCs w:val="0"/>
                <w:color w:val="000000"/>
                <w:sz w:val="18"/>
                <w:szCs w:val="18"/>
                <w:lang w:val="en-US" w:eastAsia="zh-CN"/>
              </w:rPr>
            </w:pPr>
            <w:r>
              <w:rPr>
                <w:rFonts w:hint="eastAsia" w:ascii="仿宋_GB2312" w:hAnsi="宋体" w:eastAsia="仿宋_GB2312" w:cs="宋体"/>
                <w:b w:val="0"/>
                <w:bCs w:val="0"/>
                <w:color w:val="000000"/>
                <w:sz w:val="18"/>
                <w:szCs w:val="18"/>
                <w:lang w:val="en-US" w:eastAsia="zh-CN"/>
              </w:rPr>
              <w:t>1186.5</w:t>
            </w:r>
          </w:p>
        </w:tc>
      </w:tr>
      <w:tr>
        <w:tblPrEx>
          <w:tblLayout w:type="fixed"/>
          <w:tblCellMar>
            <w:top w:w="0" w:type="dxa"/>
            <w:left w:w="108" w:type="dxa"/>
            <w:bottom w:w="0" w:type="dxa"/>
            <w:right w:w="108" w:type="dxa"/>
          </w:tblCellMar>
        </w:tblPrEx>
        <w:trPr>
          <w:trHeight w:val="405" w:hRule="atLeast"/>
        </w:trPr>
        <w:tc>
          <w:tcPr>
            <w:tcW w:w="494"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b w:val="0"/>
                <w:bCs w:val="0"/>
                <w:color w:val="000000"/>
                <w:kern w:val="0"/>
                <w:sz w:val="18"/>
                <w:szCs w:val="18"/>
                <w:lang w:val="en-US" w:eastAsia="zh-CN"/>
              </w:rPr>
            </w:pPr>
            <w:r>
              <w:rPr>
                <w:rFonts w:hint="eastAsia" w:ascii="仿宋_GB2312" w:hAnsi="宋体" w:eastAsia="仿宋_GB2312" w:cs="宋体"/>
                <w:b w:val="0"/>
                <w:bCs w:val="0"/>
                <w:color w:val="000000"/>
                <w:kern w:val="0"/>
                <w:sz w:val="18"/>
                <w:szCs w:val="18"/>
                <w:lang w:val="en-US" w:eastAsia="zh-CN"/>
              </w:rPr>
              <w:t>210</w:t>
            </w:r>
          </w:p>
        </w:tc>
        <w:tc>
          <w:tcPr>
            <w:tcW w:w="453"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b w:val="0"/>
                <w:bCs w:val="0"/>
                <w:color w:val="000000"/>
                <w:kern w:val="0"/>
                <w:sz w:val="18"/>
                <w:szCs w:val="18"/>
                <w:lang w:val="en-US" w:eastAsia="zh-CN"/>
              </w:rPr>
            </w:pPr>
            <w:r>
              <w:rPr>
                <w:rFonts w:hint="eastAsia" w:ascii="仿宋_GB2312" w:hAnsi="宋体" w:eastAsia="仿宋_GB2312" w:cs="宋体"/>
                <w:b w:val="0"/>
                <w:bCs w:val="0"/>
                <w:color w:val="000000"/>
                <w:kern w:val="0"/>
                <w:sz w:val="18"/>
                <w:szCs w:val="18"/>
                <w:lang w:val="en-US" w:eastAsia="zh-CN"/>
              </w:rPr>
              <w:t>11</w:t>
            </w:r>
          </w:p>
        </w:tc>
        <w:tc>
          <w:tcPr>
            <w:tcW w:w="464" w:type="dxa"/>
            <w:tcBorders>
              <w:top w:val="nil"/>
              <w:left w:val="nil"/>
              <w:bottom w:val="single" w:color="auto" w:sz="4" w:space="0"/>
              <w:right w:val="single" w:color="auto" w:sz="4" w:space="0"/>
            </w:tcBorders>
            <w:vAlign w:val="center"/>
          </w:tcPr>
          <w:p>
            <w:pPr>
              <w:jc w:val="center"/>
              <w:rPr>
                <w:rFonts w:ascii="仿宋_GB2312" w:hAnsi="宋体" w:eastAsia="仿宋_GB2312" w:cs="宋体"/>
                <w:b w:val="0"/>
                <w:bCs w:val="0"/>
                <w:color w:val="000000"/>
                <w:kern w:val="0"/>
                <w:sz w:val="18"/>
                <w:szCs w:val="18"/>
              </w:rPr>
            </w:pPr>
          </w:p>
        </w:tc>
        <w:tc>
          <w:tcPr>
            <w:tcW w:w="2394" w:type="dxa"/>
            <w:tcBorders>
              <w:top w:val="nil"/>
              <w:left w:val="nil"/>
              <w:bottom w:val="single" w:color="auto" w:sz="4" w:space="0"/>
              <w:right w:val="single" w:color="auto" w:sz="4" w:space="0"/>
            </w:tcBorders>
            <w:vAlign w:val="center"/>
          </w:tcPr>
          <w:p>
            <w:pPr>
              <w:jc w:val="left"/>
              <w:rPr>
                <w:rFonts w:hint="eastAsia" w:ascii="仿宋_GB2312" w:hAnsi="宋体" w:eastAsia="仿宋_GB2312" w:cs="宋体"/>
                <w:b w:val="0"/>
                <w:bCs w:val="0"/>
                <w:color w:val="000000"/>
                <w:sz w:val="18"/>
                <w:szCs w:val="18"/>
                <w:lang w:eastAsia="zh-CN"/>
              </w:rPr>
            </w:pPr>
            <w:r>
              <w:rPr>
                <w:rFonts w:hint="eastAsia" w:ascii="仿宋_GB2312" w:hAnsi="宋体" w:eastAsia="仿宋_GB2312" w:cs="宋体"/>
                <w:b w:val="0"/>
                <w:bCs w:val="0"/>
                <w:color w:val="000000"/>
                <w:sz w:val="18"/>
                <w:szCs w:val="18"/>
                <w:lang w:eastAsia="zh-CN"/>
              </w:rPr>
              <w:t>行政事业单位医疗</w:t>
            </w:r>
          </w:p>
        </w:tc>
        <w:tc>
          <w:tcPr>
            <w:tcW w:w="1855" w:type="dxa"/>
            <w:tcBorders>
              <w:top w:val="nil"/>
              <w:left w:val="nil"/>
              <w:bottom w:val="single" w:color="auto" w:sz="4" w:space="0"/>
              <w:right w:val="single" w:color="auto" w:sz="4" w:space="0"/>
            </w:tcBorders>
            <w:vAlign w:val="center"/>
          </w:tcPr>
          <w:p>
            <w:pPr>
              <w:jc w:val="right"/>
              <w:rPr>
                <w:rFonts w:hint="default" w:ascii="仿宋_GB2312" w:hAnsi="宋体" w:eastAsia="仿宋_GB2312" w:cs="宋体"/>
                <w:b w:val="0"/>
                <w:bCs w:val="0"/>
                <w:color w:val="000000"/>
                <w:sz w:val="18"/>
                <w:szCs w:val="18"/>
                <w:lang w:val="en-US" w:eastAsia="zh-CN"/>
              </w:rPr>
            </w:pPr>
            <w:r>
              <w:rPr>
                <w:rFonts w:hint="eastAsia" w:ascii="仿宋_GB2312" w:hAnsi="宋体" w:eastAsia="仿宋_GB2312" w:cs="宋体"/>
                <w:b w:val="0"/>
                <w:bCs w:val="0"/>
                <w:color w:val="000000"/>
                <w:sz w:val="18"/>
                <w:szCs w:val="18"/>
                <w:lang w:val="en-US" w:eastAsia="zh-CN"/>
              </w:rPr>
              <w:t>25.56</w:t>
            </w:r>
          </w:p>
        </w:tc>
        <w:tc>
          <w:tcPr>
            <w:tcW w:w="1856" w:type="dxa"/>
            <w:tcBorders>
              <w:top w:val="nil"/>
              <w:left w:val="nil"/>
              <w:bottom w:val="single" w:color="auto" w:sz="4" w:space="0"/>
              <w:right w:val="single" w:color="auto" w:sz="4" w:space="0"/>
            </w:tcBorders>
            <w:vAlign w:val="center"/>
          </w:tcPr>
          <w:p>
            <w:pPr>
              <w:jc w:val="right"/>
              <w:rPr>
                <w:rFonts w:hint="default" w:ascii="仿宋_GB2312" w:hAnsi="宋体" w:eastAsia="仿宋_GB2312" w:cs="宋体"/>
                <w:b w:val="0"/>
                <w:bCs w:val="0"/>
                <w:color w:val="000000"/>
                <w:sz w:val="18"/>
                <w:szCs w:val="18"/>
                <w:lang w:val="en-US" w:eastAsia="zh-CN"/>
              </w:rPr>
            </w:pPr>
            <w:r>
              <w:rPr>
                <w:rFonts w:hint="eastAsia" w:ascii="仿宋_GB2312" w:hAnsi="宋体" w:eastAsia="仿宋_GB2312" w:cs="宋体"/>
                <w:b w:val="0"/>
                <w:bCs w:val="0"/>
                <w:color w:val="000000"/>
                <w:sz w:val="18"/>
                <w:szCs w:val="18"/>
                <w:lang w:val="en-US" w:eastAsia="zh-CN"/>
              </w:rPr>
              <w:t>25.56</w:t>
            </w:r>
          </w:p>
        </w:tc>
        <w:tc>
          <w:tcPr>
            <w:tcW w:w="1904" w:type="dxa"/>
            <w:tcBorders>
              <w:top w:val="nil"/>
              <w:left w:val="nil"/>
              <w:bottom w:val="single" w:color="auto" w:sz="4" w:space="0"/>
              <w:right w:val="single" w:color="auto" w:sz="4" w:space="0"/>
            </w:tcBorders>
            <w:vAlign w:val="center"/>
          </w:tcPr>
          <w:p>
            <w:pPr>
              <w:jc w:val="right"/>
              <w:rPr>
                <w:rFonts w:ascii="仿宋_GB2312" w:hAnsi="宋体" w:eastAsia="仿宋_GB2312" w:cs="宋体"/>
                <w:b w:val="0"/>
                <w:bCs w:val="0"/>
                <w:color w:val="000000"/>
                <w:sz w:val="18"/>
                <w:szCs w:val="18"/>
              </w:rPr>
            </w:pPr>
            <w:r>
              <w:rPr>
                <w:rFonts w:hint="eastAsia" w:ascii="仿宋_GB2312" w:hAnsi="宋体" w:eastAsia="仿宋_GB2312" w:cs="宋体"/>
                <w:b w:val="0"/>
                <w:bCs w:val="0"/>
                <w:color w:val="000000"/>
                <w:sz w:val="18"/>
                <w:szCs w:val="18"/>
              </w:rPr>
              <w:t>0</w:t>
            </w:r>
          </w:p>
        </w:tc>
      </w:tr>
      <w:tr>
        <w:tblPrEx>
          <w:tblLayout w:type="fixed"/>
          <w:tblCellMar>
            <w:top w:w="0" w:type="dxa"/>
            <w:left w:w="108" w:type="dxa"/>
            <w:bottom w:w="0" w:type="dxa"/>
            <w:right w:w="108" w:type="dxa"/>
          </w:tblCellMar>
        </w:tblPrEx>
        <w:trPr>
          <w:trHeight w:val="405" w:hRule="atLeast"/>
        </w:trPr>
        <w:tc>
          <w:tcPr>
            <w:tcW w:w="494"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val="0"/>
                <w:bCs w:val="0"/>
                <w:color w:val="000000"/>
                <w:kern w:val="0"/>
                <w:sz w:val="18"/>
                <w:szCs w:val="18"/>
              </w:rPr>
            </w:pPr>
            <w:r>
              <w:rPr>
                <w:rFonts w:hint="eastAsia" w:ascii="仿宋_GB2312" w:hAnsi="宋体" w:eastAsia="仿宋_GB2312" w:cs="宋体"/>
                <w:b w:val="0"/>
                <w:bCs w:val="0"/>
                <w:color w:val="000000"/>
                <w:sz w:val="18"/>
                <w:szCs w:val="18"/>
              </w:rPr>
              <w:t>210</w:t>
            </w:r>
          </w:p>
        </w:tc>
        <w:tc>
          <w:tcPr>
            <w:tcW w:w="453" w:type="dxa"/>
            <w:tcBorders>
              <w:top w:val="nil"/>
              <w:left w:val="nil"/>
              <w:bottom w:val="single" w:color="auto" w:sz="4" w:space="0"/>
              <w:right w:val="single" w:color="auto" w:sz="4" w:space="0"/>
            </w:tcBorders>
            <w:vAlign w:val="center"/>
          </w:tcPr>
          <w:p>
            <w:pPr>
              <w:jc w:val="center"/>
              <w:rPr>
                <w:rFonts w:ascii="仿宋_GB2312" w:hAnsi="宋体" w:eastAsia="仿宋_GB2312" w:cs="宋体"/>
                <w:b w:val="0"/>
                <w:bCs w:val="0"/>
                <w:color w:val="000000"/>
                <w:kern w:val="0"/>
                <w:sz w:val="18"/>
                <w:szCs w:val="18"/>
              </w:rPr>
            </w:pPr>
            <w:r>
              <w:rPr>
                <w:rFonts w:hint="eastAsia" w:ascii="仿宋_GB2312" w:hAnsi="宋体" w:eastAsia="仿宋_GB2312" w:cs="宋体"/>
                <w:b w:val="0"/>
                <w:bCs w:val="0"/>
                <w:color w:val="000000"/>
                <w:sz w:val="18"/>
                <w:szCs w:val="18"/>
              </w:rPr>
              <w:t>11</w:t>
            </w:r>
          </w:p>
        </w:tc>
        <w:tc>
          <w:tcPr>
            <w:tcW w:w="464" w:type="dxa"/>
            <w:tcBorders>
              <w:top w:val="nil"/>
              <w:left w:val="nil"/>
              <w:bottom w:val="single" w:color="auto" w:sz="4" w:space="0"/>
              <w:right w:val="single" w:color="auto" w:sz="4" w:space="0"/>
            </w:tcBorders>
            <w:vAlign w:val="center"/>
          </w:tcPr>
          <w:p>
            <w:pPr>
              <w:jc w:val="center"/>
              <w:rPr>
                <w:rFonts w:ascii="仿宋_GB2312" w:hAnsi="宋体" w:eastAsia="仿宋_GB2312" w:cs="宋体"/>
                <w:b w:val="0"/>
                <w:bCs w:val="0"/>
                <w:color w:val="000000"/>
                <w:kern w:val="0"/>
                <w:sz w:val="18"/>
                <w:szCs w:val="18"/>
              </w:rPr>
            </w:pPr>
            <w:r>
              <w:rPr>
                <w:rFonts w:hint="eastAsia" w:ascii="仿宋_GB2312" w:hAnsi="宋体" w:eastAsia="仿宋_GB2312" w:cs="宋体"/>
                <w:b w:val="0"/>
                <w:bCs w:val="0"/>
                <w:color w:val="000000"/>
                <w:sz w:val="18"/>
                <w:szCs w:val="18"/>
              </w:rPr>
              <w:t>01</w:t>
            </w:r>
          </w:p>
        </w:tc>
        <w:tc>
          <w:tcPr>
            <w:tcW w:w="2394" w:type="dxa"/>
            <w:tcBorders>
              <w:top w:val="nil"/>
              <w:left w:val="nil"/>
              <w:bottom w:val="single" w:color="auto" w:sz="4" w:space="0"/>
              <w:right w:val="single" w:color="auto" w:sz="4" w:space="0"/>
            </w:tcBorders>
            <w:vAlign w:val="center"/>
          </w:tcPr>
          <w:p>
            <w:pPr>
              <w:jc w:val="left"/>
              <w:rPr>
                <w:rFonts w:ascii="仿宋_GB2312" w:hAnsi="宋体" w:eastAsia="仿宋_GB2312" w:cs="宋体"/>
                <w:b w:val="0"/>
                <w:bCs w:val="0"/>
                <w:color w:val="000000"/>
                <w:sz w:val="18"/>
                <w:szCs w:val="18"/>
              </w:rPr>
            </w:pPr>
            <w:r>
              <w:rPr>
                <w:rFonts w:hint="eastAsia" w:ascii="仿宋_GB2312" w:hAnsi="宋体" w:eastAsia="仿宋_GB2312" w:cs="宋体"/>
                <w:b w:val="0"/>
                <w:bCs w:val="0"/>
                <w:color w:val="000000"/>
                <w:sz w:val="18"/>
                <w:szCs w:val="18"/>
              </w:rPr>
              <w:t>行政单位医疗</w:t>
            </w:r>
          </w:p>
        </w:tc>
        <w:tc>
          <w:tcPr>
            <w:tcW w:w="1855" w:type="dxa"/>
            <w:tcBorders>
              <w:top w:val="nil"/>
              <w:left w:val="nil"/>
              <w:bottom w:val="single" w:color="auto" w:sz="4" w:space="0"/>
              <w:right w:val="single" w:color="auto" w:sz="4" w:space="0"/>
            </w:tcBorders>
            <w:vAlign w:val="center"/>
          </w:tcPr>
          <w:p>
            <w:pPr>
              <w:jc w:val="right"/>
              <w:rPr>
                <w:rFonts w:ascii="仿宋_GB2312" w:hAnsi="宋体" w:eastAsia="仿宋_GB2312" w:cs="宋体"/>
                <w:b w:val="0"/>
                <w:bCs w:val="0"/>
                <w:color w:val="000000"/>
                <w:sz w:val="18"/>
                <w:szCs w:val="18"/>
              </w:rPr>
            </w:pPr>
            <w:r>
              <w:rPr>
                <w:rFonts w:hint="eastAsia" w:ascii="仿宋_GB2312" w:hAnsi="宋体" w:eastAsia="仿宋_GB2312" w:cs="宋体"/>
                <w:b w:val="0"/>
                <w:bCs w:val="0"/>
                <w:color w:val="000000"/>
                <w:sz w:val="18"/>
                <w:szCs w:val="18"/>
              </w:rPr>
              <w:t>19</w:t>
            </w:r>
          </w:p>
        </w:tc>
        <w:tc>
          <w:tcPr>
            <w:tcW w:w="1856" w:type="dxa"/>
            <w:tcBorders>
              <w:top w:val="nil"/>
              <w:left w:val="nil"/>
              <w:bottom w:val="single" w:color="auto" w:sz="4" w:space="0"/>
              <w:right w:val="single" w:color="auto" w:sz="4" w:space="0"/>
            </w:tcBorders>
            <w:vAlign w:val="center"/>
          </w:tcPr>
          <w:p>
            <w:pPr>
              <w:jc w:val="right"/>
              <w:rPr>
                <w:rFonts w:ascii="仿宋_GB2312" w:hAnsi="宋体" w:eastAsia="仿宋_GB2312" w:cs="宋体"/>
                <w:b w:val="0"/>
                <w:bCs w:val="0"/>
                <w:color w:val="000000"/>
                <w:sz w:val="18"/>
                <w:szCs w:val="18"/>
              </w:rPr>
            </w:pPr>
            <w:r>
              <w:rPr>
                <w:rFonts w:hint="eastAsia" w:ascii="仿宋_GB2312" w:hAnsi="宋体" w:eastAsia="仿宋_GB2312" w:cs="宋体"/>
                <w:b w:val="0"/>
                <w:bCs w:val="0"/>
                <w:color w:val="000000"/>
                <w:sz w:val="18"/>
                <w:szCs w:val="18"/>
              </w:rPr>
              <w:t>19</w:t>
            </w:r>
          </w:p>
        </w:tc>
        <w:tc>
          <w:tcPr>
            <w:tcW w:w="1904" w:type="dxa"/>
            <w:tcBorders>
              <w:top w:val="nil"/>
              <w:left w:val="nil"/>
              <w:bottom w:val="single" w:color="auto" w:sz="4" w:space="0"/>
              <w:right w:val="single" w:color="auto" w:sz="4" w:space="0"/>
            </w:tcBorders>
            <w:vAlign w:val="center"/>
          </w:tcPr>
          <w:p>
            <w:pPr>
              <w:jc w:val="right"/>
              <w:rPr>
                <w:rFonts w:ascii="仿宋_GB2312" w:hAnsi="宋体" w:eastAsia="仿宋_GB2312" w:cs="宋体"/>
                <w:b w:val="0"/>
                <w:bCs w:val="0"/>
                <w:color w:val="000000"/>
                <w:sz w:val="18"/>
                <w:szCs w:val="18"/>
              </w:rPr>
            </w:pPr>
            <w:r>
              <w:rPr>
                <w:rFonts w:hint="eastAsia" w:ascii="仿宋_GB2312" w:hAnsi="宋体" w:eastAsia="仿宋_GB2312" w:cs="宋体"/>
                <w:b w:val="0"/>
                <w:bCs w:val="0"/>
                <w:color w:val="000000"/>
                <w:sz w:val="18"/>
                <w:szCs w:val="18"/>
              </w:rPr>
              <w:t>0</w:t>
            </w:r>
          </w:p>
        </w:tc>
      </w:tr>
      <w:tr>
        <w:tblPrEx>
          <w:tblLayout w:type="fixed"/>
          <w:tblCellMar>
            <w:top w:w="0" w:type="dxa"/>
            <w:left w:w="108" w:type="dxa"/>
            <w:bottom w:w="0" w:type="dxa"/>
            <w:right w:w="108" w:type="dxa"/>
          </w:tblCellMar>
        </w:tblPrEx>
        <w:trPr>
          <w:trHeight w:val="405" w:hRule="atLeast"/>
        </w:trPr>
        <w:tc>
          <w:tcPr>
            <w:tcW w:w="494"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val="0"/>
                <w:bCs w:val="0"/>
                <w:color w:val="000000"/>
                <w:kern w:val="0"/>
                <w:sz w:val="18"/>
                <w:szCs w:val="18"/>
              </w:rPr>
            </w:pPr>
            <w:r>
              <w:rPr>
                <w:rFonts w:hint="eastAsia" w:ascii="仿宋_GB2312" w:hAnsi="宋体" w:eastAsia="仿宋_GB2312" w:cs="宋体"/>
                <w:b w:val="0"/>
                <w:bCs w:val="0"/>
                <w:color w:val="000000"/>
                <w:sz w:val="18"/>
                <w:szCs w:val="18"/>
              </w:rPr>
              <w:t>210</w:t>
            </w:r>
          </w:p>
        </w:tc>
        <w:tc>
          <w:tcPr>
            <w:tcW w:w="453" w:type="dxa"/>
            <w:tcBorders>
              <w:top w:val="nil"/>
              <w:left w:val="nil"/>
              <w:bottom w:val="single" w:color="auto" w:sz="4" w:space="0"/>
              <w:right w:val="single" w:color="auto" w:sz="4" w:space="0"/>
            </w:tcBorders>
            <w:vAlign w:val="center"/>
          </w:tcPr>
          <w:p>
            <w:pPr>
              <w:jc w:val="center"/>
              <w:rPr>
                <w:rFonts w:ascii="仿宋_GB2312" w:hAnsi="宋体" w:eastAsia="仿宋_GB2312" w:cs="宋体"/>
                <w:b w:val="0"/>
                <w:bCs w:val="0"/>
                <w:color w:val="000000"/>
                <w:kern w:val="0"/>
                <w:sz w:val="18"/>
                <w:szCs w:val="18"/>
              </w:rPr>
            </w:pPr>
            <w:r>
              <w:rPr>
                <w:rFonts w:hint="eastAsia" w:ascii="仿宋_GB2312" w:hAnsi="宋体" w:eastAsia="仿宋_GB2312" w:cs="宋体"/>
                <w:b w:val="0"/>
                <w:bCs w:val="0"/>
                <w:color w:val="000000"/>
                <w:sz w:val="18"/>
                <w:szCs w:val="18"/>
              </w:rPr>
              <w:t>11</w:t>
            </w:r>
          </w:p>
        </w:tc>
        <w:tc>
          <w:tcPr>
            <w:tcW w:w="464" w:type="dxa"/>
            <w:tcBorders>
              <w:top w:val="nil"/>
              <w:left w:val="nil"/>
              <w:bottom w:val="single" w:color="auto" w:sz="4" w:space="0"/>
              <w:right w:val="single" w:color="auto" w:sz="4" w:space="0"/>
            </w:tcBorders>
            <w:vAlign w:val="center"/>
          </w:tcPr>
          <w:p>
            <w:pPr>
              <w:jc w:val="center"/>
              <w:rPr>
                <w:rFonts w:ascii="仿宋_GB2312" w:hAnsi="宋体" w:eastAsia="仿宋_GB2312" w:cs="宋体"/>
                <w:b w:val="0"/>
                <w:bCs w:val="0"/>
                <w:color w:val="000000"/>
                <w:kern w:val="0"/>
                <w:sz w:val="18"/>
                <w:szCs w:val="18"/>
              </w:rPr>
            </w:pPr>
            <w:r>
              <w:rPr>
                <w:rFonts w:hint="eastAsia" w:ascii="仿宋_GB2312" w:hAnsi="宋体" w:eastAsia="仿宋_GB2312" w:cs="宋体"/>
                <w:b w:val="0"/>
                <w:bCs w:val="0"/>
                <w:color w:val="000000"/>
                <w:sz w:val="18"/>
                <w:szCs w:val="18"/>
              </w:rPr>
              <w:t>03</w:t>
            </w:r>
          </w:p>
        </w:tc>
        <w:tc>
          <w:tcPr>
            <w:tcW w:w="2394" w:type="dxa"/>
            <w:tcBorders>
              <w:top w:val="nil"/>
              <w:left w:val="nil"/>
              <w:bottom w:val="single" w:color="auto" w:sz="4" w:space="0"/>
              <w:right w:val="single" w:color="auto" w:sz="4" w:space="0"/>
            </w:tcBorders>
            <w:vAlign w:val="center"/>
          </w:tcPr>
          <w:p>
            <w:pPr>
              <w:jc w:val="left"/>
              <w:rPr>
                <w:rFonts w:ascii="仿宋_GB2312" w:hAnsi="宋体" w:eastAsia="仿宋_GB2312" w:cs="宋体"/>
                <w:b w:val="0"/>
                <w:bCs w:val="0"/>
                <w:color w:val="000000"/>
                <w:sz w:val="18"/>
                <w:szCs w:val="18"/>
              </w:rPr>
            </w:pPr>
            <w:r>
              <w:rPr>
                <w:rFonts w:hint="eastAsia" w:ascii="仿宋_GB2312" w:hAnsi="宋体" w:eastAsia="仿宋_GB2312" w:cs="宋体"/>
                <w:b w:val="0"/>
                <w:bCs w:val="0"/>
                <w:color w:val="000000"/>
                <w:sz w:val="18"/>
                <w:szCs w:val="18"/>
              </w:rPr>
              <w:t>公务员医疗补助</w:t>
            </w:r>
          </w:p>
        </w:tc>
        <w:tc>
          <w:tcPr>
            <w:tcW w:w="1855" w:type="dxa"/>
            <w:tcBorders>
              <w:top w:val="nil"/>
              <w:left w:val="nil"/>
              <w:bottom w:val="single" w:color="auto" w:sz="4" w:space="0"/>
              <w:right w:val="single" w:color="auto" w:sz="4" w:space="0"/>
            </w:tcBorders>
            <w:vAlign w:val="center"/>
          </w:tcPr>
          <w:p>
            <w:pPr>
              <w:jc w:val="right"/>
              <w:rPr>
                <w:rFonts w:ascii="仿宋_GB2312" w:hAnsi="宋体" w:eastAsia="仿宋_GB2312" w:cs="宋体"/>
                <w:b w:val="0"/>
                <w:bCs w:val="0"/>
                <w:color w:val="000000"/>
                <w:sz w:val="18"/>
                <w:szCs w:val="18"/>
              </w:rPr>
            </w:pPr>
            <w:r>
              <w:rPr>
                <w:rFonts w:hint="eastAsia" w:ascii="仿宋_GB2312" w:hAnsi="宋体" w:eastAsia="仿宋_GB2312" w:cs="宋体"/>
                <w:b w:val="0"/>
                <w:bCs w:val="0"/>
                <w:color w:val="000000"/>
                <w:sz w:val="18"/>
                <w:szCs w:val="18"/>
              </w:rPr>
              <w:t>6</w:t>
            </w:r>
          </w:p>
        </w:tc>
        <w:tc>
          <w:tcPr>
            <w:tcW w:w="1856" w:type="dxa"/>
            <w:tcBorders>
              <w:top w:val="nil"/>
              <w:left w:val="nil"/>
              <w:bottom w:val="single" w:color="auto" w:sz="4" w:space="0"/>
              <w:right w:val="single" w:color="auto" w:sz="4" w:space="0"/>
            </w:tcBorders>
            <w:vAlign w:val="center"/>
          </w:tcPr>
          <w:p>
            <w:pPr>
              <w:jc w:val="right"/>
              <w:rPr>
                <w:rFonts w:ascii="仿宋_GB2312" w:hAnsi="宋体" w:eastAsia="仿宋_GB2312" w:cs="宋体"/>
                <w:b w:val="0"/>
                <w:bCs w:val="0"/>
                <w:color w:val="000000"/>
                <w:sz w:val="18"/>
                <w:szCs w:val="18"/>
              </w:rPr>
            </w:pPr>
            <w:r>
              <w:rPr>
                <w:rFonts w:hint="eastAsia" w:ascii="仿宋_GB2312" w:hAnsi="宋体" w:eastAsia="仿宋_GB2312" w:cs="宋体"/>
                <w:b w:val="0"/>
                <w:bCs w:val="0"/>
                <w:color w:val="000000"/>
                <w:sz w:val="18"/>
                <w:szCs w:val="18"/>
              </w:rPr>
              <w:t>6</w:t>
            </w:r>
          </w:p>
        </w:tc>
        <w:tc>
          <w:tcPr>
            <w:tcW w:w="1904" w:type="dxa"/>
            <w:tcBorders>
              <w:top w:val="nil"/>
              <w:left w:val="nil"/>
              <w:bottom w:val="single" w:color="auto" w:sz="4" w:space="0"/>
              <w:right w:val="single" w:color="auto" w:sz="4" w:space="0"/>
            </w:tcBorders>
            <w:vAlign w:val="center"/>
          </w:tcPr>
          <w:p>
            <w:pPr>
              <w:jc w:val="right"/>
              <w:rPr>
                <w:rFonts w:ascii="仿宋_GB2312" w:hAnsi="宋体" w:eastAsia="仿宋_GB2312" w:cs="宋体"/>
                <w:b w:val="0"/>
                <w:bCs w:val="0"/>
                <w:color w:val="000000"/>
                <w:sz w:val="18"/>
                <w:szCs w:val="18"/>
              </w:rPr>
            </w:pPr>
            <w:r>
              <w:rPr>
                <w:rFonts w:hint="eastAsia" w:ascii="仿宋_GB2312" w:hAnsi="宋体" w:eastAsia="仿宋_GB2312" w:cs="宋体"/>
                <w:b w:val="0"/>
                <w:bCs w:val="0"/>
                <w:color w:val="000000"/>
                <w:sz w:val="18"/>
                <w:szCs w:val="18"/>
              </w:rPr>
              <w:t>0</w:t>
            </w:r>
          </w:p>
        </w:tc>
      </w:tr>
      <w:tr>
        <w:tblPrEx>
          <w:tblLayout w:type="fixed"/>
          <w:tblCellMar>
            <w:top w:w="0" w:type="dxa"/>
            <w:left w:w="108" w:type="dxa"/>
            <w:bottom w:w="0" w:type="dxa"/>
            <w:right w:w="108" w:type="dxa"/>
          </w:tblCellMar>
        </w:tblPrEx>
        <w:trPr>
          <w:trHeight w:val="405" w:hRule="atLeast"/>
        </w:trPr>
        <w:tc>
          <w:tcPr>
            <w:tcW w:w="494"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val="0"/>
                <w:bCs w:val="0"/>
                <w:color w:val="000000"/>
                <w:kern w:val="0"/>
                <w:sz w:val="18"/>
                <w:szCs w:val="18"/>
              </w:rPr>
            </w:pPr>
            <w:r>
              <w:rPr>
                <w:rFonts w:hint="eastAsia" w:ascii="仿宋_GB2312" w:hAnsi="宋体" w:eastAsia="仿宋_GB2312" w:cs="宋体"/>
                <w:b w:val="0"/>
                <w:bCs w:val="0"/>
                <w:color w:val="000000"/>
                <w:sz w:val="18"/>
                <w:szCs w:val="18"/>
              </w:rPr>
              <w:t>210</w:t>
            </w:r>
          </w:p>
        </w:tc>
        <w:tc>
          <w:tcPr>
            <w:tcW w:w="453" w:type="dxa"/>
            <w:tcBorders>
              <w:top w:val="nil"/>
              <w:left w:val="nil"/>
              <w:bottom w:val="single" w:color="auto" w:sz="4" w:space="0"/>
              <w:right w:val="single" w:color="auto" w:sz="4" w:space="0"/>
            </w:tcBorders>
            <w:vAlign w:val="center"/>
          </w:tcPr>
          <w:p>
            <w:pPr>
              <w:jc w:val="center"/>
              <w:rPr>
                <w:rFonts w:ascii="仿宋_GB2312" w:hAnsi="宋体" w:eastAsia="仿宋_GB2312" w:cs="宋体"/>
                <w:b w:val="0"/>
                <w:bCs w:val="0"/>
                <w:color w:val="000000"/>
                <w:kern w:val="0"/>
                <w:sz w:val="18"/>
                <w:szCs w:val="18"/>
              </w:rPr>
            </w:pPr>
            <w:r>
              <w:rPr>
                <w:rFonts w:hint="eastAsia" w:ascii="仿宋_GB2312" w:hAnsi="宋体" w:eastAsia="仿宋_GB2312" w:cs="宋体"/>
                <w:b w:val="0"/>
                <w:bCs w:val="0"/>
                <w:color w:val="000000"/>
                <w:sz w:val="18"/>
                <w:szCs w:val="18"/>
              </w:rPr>
              <w:t>11</w:t>
            </w:r>
          </w:p>
        </w:tc>
        <w:tc>
          <w:tcPr>
            <w:tcW w:w="464" w:type="dxa"/>
            <w:tcBorders>
              <w:top w:val="nil"/>
              <w:left w:val="nil"/>
              <w:bottom w:val="single" w:color="auto" w:sz="4" w:space="0"/>
              <w:right w:val="single" w:color="auto" w:sz="4" w:space="0"/>
            </w:tcBorders>
            <w:vAlign w:val="center"/>
          </w:tcPr>
          <w:p>
            <w:pPr>
              <w:jc w:val="center"/>
              <w:rPr>
                <w:rFonts w:ascii="仿宋_GB2312" w:hAnsi="宋体" w:eastAsia="仿宋_GB2312" w:cs="宋体"/>
                <w:b w:val="0"/>
                <w:bCs w:val="0"/>
                <w:color w:val="000000"/>
                <w:kern w:val="0"/>
                <w:sz w:val="18"/>
                <w:szCs w:val="18"/>
              </w:rPr>
            </w:pPr>
            <w:r>
              <w:rPr>
                <w:rFonts w:hint="eastAsia" w:ascii="仿宋_GB2312" w:hAnsi="宋体" w:eastAsia="仿宋_GB2312" w:cs="宋体"/>
                <w:b w:val="0"/>
                <w:bCs w:val="0"/>
                <w:color w:val="000000"/>
                <w:sz w:val="18"/>
                <w:szCs w:val="18"/>
              </w:rPr>
              <w:t>99</w:t>
            </w:r>
          </w:p>
        </w:tc>
        <w:tc>
          <w:tcPr>
            <w:tcW w:w="2394" w:type="dxa"/>
            <w:tcBorders>
              <w:top w:val="nil"/>
              <w:left w:val="nil"/>
              <w:bottom w:val="single" w:color="auto" w:sz="4" w:space="0"/>
              <w:right w:val="single" w:color="auto" w:sz="4" w:space="0"/>
            </w:tcBorders>
            <w:vAlign w:val="center"/>
          </w:tcPr>
          <w:p>
            <w:pPr>
              <w:jc w:val="left"/>
              <w:rPr>
                <w:rFonts w:ascii="仿宋_GB2312" w:hAnsi="宋体" w:eastAsia="仿宋_GB2312" w:cs="宋体"/>
                <w:b w:val="0"/>
                <w:bCs w:val="0"/>
                <w:color w:val="000000"/>
                <w:kern w:val="0"/>
                <w:sz w:val="18"/>
                <w:szCs w:val="18"/>
              </w:rPr>
            </w:pPr>
            <w:r>
              <w:rPr>
                <w:rFonts w:hint="eastAsia" w:ascii="仿宋_GB2312" w:hAnsi="宋体" w:eastAsia="仿宋_GB2312" w:cs="宋体"/>
                <w:b w:val="0"/>
                <w:bCs w:val="0"/>
                <w:color w:val="000000"/>
                <w:sz w:val="18"/>
                <w:szCs w:val="18"/>
              </w:rPr>
              <w:t>其他行政事业单位医疗支出</w:t>
            </w:r>
          </w:p>
        </w:tc>
        <w:tc>
          <w:tcPr>
            <w:tcW w:w="1855" w:type="dxa"/>
            <w:tcBorders>
              <w:top w:val="nil"/>
              <w:left w:val="nil"/>
              <w:bottom w:val="single" w:color="auto" w:sz="4" w:space="0"/>
              <w:right w:val="single" w:color="auto" w:sz="4" w:space="0"/>
            </w:tcBorders>
            <w:vAlign w:val="center"/>
          </w:tcPr>
          <w:p>
            <w:pPr>
              <w:jc w:val="right"/>
              <w:rPr>
                <w:rFonts w:ascii="仿宋_GB2312" w:hAnsi="宋体" w:eastAsia="仿宋_GB2312" w:cs="宋体"/>
                <w:b w:val="0"/>
                <w:bCs w:val="0"/>
                <w:color w:val="000000"/>
                <w:kern w:val="0"/>
                <w:sz w:val="18"/>
                <w:szCs w:val="18"/>
              </w:rPr>
            </w:pPr>
            <w:r>
              <w:rPr>
                <w:rFonts w:hint="eastAsia" w:ascii="仿宋_GB2312" w:hAnsi="宋体" w:eastAsia="仿宋_GB2312" w:cs="宋体"/>
                <w:b w:val="0"/>
                <w:bCs w:val="0"/>
                <w:color w:val="000000"/>
                <w:sz w:val="18"/>
                <w:szCs w:val="18"/>
              </w:rPr>
              <w:t>0.56</w:t>
            </w:r>
          </w:p>
        </w:tc>
        <w:tc>
          <w:tcPr>
            <w:tcW w:w="1856" w:type="dxa"/>
            <w:tcBorders>
              <w:top w:val="nil"/>
              <w:left w:val="nil"/>
              <w:bottom w:val="single" w:color="auto" w:sz="4" w:space="0"/>
              <w:right w:val="single" w:color="auto" w:sz="4" w:space="0"/>
            </w:tcBorders>
            <w:vAlign w:val="center"/>
          </w:tcPr>
          <w:p>
            <w:pPr>
              <w:jc w:val="right"/>
              <w:rPr>
                <w:rFonts w:ascii="仿宋_GB2312" w:hAnsi="宋体" w:eastAsia="仿宋_GB2312" w:cs="宋体"/>
                <w:b w:val="0"/>
                <w:bCs w:val="0"/>
                <w:color w:val="000000"/>
                <w:kern w:val="0"/>
                <w:sz w:val="18"/>
                <w:szCs w:val="18"/>
              </w:rPr>
            </w:pPr>
            <w:r>
              <w:rPr>
                <w:rFonts w:hint="eastAsia" w:ascii="仿宋_GB2312" w:hAnsi="宋体" w:eastAsia="仿宋_GB2312" w:cs="宋体"/>
                <w:b w:val="0"/>
                <w:bCs w:val="0"/>
                <w:color w:val="000000"/>
                <w:sz w:val="18"/>
                <w:szCs w:val="18"/>
              </w:rPr>
              <w:t>0.56</w:t>
            </w:r>
          </w:p>
        </w:tc>
        <w:tc>
          <w:tcPr>
            <w:tcW w:w="1904" w:type="dxa"/>
            <w:tcBorders>
              <w:top w:val="nil"/>
              <w:left w:val="nil"/>
              <w:bottom w:val="single" w:color="auto" w:sz="4" w:space="0"/>
              <w:right w:val="single" w:color="auto" w:sz="4" w:space="0"/>
            </w:tcBorders>
            <w:vAlign w:val="center"/>
          </w:tcPr>
          <w:p>
            <w:pPr>
              <w:jc w:val="right"/>
              <w:rPr>
                <w:rFonts w:ascii="仿宋_GB2312" w:hAnsi="宋体" w:eastAsia="仿宋_GB2312" w:cs="宋体"/>
                <w:b w:val="0"/>
                <w:bCs w:val="0"/>
                <w:color w:val="000000"/>
                <w:kern w:val="0"/>
                <w:sz w:val="18"/>
                <w:szCs w:val="18"/>
              </w:rPr>
            </w:pPr>
            <w:r>
              <w:rPr>
                <w:rFonts w:hint="eastAsia" w:ascii="仿宋_GB2312" w:hAnsi="宋体" w:eastAsia="仿宋_GB2312" w:cs="宋体"/>
                <w:b w:val="0"/>
                <w:bCs w:val="0"/>
                <w:color w:val="000000"/>
                <w:sz w:val="18"/>
                <w:szCs w:val="18"/>
              </w:rPr>
              <w:t>0</w:t>
            </w:r>
          </w:p>
        </w:tc>
      </w:tr>
      <w:tr>
        <w:tblPrEx>
          <w:tblLayout w:type="fixed"/>
          <w:tblCellMar>
            <w:top w:w="0" w:type="dxa"/>
            <w:left w:w="108" w:type="dxa"/>
            <w:bottom w:w="0" w:type="dxa"/>
            <w:right w:w="108" w:type="dxa"/>
          </w:tblCellMar>
        </w:tblPrEx>
        <w:trPr>
          <w:trHeight w:val="405" w:hRule="atLeast"/>
        </w:trPr>
        <w:tc>
          <w:tcPr>
            <w:tcW w:w="494"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仿宋_GB2312" w:hAnsi="宋体" w:eastAsia="仿宋_GB2312" w:cs="宋体"/>
                <w:b w:val="0"/>
                <w:bCs w:val="0"/>
                <w:color w:val="000000"/>
                <w:kern w:val="0"/>
                <w:sz w:val="18"/>
                <w:szCs w:val="18"/>
                <w:lang w:val="en-US" w:eastAsia="zh-CN"/>
              </w:rPr>
            </w:pPr>
            <w:r>
              <w:rPr>
                <w:rFonts w:hint="eastAsia" w:ascii="仿宋_GB2312" w:hAnsi="宋体" w:eastAsia="仿宋_GB2312" w:cs="宋体"/>
                <w:b w:val="0"/>
                <w:bCs w:val="0"/>
                <w:color w:val="000000"/>
                <w:kern w:val="0"/>
                <w:sz w:val="18"/>
                <w:szCs w:val="18"/>
                <w:lang w:val="en-US" w:eastAsia="zh-CN"/>
              </w:rPr>
              <w:t>210</w:t>
            </w:r>
          </w:p>
        </w:tc>
        <w:tc>
          <w:tcPr>
            <w:tcW w:w="453"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val="0"/>
                <w:bCs w:val="0"/>
                <w:color w:val="000000"/>
                <w:kern w:val="0"/>
                <w:sz w:val="18"/>
                <w:szCs w:val="18"/>
              </w:rPr>
            </w:pPr>
            <w:r>
              <w:rPr>
                <w:rFonts w:hint="eastAsia" w:ascii="仿宋_GB2312" w:hAnsi="宋体" w:eastAsia="仿宋_GB2312" w:cs="宋体"/>
                <w:b w:val="0"/>
                <w:bCs w:val="0"/>
                <w:color w:val="000000"/>
                <w:kern w:val="0"/>
                <w:sz w:val="18"/>
                <w:szCs w:val="18"/>
                <w:lang w:val="en-US" w:eastAsia="zh-CN"/>
              </w:rPr>
              <w:t>15</w:t>
            </w:r>
          </w:p>
        </w:tc>
        <w:tc>
          <w:tcPr>
            <w:tcW w:w="46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val="0"/>
                <w:bCs w:val="0"/>
                <w:color w:val="000000"/>
                <w:kern w:val="0"/>
                <w:sz w:val="18"/>
                <w:szCs w:val="18"/>
              </w:rPr>
            </w:pPr>
          </w:p>
        </w:tc>
        <w:tc>
          <w:tcPr>
            <w:tcW w:w="2394"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b w:val="0"/>
                <w:bCs w:val="0"/>
                <w:color w:val="000000"/>
                <w:kern w:val="0"/>
                <w:sz w:val="18"/>
                <w:szCs w:val="18"/>
                <w:lang w:eastAsia="zh-CN"/>
              </w:rPr>
            </w:pPr>
            <w:r>
              <w:rPr>
                <w:rFonts w:hint="eastAsia" w:ascii="仿宋_GB2312" w:hAnsi="宋体" w:eastAsia="仿宋_GB2312" w:cs="宋体"/>
                <w:b w:val="0"/>
                <w:bCs w:val="0"/>
                <w:color w:val="000000"/>
                <w:kern w:val="0"/>
                <w:sz w:val="18"/>
                <w:szCs w:val="18"/>
                <w:lang w:eastAsia="zh-CN"/>
              </w:rPr>
              <w:t>医疗保障管理事务</w:t>
            </w:r>
          </w:p>
        </w:tc>
        <w:tc>
          <w:tcPr>
            <w:tcW w:w="1855" w:type="dxa"/>
            <w:tcBorders>
              <w:top w:val="nil"/>
              <w:left w:val="nil"/>
              <w:bottom w:val="single" w:color="auto" w:sz="4" w:space="0"/>
              <w:right w:val="single" w:color="auto" w:sz="4" w:space="0"/>
            </w:tcBorders>
            <w:vAlign w:val="center"/>
          </w:tcPr>
          <w:p>
            <w:pPr>
              <w:widowControl/>
              <w:spacing w:line="280" w:lineRule="exact"/>
              <w:jc w:val="right"/>
              <w:rPr>
                <w:rFonts w:hint="default" w:ascii="仿宋_GB2312" w:hAnsi="宋体" w:eastAsia="仿宋_GB2312" w:cs="宋体"/>
                <w:b w:val="0"/>
                <w:bCs w:val="0"/>
                <w:color w:val="000000"/>
                <w:kern w:val="0"/>
                <w:sz w:val="18"/>
                <w:szCs w:val="18"/>
                <w:lang w:val="en-US" w:eastAsia="zh-CN"/>
              </w:rPr>
            </w:pPr>
            <w:r>
              <w:rPr>
                <w:rFonts w:hint="eastAsia" w:ascii="仿宋_GB2312" w:hAnsi="宋体" w:eastAsia="仿宋_GB2312" w:cs="宋体"/>
                <w:b w:val="0"/>
                <w:bCs w:val="0"/>
                <w:color w:val="000000"/>
                <w:kern w:val="0"/>
                <w:sz w:val="18"/>
                <w:szCs w:val="18"/>
                <w:lang w:val="en-US" w:eastAsia="zh-CN"/>
              </w:rPr>
              <w:t>1516.03</w:t>
            </w:r>
          </w:p>
        </w:tc>
        <w:tc>
          <w:tcPr>
            <w:tcW w:w="1856" w:type="dxa"/>
            <w:tcBorders>
              <w:top w:val="nil"/>
              <w:left w:val="nil"/>
              <w:bottom w:val="single" w:color="auto" w:sz="4" w:space="0"/>
              <w:right w:val="single" w:color="auto" w:sz="4" w:space="0"/>
            </w:tcBorders>
            <w:vAlign w:val="center"/>
          </w:tcPr>
          <w:p>
            <w:pPr>
              <w:widowControl/>
              <w:spacing w:line="280" w:lineRule="exact"/>
              <w:jc w:val="right"/>
              <w:rPr>
                <w:rFonts w:hint="default" w:ascii="仿宋_GB2312" w:hAnsi="宋体" w:eastAsia="仿宋_GB2312" w:cs="宋体"/>
                <w:b w:val="0"/>
                <w:bCs w:val="0"/>
                <w:color w:val="000000"/>
                <w:kern w:val="0"/>
                <w:sz w:val="18"/>
                <w:szCs w:val="18"/>
                <w:lang w:val="en-US" w:eastAsia="zh-CN"/>
              </w:rPr>
            </w:pPr>
            <w:r>
              <w:rPr>
                <w:rFonts w:hint="eastAsia" w:ascii="仿宋_GB2312" w:hAnsi="宋体" w:eastAsia="仿宋_GB2312" w:cs="宋体"/>
                <w:b w:val="0"/>
                <w:bCs w:val="0"/>
                <w:color w:val="000000"/>
                <w:kern w:val="0"/>
                <w:sz w:val="18"/>
                <w:szCs w:val="18"/>
                <w:lang w:val="en-US" w:eastAsia="zh-CN"/>
              </w:rPr>
              <w:t>329.53</w:t>
            </w:r>
          </w:p>
        </w:tc>
        <w:tc>
          <w:tcPr>
            <w:tcW w:w="1904" w:type="dxa"/>
            <w:tcBorders>
              <w:top w:val="nil"/>
              <w:left w:val="nil"/>
              <w:bottom w:val="single" w:color="auto" w:sz="4" w:space="0"/>
              <w:right w:val="single" w:color="auto" w:sz="4" w:space="0"/>
            </w:tcBorders>
            <w:vAlign w:val="center"/>
          </w:tcPr>
          <w:p>
            <w:pPr>
              <w:widowControl/>
              <w:spacing w:line="280" w:lineRule="exact"/>
              <w:jc w:val="right"/>
              <w:rPr>
                <w:rFonts w:hint="default" w:ascii="仿宋_GB2312" w:hAnsi="宋体" w:eastAsia="仿宋_GB2312" w:cs="宋体"/>
                <w:b w:val="0"/>
                <w:bCs w:val="0"/>
                <w:color w:val="000000"/>
                <w:kern w:val="0"/>
                <w:sz w:val="18"/>
                <w:szCs w:val="18"/>
                <w:lang w:val="en-US" w:eastAsia="zh-CN"/>
              </w:rPr>
            </w:pPr>
            <w:r>
              <w:rPr>
                <w:rFonts w:hint="eastAsia" w:ascii="仿宋_GB2312" w:hAnsi="宋体" w:eastAsia="仿宋_GB2312" w:cs="宋体"/>
                <w:b w:val="0"/>
                <w:bCs w:val="0"/>
                <w:color w:val="000000"/>
                <w:kern w:val="0"/>
                <w:sz w:val="18"/>
                <w:szCs w:val="18"/>
                <w:lang w:val="en-US" w:eastAsia="zh-CN"/>
              </w:rPr>
              <w:t>1186.5</w:t>
            </w:r>
          </w:p>
        </w:tc>
      </w:tr>
      <w:tr>
        <w:tblPrEx>
          <w:tblLayout w:type="fixed"/>
          <w:tblCellMar>
            <w:top w:w="0" w:type="dxa"/>
            <w:left w:w="108" w:type="dxa"/>
            <w:bottom w:w="0" w:type="dxa"/>
            <w:right w:w="108" w:type="dxa"/>
          </w:tblCellMar>
        </w:tblPrEx>
        <w:trPr>
          <w:trHeight w:val="405" w:hRule="atLeast"/>
        </w:trPr>
        <w:tc>
          <w:tcPr>
            <w:tcW w:w="494"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b w:val="0"/>
                <w:bCs w:val="0"/>
                <w:color w:val="000000"/>
                <w:kern w:val="0"/>
                <w:sz w:val="18"/>
                <w:szCs w:val="18"/>
                <w:lang w:val="en-US" w:eastAsia="zh-CN"/>
              </w:rPr>
            </w:pPr>
            <w:r>
              <w:rPr>
                <w:rFonts w:hint="eastAsia" w:ascii="仿宋_GB2312" w:hAnsi="宋体" w:eastAsia="仿宋_GB2312" w:cs="宋体"/>
                <w:b w:val="0"/>
                <w:bCs w:val="0"/>
                <w:color w:val="000000"/>
                <w:sz w:val="18"/>
                <w:szCs w:val="18"/>
              </w:rPr>
              <w:t>210</w:t>
            </w:r>
          </w:p>
        </w:tc>
        <w:tc>
          <w:tcPr>
            <w:tcW w:w="453"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b w:val="0"/>
                <w:bCs w:val="0"/>
                <w:color w:val="000000"/>
                <w:kern w:val="0"/>
                <w:sz w:val="18"/>
                <w:szCs w:val="18"/>
                <w:lang w:val="en-US" w:eastAsia="zh-CN"/>
              </w:rPr>
            </w:pPr>
            <w:r>
              <w:rPr>
                <w:rFonts w:hint="eastAsia" w:ascii="仿宋_GB2312" w:hAnsi="宋体" w:eastAsia="仿宋_GB2312" w:cs="宋体"/>
                <w:b w:val="0"/>
                <w:bCs w:val="0"/>
                <w:color w:val="000000"/>
                <w:sz w:val="18"/>
                <w:szCs w:val="18"/>
              </w:rPr>
              <w:t>15</w:t>
            </w:r>
          </w:p>
        </w:tc>
        <w:tc>
          <w:tcPr>
            <w:tcW w:w="464" w:type="dxa"/>
            <w:tcBorders>
              <w:top w:val="nil"/>
              <w:left w:val="nil"/>
              <w:bottom w:val="single" w:color="auto" w:sz="4" w:space="0"/>
              <w:right w:val="single" w:color="auto" w:sz="4" w:space="0"/>
            </w:tcBorders>
            <w:vAlign w:val="center"/>
          </w:tcPr>
          <w:p>
            <w:pPr>
              <w:jc w:val="center"/>
              <w:rPr>
                <w:rFonts w:ascii="仿宋_GB2312" w:hAnsi="宋体" w:eastAsia="仿宋_GB2312" w:cs="宋体"/>
                <w:b w:val="0"/>
                <w:bCs w:val="0"/>
                <w:color w:val="000000"/>
                <w:kern w:val="0"/>
                <w:sz w:val="18"/>
                <w:szCs w:val="18"/>
              </w:rPr>
            </w:pPr>
            <w:r>
              <w:rPr>
                <w:rFonts w:hint="eastAsia" w:ascii="仿宋_GB2312" w:hAnsi="宋体" w:eastAsia="仿宋_GB2312" w:cs="宋体"/>
                <w:b w:val="0"/>
                <w:bCs w:val="0"/>
                <w:color w:val="000000"/>
                <w:sz w:val="18"/>
                <w:szCs w:val="18"/>
              </w:rPr>
              <w:t>01</w:t>
            </w:r>
          </w:p>
        </w:tc>
        <w:tc>
          <w:tcPr>
            <w:tcW w:w="2394" w:type="dxa"/>
            <w:tcBorders>
              <w:top w:val="nil"/>
              <w:left w:val="nil"/>
              <w:bottom w:val="single" w:color="auto" w:sz="4" w:space="0"/>
              <w:right w:val="single" w:color="auto" w:sz="4" w:space="0"/>
            </w:tcBorders>
            <w:vAlign w:val="center"/>
          </w:tcPr>
          <w:p>
            <w:pPr>
              <w:jc w:val="left"/>
              <w:rPr>
                <w:rFonts w:hint="eastAsia" w:ascii="仿宋_GB2312" w:hAnsi="宋体" w:eastAsia="仿宋_GB2312" w:cs="宋体"/>
                <w:b w:val="0"/>
                <w:bCs w:val="0"/>
                <w:color w:val="000000"/>
                <w:kern w:val="0"/>
                <w:sz w:val="18"/>
                <w:szCs w:val="18"/>
                <w:lang w:eastAsia="zh-CN"/>
              </w:rPr>
            </w:pPr>
            <w:r>
              <w:rPr>
                <w:rFonts w:hint="eastAsia" w:ascii="仿宋_GB2312" w:hAnsi="宋体" w:eastAsia="仿宋_GB2312" w:cs="宋体"/>
                <w:b w:val="0"/>
                <w:bCs w:val="0"/>
                <w:color w:val="000000"/>
                <w:sz w:val="18"/>
                <w:szCs w:val="18"/>
              </w:rPr>
              <w:t>行政运行</w:t>
            </w:r>
          </w:p>
        </w:tc>
        <w:tc>
          <w:tcPr>
            <w:tcW w:w="1855" w:type="dxa"/>
            <w:tcBorders>
              <w:top w:val="nil"/>
              <w:left w:val="nil"/>
              <w:bottom w:val="single" w:color="auto" w:sz="4" w:space="0"/>
              <w:right w:val="single" w:color="auto" w:sz="4" w:space="0"/>
            </w:tcBorders>
            <w:vAlign w:val="center"/>
          </w:tcPr>
          <w:p>
            <w:pPr>
              <w:jc w:val="right"/>
              <w:rPr>
                <w:rFonts w:ascii="仿宋_GB2312" w:hAnsi="宋体" w:eastAsia="仿宋_GB2312" w:cs="宋体"/>
                <w:b w:val="0"/>
                <w:bCs w:val="0"/>
                <w:color w:val="000000"/>
                <w:kern w:val="0"/>
                <w:sz w:val="18"/>
                <w:szCs w:val="18"/>
              </w:rPr>
            </w:pPr>
            <w:r>
              <w:rPr>
                <w:rFonts w:hint="eastAsia" w:ascii="仿宋_GB2312" w:hAnsi="宋体" w:eastAsia="仿宋_GB2312" w:cs="宋体"/>
                <w:b w:val="0"/>
                <w:bCs w:val="0"/>
                <w:color w:val="000000"/>
                <w:sz w:val="18"/>
                <w:szCs w:val="18"/>
              </w:rPr>
              <w:t>329.53</w:t>
            </w:r>
          </w:p>
        </w:tc>
        <w:tc>
          <w:tcPr>
            <w:tcW w:w="1856" w:type="dxa"/>
            <w:tcBorders>
              <w:top w:val="nil"/>
              <w:left w:val="nil"/>
              <w:bottom w:val="single" w:color="auto" w:sz="4" w:space="0"/>
              <w:right w:val="single" w:color="auto" w:sz="4" w:space="0"/>
            </w:tcBorders>
            <w:vAlign w:val="center"/>
          </w:tcPr>
          <w:p>
            <w:pPr>
              <w:jc w:val="right"/>
              <w:rPr>
                <w:rFonts w:ascii="仿宋_GB2312" w:hAnsi="宋体" w:eastAsia="仿宋_GB2312" w:cs="宋体"/>
                <w:b w:val="0"/>
                <w:bCs w:val="0"/>
                <w:color w:val="000000"/>
                <w:kern w:val="0"/>
                <w:sz w:val="18"/>
                <w:szCs w:val="18"/>
              </w:rPr>
            </w:pPr>
            <w:r>
              <w:rPr>
                <w:rFonts w:hint="eastAsia" w:ascii="仿宋_GB2312" w:hAnsi="宋体" w:eastAsia="仿宋_GB2312" w:cs="宋体"/>
                <w:b w:val="0"/>
                <w:bCs w:val="0"/>
                <w:color w:val="000000"/>
                <w:sz w:val="18"/>
                <w:szCs w:val="18"/>
              </w:rPr>
              <w:t>329.53</w:t>
            </w:r>
          </w:p>
        </w:tc>
        <w:tc>
          <w:tcPr>
            <w:tcW w:w="1904" w:type="dxa"/>
            <w:tcBorders>
              <w:top w:val="nil"/>
              <w:left w:val="nil"/>
              <w:bottom w:val="single" w:color="auto" w:sz="4" w:space="0"/>
              <w:right w:val="single" w:color="auto" w:sz="4" w:space="0"/>
            </w:tcBorders>
            <w:vAlign w:val="center"/>
          </w:tcPr>
          <w:p>
            <w:pPr>
              <w:jc w:val="right"/>
              <w:rPr>
                <w:rFonts w:ascii="仿宋_GB2312" w:hAnsi="宋体" w:eastAsia="仿宋_GB2312" w:cs="宋体"/>
                <w:b w:val="0"/>
                <w:bCs w:val="0"/>
                <w:color w:val="000000"/>
                <w:kern w:val="0"/>
                <w:sz w:val="18"/>
                <w:szCs w:val="18"/>
              </w:rPr>
            </w:pPr>
            <w:r>
              <w:rPr>
                <w:rFonts w:hint="eastAsia" w:ascii="仿宋_GB2312" w:hAnsi="宋体" w:eastAsia="仿宋_GB2312" w:cs="宋体"/>
                <w:b w:val="0"/>
                <w:bCs w:val="0"/>
                <w:color w:val="000000"/>
                <w:sz w:val="18"/>
                <w:szCs w:val="18"/>
              </w:rPr>
              <w:t>0</w:t>
            </w:r>
          </w:p>
        </w:tc>
      </w:tr>
      <w:tr>
        <w:tblPrEx>
          <w:tblLayout w:type="fixed"/>
          <w:tblCellMar>
            <w:top w:w="0" w:type="dxa"/>
            <w:left w:w="108" w:type="dxa"/>
            <w:bottom w:w="0" w:type="dxa"/>
            <w:right w:w="108" w:type="dxa"/>
          </w:tblCellMar>
        </w:tblPrEx>
        <w:trPr>
          <w:trHeight w:val="405" w:hRule="atLeast"/>
        </w:trPr>
        <w:tc>
          <w:tcPr>
            <w:tcW w:w="494"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val="0"/>
                <w:bCs w:val="0"/>
                <w:color w:val="000000"/>
                <w:kern w:val="0"/>
                <w:sz w:val="18"/>
                <w:szCs w:val="18"/>
              </w:rPr>
            </w:pPr>
            <w:r>
              <w:rPr>
                <w:rFonts w:hint="eastAsia" w:ascii="仿宋_GB2312" w:hAnsi="宋体" w:eastAsia="仿宋_GB2312" w:cs="宋体"/>
                <w:b w:val="0"/>
                <w:bCs w:val="0"/>
                <w:color w:val="000000"/>
                <w:sz w:val="18"/>
                <w:szCs w:val="18"/>
              </w:rPr>
              <w:t>210</w:t>
            </w:r>
          </w:p>
        </w:tc>
        <w:tc>
          <w:tcPr>
            <w:tcW w:w="453" w:type="dxa"/>
            <w:tcBorders>
              <w:top w:val="nil"/>
              <w:left w:val="nil"/>
              <w:bottom w:val="single" w:color="auto" w:sz="4" w:space="0"/>
              <w:right w:val="single" w:color="auto" w:sz="4" w:space="0"/>
            </w:tcBorders>
            <w:vAlign w:val="center"/>
          </w:tcPr>
          <w:p>
            <w:pPr>
              <w:jc w:val="center"/>
              <w:rPr>
                <w:rFonts w:ascii="仿宋_GB2312" w:hAnsi="宋体" w:eastAsia="仿宋_GB2312" w:cs="宋体"/>
                <w:b w:val="0"/>
                <w:bCs w:val="0"/>
                <w:color w:val="000000"/>
                <w:kern w:val="0"/>
                <w:sz w:val="18"/>
                <w:szCs w:val="18"/>
              </w:rPr>
            </w:pPr>
            <w:r>
              <w:rPr>
                <w:rFonts w:hint="eastAsia" w:ascii="仿宋_GB2312" w:hAnsi="宋体" w:eastAsia="仿宋_GB2312" w:cs="宋体"/>
                <w:b w:val="0"/>
                <w:bCs w:val="0"/>
                <w:color w:val="000000"/>
                <w:sz w:val="18"/>
                <w:szCs w:val="18"/>
              </w:rPr>
              <w:t>15</w:t>
            </w:r>
          </w:p>
        </w:tc>
        <w:tc>
          <w:tcPr>
            <w:tcW w:w="464" w:type="dxa"/>
            <w:tcBorders>
              <w:top w:val="nil"/>
              <w:left w:val="nil"/>
              <w:bottom w:val="single" w:color="auto" w:sz="4" w:space="0"/>
              <w:right w:val="single" w:color="auto" w:sz="4" w:space="0"/>
            </w:tcBorders>
            <w:vAlign w:val="center"/>
          </w:tcPr>
          <w:p>
            <w:pPr>
              <w:jc w:val="center"/>
              <w:rPr>
                <w:rFonts w:ascii="仿宋_GB2312" w:hAnsi="宋体" w:eastAsia="仿宋_GB2312" w:cs="宋体"/>
                <w:b w:val="0"/>
                <w:bCs w:val="0"/>
                <w:color w:val="000000"/>
                <w:kern w:val="0"/>
                <w:sz w:val="18"/>
                <w:szCs w:val="18"/>
              </w:rPr>
            </w:pPr>
            <w:r>
              <w:rPr>
                <w:rFonts w:hint="eastAsia" w:ascii="仿宋_GB2312" w:hAnsi="宋体" w:eastAsia="仿宋_GB2312" w:cs="宋体"/>
                <w:b w:val="0"/>
                <w:bCs w:val="0"/>
                <w:color w:val="000000"/>
                <w:sz w:val="18"/>
                <w:szCs w:val="18"/>
              </w:rPr>
              <w:t>02</w:t>
            </w:r>
          </w:p>
        </w:tc>
        <w:tc>
          <w:tcPr>
            <w:tcW w:w="2394" w:type="dxa"/>
            <w:tcBorders>
              <w:top w:val="nil"/>
              <w:left w:val="nil"/>
              <w:bottom w:val="single" w:color="auto" w:sz="4" w:space="0"/>
              <w:right w:val="single" w:color="auto" w:sz="4" w:space="0"/>
            </w:tcBorders>
            <w:vAlign w:val="center"/>
          </w:tcPr>
          <w:p>
            <w:pPr>
              <w:jc w:val="left"/>
              <w:rPr>
                <w:rFonts w:ascii="仿宋_GB2312" w:hAnsi="宋体" w:eastAsia="仿宋_GB2312" w:cs="宋体"/>
                <w:b w:val="0"/>
                <w:bCs w:val="0"/>
                <w:color w:val="000000"/>
                <w:kern w:val="0"/>
                <w:sz w:val="18"/>
                <w:szCs w:val="18"/>
              </w:rPr>
            </w:pPr>
            <w:r>
              <w:rPr>
                <w:rFonts w:hint="eastAsia" w:ascii="仿宋_GB2312" w:hAnsi="宋体" w:eastAsia="仿宋_GB2312" w:cs="宋体"/>
                <w:b w:val="0"/>
                <w:bCs w:val="0"/>
                <w:color w:val="000000"/>
                <w:sz w:val="18"/>
                <w:szCs w:val="18"/>
              </w:rPr>
              <w:t>一般行政管理事务</w:t>
            </w:r>
          </w:p>
        </w:tc>
        <w:tc>
          <w:tcPr>
            <w:tcW w:w="1855" w:type="dxa"/>
            <w:tcBorders>
              <w:top w:val="nil"/>
              <w:left w:val="nil"/>
              <w:bottom w:val="single" w:color="auto" w:sz="4" w:space="0"/>
              <w:right w:val="single" w:color="auto" w:sz="4" w:space="0"/>
            </w:tcBorders>
            <w:vAlign w:val="center"/>
          </w:tcPr>
          <w:p>
            <w:pPr>
              <w:jc w:val="right"/>
              <w:rPr>
                <w:rFonts w:ascii="仿宋_GB2312" w:hAnsi="宋体" w:eastAsia="仿宋_GB2312" w:cs="宋体"/>
                <w:b w:val="0"/>
                <w:bCs w:val="0"/>
                <w:color w:val="000000"/>
                <w:kern w:val="0"/>
                <w:sz w:val="18"/>
                <w:szCs w:val="18"/>
              </w:rPr>
            </w:pPr>
            <w:r>
              <w:rPr>
                <w:rFonts w:hint="eastAsia" w:ascii="仿宋_GB2312" w:hAnsi="宋体" w:eastAsia="仿宋_GB2312" w:cs="宋体"/>
                <w:b w:val="0"/>
                <w:bCs w:val="0"/>
                <w:color w:val="000000"/>
                <w:sz w:val="18"/>
                <w:szCs w:val="18"/>
              </w:rPr>
              <w:t xml:space="preserve">            100</w:t>
            </w:r>
          </w:p>
        </w:tc>
        <w:tc>
          <w:tcPr>
            <w:tcW w:w="1856" w:type="dxa"/>
            <w:tcBorders>
              <w:top w:val="nil"/>
              <w:left w:val="nil"/>
              <w:bottom w:val="single" w:color="auto" w:sz="4" w:space="0"/>
              <w:right w:val="single" w:color="auto" w:sz="4" w:space="0"/>
            </w:tcBorders>
            <w:vAlign w:val="center"/>
          </w:tcPr>
          <w:p>
            <w:pPr>
              <w:jc w:val="right"/>
              <w:rPr>
                <w:rFonts w:ascii="仿宋_GB2312" w:hAnsi="宋体" w:eastAsia="仿宋_GB2312" w:cs="宋体"/>
                <w:b w:val="0"/>
                <w:bCs w:val="0"/>
                <w:color w:val="000000"/>
                <w:kern w:val="0"/>
                <w:sz w:val="18"/>
                <w:szCs w:val="18"/>
              </w:rPr>
            </w:pPr>
            <w:r>
              <w:rPr>
                <w:rFonts w:hint="eastAsia" w:ascii="仿宋_GB2312" w:hAnsi="宋体" w:eastAsia="仿宋_GB2312" w:cs="宋体"/>
                <w:b w:val="0"/>
                <w:bCs w:val="0"/>
                <w:color w:val="000000"/>
                <w:sz w:val="18"/>
                <w:szCs w:val="18"/>
              </w:rPr>
              <w:t xml:space="preserve">              0</w:t>
            </w:r>
          </w:p>
        </w:tc>
        <w:tc>
          <w:tcPr>
            <w:tcW w:w="1904" w:type="dxa"/>
            <w:tcBorders>
              <w:top w:val="nil"/>
              <w:left w:val="nil"/>
              <w:bottom w:val="single" w:color="auto" w:sz="4" w:space="0"/>
              <w:right w:val="single" w:color="auto" w:sz="4" w:space="0"/>
            </w:tcBorders>
            <w:vAlign w:val="center"/>
          </w:tcPr>
          <w:p>
            <w:pPr>
              <w:jc w:val="right"/>
              <w:rPr>
                <w:rFonts w:ascii="仿宋_GB2312" w:hAnsi="宋体" w:eastAsia="仿宋_GB2312" w:cs="宋体"/>
                <w:b w:val="0"/>
                <w:bCs w:val="0"/>
                <w:color w:val="000000"/>
                <w:kern w:val="0"/>
                <w:sz w:val="18"/>
                <w:szCs w:val="18"/>
              </w:rPr>
            </w:pPr>
            <w:r>
              <w:rPr>
                <w:rFonts w:hint="eastAsia" w:ascii="仿宋_GB2312" w:hAnsi="宋体" w:eastAsia="仿宋_GB2312" w:cs="宋体"/>
                <w:b w:val="0"/>
                <w:bCs w:val="0"/>
                <w:color w:val="000000"/>
                <w:sz w:val="18"/>
                <w:szCs w:val="18"/>
              </w:rPr>
              <w:t>100</w:t>
            </w:r>
          </w:p>
        </w:tc>
      </w:tr>
      <w:tr>
        <w:tblPrEx>
          <w:tblLayout w:type="fixed"/>
          <w:tblCellMar>
            <w:top w:w="0" w:type="dxa"/>
            <w:left w:w="108" w:type="dxa"/>
            <w:bottom w:w="0" w:type="dxa"/>
            <w:right w:w="108" w:type="dxa"/>
          </w:tblCellMar>
        </w:tblPrEx>
        <w:trPr>
          <w:trHeight w:val="405" w:hRule="atLeast"/>
        </w:trPr>
        <w:tc>
          <w:tcPr>
            <w:tcW w:w="494"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val="0"/>
                <w:bCs w:val="0"/>
                <w:color w:val="000000"/>
                <w:kern w:val="0"/>
                <w:sz w:val="18"/>
                <w:szCs w:val="18"/>
              </w:rPr>
            </w:pPr>
            <w:r>
              <w:rPr>
                <w:rFonts w:hint="eastAsia" w:ascii="仿宋_GB2312" w:hAnsi="宋体" w:eastAsia="仿宋_GB2312" w:cs="宋体"/>
                <w:b w:val="0"/>
                <w:bCs w:val="0"/>
                <w:color w:val="000000"/>
                <w:sz w:val="18"/>
                <w:szCs w:val="18"/>
              </w:rPr>
              <w:t>210</w:t>
            </w:r>
          </w:p>
        </w:tc>
        <w:tc>
          <w:tcPr>
            <w:tcW w:w="453" w:type="dxa"/>
            <w:tcBorders>
              <w:top w:val="nil"/>
              <w:left w:val="nil"/>
              <w:bottom w:val="single" w:color="auto" w:sz="4" w:space="0"/>
              <w:right w:val="single" w:color="auto" w:sz="4" w:space="0"/>
            </w:tcBorders>
            <w:vAlign w:val="center"/>
          </w:tcPr>
          <w:p>
            <w:pPr>
              <w:jc w:val="center"/>
              <w:rPr>
                <w:rFonts w:ascii="仿宋_GB2312" w:hAnsi="宋体" w:eastAsia="仿宋_GB2312" w:cs="宋体"/>
                <w:b w:val="0"/>
                <w:bCs w:val="0"/>
                <w:color w:val="000000"/>
                <w:kern w:val="0"/>
                <w:sz w:val="18"/>
                <w:szCs w:val="18"/>
              </w:rPr>
            </w:pPr>
            <w:r>
              <w:rPr>
                <w:rFonts w:hint="eastAsia" w:ascii="仿宋_GB2312" w:hAnsi="宋体" w:eastAsia="仿宋_GB2312" w:cs="宋体"/>
                <w:b w:val="0"/>
                <w:bCs w:val="0"/>
                <w:color w:val="000000"/>
                <w:sz w:val="18"/>
                <w:szCs w:val="18"/>
              </w:rPr>
              <w:t>15</w:t>
            </w:r>
          </w:p>
        </w:tc>
        <w:tc>
          <w:tcPr>
            <w:tcW w:w="464" w:type="dxa"/>
            <w:tcBorders>
              <w:top w:val="nil"/>
              <w:left w:val="nil"/>
              <w:bottom w:val="single" w:color="auto" w:sz="4" w:space="0"/>
              <w:right w:val="single" w:color="auto" w:sz="4" w:space="0"/>
            </w:tcBorders>
            <w:vAlign w:val="center"/>
          </w:tcPr>
          <w:p>
            <w:pPr>
              <w:jc w:val="center"/>
              <w:rPr>
                <w:rFonts w:ascii="仿宋_GB2312" w:hAnsi="宋体" w:eastAsia="仿宋_GB2312" w:cs="宋体"/>
                <w:b w:val="0"/>
                <w:bCs w:val="0"/>
                <w:color w:val="000000"/>
                <w:kern w:val="0"/>
                <w:sz w:val="18"/>
                <w:szCs w:val="18"/>
              </w:rPr>
            </w:pPr>
            <w:r>
              <w:rPr>
                <w:rFonts w:hint="eastAsia" w:ascii="仿宋_GB2312" w:hAnsi="宋体" w:eastAsia="仿宋_GB2312" w:cs="宋体"/>
                <w:b w:val="0"/>
                <w:bCs w:val="0"/>
                <w:color w:val="000000"/>
                <w:sz w:val="18"/>
                <w:szCs w:val="18"/>
              </w:rPr>
              <w:t>99</w:t>
            </w:r>
          </w:p>
        </w:tc>
        <w:tc>
          <w:tcPr>
            <w:tcW w:w="2394" w:type="dxa"/>
            <w:tcBorders>
              <w:top w:val="nil"/>
              <w:left w:val="nil"/>
              <w:bottom w:val="single" w:color="auto" w:sz="4" w:space="0"/>
              <w:right w:val="single" w:color="auto" w:sz="4" w:space="0"/>
            </w:tcBorders>
            <w:vAlign w:val="center"/>
          </w:tcPr>
          <w:p>
            <w:pPr>
              <w:jc w:val="left"/>
              <w:rPr>
                <w:rFonts w:ascii="仿宋_GB2312" w:hAnsi="宋体" w:eastAsia="仿宋_GB2312" w:cs="宋体"/>
                <w:b w:val="0"/>
                <w:bCs w:val="0"/>
                <w:color w:val="000000"/>
                <w:kern w:val="0"/>
                <w:sz w:val="18"/>
                <w:szCs w:val="18"/>
              </w:rPr>
            </w:pPr>
            <w:r>
              <w:rPr>
                <w:rFonts w:hint="eastAsia" w:ascii="仿宋_GB2312" w:hAnsi="宋体" w:eastAsia="仿宋_GB2312" w:cs="宋体"/>
                <w:b w:val="0"/>
                <w:bCs w:val="0"/>
                <w:color w:val="000000"/>
                <w:sz w:val="18"/>
                <w:szCs w:val="18"/>
              </w:rPr>
              <w:t>其他医疗保障管理事务支出</w:t>
            </w:r>
          </w:p>
        </w:tc>
        <w:tc>
          <w:tcPr>
            <w:tcW w:w="1855" w:type="dxa"/>
            <w:tcBorders>
              <w:top w:val="nil"/>
              <w:left w:val="nil"/>
              <w:bottom w:val="single" w:color="auto" w:sz="4" w:space="0"/>
              <w:right w:val="single" w:color="auto" w:sz="4" w:space="0"/>
            </w:tcBorders>
            <w:vAlign w:val="center"/>
          </w:tcPr>
          <w:p>
            <w:pPr>
              <w:jc w:val="right"/>
              <w:rPr>
                <w:rFonts w:ascii="仿宋_GB2312" w:hAnsi="宋体" w:eastAsia="仿宋_GB2312" w:cs="宋体"/>
                <w:b w:val="0"/>
                <w:bCs w:val="0"/>
                <w:color w:val="000000"/>
                <w:kern w:val="0"/>
                <w:sz w:val="18"/>
                <w:szCs w:val="18"/>
              </w:rPr>
            </w:pPr>
            <w:r>
              <w:rPr>
                <w:rFonts w:hint="eastAsia" w:ascii="仿宋_GB2312" w:hAnsi="宋体" w:eastAsia="仿宋_GB2312" w:cs="宋体"/>
                <w:b w:val="0"/>
                <w:bCs w:val="0"/>
                <w:color w:val="000000"/>
                <w:sz w:val="18"/>
                <w:szCs w:val="18"/>
              </w:rPr>
              <w:t>1086.5</w:t>
            </w:r>
          </w:p>
        </w:tc>
        <w:tc>
          <w:tcPr>
            <w:tcW w:w="1856" w:type="dxa"/>
            <w:tcBorders>
              <w:top w:val="nil"/>
              <w:left w:val="nil"/>
              <w:bottom w:val="single" w:color="auto" w:sz="4" w:space="0"/>
              <w:right w:val="single" w:color="auto" w:sz="4" w:space="0"/>
            </w:tcBorders>
            <w:vAlign w:val="center"/>
          </w:tcPr>
          <w:p>
            <w:pPr>
              <w:jc w:val="right"/>
              <w:rPr>
                <w:rFonts w:ascii="仿宋_GB2312" w:hAnsi="宋体" w:eastAsia="仿宋_GB2312" w:cs="宋体"/>
                <w:b w:val="0"/>
                <w:bCs w:val="0"/>
                <w:color w:val="000000"/>
                <w:kern w:val="0"/>
                <w:sz w:val="18"/>
                <w:szCs w:val="18"/>
              </w:rPr>
            </w:pPr>
            <w:r>
              <w:rPr>
                <w:rFonts w:hint="eastAsia" w:ascii="仿宋_GB2312" w:hAnsi="宋体" w:eastAsia="仿宋_GB2312" w:cs="宋体"/>
                <w:b w:val="0"/>
                <w:bCs w:val="0"/>
                <w:color w:val="000000"/>
                <w:sz w:val="18"/>
                <w:szCs w:val="18"/>
              </w:rPr>
              <w:t xml:space="preserve"> 0</w:t>
            </w:r>
          </w:p>
        </w:tc>
        <w:tc>
          <w:tcPr>
            <w:tcW w:w="1904" w:type="dxa"/>
            <w:tcBorders>
              <w:top w:val="nil"/>
              <w:left w:val="nil"/>
              <w:bottom w:val="single" w:color="auto" w:sz="4" w:space="0"/>
              <w:right w:val="single" w:color="auto" w:sz="4" w:space="0"/>
            </w:tcBorders>
            <w:vAlign w:val="center"/>
          </w:tcPr>
          <w:p>
            <w:pPr>
              <w:jc w:val="right"/>
              <w:rPr>
                <w:rFonts w:ascii="仿宋_GB2312" w:hAnsi="宋体" w:eastAsia="仿宋_GB2312" w:cs="宋体"/>
                <w:b w:val="0"/>
                <w:bCs w:val="0"/>
                <w:color w:val="000000"/>
                <w:kern w:val="0"/>
                <w:sz w:val="18"/>
                <w:szCs w:val="18"/>
              </w:rPr>
            </w:pPr>
            <w:r>
              <w:rPr>
                <w:rFonts w:hint="eastAsia" w:ascii="仿宋_GB2312" w:hAnsi="宋体" w:eastAsia="仿宋_GB2312" w:cs="宋体"/>
                <w:b w:val="0"/>
                <w:bCs w:val="0"/>
                <w:color w:val="000000"/>
                <w:sz w:val="18"/>
                <w:szCs w:val="18"/>
              </w:rPr>
              <w:t>1086.5</w:t>
            </w:r>
          </w:p>
        </w:tc>
      </w:tr>
      <w:tr>
        <w:tblPrEx>
          <w:tblLayout w:type="fixed"/>
          <w:tblCellMar>
            <w:top w:w="0" w:type="dxa"/>
            <w:left w:w="108" w:type="dxa"/>
            <w:bottom w:w="0" w:type="dxa"/>
            <w:right w:w="108" w:type="dxa"/>
          </w:tblCellMar>
        </w:tblPrEx>
        <w:trPr>
          <w:trHeight w:val="405" w:hRule="atLeast"/>
        </w:trPr>
        <w:tc>
          <w:tcPr>
            <w:tcW w:w="494"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p>
        </w:tc>
        <w:tc>
          <w:tcPr>
            <w:tcW w:w="453"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p>
        </w:tc>
        <w:tc>
          <w:tcPr>
            <w:tcW w:w="464"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p>
        </w:tc>
        <w:tc>
          <w:tcPr>
            <w:tcW w:w="2394" w:type="dxa"/>
            <w:tcBorders>
              <w:top w:val="nil"/>
              <w:left w:val="nil"/>
              <w:bottom w:val="single" w:color="auto" w:sz="4" w:space="0"/>
              <w:right w:val="single" w:color="auto" w:sz="4" w:space="0"/>
            </w:tcBorders>
            <w:vAlign w:val="center"/>
          </w:tcPr>
          <w:p>
            <w:pPr>
              <w:jc w:val="left"/>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vAlign w:val="center"/>
          </w:tcPr>
          <w:p>
            <w:pPr>
              <w:jc w:val="right"/>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vAlign w:val="center"/>
          </w:tcPr>
          <w:p>
            <w:pPr>
              <w:jc w:val="right"/>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vAlign w:val="center"/>
          </w:tcPr>
          <w:p>
            <w:pPr>
              <w:jc w:val="right"/>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494"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p>
        </w:tc>
        <w:tc>
          <w:tcPr>
            <w:tcW w:w="453"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p>
        </w:tc>
        <w:tc>
          <w:tcPr>
            <w:tcW w:w="464"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p>
        </w:tc>
        <w:tc>
          <w:tcPr>
            <w:tcW w:w="2394" w:type="dxa"/>
            <w:tcBorders>
              <w:top w:val="nil"/>
              <w:left w:val="nil"/>
              <w:bottom w:val="single" w:color="auto" w:sz="4" w:space="0"/>
              <w:right w:val="single" w:color="auto" w:sz="4" w:space="0"/>
            </w:tcBorders>
            <w:vAlign w:val="center"/>
          </w:tcPr>
          <w:p>
            <w:pPr>
              <w:jc w:val="left"/>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vAlign w:val="center"/>
          </w:tcPr>
          <w:p>
            <w:pPr>
              <w:jc w:val="right"/>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vAlign w:val="center"/>
          </w:tcPr>
          <w:p>
            <w:pPr>
              <w:jc w:val="right"/>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vAlign w:val="center"/>
          </w:tcPr>
          <w:p>
            <w:pPr>
              <w:jc w:val="right"/>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494"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p>
        </w:tc>
        <w:tc>
          <w:tcPr>
            <w:tcW w:w="453"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p>
        </w:tc>
        <w:tc>
          <w:tcPr>
            <w:tcW w:w="464"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p>
        </w:tc>
        <w:tc>
          <w:tcPr>
            <w:tcW w:w="2394" w:type="dxa"/>
            <w:tcBorders>
              <w:top w:val="nil"/>
              <w:left w:val="nil"/>
              <w:bottom w:val="single" w:color="auto" w:sz="4" w:space="0"/>
              <w:right w:val="single" w:color="auto" w:sz="4" w:space="0"/>
            </w:tcBorders>
            <w:vAlign w:val="center"/>
          </w:tcPr>
          <w:p>
            <w:pPr>
              <w:jc w:val="left"/>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vAlign w:val="center"/>
          </w:tcPr>
          <w:p>
            <w:pPr>
              <w:jc w:val="right"/>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vAlign w:val="center"/>
          </w:tcPr>
          <w:p>
            <w:pPr>
              <w:jc w:val="right"/>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vAlign w:val="center"/>
          </w:tcPr>
          <w:p>
            <w:pPr>
              <w:jc w:val="right"/>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494"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p>
        </w:tc>
        <w:tc>
          <w:tcPr>
            <w:tcW w:w="453"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p>
        </w:tc>
        <w:tc>
          <w:tcPr>
            <w:tcW w:w="464"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p>
        </w:tc>
        <w:tc>
          <w:tcPr>
            <w:tcW w:w="2394" w:type="dxa"/>
            <w:tcBorders>
              <w:top w:val="nil"/>
              <w:left w:val="nil"/>
              <w:bottom w:val="single" w:color="auto" w:sz="4" w:space="0"/>
              <w:right w:val="single" w:color="auto" w:sz="4" w:space="0"/>
            </w:tcBorders>
            <w:vAlign w:val="center"/>
          </w:tcPr>
          <w:p>
            <w:pPr>
              <w:jc w:val="left"/>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vAlign w:val="center"/>
          </w:tcPr>
          <w:p>
            <w:pPr>
              <w:jc w:val="right"/>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vAlign w:val="center"/>
          </w:tcPr>
          <w:p>
            <w:pPr>
              <w:jc w:val="right"/>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vAlign w:val="center"/>
          </w:tcPr>
          <w:p>
            <w:pPr>
              <w:jc w:val="right"/>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494"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p>
        </w:tc>
        <w:tc>
          <w:tcPr>
            <w:tcW w:w="453"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p>
        </w:tc>
        <w:tc>
          <w:tcPr>
            <w:tcW w:w="464"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p>
        </w:tc>
        <w:tc>
          <w:tcPr>
            <w:tcW w:w="2394" w:type="dxa"/>
            <w:tcBorders>
              <w:top w:val="nil"/>
              <w:left w:val="nil"/>
              <w:bottom w:val="single" w:color="auto" w:sz="4" w:space="0"/>
              <w:right w:val="single" w:color="auto" w:sz="4" w:space="0"/>
            </w:tcBorders>
            <w:vAlign w:val="center"/>
          </w:tcPr>
          <w:p>
            <w:pPr>
              <w:jc w:val="left"/>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vAlign w:val="center"/>
          </w:tcPr>
          <w:p>
            <w:pPr>
              <w:jc w:val="right"/>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vAlign w:val="center"/>
          </w:tcPr>
          <w:p>
            <w:pPr>
              <w:jc w:val="right"/>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vAlign w:val="center"/>
          </w:tcPr>
          <w:p>
            <w:pPr>
              <w:jc w:val="right"/>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494"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p>
        </w:tc>
        <w:tc>
          <w:tcPr>
            <w:tcW w:w="453"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p>
        </w:tc>
        <w:tc>
          <w:tcPr>
            <w:tcW w:w="464"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p>
        </w:tc>
        <w:tc>
          <w:tcPr>
            <w:tcW w:w="2394" w:type="dxa"/>
            <w:tcBorders>
              <w:top w:val="nil"/>
              <w:left w:val="nil"/>
              <w:bottom w:val="single" w:color="auto" w:sz="4" w:space="0"/>
              <w:right w:val="single" w:color="auto" w:sz="4" w:space="0"/>
            </w:tcBorders>
            <w:vAlign w:val="center"/>
          </w:tcPr>
          <w:p>
            <w:pPr>
              <w:jc w:val="left"/>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vAlign w:val="center"/>
          </w:tcPr>
          <w:p>
            <w:pPr>
              <w:jc w:val="right"/>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vAlign w:val="center"/>
          </w:tcPr>
          <w:p>
            <w:pPr>
              <w:jc w:val="right"/>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vAlign w:val="center"/>
          </w:tcPr>
          <w:p>
            <w:pPr>
              <w:jc w:val="right"/>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494"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p>
        </w:tc>
        <w:tc>
          <w:tcPr>
            <w:tcW w:w="453"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p>
        </w:tc>
        <w:tc>
          <w:tcPr>
            <w:tcW w:w="464"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p>
        </w:tc>
        <w:tc>
          <w:tcPr>
            <w:tcW w:w="2394" w:type="dxa"/>
            <w:tcBorders>
              <w:top w:val="nil"/>
              <w:left w:val="nil"/>
              <w:bottom w:val="single" w:color="auto" w:sz="4" w:space="0"/>
              <w:right w:val="single" w:color="auto" w:sz="4" w:space="0"/>
            </w:tcBorders>
            <w:vAlign w:val="center"/>
          </w:tcPr>
          <w:p>
            <w:pPr>
              <w:jc w:val="left"/>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vAlign w:val="center"/>
          </w:tcPr>
          <w:p>
            <w:pPr>
              <w:jc w:val="right"/>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vAlign w:val="center"/>
          </w:tcPr>
          <w:p>
            <w:pPr>
              <w:jc w:val="right"/>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vAlign w:val="center"/>
          </w:tcPr>
          <w:p>
            <w:pPr>
              <w:jc w:val="right"/>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494"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53"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6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39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494"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53"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6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39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494"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000000"/>
                <w:kern w:val="0"/>
                <w:sz w:val="18"/>
                <w:szCs w:val="18"/>
              </w:rPr>
            </w:pPr>
          </w:p>
        </w:tc>
        <w:tc>
          <w:tcPr>
            <w:tcW w:w="453"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000000"/>
                <w:kern w:val="0"/>
                <w:sz w:val="18"/>
                <w:szCs w:val="18"/>
              </w:rPr>
            </w:pPr>
          </w:p>
        </w:tc>
        <w:tc>
          <w:tcPr>
            <w:tcW w:w="46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2394" w:type="dxa"/>
            <w:tcBorders>
              <w:top w:val="nil"/>
              <w:left w:val="nil"/>
              <w:bottom w:val="single" w:color="auto" w:sz="4" w:space="0"/>
              <w:right w:val="single" w:color="auto" w:sz="4" w:space="0"/>
            </w:tcBorders>
            <w:vAlign w:val="center"/>
          </w:tcPr>
          <w:p>
            <w:pPr>
              <w:jc w:val="left"/>
              <w:rPr>
                <w:rFonts w:ascii="仿宋_GB2312" w:hAnsi="宋体" w:eastAsia="仿宋_GB2312" w:cs="宋体"/>
                <w:color w:val="000000"/>
                <w:sz w:val="18"/>
                <w:szCs w:val="18"/>
              </w:rPr>
            </w:pPr>
            <w:r>
              <w:rPr>
                <w:rFonts w:hint="eastAsia" w:ascii="仿宋_GB2312" w:hAnsi="宋体" w:eastAsia="仿宋_GB2312" w:cs="宋体"/>
                <w:color w:val="000000"/>
                <w:sz w:val="18"/>
                <w:szCs w:val="18"/>
              </w:rPr>
              <w:t>合  计</w:t>
            </w:r>
          </w:p>
        </w:tc>
        <w:tc>
          <w:tcPr>
            <w:tcW w:w="185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1573.6</w:t>
            </w:r>
          </w:p>
        </w:tc>
        <w:tc>
          <w:tcPr>
            <w:tcW w:w="185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387.1</w:t>
            </w:r>
          </w:p>
        </w:tc>
        <w:tc>
          <w:tcPr>
            <w:tcW w:w="190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1186.5</w:t>
            </w:r>
          </w:p>
        </w:tc>
      </w:tr>
    </w:tbl>
    <w:p>
      <w:pPr>
        <w:widowControl/>
        <w:spacing w:before="120" w:beforeLines="50" w:line="280" w:lineRule="exact"/>
        <w:outlineLvl w:val="1"/>
        <w:rPr>
          <w:rFonts w:ascii="仿宋_GB2312" w:hAnsi="宋体" w:eastAsia="仿宋_GB2312"/>
          <w:b/>
          <w:kern w:val="0"/>
          <w:sz w:val="32"/>
          <w:szCs w:val="32"/>
        </w:rPr>
      </w:pPr>
    </w:p>
    <w:p>
      <w:pPr>
        <w:widowControl/>
        <w:spacing w:before="120" w:beforeLines="50" w:line="280" w:lineRule="exact"/>
        <w:outlineLvl w:val="1"/>
        <w:rPr>
          <w:rFonts w:ascii="仿宋_GB2312" w:hAnsi="宋体" w:eastAsia="仿宋_GB2312"/>
          <w:b/>
          <w:kern w:val="0"/>
          <w:sz w:val="32"/>
          <w:szCs w:val="32"/>
        </w:rPr>
      </w:pPr>
    </w:p>
    <w:p>
      <w:pPr>
        <w:widowControl/>
        <w:spacing w:before="120" w:beforeLines="50" w:line="28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表四：</w:t>
      </w:r>
    </w:p>
    <w:p>
      <w:pPr>
        <w:widowControl/>
        <w:spacing w:before="120" w:beforeLines="50" w:line="28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pPr>
        <w:widowControl/>
        <w:spacing w:before="120" w:beforeLines="50" w:line="280" w:lineRule="exact"/>
        <w:outlineLvl w:val="1"/>
        <w:rPr>
          <w:rFonts w:ascii="仿宋_GB2312" w:hAnsi="宋体" w:eastAsia="仿宋_GB2312"/>
          <w:kern w:val="0"/>
          <w:szCs w:val="21"/>
        </w:rPr>
      </w:pPr>
      <w:r>
        <w:rPr>
          <w:rFonts w:hint="eastAsia" w:ascii="仿宋_GB2312" w:hAnsi="宋体" w:eastAsia="仿宋_GB2312"/>
          <w:kern w:val="0"/>
          <w:szCs w:val="21"/>
        </w:rPr>
        <w:t>编制部门（单位）：</w:t>
      </w:r>
      <w:r>
        <w:rPr>
          <w:rFonts w:hint="eastAsia" w:ascii="仿宋_GB2312" w:hAnsi="宋体" w:eastAsia="仿宋_GB2312"/>
          <w:kern w:val="0"/>
          <w:sz w:val="24"/>
        </w:rPr>
        <w:t xml:space="preserve">昌吉州医疗保障局 </w:t>
      </w:r>
      <w:r>
        <w:rPr>
          <w:rFonts w:hint="eastAsia" w:ascii="仿宋_GB2312" w:hAnsi="宋体" w:eastAsia="仿宋_GB2312"/>
          <w:kern w:val="0"/>
          <w:szCs w:val="21"/>
        </w:rPr>
        <w:t xml:space="preserve">                                  单位：万元</w:t>
      </w:r>
    </w:p>
    <w:tbl>
      <w:tblPr>
        <w:tblStyle w:val="9"/>
        <w:tblW w:w="10583" w:type="dxa"/>
        <w:tblInd w:w="-240" w:type="dxa"/>
        <w:tblLayout w:type="fixed"/>
        <w:tblCellMar>
          <w:top w:w="0" w:type="dxa"/>
          <w:left w:w="108" w:type="dxa"/>
          <w:bottom w:w="0" w:type="dxa"/>
          <w:right w:w="108" w:type="dxa"/>
        </w:tblCellMar>
      </w:tblPr>
      <w:tblGrid>
        <w:gridCol w:w="1908"/>
        <w:gridCol w:w="1134"/>
        <w:gridCol w:w="2388"/>
        <w:gridCol w:w="900"/>
        <w:gridCol w:w="964"/>
        <w:gridCol w:w="1021"/>
        <w:gridCol w:w="1134"/>
        <w:gridCol w:w="1134"/>
      </w:tblGrid>
      <w:tr>
        <w:tblPrEx>
          <w:tblLayout w:type="fixed"/>
          <w:tblCellMar>
            <w:top w:w="0" w:type="dxa"/>
            <w:left w:w="108" w:type="dxa"/>
            <w:bottom w:w="0" w:type="dxa"/>
            <w:right w:w="108" w:type="dxa"/>
          </w:tblCellMar>
        </w:tblPrEx>
        <w:trPr>
          <w:gridAfter w:val="1"/>
          <w:wAfter w:w="1134" w:type="dxa"/>
          <w:trHeight w:val="285" w:hRule="atLeast"/>
        </w:trPr>
        <w:tc>
          <w:tcPr>
            <w:tcW w:w="3042" w:type="dxa"/>
            <w:gridSpan w:val="2"/>
            <w:tcBorders>
              <w:top w:val="single" w:color="auto" w:sz="4" w:space="0"/>
              <w:left w:val="single" w:color="auto" w:sz="4" w:space="0"/>
              <w:bottom w:val="single" w:color="auto" w:sz="4" w:space="0"/>
              <w:right w:val="single" w:color="000000" w:sz="4" w:space="0"/>
            </w:tcBorders>
            <w:noWrap/>
            <w:vAlign w:val="center"/>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407" w:type="dxa"/>
            <w:gridSpan w:val="5"/>
            <w:tcBorders>
              <w:top w:val="single" w:color="auto" w:sz="4" w:space="0"/>
              <w:left w:val="nil"/>
              <w:bottom w:val="single" w:color="auto" w:sz="4" w:space="0"/>
              <w:right w:val="single" w:color="000000" w:sz="4" w:space="0"/>
            </w:tcBorders>
            <w:noWrap/>
            <w:vAlign w:val="center"/>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tblPrEx>
          <w:tblLayout w:type="fixed"/>
          <w:tblCellMar>
            <w:top w:w="0" w:type="dxa"/>
            <w:left w:w="108" w:type="dxa"/>
            <w:bottom w:w="0" w:type="dxa"/>
            <w:right w:w="108" w:type="dxa"/>
          </w:tblCellMar>
        </w:tblPrEx>
        <w:trPr>
          <w:gridAfter w:val="1"/>
          <w:wAfter w:w="1134" w:type="dxa"/>
          <w:trHeight w:val="766" w:hRule="atLeast"/>
        </w:trPr>
        <w:tc>
          <w:tcPr>
            <w:tcW w:w="190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13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  计</w:t>
            </w:r>
          </w:p>
        </w:tc>
        <w:tc>
          <w:tcPr>
            <w:tcW w:w="238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  能  分  类</w:t>
            </w:r>
          </w:p>
        </w:tc>
        <w:tc>
          <w:tcPr>
            <w:tcW w:w="90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 计</w:t>
            </w:r>
          </w:p>
        </w:tc>
        <w:tc>
          <w:tcPr>
            <w:tcW w:w="96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02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c>
          <w:tcPr>
            <w:tcW w:w="113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国有资本经营预算</w:t>
            </w:r>
          </w:p>
        </w:tc>
      </w:tr>
      <w:tr>
        <w:tblPrEx>
          <w:tblLayout w:type="fixed"/>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财政拨款（补助）</w:t>
            </w:r>
          </w:p>
        </w:tc>
        <w:tc>
          <w:tcPr>
            <w:tcW w:w="113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1573.6　</w:t>
            </w:r>
          </w:p>
        </w:tc>
        <w:tc>
          <w:tcPr>
            <w:tcW w:w="2388"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201 一般公共服务支出</w:t>
            </w:r>
          </w:p>
        </w:tc>
        <w:tc>
          <w:tcPr>
            <w:tcW w:w="90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一般公共预算</w:t>
            </w:r>
          </w:p>
        </w:tc>
        <w:tc>
          <w:tcPr>
            <w:tcW w:w="113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1573.6　</w:t>
            </w:r>
          </w:p>
        </w:tc>
        <w:tc>
          <w:tcPr>
            <w:tcW w:w="2388"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202 外交支出</w:t>
            </w:r>
          </w:p>
        </w:tc>
        <w:tc>
          <w:tcPr>
            <w:tcW w:w="90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政府性基金预算</w:t>
            </w:r>
          </w:p>
        </w:tc>
        <w:tc>
          <w:tcPr>
            <w:tcW w:w="113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388"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203 国防支出</w:t>
            </w:r>
          </w:p>
        </w:tc>
        <w:tc>
          <w:tcPr>
            <w:tcW w:w="90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国有资本经营预算</w:t>
            </w:r>
          </w:p>
        </w:tc>
        <w:tc>
          <w:tcPr>
            <w:tcW w:w="1134"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388"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204 公共安全支出</w:t>
            </w:r>
          </w:p>
        </w:tc>
        <w:tc>
          <w:tcPr>
            <w:tcW w:w="90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34"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388"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205 教育支出</w:t>
            </w:r>
          </w:p>
        </w:tc>
        <w:tc>
          <w:tcPr>
            <w:tcW w:w="90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34"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388"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206 科学技术支出</w:t>
            </w:r>
          </w:p>
        </w:tc>
        <w:tc>
          <w:tcPr>
            <w:tcW w:w="90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34"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388"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207 文化旅游体育与传媒支出</w:t>
            </w:r>
          </w:p>
        </w:tc>
        <w:tc>
          <w:tcPr>
            <w:tcW w:w="90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34"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388"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208 社会保障和就业支出</w:t>
            </w:r>
          </w:p>
        </w:tc>
        <w:tc>
          <w:tcPr>
            <w:tcW w:w="90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32.01　</w:t>
            </w:r>
          </w:p>
        </w:tc>
        <w:tc>
          <w:tcPr>
            <w:tcW w:w="96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32.01　</w:t>
            </w:r>
          </w:p>
        </w:tc>
        <w:tc>
          <w:tcPr>
            <w:tcW w:w="1021"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w:t>
            </w:r>
          </w:p>
        </w:tc>
        <w:tc>
          <w:tcPr>
            <w:tcW w:w="1134"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18"/>
                <w:szCs w:val="18"/>
              </w:rPr>
            </w:pPr>
          </w:p>
        </w:tc>
        <w:tc>
          <w:tcPr>
            <w:tcW w:w="2388"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209 社会保险基金支出</w:t>
            </w:r>
          </w:p>
        </w:tc>
        <w:tc>
          <w:tcPr>
            <w:tcW w:w="90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p>
        </w:tc>
        <w:tc>
          <w:tcPr>
            <w:tcW w:w="96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p>
        </w:tc>
        <w:tc>
          <w:tcPr>
            <w:tcW w:w="1021"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34"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388"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210卫生健康支出</w:t>
            </w:r>
          </w:p>
        </w:tc>
        <w:tc>
          <w:tcPr>
            <w:tcW w:w="90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1541.59　</w:t>
            </w:r>
          </w:p>
        </w:tc>
        <w:tc>
          <w:tcPr>
            <w:tcW w:w="96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1541.59</w:t>
            </w:r>
          </w:p>
        </w:tc>
        <w:tc>
          <w:tcPr>
            <w:tcW w:w="1021"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34"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388"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211 节能环保支出</w:t>
            </w:r>
          </w:p>
        </w:tc>
        <w:tc>
          <w:tcPr>
            <w:tcW w:w="90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34"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388"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212 城乡社区支出</w:t>
            </w:r>
          </w:p>
        </w:tc>
        <w:tc>
          <w:tcPr>
            <w:tcW w:w="90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34"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388"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213 农林水支出</w:t>
            </w:r>
          </w:p>
        </w:tc>
        <w:tc>
          <w:tcPr>
            <w:tcW w:w="90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34"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388"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214 交通运输支出</w:t>
            </w:r>
          </w:p>
        </w:tc>
        <w:tc>
          <w:tcPr>
            <w:tcW w:w="90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34"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388"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215 资源勘探工业信息等支出</w:t>
            </w:r>
          </w:p>
        </w:tc>
        <w:tc>
          <w:tcPr>
            <w:tcW w:w="90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34"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388"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216 商业服务业等支出</w:t>
            </w:r>
          </w:p>
        </w:tc>
        <w:tc>
          <w:tcPr>
            <w:tcW w:w="90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34"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388"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217 金融支出</w:t>
            </w:r>
          </w:p>
        </w:tc>
        <w:tc>
          <w:tcPr>
            <w:tcW w:w="90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34"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388"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219 援助其他地区支出</w:t>
            </w:r>
          </w:p>
        </w:tc>
        <w:tc>
          <w:tcPr>
            <w:tcW w:w="90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34"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388"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220 自然资源海洋气象等支出</w:t>
            </w:r>
          </w:p>
        </w:tc>
        <w:tc>
          <w:tcPr>
            <w:tcW w:w="90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34"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388"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221 住房保障支出</w:t>
            </w:r>
          </w:p>
        </w:tc>
        <w:tc>
          <w:tcPr>
            <w:tcW w:w="90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34"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388"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222 粮油物资储备支出</w:t>
            </w:r>
          </w:p>
        </w:tc>
        <w:tc>
          <w:tcPr>
            <w:tcW w:w="90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color w:val="000000"/>
                <w:kern w:val="0"/>
                <w:sz w:val="18"/>
                <w:szCs w:val="18"/>
              </w:rPr>
            </w:pPr>
          </w:p>
        </w:tc>
        <w:tc>
          <w:tcPr>
            <w:tcW w:w="1134"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18"/>
                <w:szCs w:val="18"/>
              </w:rPr>
            </w:pPr>
          </w:p>
        </w:tc>
        <w:tc>
          <w:tcPr>
            <w:tcW w:w="2388"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223 国有资本经营预算支出</w:t>
            </w:r>
          </w:p>
        </w:tc>
        <w:tc>
          <w:tcPr>
            <w:tcW w:w="90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p>
        </w:tc>
        <w:tc>
          <w:tcPr>
            <w:tcW w:w="96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p>
        </w:tc>
        <w:tc>
          <w:tcPr>
            <w:tcW w:w="1021"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34"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388"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224灾害防治及应急管理支出</w:t>
            </w:r>
          </w:p>
        </w:tc>
        <w:tc>
          <w:tcPr>
            <w:tcW w:w="90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34"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388"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227 预备费</w:t>
            </w:r>
          </w:p>
        </w:tc>
        <w:tc>
          <w:tcPr>
            <w:tcW w:w="90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34"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388"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229 其他支出</w:t>
            </w:r>
          </w:p>
        </w:tc>
        <w:tc>
          <w:tcPr>
            <w:tcW w:w="90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34"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388"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230转移性支出</w:t>
            </w:r>
          </w:p>
        </w:tc>
        <w:tc>
          <w:tcPr>
            <w:tcW w:w="90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34"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388"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231 债务还本支出</w:t>
            </w:r>
          </w:p>
        </w:tc>
        <w:tc>
          <w:tcPr>
            <w:tcW w:w="90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34"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388"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232 债务付息支出</w:t>
            </w:r>
          </w:p>
        </w:tc>
        <w:tc>
          <w:tcPr>
            <w:tcW w:w="90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34"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388"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233 债务发行费用支出</w:t>
            </w:r>
          </w:p>
        </w:tc>
        <w:tc>
          <w:tcPr>
            <w:tcW w:w="90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color w:val="000000"/>
                <w:kern w:val="0"/>
                <w:sz w:val="18"/>
                <w:szCs w:val="18"/>
              </w:rPr>
            </w:pPr>
          </w:p>
        </w:tc>
        <w:tc>
          <w:tcPr>
            <w:tcW w:w="1134"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18"/>
                <w:szCs w:val="18"/>
              </w:rPr>
            </w:pPr>
          </w:p>
        </w:tc>
        <w:tc>
          <w:tcPr>
            <w:tcW w:w="2388"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234 抗疫特别国债还本支出</w:t>
            </w:r>
          </w:p>
        </w:tc>
        <w:tc>
          <w:tcPr>
            <w:tcW w:w="90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p>
        </w:tc>
        <w:tc>
          <w:tcPr>
            <w:tcW w:w="96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p>
        </w:tc>
        <w:tc>
          <w:tcPr>
            <w:tcW w:w="1021"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color w:val="000000"/>
                <w:kern w:val="0"/>
                <w:sz w:val="18"/>
                <w:szCs w:val="18"/>
              </w:rPr>
            </w:pPr>
          </w:p>
        </w:tc>
        <w:tc>
          <w:tcPr>
            <w:tcW w:w="1134" w:type="dxa"/>
            <w:tcBorders>
              <w:top w:val="nil"/>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color w:val="000000"/>
                <w:kern w:val="0"/>
                <w:sz w:val="18"/>
                <w:szCs w:val="18"/>
              </w:rPr>
            </w:pPr>
          </w:p>
        </w:tc>
        <w:tc>
          <w:tcPr>
            <w:tcW w:w="2388"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color w:val="000000"/>
                <w:kern w:val="0"/>
                <w:sz w:val="18"/>
                <w:szCs w:val="18"/>
              </w:rPr>
            </w:pPr>
          </w:p>
        </w:tc>
        <w:tc>
          <w:tcPr>
            <w:tcW w:w="90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p>
        </w:tc>
        <w:tc>
          <w:tcPr>
            <w:tcW w:w="96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p>
        </w:tc>
        <w:tc>
          <w:tcPr>
            <w:tcW w:w="1021"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312" w:hRule="exact"/>
        </w:trPr>
        <w:tc>
          <w:tcPr>
            <w:tcW w:w="1908" w:type="dxa"/>
            <w:tcBorders>
              <w:top w:val="nil"/>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收  入  总  计</w:t>
            </w:r>
          </w:p>
        </w:tc>
        <w:tc>
          <w:tcPr>
            <w:tcW w:w="113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1573.6</w:t>
            </w:r>
          </w:p>
        </w:tc>
        <w:tc>
          <w:tcPr>
            <w:tcW w:w="2388" w:type="dxa"/>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支  出  总  计</w:t>
            </w:r>
          </w:p>
        </w:tc>
        <w:tc>
          <w:tcPr>
            <w:tcW w:w="90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1573.6　</w:t>
            </w:r>
          </w:p>
        </w:tc>
        <w:tc>
          <w:tcPr>
            <w:tcW w:w="96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1573.6　</w:t>
            </w:r>
          </w:p>
        </w:tc>
        <w:tc>
          <w:tcPr>
            <w:tcW w:w="1021"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p>
        </w:tc>
        <w:tc>
          <w:tcPr>
            <w:tcW w:w="1134" w:type="dxa"/>
            <w:vAlign w:val="center"/>
          </w:tcPr>
          <w:p>
            <w:pPr>
              <w:widowControl/>
              <w:spacing w:line="280" w:lineRule="exact"/>
              <w:jc w:val="right"/>
              <w:rPr>
                <w:rFonts w:ascii="仿宋_GB2312" w:hAnsi="宋体" w:eastAsia="仿宋_GB2312" w:cs="宋体"/>
                <w:kern w:val="0"/>
                <w:sz w:val="18"/>
                <w:szCs w:val="18"/>
              </w:rPr>
            </w:pPr>
          </w:p>
        </w:tc>
      </w:tr>
    </w:tbl>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表五：</w:t>
      </w:r>
    </w:p>
    <w:tbl>
      <w:tblPr>
        <w:tblStyle w:val="9"/>
        <w:tblW w:w="9214" w:type="dxa"/>
        <w:tblInd w:w="-34" w:type="dxa"/>
        <w:tblLayout w:type="fixed"/>
        <w:tblCellMar>
          <w:top w:w="0" w:type="dxa"/>
          <w:left w:w="108" w:type="dxa"/>
          <w:bottom w:w="0" w:type="dxa"/>
          <w:right w:w="108" w:type="dxa"/>
        </w:tblCellMar>
      </w:tblPr>
      <w:tblGrid>
        <w:gridCol w:w="568"/>
        <w:gridCol w:w="492"/>
        <w:gridCol w:w="417"/>
        <w:gridCol w:w="2901"/>
        <w:gridCol w:w="269"/>
        <w:gridCol w:w="1024"/>
        <w:gridCol w:w="216"/>
        <w:gridCol w:w="1626"/>
        <w:gridCol w:w="1701"/>
      </w:tblGrid>
      <w:tr>
        <w:tblPrEx>
          <w:tblLayout w:type="fixed"/>
          <w:tblCellMar>
            <w:top w:w="0" w:type="dxa"/>
            <w:left w:w="108" w:type="dxa"/>
            <w:bottom w:w="0" w:type="dxa"/>
            <w:right w:w="108" w:type="dxa"/>
          </w:tblCellMar>
        </w:tblPrEx>
        <w:trPr>
          <w:trHeight w:val="450" w:hRule="atLeast"/>
        </w:trPr>
        <w:tc>
          <w:tcPr>
            <w:tcW w:w="9214" w:type="dxa"/>
            <w:gridSpan w:val="9"/>
            <w:tcBorders>
              <w:top w:val="nil"/>
              <w:left w:val="nil"/>
              <w:bottom w:val="nil"/>
              <w:right w:val="nil"/>
            </w:tcBorders>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一般公共预算支出情况表</w:t>
            </w:r>
          </w:p>
        </w:tc>
      </w:tr>
      <w:tr>
        <w:tblPrEx>
          <w:tblLayout w:type="fixed"/>
          <w:tblCellMar>
            <w:top w:w="0" w:type="dxa"/>
            <w:left w:w="108" w:type="dxa"/>
            <w:bottom w:w="0" w:type="dxa"/>
            <w:right w:w="108" w:type="dxa"/>
          </w:tblCellMar>
        </w:tblPrEx>
        <w:trPr>
          <w:trHeight w:val="285" w:hRule="atLeast"/>
        </w:trPr>
        <w:tc>
          <w:tcPr>
            <w:tcW w:w="4378" w:type="dxa"/>
            <w:gridSpan w:val="4"/>
            <w:tcBorders>
              <w:top w:val="nil"/>
              <w:left w:val="nil"/>
              <w:bottom w:val="nil"/>
              <w:right w:val="nil"/>
            </w:tcBorders>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编制部门（单位）：</w:t>
            </w:r>
            <w:r>
              <w:rPr>
                <w:rFonts w:hint="eastAsia" w:ascii="仿宋_GB2312" w:hAnsi="宋体" w:eastAsia="仿宋_GB2312"/>
                <w:kern w:val="0"/>
                <w:sz w:val="24"/>
              </w:rPr>
              <w:t xml:space="preserve">昌吉州医疗保障局 </w:t>
            </w:r>
          </w:p>
        </w:tc>
        <w:tc>
          <w:tcPr>
            <w:tcW w:w="269" w:type="dxa"/>
            <w:tcBorders>
              <w:top w:val="nil"/>
              <w:left w:val="nil"/>
              <w:bottom w:val="nil"/>
              <w:right w:val="nil"/>
            </w:tcBorders>
            <w:noWrap/>
            <w:vAlign w:val="center"/>
          </w:tcPr>
          <w:p>
            <w:pPr>
              <w:widowControl/>
              <w:jc w:val="left"/>
              <w:rPr>
                <w:rFonts w:ascii="仿宋_GB2312" w:hAnsi="宋体" w:eastAsia="仿宋_GB2312" w:cs="宋体"/>
                <w:color w:val="000000"/>
                <w:kern w:val="0"/>
                <w:sz w:val="24"/>
              </w:rPr>
            </w:pPr>
          </w:p>
        </w:tc>
        <w:tc>
          <w:tcPr>
            <w:tcW w:w="1240" w:type="dxa"/>
            <w:gridSpan w:val="2"/>
            <w:tcBorders>
              <w:top w:val="nil"/>
              <w:left w:val="nil"/>
              <w:bottom w:val="nil"/>
              <w:right w:val="nil"/>
            </w:tcBorders>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3327" w:type="dxa"/>
            <w:gridSpan w:val="2"/>
            <w:tcBorders>
              <w:top w:val="nil"/>
              <w:left w:val="nil"/>
              <w:bottom w:val="nil"/>
              <w:right w:val="nil"/>
            </w:tcBorders>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Layout w:type="fixed"/>
          <w:tblCellMar>
            <w:top w:w="0" w:type="dxa"/>
            <w:left w:w="108" w:type="dxa"/>
            <w:bottom w:w="0" w:type="dxa"/>
            <w:right w:w="108" w:type="dxa"/>
          </w:tblCellMar>
        </w:tblPrEx>
        <w:trPr>
          <w:trHeight w:val="405" w:hRule="atLeast"/>
        </w:trPr>
        <w:tc>
          <w:tcPr>
            <w:tcW w:w="4378"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   目</w:t>
            </w:r>
          </w:p>
        </w:tc>
        <w:tc>
          <w:tcPr>
            <w:tcW w:w="4836"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tblPrEx>
          <w:tblLayout w:type="fixed"/>
          <w:tblCellMar>
            <w:top w:w="0" w:type="dxa"/>
            <w:left w:w="108" w:type="dxa"/>
            <w:bottom w:w="0" w:type="dxa"/>
            <w:right w:w="108" w:type="dxa"/>
          </w:tblCellMar>
        </w:tblPrEx>
        <w:trPr>
          <w:trHeight w:val="465" w:hRule="atLeast"/>
        </w:trPr>
        <w:tc>
          <w:tcPr>
            <w:tcW w:w="1477"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9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293"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合  计</w:t>
            </w:r>
          </w:p>
        </w:tc>
        <w:tc>
          <w:tcPr>
            <w:tcW w:w="1842"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tblPrEx>
          <w:tblLayout w:type="fixed"/>
          <w:tblCellMar>
            <w:top w:w="0" w:type="dxa"/>
            <w:left w:w="108" w:type="dxa"/>
            <w:bottom w:w="0" w:type="dxa"/>
            <w:right w:w="108" w:type="dxa"/>
          </w:tblCellMar>
        </w:tblPrEx>
        <w:trPr>
          <w:trHeight w:val="1195"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9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293"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kern w:val="0"/>
                <w:sz w:val="18"/>
                <w:szCs w:val="18"/>
              </w:rPr>
            </w:pPr>
            <w:r>
              <w:rPr>
                <w:rFonts w:hint="eastAsia" w:ascii="仿宋_GB2312" w:hAnsi="宋体" w:eastAsia="仿宋_GB2312" w:cs="宋体"/>
                <w:b w:val="0"/>
                <w:bCs w:val="0"/>
                <w:color w:val="000000"/>
                <w:kern w:val="0"/>
                <w:sz w:val="18"/>
                <w:szCs w:val="18"/>
                <w:lang w:val="en-US" w:eastAsia="zh-CN"/>
              </w:rPr>
              <w:t>208</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18"/>
                <w:szCs w:val="18"/>
              </w:rPr>
            </w:pP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18"/>
                <w:szCs w:val="18"/>
              </w:rPr>
            </w:pPr>
          </w:p>
        </w:tc>
        <w:tc>
          <w:tcPr>
            <w:tcW w:w="2901" w:type="dxa"/>
            <w:tcBorders>
              <w:top w:val="nil"/>
              <w:left w:val="nil"/>
              <w:bottom w:val="single" w:color="auto" w:sz="4" w:space="0"/>
              <w:right w:val="single" w:color="auto" w:sz="4" w:space="0"/>
            </w:tcBorders>
            <w:vAlign w:val="center"/>
          </w:tcPr>
          <w:p>
            <w:pPr>
              <w:jc w:val="left"/>
              <w:rPr>
                <w:rFonts w:ascii="仿宋_GB2312" w:hAnsi="宋体" w:eastAsia="仿宋_GB2312" w:cs="宋体"/>
                <w:color w:val="000000"/>
                <w:sz w:val="18"/>
                <w:szCs w:val="18"/>
              </w:rPr>
            </w:pPr>
            <w:r>
              <w:rPr>
                <w:rFonts w:hint="eastAsia" w:ascii="仿宋_GB2312" w:hAnsi="宋体" w:eastAsia="仿宋_GB2312" w:cs="宋体"/>
                <w:b w:val="0"/>
                <w:bCs w:val="0"/>
                <w:color w:val="000000"/>
                <w:sz w:val="18"/>
                <w:szCs w:val="18"/>
                <w:lang w:eastAsia="zh-CN"/>
              </w:rPr>
              <w:t>社会保障和就业支出</w:t>
            </w:r>
          </w:p>
        </w:tc>
        <w:tc>
          <w:tcPr>
            <w:tcW w:w="1293" w:type="dxa"/>
            <w:gridSpan w:val="2"/>
            <w:tcBorders>
              <w:top w:val="nil"/>
              <w:left w:val="nil"/>
              <w:bottom w:val="single" w:color="auto" w:sz="4" w:space="0"/>
              <w:right w:val="single" w:color="auto" w:sz="4" w:space="0"/>
            </w:tcBorders>
            <w:vAlign w:val="center"/>
          </w:tcPr>
          <w:p>
            <w:pPr>
              <w:jc w:val="right"/>
              <w:rPr>
                <w:rFonts w:ascii="仿宋_GB2312" w:hAnsi="宋体" w:eastAsia="仿宋_GB2312" w:cs="宋体"/>
                <w:b/>
                <w:color w:val="000000"/>
                <w:kern w:val="0"/>
                <w:sz w:val="18"/>
                <w:szCs w:val="18"/>
              </w:rPr>
            </w:pPr>
            <w:r>
              <w:rPr>
                <w:rFonts w:hint="eastAsia" w:ascii="仿宋_GB2312" w:hAnsi="宋体" w:eastAsia="仿宋_GB2312" w:cs="宋体"/>
                <w:b w:val="0"/>
                <w:bCs w:val="0"/>
                <w:color w:val="000000"/>
                <w:sz w:val="18"/>
                <w:szCs w:val="18"/>
              </w:rPr>
              <w:t>32.01</w:t>
            </w:r>
          </w:p>
        </w:tc>
        <w:tc>
          <w:tcPr>
            <w:tcW w:w="1842" w:type="dxa"/>
            <w:gridSpan w:val="2"/>
            <w:tcBorders>
              <w:top w:val="nil"/>
              <w:left w:val="nil"/>
              <w:bottom w:val="single" w:color="auto" w:sz="4" w:space="0"/>
              <w:right w:val="single" w:color="auto" w:sz="4" w:space="0"/>
            </w:tcBorders>
            <w:vAlign w:val="center"/>
          </w:tcPr>
          <w:p>
            <w:pPr>
              <w:jc w:val="right"/>
              <w:rPr>
                <w:rFonts w:ascii="仿宋_GB2312" w:hAnsi="宋体" w:eastAsia="仿宋_GB2312" w:cs="宋体"/>
                <w:b/>
                <w:color w:val="000000"/>
                <w:kern w:val="0"/>
                <w:sz w:val="18"/>
                <w:szCs w:val="18"/>
              </w:rPr>
            </w:pPr>
            <w:r>
              <w:rPr>
                <w:rFonts w:hint="eastAsia" w:ascii="仿宋_GB2312" w:hAnsi="宋体" w:eastAsia="仿宋_GB2312" w:cs="宋体"/>
                <w:b w:val="0"/>
                <w:bCs w:val="0"/>
                <w:color w:val="000000"/>
                <w:sz w:val="18"/>
                <w:szCs w:val="18"/>
              </w:rPr>
              <w:t>32.01</w:t>
            </w:r>
          </w:p>
        </w:tc>
        <w:tc>
          <w:tcPr>
            <w:tcW w:w="1701" w:type="dxa"/>
            <w:tcBorders>
              <w:top w:val="nil"/>
              <w:left w:val="nil"/>
              <w:bottom w:val="single" w:color="auto" w:sz="4" w:space="0"/>
              <w:right w:val="single" w:color="auto" w:sz="4" w:space="0"/>
            </w:tcBorders>
            <w:vAlign w:val="center"/>
          </w:tcPr>
          <w:p>
            <w:pPr>
              <w:jc w:val="right"/>
              <w:rPr>
                <w:rFonts w:ascii="仿宋_GB2312" w:hAnsi="宋体" w:eastAsia="仿宋_GB2312" w:cs="宋体"/>
                <w:b/>
                <w:color w:val="000000"/>
                <w:kern w:val="0"/>
                <w:sz w:val="18"/>
                <w:szCs w:val="18"/>
              </w:rPr>
            </w:pPr>
            <w:r>
              <w:rPr>
                <w:rFonts w:hint="eastAsia" w:ascii="仿宋_GB2312" w:hAnsi="宋体" w:eastAsia="仿宋_GB2312" w:cs="宋体"/>
                <w:b w:val="0"/>
                <w:bCs w:val="0"/>
                <w:color w:val="000000"/>
                <w:sz w:val="18"/>
                <w:szCs w:val="18"/>
              </w:rPr>
              <w:t>0</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b w:val="0"/>
                <w:bCs w:val="0"/>
                <w:color w:val="000000"/>
                <w:kern w:val="0"/>
                <w:sz w:val="18"/>
                <w:szCs w:val="18"/>
                <w:lang w:val="en-US" w:eastAsia="zh-CN"/>
              </w:rPr>
              <w:t>208</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b w:val="0"/>
                <w:bCs w:val="0"/>
                <w:color w:val="000000"/>
                <w:kern w:val="0"/>
                <w:sz w:val="18"/>
                <w:szCs w:val="18"/>
                <w:lang w:val="en-US" w:eastAsia="zh-CN"/>
              </w:rPr>
              <w:t>05</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p>
        </w:tc>
        <w:tc>
          <w:tcPr>
            <w:tcW w:w="2901" w:type="dxa"/>
            <w:tcBorders>
              <w:top w:val="nil"/>
              <w:left w:val="nil"/>
              <w:bottom w:val="single" w:color="auto" w:sz="4" w:space="0"/>
              <w:right w:val="single" w:color="auto" w:sz="4" w:space="0"/>
            </w:tcBorders>
            <w:vAlign w:val="center"/>
          </w:tcPr>
          <w:p>
            <w:pPr>
              <w:jc w:val="left"/>
              <w:rPr>
                <w:rFonts w:ascii="仿宋_GB2312" w:hAnsi="宋体" w:eastAsia="仿宋_GB2312" w:cs="宋体"/>
                <w:color w:val="000000"/>
                <w:sz w:val="18"/>
                <w:szCs w:val="18"/>
              </w:rPr>
            </w:pPr>
            <w:r>
              <w:rPr>
                <w:rFonts w:hint="eastAsia" w:ascii="仿宋_GB2312" w:hAnsi="宋体" w:eastAsia="仿宋_GB2312" w:cs="宋体"/>
                <w:b w:val="0"/>
                <w:bCs w:val="0"/>
                <w:color w:val="000000"/>
                <w:sz w:val="18"/>
                <w:szCs w:val="18"/>
                <w:lang w:eastAsia="zh-CN"/>
              </w:rPr>
              <w:t>行政事业单位养老支出</w:t>
            </w:r>
          </w:p>
        </w:tc>
        <w:tc>
          <w:tcPr>
            <w:tcW w:w="1293" w:type="dxa"/>
            <w:gridSpan w:val="2"/>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kern w:val="0"/>
                <w:sz w:val="18"/>
                <w:szCs w:val="18"/>
              </w:rPr>
            </w:pPr>
            <w:r>
              <w:rPr>
                <w:rFonts w:hint="eastAsia" w:ascii="仿宋_GB2312" w:hAnsi="宋体" w:eastAsia="仿宋_GB2312" w:cs="宋体"/>
                <w:b w:val="0"/>
                <w:bCs w:val="0"/>
                <w:color w:val="000000"/>
                <w:sz w:val="18"/>
                <w:szCs w:val="18"/>
              </w:rPr>
              <w:t>32.01</w:t>
            </w:r>
          </w:p>
        </w:tc>
        <w:tc>
          <w:tcPr>
            <w:tcW w:w="1842" w:type="dxa"/>
            <w:gridSpan w:val="2"/>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kern w:val="0"/>
                <w:sz w:val="18"/>
                <w:szCs w:val="18"/>
              </w:rPr>
            </w:pPr>
            <w:r>
              <w:rPr>
                <w:rFonts w:hint="eastAsia" w:ascii="仿宋_GB2312" w:hAnsi="宋体" w:eastAsia="仿宋_GB2312" w:cs="宋体"/>
                <w:b w:val="0"/>
                <w:bCs w:val="0"/>
                <w:color w:val="000000"/>
                <w:sz w:val="18"/>
                <w:szCs w:val="18"/>
              </w:rPr>
              <w:t>32.01</w:t>
            </w:r>
          </w:p>
        </w:tc>
        <w:tc>
          <w:tcPr>
            <w:tcW w:w="170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kern w:val="0"/>
                <w:sz w:val="18"/>
                <w:szCs w:val="18"/>
              </w:rPr>
            </w:pPr>
            <w:r>
              <w:rPr>
                <w:rFonts w:hint="eastAsia" w:ascii="仿宋_GB2312" w:hAnsi="宋体" w:eastAsia="仿宋_GB2312" w:cs="宋体"/>
                <w:b w:val="0"/>
                <w:bCs w:val="0"/>
                <w:color w:val="000000"/>
                <w:sz w:val="18"/>
                <w:szCs w:val="18"/>
              </w:rPr>
              <w:t>0</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b w:val="0"/>
                <w:bCs w:val="0"/>
                <w:color w:val="000000"/>
                <w:sz w:val="18"/>
                <w:szCs w:val="18"/>
              </w:rPr>
              <w:t>208</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b w:val="0"/>
                <w:bCs w:val="0"/>
                <w:color w:val="000000"/>
                <w:sz w:val="18"/>
                <w:szCs w:val="18"/>
              </w:rPr>
              <w:t>05</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b w:val="0"/>
                <w:bCs w:val="0"/>
                <w:color w:val="000000"/>
                <w:sz w:val="18"/>
                <w:szCs w:val="18"/>
              </w:rPr>
              <w:t>05</w:t>
            </w:r>
          </w:p>
        </w:tc>
        <w:tc>
          <w:tcPr>
            <w:tcW w:w="2901" w:type="dxa"/>
            <w:tcBorders>
              <w:top w:val="nil"/>
              <w:left w:val="nil"/>
              <w:bottom w:val="single" w:color="auto" w:sz="4" w:space="0"/>
              <w:right w:val="single" w:color="auto" w:sz="4" w:space="0"/>
            </w:tcBorders>
            <w:vAlign w:val="center"/>
          </w:tcPr>
          <w:p>
            <w:pPr>
              <w:jc w:val="left"/>
              <w:rPr>
                <w:rFonts w:ascii="仿宋_GB2312" w:hAnsi="宋体" w:eastAsia="仿宋_GB2312" w:cs="宋体"/>
                <w:color w:val="000000"/>
                <w:sz w:val="18"/>
                <w:szCs w:val="18"/>
              </w:rPr>
            </w:pPr>
            <w:r>
              <w:rPr>
                <w:rFonts w:hint="eastAsia" w:ascii="仿宋_GB2312" w:hAnsi="宋体" w:eastAsia="仿宋_GB2312" w:cs="宋体"/>
                <w:b w:val="0"/>
                <w:bCs w:val="0"/>
                <w:color w:val="000000"/>
                <w:sz w:val="18"/>
                <w:szCs w:val="18"/>
              </w:rPr>
              <w:t>机关事业单位基本养老保险缴费支出</w:t>
            </w:r>
          </w:p>
        </w:tc>
        <w:tc>
          <w:tcPr>
            <w:tcW w:w="1293" w:type="dxa"/>
            <w:gridSpan w:val="2"/>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kern w:val="0"/>
                <w:sz w:val="18"/>
                <w:szCs w:val="18"/>
              </w:rPr>
            </w:pPr>
            <w:r>
              <w:rPr>
                <w:rFonts w:hint="eastAsia" w:ascii="仿宋_GB2312" w:hAnsi="宋体" w:eastAsia="仿宋_GB2312" w:cs="宋体"/>
                <w:b w:val="0"/>
                <w:bCs w:val="0"/>
                <w:color w:val="000000"/>
                <w:sz w:val="18"/>
                <w:szCs w:val="18"/>
              </w:rPr>
              <w:t>32.01</w:t>
            </w:r>
          </w:p>
        </w:tc>
        <w:tc>
          <w:tcPr>
            <w:tcW w:w="1842" w:type="dxa"/>
            <w:gridSpan w:val="2"/>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kern w:val="0"/>
                <w:sz w:val="18"/>
                <w:szCs w:val="18"/>
              </w:rPr>
            </w:pPr>
            <w:r>
              <w:rPr>
                <w:rFonts w:hint="eastAsia" w:ascii="仿宋_GB2312" w:hAnsi="宋体" w:eastAsia="仿宋_GB2312" w:cs="宋体"/>
                <w:b w:val="0"/>
                <w:bCs w:val="0"/>
                <w:color w:val="000000"/>
                <w:sz w:val="18"/>
                <w:szCs w:val="18"/>
              </w:rPr>
              <w:t>32.01</w:t>
            </w:r>
          </w:p>
        </w:tc>
        <w:tc>
          <w:tcPr>
            <w:tcW w:w="170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kern w:val="0"/>
                <w:sz w:val="18"/>
                <w:szCs w:val="18"/>
              </w:rPr>
            </w:pPr>
            <w:r>
              <w:rPr>
                <w:rFonts w:hint="eastAsia" w:ascii="仿宋_GB2312" w:hAnsi="宋体" w:eastAsia="仿宋_GB2312" w:cs="宋体"/>
                <w:b w:val="0"/>
                <w:bCs w:val="0"/>
                <w:color w:val="000000"/>
                <w:sz w:val="18"/>
                <w:szCs w:val="18"/>
              </w:rPr>
              <w:t>0</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b w:val="0"/>
                <w:bCs w:val="0"/>
                <w:color w:val="000000"/>
                <w:kern w:val="0"/>
                <w:sz w:val="18"/>
                <w:szCs w:val="18"/>
                <w:lang w:val="en-US" w:eastAsia="zh-CN"/>
              </w:rPr>
              <w:t>210</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p>
        </w:tc>
        <w:tc>
          <w:tcPr>
            <w:tcW w:w="2901" w:type="dxa"/>
            <w:tcBorders>
              <w:top w:val="nil"/>
              <w:left w:val="nil"/>
              <w:bottom w:val="single" w:color="auto" w:sz="4" w:space="0"/>
              <w:right w:val="single" w:color="auto" w:sz="4" w:space="0"/>
            </w:tcBorders>
            <w:vAlign w:val="center"/>
          </w:tcPr>
          <w:p>
            <w:pPr>
              <w:jc w:val="left"/>
              <w:rPr>
                <w:rFonts w:ascii="仿宋_GB2312" w:hAnsi="宋体" w:eastAsia="仿宋_GB2312" w:cs="宋体"/>
                <w:color w:val="000000"/>
                <w:sz w:val="18"/>
                <w:szCs w:val="18"/>
              </w:rPr>
            </w:pPr>
            <w:r>
              <w:rPr>
                <w:rFonts w:hint="eastAsia" w:ascii="仿宋_GB2312" w:hAnsi="宋体" w:eastAsia="仿宋_GB2312" w:cs="宋体"/>
                <w:b w:val="0"/>
                <w:bCs w:val="0"/>
                <w:color w:val="000000"/>
                <w:sz w:val="18"/>
                <w:szCs w:val="18"/>
                <w:lang w:eastAsia="zh-CN"/>
              </w:rPr>
              <w:t>卫生健康支出</w:t>
            </w:r>
          </w:p>
        </w:tc>
        <w:tc>
          <w:tcPr>
            <w:tcW w:w="1293" w:type="dxa"/>
            <w:gridSpan w:val="2"/>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kern w:val="0"/>
                <w:sz w:val="18"/>
                <w:szCs w:val="18"/>
              </w:rPr>
            </w:pPr>
            <w:r>
              <w:rPr>
                <w:rFonts w:hint="eastAsia" w:ascii="仿宋_GB2312" w:hAnsi="宋体" w:eastAsia="仿宋_GB2312" w:cs="宋体"/>
                <w:b w:val="0"/>
                <w:bCs w:val="0"/>
                <w:color w:val="000000"/>
                <w:sz w:val="18"/>
                <w:szCs w:val="18"/>
                <w:lang w:val="en-US" w:eastAsia="zh-CN"/>
              </w:rPr>
              <w:t>1541.59</w:t>
            </w:r>
          </w:p>
        </w:tc>
        <w:tc>
          <w:tcPr>
            <w:tcW w:w="1842" w:type="dxa"/>
            <w:gridSpan w:val="2"/>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kern w:val="0"/>
                <w:sz w:val="18"/>
                <w:szCs w:val="18"/>
              </w:rPr>
            </w:pPr>
            <w:r>
              <w:rPr>
                <w:rFonts w:hint="eastAsia" w:ascii="仿宋_GB2312" w:hAnsi="宋体" w:eastAsia="仿宋_GB2312" w:cs="宋体"/>
                <w:b w:val="0"/>
                <w:bCs w:val="0"/>
                <w:color w:val="000000"/>
                <w:sz w:val="18"/>
                <w:szCs w:val="18"/>
                <w:lang w:val="en-US" w:eastAsia="zh-CN"/>
              </w:rPr>
              <w:t>355.09</w:t>
            </w:r>
          </w:p>
        </w:tc>
        <w:tc>
          <w:tcPr>
            <w:tcW w:w="170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kern w:val="0"/>
                <w:sz w:val="18"/>
                <w:szCs w:val="18"/>
              </w:rPr>
            </w:pPr>
            <w:r>
              <w:rPr>
                <w:rFonts w:hint="eastAsia" w:ascii="仿宋_GB2312" w:hAnsi="宋体" w:eastAsia="仿宋_GB2312" w:cs="宋体"/>
                <w:b w:val="0"/>
                <w:bCs w:val="0"/>
                <w:color w:val="000000"/>
                <w:sz w:val="18"/>
                <w:szCs w:val="18"/>
                <w:lang w:val="en-US" w:eastAsia="zh-CN"/>
              </w:rPr>
              <w:t>1186.5</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b w:val="0"/>
                <w:bCs w:val="0"/>
                <w:color w:val="000000"/>
                <w:kern w:val="0"/>
                <w:sz w:val="18"/>
                <w:szCs w:val="18"/>
                <w:lang w:val="en-US" w:eastAsia="zh-CN"/>
              </w:rPr>
              <w:t>210</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b w:val="0"/>
                <w:bCs w:val="0"/>
                <w:color w:val="000000"/>
                <w:kern w:val="0"/>
                <w:sz w:val="18"/>
                <w:szCs w:val="18"/>
                <w:lang w:val="en-US" w:eastAsia="zh-CN"/>
              </w:rPr>
              <w:t>11</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p>
        </w:tc>
        <w:tc>
          <w:tcPr>
            <w:tcW w:w="2901" w:type="dxa"/>
            <w:tcBorders>
              <w:top w:val="nil"/>
              <w:left w:val="nil"/>
              <w:bottom w:val="single" w:color="auto" w:sz="4" w:space="0"/>
              <w:right w:val="single" w:color="auto" w:sz="4" w:space="0"/>
            </w:tcBorders>
            <w:vAlign w:val="center"/>
          </w:tcPr>
          <w:p>
            <w:pPr>
              <w:jc w:val="left"/>
              <w:rPr>
                <w:rFonts w:ascii="仿宋_GB2312" w:hAnsi="宋体" w:eastAsia="仿宋_GB2312" w:cs="宋体"/>
                <w:color w:val="000000"/>
                <w:sz w:val="18"/>
                <w:szCs w:val="18"/>
              </w:rPr>
            </w:pPr>
            <w:r>
              <w:rPr>
                <w:rFonts w:hint="eastAsia" w:ascii="仿宋_GB2312" w:hAnsi="宋体" w:eastAsia="仿宋_GB2312" w:cs="宋体"/>
                <w:b w:val="0"/>
                <w:bCs w:val="0"/>
                <w:color w:val="000000"/>
                <w:sz w:val="18"/>
                <w:szCs w:val="18"/>
                <w:lang w:eastAsia="zh-CN"/>
              </w:rPr>
              <w:t>行政事业单位医疗</w:t>
            </w:r>
          </w:p>
        </w:tc>
        <w:tc>
          <w:tcPr>
            <w:tcW w:w="1293" w:type="dxa"/>
            <w:gridSpan w:val="2"/>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kern w:val="0"/>
                <w:sz w:val="18"/>
                <w:szCs w:val="18"/>
              </w:rPr>
            </w:pPr>
            <w:r>
              <w:rPr>
                <w:rFonts w:hint="eastAsia" w:ascii="仿宋_GB2312" w:hAnsi="宋体" w:eastAsia="仿宋_GB2312" w:cs="宋体"/>
                <w:b w:val="0"/>
                <w:bCs w:val="0"/>
                <w:color w:val="000000"/>
                <w:sz w:val="18"/>
                <w:szCs w:val="18"/>
                <w:lang w:val="en-US" w:eastAsia="zh-CN"/>
              </w:rPr>
              <w:t>25.56</w:t>
            </w:r>
          </w:p>
        </w:tc>
        <w:tc>
          <w:tcPr>
            <w:tcW w:w="1842" w:type="dxa"/>
            <w:gridSpan w:val="2"/>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kern w:val="0"/>
                <w:sz w:val="18"/>
                <w:szCs w:val="18"/>
              </w:rPr>
            </w:pPr>
            <w:r>
              <w:rPr>
                <w:rFonts w:hint="eastAsia" w:ascii="仿宋_GB2312" w:hAnsi="宋体" w:eastAsia="仿宋_GB2312" w:cs="宋体"/>
                <w:b w:val="0"/>
                <w:bCs w:val="0"/>
                <w:color w:val="000000"/>
                <w:sz w:val="18"/>
                <w:szCs w:val="18"/>
                <w:lang w:val="en-US" w:eastAsia="zh-CN"/>
              </w:rPr>
              <w:t>25.56</w:t>
            </w:r>
          </w:p>
        </w:tc>
        <w:tc>
          <w:tcPr>
            <w:tcW w:w="170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kern w:val="0"/>
                <w:sz w:val="18"/>
                <w:szCs w:val="18"/>
              </w:rPr>
            </w:pPr>
            <w:r>
              <w:rPr>
                <w:rFonts w:hint="eastAsia" w:ascii="仿宋_GB2312" w:hAnsi="宋体" w:eastAsia="仿宋_GB2312" w:cs="宋体"/>
                <w:b w:val="0"/>
                <w:bCs w:val="0"/>
                <w:color w:val="000000"/>
                <w:sz w:val="18"/>
                <w:szCs w:val="18"/>
              </w:rPr>
              <w:t>0</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b w:val="0"/>
                <w:bCs w:val="0"/>
                <w:color w:val="000000"/>
                <w:sz w:val="18"/>
                <w:szCs w:val="18"/>
              </w:rPr>
              <w:t>210</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b w:val="0"/>
                <w:bCs w:val="0"/>
                <w:color w:val="000000"/>
                <w:sz w:val="18"/>
                <w:szCs w:val="18"/>
              </w:rPr>
              <w:t>11</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b w:val="0"/>
                <w:bCs w:val="0"/>
                <w:color w:val="000000"/>
                <w:sz w:val="18"/>
                <w:szCs w:val="18"/>
              </w:rPr>
              <w:t>01</w:t>
            </w:r>
          </w:p>
        </w:tc>
        <w:tc>
          <w:tcPr>
            <w:tcW w:w="2901" w:type="dxa"/>
            <w:tcBorders>
              <w:top w:val="nil"/>
              <w:left w:val="nil"/>
              <w:bottom w:val="single" w:color="auto" w:sz="4" w:space="0"/>
              <w:right w:val="single" w:color="auto" w:sz="4" w:space="0"/>
            </w:tcBorders>
            <w:vAlign w:val="center"/>
          </w:tcPr>
          <w:p>
            <w:pPr>
              <w:jc w:val="left"/>
              <w:rPr>
                <w:rFonts w:ascii="仿宋_GB2312" w:hAnsi="宋体" w:eastAsia="仿宋_GB2312" w:cs="宋体"/>
                <w:color w:val="000000"/>
                <w:sz w:val="18"/>
                <w:szCs w:val="18"/>
              </w:rPr>
            </w:pPr>
            <w:r>
              <w:rPr>
                <w:rFonts w:hint="eastAsia" w:ascii="仿宋_GB2312" w:hAnsi="宋体" w:eastAsia="仿宋_GB2312" w:cs="宋体"/>
                <w:b w:val="0"/>
                <w:bCs w:val="0"/>
                <w:color w:val="000000"/>
                <w:sz w:val="18"/>
                <w:szCs w:val="18"/>
              </w:rPr>
              <w:t>行政单位医疗</w:t>
            </w:r>
          </w:p>
        </w:tc>
        <w:tc>
          <w:tcPr>
            <w:tcW w:w="1293" w:type="dxa"/>
            <w:gridSpan w:val="2"/>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kern w:val="0"/>
                <w:sz w:val="18"/>
                <w:szCs w:val="18"/>
              </w:rPr>
            </w:pPr>
            <w:r>
              <w:rPr>
                <w:rFonts w:hint="eastAsia" w:ascii="仿宋_GB2312" w:hAnsi="宋体" w:eastAsia="仿宋_GB2312" w:cs="宋体"/>
                <w:b w:val="0"/>
                <w:bCs w:val="0"/>
                <w:color w:val="000000"/>
                <w:sz w:val="18"/>
                <w:szCs w:val="18"/>
              </w:rPr>
              <w:t>19</w:t>
            </w:r>
          </w:p>
        </w:tc>
        <w:tc>
          <w:tcPr>
            <w:tcW w:w="1842" w:type="dxa"/>
            <w:gridSpan w:val="2"/>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kern w:val="0"/>
                <w:sz w:val="18"/>
                <w:szCs w:val="18"/>
              </w:rPr>
            </w:pPr>
            <w:r>
              <w:rPr>
                <w:rFonts w:hint="eastAsia" w:ascii="仿宋_GB2312" w:hAnsi="宋体" w:eastAsia="仿宋_GB2312" w:cs="宋体"/>
                <w:b w:val="0"/>
                <w:bCs w:val="0"/>
                <w:color w:val="000000"/>
                <w:sz w:val="18"/>
                <w:szCs w:val="18"/>
              </w:rPr>
              <w:t>19</w:t>
            </w:r>
          </w:p>
        </w:tc>
        <w:tc>
          <w:tcPr>
            <w:tcW w:w="170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kern w:val="0"/>
                <w:sz w:val="18"/>
                <w:szCs w:val="18"/>
              </w:rPr>
            </w:pPr>
            <w:r>
              <w:rPr>
                <w:rFonts w:hint="eastAsia" w:ascii="仿宋_GB2312" w:hAnsi="宋体" w:eastAsia="仿宋_GB2312" w:cs="宋体"/>
                <w:b w:val="0"/>
                <w:bCs w:val="0"/>
                <w:color w:val="000000"/>
                <w:sz w:val="18"/>
                <w:szCs w:val="18"/>
              </w:rPr>
              <w:t>0</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b w:val="0"/>
                <w:bCs w:val="0"/>
                <w:color w:val="000000"/>
                <w:sz w:val="18"/>
                <w:szCs w:val="18"/>
              </w:rPr>
              <w:t>210</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b w:val="0"/>
                <w:bCs w:val="0"/>
                <w:color w:val="000000"/>
                <w:sz w:val="18"/>
                <w:szCs w:val="18"/>
              </w:rPr>
              <w:t>11</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b w:val="0"/>
                <w:bCs w:val="0"/>
                <w:color w:val="000000"/>
                <w:sz w:val="18"/>
                <w:szCs w:val="18"/>
              </w:rPr>
              <w:t>03</w:t>
            </w:r>
          </w:p>
        </w:tc>
        <w:tc>
          <w:tcPr>
            <w:tcW w:w="2901" w:type="dxa"/>
            <w:tcBorders>
              <w:top w:val="nil"/>
              <w:left w:val="nil"/>
              <w:bottom w:val="single" w:color="auto" w:sz="4" w:space="0"/>
              <w:right w:val="single" w:color="auto" w:sz="4" w:space="0"/>
            </w:tcBorders>
            <w:vAlign w:val="center"/>
          </w:tcPr>
          <w:p>
            <w:pPr>
              <w:jc w:val="left"/>
              <w:rPr>
                <w:rFonts w:ascii="仿宋_GB2312" w:hAnsi="宋体" w:eastAsia="仿宋_GB2312" w:cs="宋体"/>
                <w:color w:val="000000"/>
                <w:sz w:val="18"/>
                <w:szCs w:val="18"/>
              </w:rPr>
            </w:pPr>
            <w:r>
              <w:rPr>
                <w:rFonts w:hint="eastAsia" w:ascii="仿宋_GB2312" w:hAnsi="宋体" w:eastAsia="仿宋_GB2312" w:cs="宋体"/>
                <w:b w:val="0"/>
                <w:bCs w:val="0"/>
                <w:color w:val="000000"/>
                <w:sz w:val="18"/>
                <w:szCs w:val="18"/>
              </w:rPr>
              <w:t>公务员医疗补助</w:t>
            </w:r>
          </w:p>
        </w:tc>
        <w:tc>
          <w:tcPr>
            <w:tcW w:w="1293" w:type="dxa"/>
            <w:gridSpan w:val="2"/>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kern w:val="0"/>
                <w:sz w:val="18"/>
                <w:szCs w:val="18"/>
              </w:rPr>
            </w:pPr>
            <w:r>
              <w:rPr>
                <w:rFonts w:hint="eastAsia" w:ascii="仿宋_GB2312" w:hAnsi="宋体" w:eastAsia="仿宋_GB2312" w:cs="宋体"/>
                <w:b w:val="0"/>
                <w:bCs w:val="0"/>
                <w:color w:val="000000"/>
                <w:sz w:val="18"/>
                <w:szCs w:val="18"/>
              </w:rPr>
              <w:t>6</w:t>
            </w:r>
          </w:p>
        </w:tc>
        <w:tc>
          <w:tcPr>
            <w:tcW w:w="1842" w:type="dxa"/>
            <w:gridSpan w:val="2"/>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kern w:val="0"/>
                <w:sz w:val="18"/>
                <w:szCs w:val="18"/>
              </w:rPr>
            </w:pPr>
            <w:r>
              <w:rPr>
                <w:rFonts w:hint="eastAsia" w:ascii="仿宋_GB2312" w:hAnsi="宋体" w:eastAsia="仿宋_GB2312" w:cs="宋体"/>
                <w:b w:val="0"/>
                <w:bCs w:val="0"/>
                <w:color w:val="000000"/>
                <w:sz w:val="18"/>
                <w:szCs w:val="18"/>
              </w:rPr>
              <w:t>6</w:t>
            </w:r>
          </w:p>
        </w:tc>
        <w:tc>
          <w:tcPr>
            <w:tcW w:w="170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kern w:val="0"/>
                <w:sz w:val="18"/>
                <w:szCs w:val="18"/>
              </w:rPr>
            </w:pPr>
            <w:r>
              <w:rPr>
                <w:rFonts w:hint="eastAsia" w:ascii="仿宋_GB2312" w:hAnsi="宋体" w:eastAsia="仿宋_GB2312" w:cs="宋体"/>
                <w:b w:val="0"/>
                <w:bCs w:val="0"/>
                <w:color w:val="000000"/>
                <w:sz w:val="18"/>
                <w:szCs w:val="18"/>
              </w:rPr>
              <w:t>0</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b w:val="0"/>
                <w:bCs w:val="0"/>
                <w:color w:val="000000"/>
                <w:sz w:val="18"/>
                <w:szCs w:val="18"/>
              </w:rPr>
              <w:t>210</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b w:val="0"/>
                <w:bCs w:val="0"/>
                <w:color w:val="000000"/>
                <w:sz w:val="18"/>
                <w:szCs w:val="18"/>
              </w:rPr>
              <w:t>11</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b w:val="0"/>
                <w:bCs w:val="0"/>
                <w:color w:val="000000"/>
                <w:sz w:val="18"/>
                <w:szCs w:val="18"/>
              </w:rPr>
              <w:t>99</w:t>
            </w:r>
          </w:p>
        </w:tc>
        <w:tc>
          <w:tcPr>
            <w:tcW w:w="2901" w:type="dxa"/>
            <w:tcBorders>
              <w:top w:val="nil"/>
              <w:left w:val="nil"/>
              <w:bottom w:val="single" w:color="auto" w:sz="4" w:space="0"/>
              <w:right w:val="single" w:color="auto" w:sz="4" w:space="0"/>
            </w:tcBorders>
            <w:vAlign w:val="center"/>
          </w:tcPr>
          <w:p>
            <w:pPr>
              <w:jc w:val="left"/>
              <w:rPr>
                <w:rFonts w:ascii="仿宋_GB2312" w:hAnsi="宋体" w:eastAsia="仿宋_GB2312" w:cs="宋体"/>
                <w:color w:val="000000"/>
                <w:kern w:val="0"/>
                <w:sz w:val="18"/>
                <w:szCs w:val="18"/>
              </w:rPr>
            </w:pPr>
            <w:r>
              <w:rPr>
                <w:rFonts w:hint="eastAsia" w:ascii="仿宋_GB2312" w:hAnsi="宋体" w:eastAsia="仿宋_GB2312" w:cs="宋体"/>
                <w:b w:val="0"/>
                <w:bCs w:val="0"/>
                <w:color w:val="000000"/>
                <w:sz w:val="18"/>
                <w:szCs w:val="18"/>
              </w:rPr>
              <w:t>其他行政事业单位医疗支出</w:t>
            </w:r>
          </w:p>
        </w:tc>
        <w:tc>
          <w:tcPr>
            <w:tcW w:w="1293" w:type="dxa"/>
            <w:gridSpan w:val="2"/>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kern w:val="0"/>
                <w:sz w:val="18"/>
                <w:szCs w:val="18"/>
              </w:rPr>
            </w:pPr>
            <w:r>
              <w:rPr>
                <w:rFonts w:hint="eastAsia" w:ascii="仿宋_GB2312" w:hAnsi="宋体" w:eastAsia="仿宋_GB2312" w:cs="宋体"/>
                <w:b w:val="0"/>
                <w:bCs w:val="0"/>
                <w:color w:val="000000"/>
                <w:sz w:val="18"/>
                <w:szCs w:val="18"/>
              </w:rPr>
              <w:t>0.56</w:t>
            </w:r>
          </w:p>
        </w:tc>
        <w:tc>
          <w:tcPr>
            <w:tcW w:w="1842" w:type="dxa"/>
            <w:gridSpan w:val="2"/>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kern w:val="0"/>
                <w:sz w:val="18"/>
                <w:szCs w:val="18"/>
              </w:rPr>
            </w:pPr>
            <w:r>
              <w:rPr>
                <w:rFonts w:hint="eastAsia" w:ascii="仿宋_GB2312" w:hAnsi="宋体" w:eastAsia="仿宋_GB2312" w:cs="宋体"/>
                <w:b w:val="0"/>
                <w:bCs w:val="0"/>
                <w:color w:val="000000"/>
                <w:sz w:val="18"/>
                <w:szCs w:val="18"/>
              </w:rPr>
              <w:t>0.56</w:t>
            </w:r>
          </w:p>
        </w:tc>
        <w:tc>
          <w:tcPr>
            <w:tcW w:w="170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kern w:val="0"/>
                <w:sz w:val="18"/>
                <w:szCs w:val="18"/>
              </w:rPr>
            </w:pPr>
            <w:r>
              <w:rPr>
                <w:rFonts w:hint="eastAsia" w:ascii="仿宋_GB2312" w:hAnsi="宋体" w:eastAsia="仿宋_GB2312" w:cs="宋体"/>
                <w:b w:val="0"/>
                <w:bCs w:val="0"/>
                <w:color w:val="000000"/>
                <w:sz w:val="18"/>
                <w:szCs w:val="18"/>
              </w:rPr>
              <w:t>0</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b w:val="0"/>
                <w:bCs w:val="0"/>
                <w:color w:val="000000"/>
                <w:kern w:val="0"/>
                <w:sz w:val="18"/>
                <w:szCs w:val="18"/>
                <w:lang w:val="en-US" w:eastAsia="zh-CN"/>
              </w:rPr>
              <w:t>210</w:t>
            </w:r>
          </w:p>
        </w:tc>
        <w:tc>
          <w:tcPr>
            <w:tcW w:w="492"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b w:val="0"/>
                <w:bCs w:val="0"/>
                <w:color w:val="000000"/>
                <w:kern w:val="0"/>
                <w:sz w:val="18"/>
                <w:szCs w:val="18"/>
                <w:lang w:val="en-US" w:eastAsia="zh-CN"/>
              </w:rPr>
              <w:t>15</w:t>
            </w:r>
          </w:p>
        </w:tc>
        <w:tc>
          <w:tcPr>
            <w:tcW w:w="41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2901"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b w:val="0"/>
                <w:bCs w:val="0"/>
                <w:color w:val="000000"/>
                <w:kern w:val="0"/>
                <w:sz w:val="18"/>
                <w:szCs w:val="18"/>
                <w:lang w:eastAsia="zh-CN"/>
              </w:rPr>
              <w:t>医疗保障管理事务</w:t>
            </w:r>
          </w:p>
        </w:tc>
        <w:tc>
          <w:tcPr>
            <w:tcW w:w="1293" w:type="dxa"/>
            <w:gridSpan w:val="2"/>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b w:val="0"/>
                <w:bCs w:val="0"/>
                <w:color w:val="000000"/>
                <w:kern w:val="0"/>
                <w:sz w:val="18"/>
                <w:szCs w:val="18"/>
                <w:lang w:val="en-US" w:eastAsia="zh-CN"/>
              </w:rPr>
              <w:t>1516.03</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b w:val="0"/>
                <w:bCs w:val="0"/>
                <w:color w:val="000000"/>
                <w:kern w:val="0"/>
                <w:sz w:val="18"/>
                <w:szCs w:val="18"/>
                <w:lang w:val="en-US" w:eastAsia="zh-CN"/>
              </w:rPr>
              <w:t>329.53</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b w:val="0"/>
                <w:bCs w:val="0"/>
                <w:color w:val="000000"/>
                <w:kern w:val="0"/>
                <w:sz w:val="18"/>
                <w:szCs w:val="18"/>
                <w:lang w:val="en-US" w:eastAsia="zh-CN"/>
              </w:rPr>
              <w:t>1186.5</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b w:val="0"/>
                <w:bCs w:val="0"/>
                <w:color w:val="000000"/>
                <w:sz w:val="18"/>
                <w:szCs w:val="18"/>
              </w:rPr>
              <w:t>210</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b w:val="0"/>
                <w:bCs w:val="0"/>
                <w:color w:val="000000"/>
                <w:sz w:val="18"/>
                <w:szCs w:val="18"/>
              </w:rPr>
              <w:t>15</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b w:val="0"/>
                <w:bCs w:val="0"/>
                <w:color w:val="000000"/>
                <w:sz w:val="18"/>
                <w:szCs w:val="18"/>
              </w:rPr>
              <w:t>01</w:t>
            </w:r>
          </w:p>
        </w:tc>
        <w:tc>
          <w:tcPr>
            <w:tcW w:w="2901" w:type="dxa"/>
            <w:tcBorders>
              <w:top w:val="nil"/>
              <w:left w:val="nil"/>
              <w:bottom w:val="single" w:color="auto" w:sz="4" w:space="0"/>
              <w:right w:val="single" w:color="auto" w:sz="4" w:space="0"/>
            </w:tcBorders>
            <w:vAlign w:val="center"/>
          </w:tcPr>
          <w:p>
            <w:pPr>
              <w:jc w:val="left"/>
              <w:rPr>
                <w:rFonts w:ascii="仿宋_GB2312" w:hAnsi="宋体" w:eastAsia="仿宋_GB2312" w:cs="宋体"/>
                <w:color w:val="000000"/>
                <w:kern w:val="0"/>
                <w:sz w:val="18"/>
                <w:szCs w:val="18"/>
              </w:rPr>
            </w:pPr>
            <w:r>
              <w:rPr>
                <w:rFonts w:hint="eastAsia" w:ascii="仿宋_GB2312" w:hAnsi="宋体" w:eastAsia="仿宋_GB2312" w:cs="宋体"/>
                <w:b w:val="0"/>
                <w:bCs w:val="0"/>
                <w:color w:val="000000"/>
                <w:sz w:val="18"/>
                <w:szCs w:val="18"/>
              </w:rPr>
              <w:t>行政运行</w:t>
            </w:r>
          </w:p>
        </w:tc>
        <w:tc>
          <w:tcPr>
            <w:tcW w:w="1293" w:type="dxa"/>
            <w:gridSpan w:val="2"/>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kern w:val="0"/>
                <w:sz w:val="18"/>
                <w:szCs w:val="18"/>
              </w:rPr>
            </w:pPr>
            <w:r>
              <w:rPr>
                <w:rFonts w:hint="eastAsia" w:ascii="仿宋_GB2312" w:hAnsi="宋体" w:eastAsia="仿宋_GB2312" w:cs="宋体"/>
                <w:b w:val="0"/>
                <w:bCs w:val="0"/>
                <w:color w:val="000000"/>
                <w:sz w:val="18"/>
                <w:szCs w:val="18"/>
              </w:rPr>
              <w:t>329.53</w:t>
            </w:r>
          </w:p>
        </w:tc>
        <w:tc>
          <w:tcPr>
            <w:tcW w:w="1842" w:type="dxa"/>
            <w:gridSpan w:val="2"/>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kern w:val="0"/>
                <w:sz w:val="18"/>
                <w:szCs w:val="18"/>
              </w:rPr>
            </w:pPr>
            <w:r>
              <w:rPr>
                <w:rFonts w:hint="eastAsia" w:ascii="仿宋_GB2312" w:hAnsi="宋体" w:eastAsia="仿宋_GB2312" w:cs="宋体"/>
                <w:b w:val="0"/>
                <w:bCs w:val="0"/>
                <w:color w:val="000000"/>
                <w:sz w:val="18"/>
                <w:szCs w:val="18"/>
              </w:rPr>
              <w:t>329.53</w:t>
            </w:r>
          </w:p>
        </w:tc>
        <w:tc>
          <w:tcPr>
            <w:tcW w:w="170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kern w:val="0"/>
                <w:sz w:val="18"/>
                <w:szCs w:val="18"/>
              </w:rPr>
            </w:pPr>
            <w:r>
              <w:rPr>
                <w:rFonts w:hint="eastAsia" w:ascii="仿宋_GB2312" w:hAnsi="宋体" w:eastAsia="仿宋_GB2312" w:cs="宋体"/>
                <w:b w:val="0"/>
                <w:bCs w:val="0"/>
                <w:color w:val="000000"/>
                <w:sz w:val="18"/>
                <w:szCs w:val="18"/>
              </w:rPr>
              <w:t>0</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b w:val="0"/>
                <w:bCs w:val="0"/>
                <w:color w:val="000000"/>
                <w:sz w:val="18"/>
                <w:szCs w:val="18"/>
              </w:rPr>
              <w:t>210</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b w:val="0"/>
                <w:bCs w:val="0"/>
                <w:color w:val="000000"/>
                <w:sz w:val="18"/>
                <w:szCs w:val="18"/>
              </w:rPr>
              <w:t>15</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b w:val="0"/>
                <w:bCs w:val="0"/>
                <w:color w:val="000000"/>
                <w:sz w:val="18"/>
                <w:szCs w:val="18"/>
              </w:rPr>
              <w:t>02</w:t>
            </w:r>
          </w:p>
        </w:tc>
        <w:tc>
          <w:tcPr>
            <w:tcW w:w="2901" w:type="dxa"/>
            <w:tcBorders>
              <w:top w:val="nil"/>
              <w:left w:val="nil"/>
              <w:bottom w:val="single" w:color="auto" w:sz="4" w:space="0"/>
              <w:right w:val="single" w:color="auto" w:sz="4" w:space="0"/>
            </w:tcBorders>
            <w:vAlign w:val="center"/>
          </w:tcPr>
          <w:p>
            <w:pPr>
              <w:jc w:val="left"/>
              <w:rPr>
                <w:rFonts w:ascii="仿宋_GB2312" w:hAnsi="宋体" w:eastAsia="仿宋_GB2312" w:cs="宋体"/>
                <w:color w:val="000000"/>
                <w:kern w:val="0"/>
                <w:sz w:val="18"/>
                <w:szCs w:val="18"/>
              </w:rPr>
            </w:pPr>
            <w:r>
              <w:rPr>
                <w:rFonts w:hint="eastAsia" w:ascii="仿宋_GB2312" w:hAnsi="宋体" w:eastAsia="仿宋_GB2312" w:cs="宋体"/>
                <w:b w:val="0"/>
                <w:bCs w:val="0"/>
                <w:color w:val="000000"/>
                <w:sz w:val="18"/>
                <w:szCs w:val="18"/>
              </w:rPr>
              <w:t>一般行政管理事务</w:t>
            </w:r>
          </w:p>
        </w:tc>
        <w:tc>
          <w:tcPr>
            <w:tcW w:w="1293" w:type="dxa"/>
            <w:gridSpan w:val="2"/>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kern w:val="0"/>
                <w:sz w:val="18"/>
                <w:szCs w:val="18"/>
              </w:rPr>
            </w:pPr>
            <w:r>
              <w:rPr>
                <w:rFonts w:hint="eastAsia" w:ascii="仿宋_GB2312" w:hAnsi="宋体" w:eastAsia="仿宋_GB2312" w:cs="宋体"/>
                <w:b w:val="0"/>
                <w:bCs w:val="0"/>
                <w:color w:val="000000"/>
                <w:sz w:val="18"/>
                <w:szCs w:val="18"/>
              </w:rPr>
              <w:t xml:space="preserve">            100</w:t>
            </w:r>
          </w:p>
        </w:tc>
        <w:tc>
          <w:tcPr>
            <w:tcW w:w="1842" w:type="dxa"/>
            <w:gridSpan w:val="2"/>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kern w:val="0"/>
                <w:sz w:val="18"/>
                <w:szCs w:val="18"/>
              </w:rPr>
            </w:pPr>
            <w:r>
              <w:rPr>
                <w:rFonts w:hint="eastAsia" w:ascii="仿宋_GB2312" w:hAnsi="宋体" w:eastAsia="仿宋_GB2312" w:cs="宋体"/>
                <w:b w:val="0"/>
                <w:bCs w:val="0"/>
                <w:color w:val="000000"/>
                <w:sz w:val="18"/>
                <w:szCs w:val="18"/>
              </w:rPr>
              <w:t xml:space="preserve">              0</w:t>
            </w:r>
          </w:p>
        </w:tc>
        <w:tc>
          <w:tcPr>
            <w:tcW w:w="170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kern w:val="0"/>
                <w:sz w:val="18"/>
                <w:szCs w:val="18"/>
              </w:rPr>
            </w:pPr>
            <w:r>
              <w:rPr>
                <w:rFonts w:hint="eastAsia" w:ascii="仿宋_GB2312" w:hAnsi="宋体" w:eastAsia="仿宋_GB2312" w:cs="宋体"/>
                <w:b w:val="0"/>
                <w:bCs w:val="0"/>
                <w:color w:val="000000"/>
                <w:sz w:val="18"/>
                <w:szCs w:val="18"/>
              </w:rPr>
              <w:t>100</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b w:val="0"/>
                <w:bCs w:val="0"/>
                <w:color w:val="000000"/>
                <w:sz w:val="18"/>
                <w:szCs w:val="18"/>
              </w:rPr>
              <w:t>210</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b w:val="0"/>
                <w:bCs w:val="0"/>
                <w:color w:val="000000"/>
                <w:sz w:val="18"/>
                <w:szCs w:val="18"/>
              </w:rPr>
              <w:t>15</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b w:val="0"/>
                <w:bCs w:val="0"/>
                <w:color w:val="000000"/>
                <w:sz w:val="18"/>
                <w:szCs w:val="18"/>
              </w:rPr>
              <w:t>99</w:t>
            </w:r>
          </w:p>
        </w:tc>
        <w:tc>
          <w:tcPr>
            <w:tcW w:w="2901" w:type="dxa"/>
            <w:tcBorders>
              <w:top w:val="nil"/>
              <w:left w:val="nil"/>
              <w:bottom w:val="single" w:color="auto" w:sz="4" w:space="0"/>
              <w:right w:val="single" w:color="auto" w:sz="4" w:space="0"/>
            </w:tcBorders>
            <w:vAlign w:val="center"/>
          </w:tcPr>
          <w:p>
            <w:pPr>
              <w:jc w:val="left"/>
              <w:rPr>
                <w:rFonts w:ascii="仿宋_GB2312" w:hAnsi="宋体" w:eastAsia="仿宋_GB2312" w:cs="宋体"/>
                <w:color w:val="000000"/>
                <w:kern w:val="0"/>
                <w:sz w:val="18"/>
                <w:szCs w:val="18"/>
              </w:rPr>
            </w:pPr>
            <w:r>
              <w:rPr>
                <w:rFonts w:hint="eastAsia" w:ascii="仿宋_GB2312" w:hAnsi="宋体" w:eastAsia="仿宋_GB2312" w:cs="宋体"/>
                <w:b w:val="0"/>
                <w:bCs w:val="0"/>
                <w:color w:val="000000"/>
                <w:sz w:val="18"/>
                <w:szCs w:val="18"/>
              </w:rPr>
              <w:t>其他医疗保障管理事务支出</w:t>
            </w:r>
          </w:p>
        </w:tc>
        <w:tc>
          <w:tcPr>
            <w:tcW w:w="1293" w:type="dxa"/>
            <w:gridSpan w:val="2"/>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kern w:val="0"/>
                <w:sz w:val="18"/>
                <w:szCs w:val="18"/>
              </w:rPr>
            </w:pPr>
            <w:r>
              <w:rPr>
                <w:rFonts w:hint="eastAsia" w:ascii="仿宋_GB2312" w:hAnsi="宋体" w:eastAsia="仿宋_GB2312" w:cs="宋体"/>
                <w:b w:val="0"/>
                <w:bCs w:val="0"/>
                <w:color w:val="000000"/>
                <w:sz w:val="18"/>
                <w:szCs w:val="18"/>
              </w:rPr>
              <w:t>1086.5</w:t>
            </w:r>
          </w:p>
        </w:tc>
        <w:tc>
          <w:tcPr>
            <w:tcW w:w="1842" w:type="dxa"/>
            <w:gridSpan w:val="2"/>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kern w:val="0"/>
                <w:sz w:val="18"/>
                <w:szCs w:val="18"/>
              </w:rPr>
            </w:pPr>
            <w:r>
              <w:rPr>
                <w:rFonts w:hint="eastAsia" w:ascii="仿宋_GB2312" w:hAnsi="宋体" w:eastAsia="仿宋_GB2312" w:cs="宋体"/>
                <w:b w:val="0"/>
                <w:bCs w:val="0"/>
                <w:color w:val="000000"/>
                <w:sz w:val="18"/>
                <w:szCs w:val="18"/>
              </w:rPr>
              <w:t xml:space="preserve"> 0</w:t>
            </w:r>
          </w:p>
        </w:tc>
        <w:tc>
          <w:tcPr>
            <w:tcW w:w="170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kern w:val="0"/>
                <w:sz w:val="18"/>
                <w:szCs w:val="18"/>
              </w:rPr>
            </w:pPr>
            <w:r>
              <w:rPr>
                <w:rFonts w:hint="eastAsia" w:ascii="仿宋_GB2312" w:hAnsi="宋体" w:eastAsia="仿宋_GB2312" w:cs="宋体"/>
                <w:b w:val="0"/>
                <w:bCs w:val="0"/>
                <w:color w:val="000000"/>
                <w:sz w:val="18"/>
                <w:szCs w:val="18"/>
              </w:rPr>
              <w:t>1086.5</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29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293"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29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293"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29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293"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29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293"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29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293"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29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293"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29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293"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2901" w:type="dxa"/>
            <w:tcBorders>
              <w:top w:val="nil"/>
              <w:left w:val="nil"/>
              <w:bottom w:val="single" w:color="auto" w:sz="4" w:space="0"/>
              <w:right w:val="single" w:color="auto" w:sz="4" w:space="0"/>
            </w:tcBorders>
            <w:vAlign w:val="center"/>
          </w:tcPr>
          <w:p>
            <w:pPr>
              <w:jc w:val="left"/>
              <w:rPr>
                <w:rFonts w:ascii="仿宋_GB2312" w:hAnsi="宋体" w:eastAsia="仿宋_GB2312" w:cs="宋体"/>
                <w:color w:val="000000"/>
                <w:sz w:val="18"/>
                <w:szCs w:val="18"/>
              </w:rPr>
            </w:pPr>
            <w:r>
              <w:rPr>
                <w:rFonts w:hint="eastAsia" w:ascii="仿宋_GB2312" w:hAnsi="宋体" w:eastAsia="仿宋_GB2312" w:cs="宋体"/>
                <w:color w:val="000000"/>
                <w:sz w:val="18"/>
                <w:szCs w:val="18"/>
              </w:rPr>
              <w:t>合  计</w:t>
            </w:r>
          </w:p>
        </w:tc>
        <w:tc>
          <w:tcPr>
            <w:tcW w:w="1293" w:type="dxa"/>
            <w:gridSpan w:val="2"/>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1573.6</w:t>
            </w:r>
          </w:p>
        </w:tc>
        <w:tc>
          <w:tcPr>
            <w:tcW w:w="1842" w:type="dxa"/>
            <w:gridSpan w:val="2"/>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387.1</w:t>
            </w:r>
          </w:p>
        </w:tc>
        <w:tc>
          <w:tcPr>
            <w:tcW w:w="170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1186.5</w:t>
            </w:r>
          </w:p>
        </w:tc>
      </w:tr>
    </w:tbl>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表六：</w:t>
      </w:r>
    </w:p>
    <w:tbl>
      <w:tblPr>
        <w:tblStyle w:val="9"/>
        <w:tblW w:w="9328" w:type="dxa"/>
        <w:tblInd w:w="-148" w:type="dxa"/>
        <w:tblLayout w:type="fixed"/>
        <w:tblCellMar>
          <w:top w:w="0" w:type="dxa"/>
          <w:left w:w="108" w:type="dxa"/>
          <w:bottom w:w="0" w:type="dxa"/>
          <w:right w:w="108" w:type="dxa"/>
        </w:tblCellMar>
      </w:tblPr>
      <w:tblGrid>
        <w:gridCol w:w="757"/>
        <w:gridCol w:w="577"/>
        <w:gridCol w:w="2891"/>
        <w:gridCol w:w="995"/>
        <w:gridCol w:w="706"/>
        <w:gridCol w:w="976"/>
        <w:gridCol w:w="725"/>
        <w:gridCol w:w="1701"/>
      </w:tblGrid>
      <w:tr>
        <w:tblPrEx>
          <w:tblLayout w:type="fixed"/>
          <w:tblCellMar>
            <w:top w:w="0" w:type="dxa"/>
            <w:left w:w="108" w:type="dxa"/>
            <w:bottom w:w="0" w:type="dxa"/>
            <w:right w:w="108" w:type="dxa"/>
          </w:tblCellMar>
        </w:tblPrEx>
        <w:trPr>
          <w:trHeight w:val="375" w:hRule="atLeast"/>
        </w:trPr>
        <w:tc>
          <w:tcPr>
            <w:tcW w:w="9328" w:type="dxa"/>
            <w:gridSpan w:val="8"/>
            <w:tcBorders>
              <w:top w:val="nil"/>
              <w:left w:val="nil"/>
              <w:bottom w:val="nil"/>
              <w:right w:val="nil"/>
            </w:tcBorders>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一般公共预算基本支出情况表</w:t>
            </w:r>
          </w:p>
        </w:tc>
      </w:tr>
      <w:tr>
        <w:tblPrEx>
          <w:tblLayout w:type="fixed"/>
          <w:tblCellMar>
            <w:top w:w="0" w:type="dxa"/>
            <w:left w:w="108" w:type="dxa"/>
            <w:bottom w:w="0" w:type="dxa"/>
            <w:right w:w="108" w:type="dxa"/>
          </w:tblCellMar>
        </w:tblPrEx>
        <w:trPr>
          <w:trHeight w:val="405" w:hRule="atLeast"/>
        </w:trPr>
        <w:tc>
          <w:tcPr>
            <w:tcW w:w="4225" w:type="dxa"/>
            <w:gridSpan w:val="3"/>
            <w:tcBorders>
              <w:top w:val="nil"/>
              <w:left w:val="nil"/>
              <w:bottom w:val="nil"/>
              <w:right w:val="nil"/>
            </w:tcBorders>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编制部门（单位）：</w:t>
            </w:r>
            <w:r>
              <w:rPr>
                <w:rFonts w:hint="eastAsia" w:ascii="仿宋_GB2312" w:hAnsi="宋体" w:eastAsia="仿宋_GB2312"/>
                <w:kern w:val="0"/>
                <w:sz w:val="24"/>
              </w:rPr>
              <w:t>昌吉州医疗保障局</w:t>
            </w:r>
          </w:p>
        </w:tc>
        <w:tc>
          <w:tcPr>
            <w:tcW w:w="995" w:type="dxa"/>
            <w:tcBorders>
              <w:top w:val="nil"/>
              <w:left w:val="nil"/>
              <w:bottom w:val="nil"/>
              <w:right w:val="nil"/>
            </w:tcBorders>
            <w:noWrap/>
            <w:vAlign w:val="center"/>
          </w:tcPr>
          <w:p>
            <w:pPr>
              <w:widowControl/>
              <w:jc w:val="left"/>
              <w:rPr>
                <w:rFonts w:ascii="仿宋_GB2312" w:hAnsi="宋体" w:eastAsia="仿宋_GB2312" w:cs="宋体"/>
                <w:color w:val="000000"/>
                <w:kern w:val="0"/>
                <w:sz w:val="24"/>
              </w:rPr>
            </w:pPr>
          </w:p>
        </w:tc>
        <w:tc>
          <w:tcPr>
            <w:tcW w:w="1682" w:type="dxa"/>
            <w:gridSpan w:val="2"/>
            <w:tcBorders>
              <w:top w:val="nil"/>
              <w:left w:val="nil"/>
              <w:bottom w:val="nil"/>
              <w:right w:val="nil"/>
            </w:tcBorders>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2"/>
            <w:tcBorders>
              <w:top w:val="nil"/>
              <w:left w:val="nil"/>
              <w:bottom w:val="nil"/>
              <w:right w:val="nil"/>
            </w:tcBorders>
            <w:noWrap/>
            <w:vAlign w:val="center"/>
          </w:tcPr>
          <w:p>
            <w:pPr>
              <w:widowControl/>
              <w:ind w:firstLine="720" w:firstLineChars="300"/>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单位：万元</w:t>
            </w:r>
          </w:p>
        </w:tc>
      </w:tr>
      <w:tr>
        <w:tblPrEx>
          <w:tblLayout w:type="fixed"/>
          <w:tblCellMar>
            <w:top w:w="0" w:type="dxa"/>
            <w:left w:w="108" w:type="dxa"/>
            <w:bottom w:w="0" w:type="dxa"/>
            <w:right w:w="108" w:type="dxa"/>
          </w:tblCellMar>
        </w:tblPrEx>
        <w:trPr>
          <w:trHeight w:val="390" w:hRule="atLeast"/>
        </w:trPr>
        <w:tc>
          <w:tcPr>
            <w:tcW w:w="4225"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5103"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tblPrEx>
          <w:tblLayout w:type="fixed"/>
          <w:tblCellMar>
            <w:top w:w="0" w:type="dxa"/>
            <w:left w:w="108" w:type="dxa"/>
            <w:bottom w:w="0" w:type="dxa"/>
            <w:right w:w="108" w:type="dxa"/>
          </w:tblCellMar>
        </w:tblPrEx>
        <w:trPr>
          <w:trHeight w:val="495" w:hRule="atLeast"/>
        </w:trPr>
        <w:tc>
          <w:tcPr>
            <w:tcW w:w="1334" w:type="dxa"/>
            <w:gridSpan w:val="2"/>
            <w:tcBorders>
              <w:top w:val="single" w:color="auto" w:sz="4" w:space="0"/>
              <w:left w:val="single" w:color="auto" w:sz="4" w:space="0"/>
              <w:bottom w:val="single" w:color="auto" w:sz="4" w:space="0"/>
              <w:right w:val="nil"/>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289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70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合  计</w:t>
            </w:r>
          </w:p>
        </w:tc>
        <w:tc>
          <w:tcPr>
            <w:tcW w:w="170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tblPrEx>
          <w:tblLayout w:type="fixed"/>
          <w:tblCellMar>
            <w:top w:w="0" w:type="dxa"/>
            <w:left w:w="108" w:type="dxa"/>
            <w:bottom w:w="0" w:type="dxa"/>
            <w:right w:w="108" w:type="dxa"/>
          </w:tblCellMar>
        </w:tblPrEx>
        <w:trPr>
          <w:trHeight w:val="260"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289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Layout w:type="fixed"/>
          <w:tblCellMar>
            <w:top w:w="0" w:type="dxa"/>
            <w:left w:w="108" w:type="dxa"/>
            <w:bottom w:w="0" w:type="dxa"/>
            <w:right w:w="108" w:type="dxa"/>
          </w:tblCellMar>
        </w:tblPrEx>
        <w:trPr>
          <w:trHeight w:val="309" w:hRule="atLeast"/>
        </w:trPr>
        <w:tc>
          <w:tcPr>
            <w:tcW w:w="757" w:type="dxa"/>
            <w:tcBorders>
              <w:top w:val="nil"/>
              <w:left w:val="single" w:color="auto" w:sz="4" w:space="0"/>
              <w:bottom w:val="single" w:color="auto" w:sz="4" w:space="0"/>
              <w:right w:val="single" w:color="auto" w:sz="4" w:space="0"/>
            </w:tcBorders>
            <w:vAlign w:val="center"/>
          </w:tcPr>
          <w:p>
            <w:pPr>
              <w:widowControl/>
              <w:jc w:val="right"/>
              <w:textAlignment w:val="center"/>
              <w:rPr>
                <w:rFonts w:ascii="仿宋_GB2312" w:hAnsi="宋体" w:eastAsia="仿宋_GB2312" w:cs="宋体"/>
                <w:color w:val="000000"/>
                <w:kern w:val="0"/>
                <w:sz w:val="18"/>
                <w:szCs w:val="18"/>
              </w:rPr>
            </w:pPr>
          </w:p>
        </w:tc>
        <w:tc>
          <w:tcPr>
            <w:tcW w:w="577" w:type="dxa"/>
            <w:tcBorders>
              <w:top w:val="nil"/>
              <w:left w:val="nil"/>
              <w:bottom w:val="single" w:color="auto" w:sz="4" w:space="0"/>
              <w:right w:val="single" w:color="auto" w:sz="4" w:space="0"/>
            </w:tcBorders>
            <w:vAlign w:val="center"/>
          </w:tcPr>
          <w:p>
            <w:pPr>
              <w:widowControl/>
              <w:jc w:val="right"/>
              <w:textAlignment w:val="center"/>
              <w:rPr>
                <w:rFonts w:ascii="仿宋_GB2312" w:hAnsi="宋体" w:eastAsia="仿宋_GB2312" w:cs="宋体"/>
                <w:color w:val="000000"/>
                <w:kern w:val="0"/>
                <w:sz w:val="18"/>
                <w:szCs w:val="18"/>
              </w:rPr>
            </w:pPr>
          </w:p>
        </w:tc>
        <w:tc>
          <w:tcPr>
            <w:tcW w:w="2891"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合计</w:t>
            </w:r>
          </w:p>
        </w:tc>
        <w:tc>
          <w:tcPr>
            <w:tcW w:w="1701" w:type="dxa"/>
            <w:gridSpan w:val="2"/>
            <w:tcBorders>
              <w:top w:val="nil"/>
              <w:left w:val="nil"/>
              <w:bottom w:val="single" w:color="auto" w:sz="4" w:space="0"/>
              <w:right w:val="single" w:color="auto" w:sz="4" w:space="0"/>
            </w:tcBorders>
            <w:vAlign w:val="center"/>
          </w:tcPr>
          <w:p>
            <w:pPr>
              <w:widowControl/>
              <w:jc w:val="right"/>
              <w:textAlignment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387.1</w:t>
            </w:r>
          </w:p>
        </w:tc>
        <w:tc>
          <w:tcPr>
            <w:tcW w:w="1701" w:type="dxa"/>
            <w:gridSpan w:val="2"/>
            <w:tcBorders>
              <w:top w:val="nil"/>
              <w:left w:val="nil"/>
              <w:bottom w:val="single" w:color="auto" w:sz="4" w:space="0"/>
              <w:right w:val="single" w:color="auto" w:sz="4" w:space="0"/>
            </w:tcBorders>
            <w:vAlign w:val="center"/>
          </w:tcPr>
          <w:p>
            <w:pPr>
              <w:widowControl/>
              <w:jc w:val="right"/>
              <w:textAlignment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351.49</w:t>
            </w:r>
          </w:p>
        </w:tc>
        <w:tc>
          <w:tcPr>
            <w:tcW w:w="1701" w:type="dxa"/>
            <w:tcBorders>
              <w:top w:val="nil"/>
              <w:left w:val="nil"/>
              <w:bottom w:val="single" w:color="auto" w:sz="4" w:space="0"/>
              <w:right w:val="single" w:color="auto" w:sz="4" w:space="0"/>
            </w:tcBorders>
            <w:vAlign w:val="center"/>
          </w:tcPr>
          <w:p>
            <w:pPr>
              <w:widowControl/>
              <w:jc w:val="right"/>
              <w:textAlignment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35.61</w:t>
            </w:r>
          </w:p>
        </w:tc>
      </w:tr>
      <w:tr>
        <w:tblPrEx>
          <w:tblLayout w:type="fixed"/>
          <w:tblCellMar>
            <w:top w:w="0" w:type="dxa"/>
            <w:left w:w="108" w:type="dxa"/>
            <w:bottom w:w="0" w:type="dxa"/>
            <w:right w:w="108" w:type="dxa"/>
          </w:tblCellMar>
        </w:tblPrEx>
        <w:trPr>
          <w:trHeight w:val="309" w:hRule="atLeast"/>
        </w:trPr>
        <w:tc>
          <w:tcPr>
            <w:tcW w:w="757" w:type="dxa"/>
            <w:tcBorders>
              <w:top w:val="nil"/>
              <w:left w:val="single" w:color="auto" w:sz="4" w:space="0"/>
              <w:bottom w:val="single" w:color="auto" w:sz="4" w:space="0"/>
              <w:right w:val="single" w:color="auto" w:sz="4" w:space="0"/>
            </w:tcBorders>
            <w:vAlign w:val="center"/>
          </w:tcPr>
          <w:p>
            <w:pPr>
              <w:widowControl/>
              <w:jc w:val="right"/>
              <w:textAlignment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301</w:t>
            </w:r>
          </w:p>
        </w:tc>
        <w:tc>
          <w:tcPr>
            <w:tcW w:w="577" w:type="dxa"/>
            <w:tcBorders>
              <w:top w:val="nil"/>
              <w:left w:val="nil"/>
              <w:bottom w:val="single" w:color="auto" w:sz="4" w:space="0"/>
              <w:right w:val="single" w:color="auto" w:sz="4" w:space="0"/>
            </w:tcBorders>
            <w:vAlign w:val="center"/>
          </w:tcPr>
          <w:p>
            <w:pPr>
              <w:widowControl/>
              <w:jc w:val="right"/>
              <w:textAlignment w:val="center"/>
              <w:rPr>
                <w:rFonts w:ascii="仿宋_GB2312" w:hAnsi="宋体" w:eastAsia="仿宋_GB2312" w:cs="宋体"/>
                <w:color w:val="000000"/>
                <w:kern w:val="0"/>
                <w:sz w:val="18"/>
                <w:szCs w:val="18"/>
              </w:rPr>
            </w:pPr>
          </w:p>
        </w:tc>
        <w:tc>
          <w:tcPr>
            <w:tcW w:w="2891" w:type="dxa"/>
            <w:tcBorders>
              <w:top w:val="nil"/>
              <w:left w:val="nil"/>
              <w:bottom w:val="single" w:color="auto" w:sz="4" w:space="0"/>
              <w:right w:val="single" w:color="auto" w:sz="4" w:space="0"/>
            </w:tcBorders>
            <w:vAlign w:val="center"/>
          </w:tcPr>
          <w:p>
            <w:pPr>
              <w:widowControl/>
              <w:jc w:val="center"/>
              <w:textAlignment w:val="center"/>
              <w:rPr>
                <w:rFonts w:hint="eastAsia" w:ascii="仿宋_GB2312" w:hAnsi="宋体" w:eastAsia="仿宋_GB2312" w:cs="宋体"/>
                <w:color w:val="000000"/>
                <w:kern w:val="0"/>
                <w:sz w:val="18"/>
                <w:szCs w:val="18"/>
                <w:lang w:eastAsia="zh-CN"/>
              </w:rPr>
            </w:pPr>
            <w:r>
              <w:rPr>
                <w:rFonts w:hint="eastAsia" w:ascii="仿宋_GB2312" w:hAnsi="宋体" w:eastAsia="仿宋_GB2312" w:cs="宋体"/>
                <w:color w:val="000000"/>
                <w:kern w:val="0"/>
                <w:sz w:val="18"/>
                <w:szCs w:val="18"/>
                <w:lang w:eastAsia="zh-CN"/>
              </w:rPr>
              <w:t>工资福利支出</w:t>
            </w:r>
          </w:p>
        </w:tc>
        <w:tc>
          <w:tcPr>
            <w:tcW w:w="1701" w:type="dxa"/>
            <w:gridSpan w:val="2"/>
            <w:tcBorders>
              <w:top w:val="nil"/>
              <w:left w:val="nil"/>
              <w:bottom w:val="single" w:color="auto" w:sz="4" w:space="0"/>
              <w:right w:val="single" w:color="auto" w:sz="4" w:space="0"/>
            </w:tcBorders>
            <w:vAlign w:val="center"/>
          </w:tcPr>
          <w:p>
            <w:pPr>
              <w:widowControl/>
              <w:jc w:val="right"/>
              <w:textAlignment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351.49</w:t>
            </w:r>
          </w:p>
        </w:tc>
        <w:tc>
          <w:tcPr>
            <w:tcW w:w="1701" w:type="dxa"/>
            <w:gridSpan w:val="2"/>
            <w:tcBorders>
              <w:top w:val="nil"/>
              <w:left w:val="nil"/>
              <w:bottom w:val="single" w:color="auto" w:sz="4" w:space="0"/>
              <w:right w:val="single" w:color="auto" w:sz="4" w:space="0"/>
            </w:tcBorders>
            <w:vAlign w:val="center"/>
          </w:tcPr>
          <w:p>
            <w:pPr>
              <w:widowControl/>
              <w:jc w:val="right"/>
              <w:textAlignment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351.49</w:t>
            </w:r>
          </w:p>
        </w:tc>
        <w:tc>
          <w:tcPr>
            <w:tcW w:w="1701" w:type="dxa"/>
            <w:tcBorders>
              <w:top w:val="nil"/>
              <w:left w:val="nil"/>
              <w:bottom w:val="single" w:color="auto" w:sz="4" w:space="0"/>
              <w:right w:val="single" w:color="auto" w:sz="4" w:space="0"/>
            </w:tcBorders>
            <w:vAlign w:val="center"/>
          </w:tcPr>
          <w:p>
            <w:pPr>
              <w:widowControl/>
              <w:jc w:val="right"/>
              <w:textAlignment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w:t>
            </w:r>
          </w:p>
        </w:tc>
      </w:tr>
      <w:tr>
        <w:tblPrEx>
          <w:tblLayout w:type="fixed"/>
          <w:tblCellMar>
            <w:top w:w="0" w:type="dxa"/>
            <w:left w:w="108" w:type="dxa"/>
            <w:bottom w:w="0" w:type="dxa"/>
            <w:right w:w="108" w:type="dxa"/>
          </w:tblCellMar>
        </w:tblPrEx>
        <w:trPr>
          <w:trHeight w:val="309" w:hRule="atLeast"/>
        </w:trPr>
        <w:tc>
          <w:tcPr>
            <w:tcW w:w="757" w:type="dxa"/>
            <w:tcBorders>
              <w:top w:val="nil"/>
              <w:left w:val="single" w:color="auto" w:sz="4" w:space="0"/>
              <w:bottom w:val="single" w:color="auto" w:sz="4" w:space="0"/>
              <w:right w:val="single" w:color="auto" w:sz="4" w:space="0"/>
            </w:tcBorders>
            <w:vAlign w:val="center"/>
          </w:tcPr>
          <w:p>
            <w:pPr>
              <w:widowControl/>
              <w:jc w:val="right"/>
              <w:textAlignment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301</w:t>
            </w:r>
          </w:p>
        </w:tc>
        <w:tc>
          <w:tcPr>
            <w:tcW w:w="577" w:type="dxa"/>
            <w:tcBorders>
              <w:top w:val="nil"/>
              <w:left w:val="nil"/>
              <w:bottom w:val="single" w:color="auto" w:sz="4" w:space="0"/>
              <w:right w:val="single" w:color="auto" w:sz="4" w:space="0"/>
            </w:tcBorders>
            <w:vAlign w:val="center"/>
          </w:tcPr>
          <w:p>
            <w:pPr>
              <w:widowControl/>
              <w:jc w:val="right"/>
              <w:textAlignment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01</w:t>
            </w:r>
          </w:p>
        </w:tc>
        <w:tc>
          <w:tcPr>
            <w:tcW w:w="2891"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基本工资</w:t>
            </w:r>
          </w:p>
        </w:tc>
        <w:tc>
          <w:tcPr>
            <w:tcW w:w="1701" w:type="dxa"/>
            <w:gridSpan w:val="2"/>
            <w:tcBorders>
              <w:top w:val="nil"/>
              <w:left w:val="nil"/>
              <w:bottom w:val="single" w:color="auto" w:sz="4" w:space="0"/>
              <w:right w:val="single" w:color="auto" w:sz="4" w:space="0"/>
            </w:tcBorders>
            <w:vAlign w:val="center"/>
          </w:tcPr>
          <w:p>
            <w:pPr>
              <w:widowControl/>
              <w:jc w:val="right"/>
              <w:textAlignment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121.57</w:t>
            </w:r>
          </w:p>
        </w:tc>
        <w:tc>
          <w:tcPr>
            <w:tcW w:w="1701" w:type="dxa"/>
            <w:gridSpan w:val="2"/>
            <w:tcBorders>
              <w:top w:val="nil"/>
              <w:left w:val="nil"/>
              <w:bottom w:val="single" w:color="auto" w:sz="4" w:space="0"/>
              <w:right w:val="single" w:color="auto" w:sz="4" w:space="0"/>
            </w:tcBorders>
            <w:vAlign w:val="center"/>
          </w:tcPr>
          <w:p>
            <w:pPr>
              <w:widowControl/>
              <w:jc w:val="right"/>
              <w:textAlignment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121.57</w:t>
            </w:r>
          </w:p>
        </w:tc>
        <w:tc>
          <w:tcPr>
            <w:tcW w:w="1701" w:type="dxa"/>
            <w:tcBorders>
              <w:top w:val="nil"/>
              <w:left w:val="nil"/>
              <w:bottom w:val="single" w:color="auto" w:sz="4" w:space="0"/>
              <w:right w:val="single" w:color="auto" w:sz="4" w:space="0"/>
            </w:tcBorders>
            <w:vAlign w:val="center"/>
          </w:tcPr>
          <w:p>
            <w:pPr>
              <w:widowControl/>
              <w:jc w:val="right"/>
              <w:textAlignment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0</w:t>
            </w:r>
          </w:p>
        </w:tc>
      </w:tr>
      <w:tr>
        <w:tblPrEx>
          <w:tblLayout w:type="fixed"/>
          <w:tblCellMar>
            <w:top w:w="0" w:type="dxa"/>
            <w:left w:w="108" w:type="dxa"/>
            <w:bottom w:w="0" w:type="dxa"/>
            <w:right w:w="108" w:type="dxa"/>
          </w:tblCellMar>
        </w:tblPrEx>
        <w:trPr>
          <w:trHeight w:val="309" w:hRule="atLeast"/>
        </w:trPr>
        <w:tc>
          <w:tcPr>
            <w:tcW w:w="757" w:type="dxa"/>
            <w:tcBorders>
              <w:top w:val="nil"/>
              <w:left w:val="single" w:color="auto" w:sz="4" w:space="0"/>
              <w:bottom w:val="single" w:color="auto" w:sz="4" w:space="0"/>
              <w:right w:val="single" w:color="auto" w:sz="4" w:space="0"/>
            </w:tcBorders>
            <w:vAlign w:val="center"/>
          </w:tcPr>
          <w:p>
            <w:pPr>
              <w:widowControl/>
              <w:jc w:val="right"/>
              <w:textAlignment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301</w:t>
            </w:r>
          </w:p>
        </w:tc>
        <w:tc>
          <w:tcPr>
            <w:tcW w:w="577" w:type="dxa"/>
            <w:tcBorders>
              <w:top w:val="nil"/>
              <w:left w:val="nil"/>
              <w:bottom w:val="single" w:color="auto" w:sz="4" w:space="0"/>
              <w:right w:val="single" w:color="auto" w:sz="4" w:space="0"/>
            </w:tcBorders>
            <w:vAlign w:val="center"/>
          </w:tcPr>
          <w:p>
            <w:pPr>
              <w:widowControl/>
              <w:jc w:val="right"/>
              <w:textAlignment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02</w:t>
            </w:r>
          </w:p>
        </w:tc>
        <w:tc>
          <w:tcPr>
            <w:tcW w:w="2891"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津贴补贴</w:t>
            </w:r>
          </w:p>
        </w:tc>
        <w:tc>
          <w:tcPr>
            <w:tcW w:w="1701" w:type="dxa"/>
            <w:gridSpan w:val="2"/>
            <w:tcBorders>
              <w:top w:val="nil"/>
              <w:left w:val="nil"/>
              <w:bottom w:val="single" w:color="auto" w:sz="4" w:space="0"/>
              <w:right w:val="single" w:color="auto" w:sz="4" w:space="0"/>
            </w:tcBorders>
            <w:vAlign w:val="center"/>
          </w:tcPr>
          <w:p>
            <w:pPr>
              <w:widowControl/>
              <w:jc w:val="right"/>
              <w:textAlignment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26.81</w:t>
            </w:r>
          </w:p>
        </w:tc>
        <w:tc>
          <w:tcPr>
            <w:tcW w:w="1701" w:type="dxa"/>
            <w:gridSpan w:val="2"/>
            <w:tcBorders>
              <w:top w:val="nil"/>
              <w:left w:val="nil"/>
              <w:bottom w:val="single" w:color="auto" w:sz="4" w:space="0"/>
              <w:right w:val="single" w:color="auto" w:sz="4" w:space="0"/>
            </w:tcBorders>
            <w:vAlign w:val="center"/>
          </w:tcPr>
          <w:p>
            <w:pPr>
              <w:widowControl/>
              <w:jc w:val="right"/>
              <w:textAlignment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26.81</w:t>
            </w:r>
          </w:p>
        </w:tc>
        <w:tc>
          <w:tcPr>
            <w:tcW w:w="1701" w:type="dxa"/>
            <w:tcBorders>
              <w:top w:val="nil"/>
              <w:left w:val="nil"/>
              <w:bottom w:val="single" w:color="auto" w:sz="4" w:space="0"/>
              <w:right w:val="single" w:color="auto" w:sz="4" w:space="0"/>
            </w:tcBorders>
            <w:vAlign w:val="center"/>
          </w:tcPr>
          <w:p>
            <w:pPr>
              <w:widowControl/>
              <w:jc w:val="right"/>
              <w:textAlignment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0</w:t>
            </w:r>
          </w:p>
        </w:tc>
      </w:tr>
      <w:tr>
        <w:tblPrEx>
          <w:tblLayout w:type="fixed"/>
          <w:tblCellMar>
            <w:top w:w="0" w:type="dxa"/>
            <w:left w:w="108" w:type="dxa"/>
            <w:bottom w:w="0" w:type="dxa"/>
            <w:right w:w="108" w:type="dxa"/>
          </w:tblCellMar>
        </w:tblPrEx>
        <w:trPr>
          <w:trHeight w:val="309" w:hRule="atLeast"/>
        </w:trPr>
        <w:tc>
          <w:tcPr>
            <w:tcW w:w="757" w:type="dxa"/>
            <w:tcBorders>
              <w:top w:val="nil"/>
              <w:left w:val="single" w:color="auto" w:sz="4" w:space="0"/>
              <w:bottom w:val="single" w:color="auto" w:sz="4" w:space="0"/>
              <w:right w:val="single" w:color="auto" w:sz="4" w:space="0"/>
            </w:tcBorders>
            <w:vAlign w:val="center"/>
          </w:tcPr>
          <w:p>
            <w:pPr>
              <w:widowControl/>
              <w:jc w:val="right"/>
              <w:textAlignment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301</w:t>
            </w:r>
          </w:p>
        </w:tc>
        <w:tc>
          <w:tcPr>
            <w:tcW w:w="577" w:type="dxa"/>
            <w:tcBorders>
              <w:top w:val="nil"/>
              <w:left w:val="nil"/>
              <w:bottom w:val="single" w:color="auto" w:sz="4" w:space="0"/>
              <w:right w:val="single" w:color="auto" w:sz="4" w:space="0"/>
            </w:tcBorders>
            <w:vAlign w:val="center"/>
          </w:tcPr>
          <w:p>
            <w:pPr>
              <w:widowControl/>
              <w:jc w:val="right"/>
              <w:textAlignment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03</w:t>
            </w:r>
          </w:p>
        </w:tc>
        <w:tc>
          <w:tcPr>
            <w:tcW w:w="2891"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奖金</w:t>
            </w:r>
          </w:p>
        </w:tc>
        <w:tc>
          <w:tcPr>
            <w:tcW w:w="1701" w:type="dxa"/>
            <w:gridSpan w:val="2"/>
            <w:tcBorders>
              <w:top w:val="nil"/>
              <w:left w:val="nil"/>
              <w:bottom w:val="single" w:color="auto" w:sz="4" w:space="0"/>
              <w:right w:val="single" w:color="auto" w:sz="4" w:space="0"/>
            </w:tcBorders>
            <w:vAlign w:val="center"/>
          </w:tcPr>
          <w:p>
            <w:pPr>
              <w:widowControl/>
              <w:jc w:val="right"/>
              <w:textAlignment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8.32</w:t>
            </w:r>
          </w:p>
        </w:tc>
        <w:tc>
          <w:tcPr>
            <w:tcW w:w="1701" w:type="dxa"/>
            <w:gridSpan w:val="2"/>
            <w:tcBorders>
              <w:top w:val="nil"/>
              <w:left w:val="nil"/>
              <w:bottom w:val="single" w:color="auto" w:sz="4" w:space="0"/>
              <w:right w:val="single" w:color="auto" w:sz="4" w:space="0"/>
            </w:tcBorders>
            <w:vAlign w:val="center"/>
          </w:tcPr>
          <w:p>
            <w:pPr>
              <w:widowControl/>
              <w:jc w:val="right"/>
              <w:textAlignment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8.32</w:t>
            </w:r>
          </w:p>
        </w:tc>
        <w:tc>
          <w:tcPr>
            <w:tcW w:w="1701" w:type="dxa"/>
            <w:tcBorders>
              <w:top w:val="nil"/>
              <w:left w:val="nil"/>
              <w:bottom w:val="single" w:color="auto" w:sz="4" w:space="0"/>
              <w:right w:val="single" w:color="auto" w:sz="4" w:space="0"/>
            </w:tcBorders>
            <w:vAlign w:val="center"/>
          </w:tcPr>
          <w:p>
            <w:pPr>
              <w:widowControl/>
              <w:jc w:val="right"/>
              <w:textAlignment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0</w:t>
            </w:r>
          </w:p>
        </w:tc>
      </w:tr>
      <w:tr>
        <w:tblPrEx>
          <w:tblLayout w:type="fixed"/>
          <w:tblCellMar>
            <w:top w:w="0" w:type="dxa"/>
            <w:left w:w="108" w:type="dxa"/>
            <w:bottom w:w="0" w:type="dxa"/>
            <w:right w:w="108" w:type="dxa"/>
          </w:tblCellMar>
        </w:tblPrEx>
        <w:trPr>
          <w:trHeight w:val="309" w:hRule="atLeast"/>
        </w:trPr>
        <w:tc>
          <w:tcPr>
            <w:tcW w:w="757" w:type="dxa"/>
            <w:tcBorders>
              <w:top w:val="nil"/>
              <w:left w:val="single" w:color="auto" w:sz="4" w:space="0"/>
              <w:bottom w:val="single" w:color="auto" w:sz="4" w:space="0"/>
              <w:right w:val="single" w:color="auto" w:sz="4" w:space="0"/>
            </w:tcBorders>
            <w:vAlign w:val="center"/>
          </w:tcPr>
          <w:p>
            <w:pPr>
              <w:widowControl/>
              <w:jc w:val="right"/>
              <w:textAlignment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301</w:t>
            </w:r>
          </w:p>
        </w:tc>
        <w:tc>
          <w:tcPr>
            <w:tcW w:w="577" w:type="dxa"/>
            <w:tcBorders>
              <w:top w:val="nil"/>
              <w:left w:val="nil"/>
              <w:bottom w:val="single" w:color="auto" w:sz="4" w:space="0"/>
              <w:right w:val="single" w:color="auto" w:sz="4" w:space="0"/>
            </w:tcBorders>
            <w:vAlign w:val="center"/>
          </w:tcPr>
          <w:p>
            <w:pPr>
              <w:widowControl/>
              <w:jc w:val="right"/>
              <w:textAlignment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06</w:t>
            </w:r>
          </w:p>
        </w:tc>
        <w:tc>
          <w:tcPr>
            <w:tcW w:w="2891"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伙食补助费</w:t>
            </w:r>
          </w:p>
        </w:tc>
        <w:tc>
          <w:tcPr>
            <w:tcW w:w="1701" w:type="dxa"/>
            <w:gridSpan w:val="2"/>
            <w:tcBorders>
              <w:top w:val="nil"/>
              <w:left w:val="nil"/>
              <w:bottom w:val="single" w:color="auto" w:sz="4" w:space="0"/>
              <w:right w:val="single" w:color="auto" w:sz="4" w:space="0"/>
            </w:tcBorders>
            <w:vAlign w:val="center"/>
          </w:tcPr>
          <w:p>
            <w:pPr>
              <w:widowControl/>
              <w:jc w:val="right"/>
              <w:textAlignment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32.76</w:t>
            </w:r>
          </w:p>
        </w:tc>
        <w:tc>
          <w:tcPr>
            <w:tcW w:w="1701" w:type="dxa"/>
            <w:gridSpan w:val="2"/>
            <w:tcBorders>
              <w:top w:val="nil"/>
              <w:left w:val="nil"/>
              <w:bottom w:val="single" w:color="auto" w:sz="4" w:space="0"/>
              <w:right w:val="single" w:color="auto" w:sz="4" w:space="0"/>
            </w:tcBorders>
            <w:vAlign w:val="center"/>
          </w:tcPr>
          <w:p>
            <w:pPr>
              <w:widowControl/>
              <w:jc w:val="right"/>
              <w:textAlignment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32.76</w:t>
            </w:r>
          </w:p>
        </w:tc>
        <w:tc>
          <w:tcPr>
            <w:tcW w:w="1701" w:type="dxa"/>
            <w:tcBorders>
              <w:top w:val="nil"/>
              <w:left w:val="nil"/>
              <w:bottom w:val="single" w:color="auto" w:sz="4" w:space="0"/>
              <w:right w:val="single" w:color="auto" w:sz="4" w:space="0"/>
            </w:tcBorders>
            <w:vAlign w:val="center"/>
          </w:tcPr>
          <w:p>
            <w:pPr>
              <w:widowControl/>
              <w:jc w:val="right"/>
              <w:textAlignment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0</w:t>
            </w:r>
          </w:p>
        </w:tc>
      </w:tr>
      <w:tr>
        <w:tblPrEx>
          <w:tblLayout w:type="fixed"/>
          <w:tblCellMar>
            <w:top w:w="0" w:type="dxa"/>
            <w:left w:w="108" w:type="dxa"/>
            <w:bottom w:w="0" w:type="dxa"/>
            <w:right w:w="108" w:type="dxa"/>
          </w:tblCellMar>
        </w:tblPrEx>
        <w:trPr>
          <w:trHeight w:val="309" w:hRule="atLeast"/>
        </w:trPr>
        <w:tc>
          <w:tcPr>
            <w:tcW w:w="757" w:type="dxa"/>
            <w:tcBorders>
              <w:top w:val="nil"/>
              <w:left w:val="single" w:color="auto" w:sz="4" w:space="0"/>
              <w:bottom w:val="single" w:color="auto" w:sz="4" w:space="0"/>
              <w:right w:val="single" w:color="auto" w:sz="4" w:space="0"/>
            </w:tcBorders>
            <w:vAlign w:val="center"/>
          </w:tcPr>
          <w:p>
            <w:pPr>
              <w:widowControl/>
              <w:jc w:val="right"/>
              <w:textAlignment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301</w:t>
            </w:r>
          </w:p>
        </w:tc>
        <w:tc>
          <w:tcPr>
            <w:tcW w:w="577" w:type="dxa"/>
            <w:tcBorders>
              <w:top w:val="nil"/>
              <w:left w:val="nil"/>
              <w:bottom w:val="single" w:color="auto" w:sz="4" w:space="0"/>
              <w:right w:val="single" w:color="auto" w:sz="4" w:space="0"/>
            </w:tcBorders>
            <w:vAlign w:val="center"/>
          </w:tcPr>
          <w:p>
            <w:pPr>
              <w:widowControl/>
              <w:jc w:val="right"/>
              <w:textAlignment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07</w:t>
            </w:r>
          </w:p>
        </w:tc>
        <w:tc>
          <w:tcPr>
            <w:tcW w:w="2891"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绩效工资</w:t>
            </w:r>
          </w:p>
        </w:tc>
        <w:tc>
          <w:tcPr>
            <w:tcW w:w="1701" w:type="dxa"/>
            <w:gridSpan w:val="2"/>
            <w:tcBorders>
              <w:top w:val="nil"/>
              <w:left w:val="nil"/>
              <w:bottom w:val="single" w:color="auto" w:sz="4" w:space="0"/>
              <w:right w:val="single" w:color="auto" w:sz="4" w:space="0"/>
            </w:tcBorders>
            <w:vAlign w:val="center"/>
          </w:tcPr>
          <w:p>
            <w:pPr>
              <w:widowControl/>
              <w:jc w:val="right"/>
              <w:textAlignment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45.92</w:t>
            </w:r>
          </w:p>
        </w:tc>
        <w:tc>
          <w:tcPr>
            <w:tcW w:w="1701" w:type="dxa"/>
            <w:gridSpan w:val="2"/>
            <w:tcBorders>
              <w:top w:val="nil"/>
              <w:left w:val="nil"/>
              <w:bottom w:val="single" w:color="auto" w:sz="4" w:space="0"/>
              <w:right w:val="single" w:color="auto" w:sz="4" w:space="0"/>
            </w:tcBorders>
            <w:vAlign w:val="center"/>
          </w:tcPr>
          <w:p>
            <w:pPr>
              <w:widowControl/>
              <w:jc w:val="right"/>
              <w:textAlignment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45.92</w:t>
            </w:r>
          </w:p>
        </w:tc>
        <w:tc>
          <w:tcPr>
            <w:tcW w:w="1701" w:type="dxa"/>
            <w:tcBorders>
              <w:top w:val="nil"/>
              <w:left w:val="nil"/>
              <w:bottom w:val="single" w:color="auto" w:sz="4" w:space="0"/>
              <w:right w:val="single" w:color="auto" w:sz="4" w:space="0"/>
            </w:tcBorders>
            <w:vAlign w:val="center"/>
          </w:tcPr>
          <w:p>
            <w:pPr>
              <w:widowControl/>
              <w:jc w:val="right"/>
              <w:textAlignment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0</w:t>
            </w:r>
          </w:p>
        </w:tc>
      </w:tr>
      <w:tr>
        <w:tblPrEx>
          <w:tblLayout w:type="fixed"/>
          <w:tblCellMar>
            <w:top w:w="0" w:type="dxa"/>
            <w:left w:w="108" w:type="dxa"/>
            <w:bottom w:w="0" w:type="dxa"/>
            <w:right w:w="108" w:type="dxa"/>
          </w:tblCellMar>
        </w:tblPrEx>
        <w:trPr>
          <w:trHeight w:val="309" w:hRule="atLeast"/>
        </w:trPr>
        <w:tc>
          <w:tcPr>
            <w:tcW w:w="757" w:type="dxa"/>
            <w:tcBorders>
              <w:top w:val="nil"/>
              <w:left w:val="single" w:color="auto" w:sz="4" w:space="0"/>
              <w:bottom w:val="single" w:color="auto" w:sz="4" w:space="0"/>
              <w:right w:val="single" w:color="auto" w:sz="4" w:space="0"/>
            </w:tcBorders>
            <w:vAlign w:val="center"/>
          </w:tcPr>
          <w:p>
            <w:pPr>
              <w:widowControl/>
              <w:jc w:val="right"/>
              <w:textAlignment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301</w:t>
            </w:r>
          </w:p>
        </w:tc>
        <w:tc>
          <w:tcPr>
            <w:tcW w:w="577" w:type="dxa"/>
            <w:tcBorders>
              <w:top w:val="nil"/>
              <w:left w:val="nil"/>
              <w:bottom w:val="single" w:color="auto" w:sz="4" w:space="0"/>
              <w:right w:val="single" w:color="auto" w:sz="4" w:space="0"/>
            </w:tcBorders>
            <w:vAlign w:val="center"/>
          </w:tcPr>
          <w:p>
            <w:pPr>
              <w:widowControl/>
              <w:jc w:val="right"/>
              <w:textAlignment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99</w:t>
            </w:r>
          </w:p>
        </w:tc>
        <w:tc>
          <w:tcPr>
            <w:tcW w:w="2891"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其它工资福利支出</w:t>
            </w:r>
          </w:p>
        </w:tc>
        <w:tc>
          <w:tcPr>
            <w:tcW w:w="1701" w:type="dxa"/>
            <w:gridSpan w:val="2"/>
            <w:tcBorders>
              <w:top w:val="nil"/>
              <w:left w:val="nil"/>
              <w:bottom w:val="single" w:color="auto" w:sz="4" w:space="0"/>
              <w:right w:val="single" w:color="auto" w:sz="4" w:space="0"/>
            </w:tcBorders>
            <w:vAlign w:val="center"/>
          </w:tcPr>
          <w:p>
            <w:pPr>
              <w:widowControl/>
              <w:jc w:val="right"/>
              <w:textAlignment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34.54</w:t>
            </w:r>
          </w:p>
        </w:tc>
        <w:tc>
          <w:tcPr>
            <w:tcW w:w="1701" w:type="dxa"/>
            <w:gridSpan w:val="2"/>
            <w:tcBorders>
              <w:top w:val="nil"/>
              <w:left w:val="nil"/>
              <w:bottom w:val="single" w:color="auto" w:sz="4" w:space="0"/>
              <w:right w:val="single" w:color="auto" w:sz="4" w:space="0"/>
            </w:tcBorders>
            <w:vAlign w:val="center"/>
          </w:tcPr>
          <w:p>
            <w:pPr>
              <w:widowControl/>
              <w:jc w:val="right"/>
              <w:textAlignment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34.54</w:t>
            </w:r>
          </w:p>
        </w:tc>
        <w:tc>
          <w:tcPr>
            <w:tcW w:w="1701" w:type="dxa"/>
            <w:tcBorders>
              <w:top w:val="nil"/>
              <w:left w:val="nil"/>
              <w:bottom w:val="single" w:color="auto" w:sz="4" w:space="0"/>
              <w:right w:val="single" w:color="auto" w:sz="4" w:space="0"/>
            </w:tcBorders>
            <w:vAlign w:val="center"/>
          </w:tcPr>
          <w:p>
            <w:pPr>
              <w:widowControl/>
              <w:jc w:val="right"/>
              <w:textAlignment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w:t>
            </w:r>
          </w:p>
        </w:tc>
      </w:tr>
      <w:tr>
        <w:tblPrEx>
          <w:tblLayout w:type="fixed"/>
          <w:tblCellMar>
            <w:top w:w="0" w:type="dxa"/>
            <w:left w:w="108" w:type="dxa"/>
            <w:bottom w:w="0" w:type="dxa"/>
            <w:right w:w="108" w:type="dxa"/>
          </w:tblCellMar>
        </w:tblPrEx>
        <w:trPr>
          <w:trHeight w:val="309" w:hRule="atLeast"/>
        </w:trPr>
        <w:tc>
          <w:tcPr>
            <w:tcW w:w="757" w:type="dxa"/>
            <w:tcBorders>
              <w:top w:val="nil"/>
              <w:left w:val="single" w:color="auto" w:sz="4" w:space="0"/>
              <w:bottom w:val="single" w:color="auto" w:sz="4" w:space="0"/>
              <w:right w:val="single" w:color="auto" w:sz="4" w:space="0"/>
            </w:tcBorders>
            <w:vAlign w:val="center"/>
          </w:tcPr>
          <w:p>
            <w:pPr>
              <w:widowControl/>
              <w:jc w:val="right"/>
              <w:textAlignment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301</w:t>
            </w:r>
          </w:p>
        </w:tc>
        <w:tc>
          <w:tcPr>
            <w:tcW w:w="577" w:type="dxa"/>
            <w:tcBorders>
              <w:top w:val="nil"/>
              <w:left w:val="nil"/>
              <w:bottom w:val="single" w:color="auto" w:sz="4" w:space="0"/>
              <w:right w:val="single" w:color="auto" w:sz="4" w:space="0"/>
            </w:tcBorders>
            <w:vAlign w:val="center"/>
          </w:tcPr>
          <w:p>
            <w:pPr>
              <w:widowControl/>
              <w:jc w:val="right"/>
              <w:textAlignment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08</w:t>
            </w:r>
          </w:p>
        </w:tc>
        <w:tc>
          <w:tcPr>
            <w:tcW w:w="2891"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机关事业单位基本养老保险缴费</w:t>
            </w:r>
          </w:p>
        </w:tc>
        <w:tc>
          <w:tcPr>
            <w:tcW w:w="1701" w:type="dxa"/>
            <w:gridSpan w:val="2"/>
            <w:tcBorders>
              <w:top w:val="nil"/>
              <w:left w:val="nil"/>
              <w:bottom w:val="single" w:color="auto" w:sz="4" w:space="0"/>
              <w:right w:val="single" w:color="auto" w:sz="4" w:space="0"/>
            </w:tcBorders>
            <w:vAlign w:val="center"/>
          </w:tcPr>
          <w:p>
            <w:pPr>
              <w:widowControl/>
              <w:jc w:val="right"/>
              <w:textAlignment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32.01</w:t>
            </w:r>
          </w:p>
        </w:tc>
        <w:tc>
          <w:tcPr>
            <w:tcW w:w="1701" w:type="dxa"/>
            <w:gridSpan w:val="2"/>
            <w:tcBorders>
              <w:top w:val="nil"/>
              <w:left w:val="nil"/>
              <w:bottom w:val="single" w:color="auto" w:sz="4" w:space="0"/>
              <w:right w:val="single" w:color="auto" w:sz="4" w:space="0"/>
            </w:tcBorders>
            <w:vAlign w:val="center"/>
          </w:tcPr>
          <w:p>
            <w:pPr>
              <w:widowControl/>
              <w:jc w:val="right"/>
              <w:textAlignment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32.01</w:t>
            </w:r>
          </w:p>
        </w:tc>
        <w:tc>
          <w:tcPr>
            <w:tcW w:w="1701" w:type="dxa"/>
            <w:tcBorders>
              <w:top w:val="nil"/>
              <w:left w:val="nil"/>
              <w:bottom w:val="single" w:color="auto" w:sz="4" w:space="0"/>
              <w:right w:val="single" w:color="auto" w:sz="4" w:space="0"/>
            </w:tcBorders>
            <w:vAlign w:val="center"/>
          </w:tcPr>
          <w:p>
            <w:pPr>
              <w:widowControl/>
              <w:jc w:val="right"/>
              <w:textAlignment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0</w:t>
            </w:r>
          </w:p>
        </w:tc>
      </w:tr>
      <w:tr>
        <w:tblPrEx>
          <w:tblLayout w:type="fixed"/>
          <w:tblCellMar>
            <w:top w:w="0" w:type="dxa"/>
            <w:left w:w="108" w:type="dxa"/>
            <w:bottom w:w="0" w:type="dxa"/>
            <w:right w:w="108" w:type="dxa"/>
          </w:tblCellMar>
        </w:tblPrEx>
        <w:trPr>
          <w:trHeight w:val="309" w:hRule="atLeast"/>
        </w:trPr>
        <w:tc>
          <w:tcPr>
            <w:tcW w:w="757" w:type="dxa"/>
            <w:tcBorders>
              <w:top w:val="nil"/>
              <w:left w:val="single" w:color="auto" w:sz="4" w:space="0"/>
              <w:bottom w:val="single" w:color="auto" w:sz="4" w:space="0"/>
              <w:right w:val="single" w:color="auto" w:sz="4" w:space="0"/>
            </w:tcBorders>
            <w:vAlign w:val="center"/>
          </w:tcPr>
          <w:p>
            <w:pPr>
              <w:widowControl/>
              <w:jc w:val="right"/>
              <w:textAlignment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301</w:t>
            </w:r>
          </w:p>
        </w:tc>
        <w:tc>
          <w:tcPr>
            <w:tcW w:w="577" w:type="dxa"/>
            <w:tcBorders>
              <w:top w:val="nil"/>
              <w:left w:val="nil"/>
              <w:bottom w:val="single" w:color="auto" w:sz="4" w:space="0"/>
              <w:right w:val="single" w:color="auto" w:sz="4" w:space="0"/>
            </w:tcBorders>
            <w:vAlign w:val="center"/>
          </w:tcPr>
          <w:p>
            <w:pPr>
              <w:widowControl/>
              <w:jc w:val="right"/>
              <w:textAlignment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10</w:t>
            </w:r>
          </w:p>
        </w:tc>
        <w:tc>
          <w:tcPr>
            <w:tcW w:w="2891"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职工基本医疗保险缴费</w:t>
            </w:r>
          </w:p>
        </w:tc>
        <w:tc>
          <w:tcPr>
            <w:tcW w:w="1701" w:type="dxa"/>
            <w:gridSpan w:val="2"/>
            <w:tcBorders>
              <w:top w:val="nil"/>
              <w:left w:val="nil"/>
              <w:bottom w:val="single" w:color="auto" w:sz="4" w:space="0"/>
              <w:right w:val="single" w:color="auto" w:sz="4" w:space="0"/>
            </w:tcBorders>
            <w:vAlign w:val="center"/>
          </w:tcPr>
          <w:p>
            <w:pPr>
              <w:widowControl/>
              <w:jc w:val="right"/>
              <w:textAlignment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19</w:t>
            </w:r>
          </w:p>
        </w:tc>
        <w:tc>
          <w:tcPr>
            <w:tcW w:w="1701" w:type="dxa"/>
            <w:gridSpan w:val="2"/>
            <w:tcBorders>
              <w:top w:val="nil"/>
              <w:left w:val="nil"/>
              <w:bottom w:val="single" w:color="auto" w:sz="4" w:space="0"/>
              <w:right w:val="single" w:color="auto" w:sz="4" w:space="0"/>
            </w:tcBorders>
            <w:vAlign w:val="center"/>
          </w:tcPr>
          <w:p>
            <w:pPr>
              <w:widowControl/>
              <w:jc w:val="right"/>
              <w:textAlignment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19</w:t>
            </w:r>
          </w:p>
        </w:tc>
        <w:tc>
          <w:tcPr>
            <w:tcW w:w="1701" w:type="dxa"/>
            <w:tcBorders>
              <w:top w:val="nil"/>
              <w:left w:val="nil"/>
              <w:bottom w:val="single" w:color="auto" w:sz="4" w:space="0"/>
              <w:right w:val="single" w:color="auto" w:sz="4" w:space="0"/>
            </w:tcBorders>
            <w:vAlign w:val="center"/>
          </w:tcPr>
          <w:p>
            <w:pPr>
              <w:widowControl/>
              <w:jc w:val="right"/>
              <w:textAlignment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0</w:t>
            </w:r>
          </w:p>
        </w:tc>
      </w:tr>
      <w:tr>
        <w:tblPrEx>
          <w:tblLayout w:type="fixed"/>
          <w:tblCellMar>
            <w:top w:w="0" w:type="dxa"/>
            <w:left w:w="108" w:type="dxa"/>
            <w:bottom w:w="0" w:type="dxa"/>
            <w:right w:w="108" w:type="dxa"/>
          </w:tblCellMar>
        </w:tblPrEx>
        <w:trPr>
          <w:trHeight w:val="309" w:hRule="atLeast"/>
        </w:trPr>
        <w:tc>
          <w:tcPr>
            <w:tcW w:w="757" w:type="dxa"/>
            <w:tcBorders>
              <w:top w:val="nil"/>
              <w:left w:val="single" w:color="auto" w:sz="4" w:space="0"/>
              <w:bottom w:val="single" w:color="auto" w:sz="4" w:space="0"/>
              <w:right w:val="single" w:color="auto" w:sz="4" w:space="0"/>
            </w:tcBorders>
            <w:vAlign w:val="center"/>
          </w:tcPr>
          <w:p>
            <w:pPr>
              <w:widowControl/>
              <w:jc w:val="right"/>
              <w:textAlignment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301</w:t>
            </w:r>
          </w:p>
        </w:tc>
        <w:tc>
          <w:tcPr>
            <w:tcW w:w="577" w:type="dxa"/>
            <w:tcBorders>
              <w:top w:val="nil"/>
              <w:left w:val="nil"/>
              <w:bottom w:val="single" w:color="auto" w:sz="4" w:space="0"/>
              <w:right w:val="single" w:color="auto" w:sz="4" w:space="0"/>
            </w:tcBorders>
            <w:vAlign w:val="center"/>
          </w:tcPr>
          <w:p>
            <w:pPr>
              <w:widowControl/>
              <w:jc w:val="right"/>
              <w:textAlignment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11</w:t>
            </w:r>
          </w:p>
        </w:tc>
        <w:tc>
          <w:tcPr>
            <w:tcW w:w="2891"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公务员医疗补助缴费</w:t>
            </w:r>
          </w:p>
        </w:tc>
        <w:tc>
          <w:tcPr>
            <w:tcW w:w="1701" w:type="dxa"/>
            <w:gridSpan w:val="2"/>
            <w:tcBorders>
              <w:top w:val="nil"/>
              <w:left w:val="nil"/>
              <w:bottom w:val="single" w:color="auto" w:sz="4" w:space="0"/>
              <w:right w:val="single" w:color="auto" w:sz="4" w:space="0"/>
            </w:tcBorders>
            <w:vAlign w:val="center"/>
          </w:tcPr>
          <w:p>
            <w:pPr>
              <w:widowControl/>
              <w:jc w:val="right"/>
              <w:textAlignment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w:t>
            </w:r>
          </w:p>
        </w:tc>
        <w:tc>
          <w:tcPr>
            <w:tcW w:w="1701" w:type="dxa"/>
            <w:gridSpan w:val="2"/>
            <w:tcBorders>
              <w:top w:val="nil"/>
              <w:left w:val="nil"/>
              <w:bottom w:val="single" w:color="auto" w:sz="4" w:space="0"/>
              <w:right w:val="single" w:color="auto" w:sz="4" w:space="0"/>
            </w:tcBorders>
            <w:vAlign w:val="center"/>
          </w:tcPr>
          <w:p>
            <w:pPr>
              <w:widowControl/>
              <w:jc w:val="right"/>
              <w:textAlignment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w:t>
            </w:r>
          </w:p>
        </w:tc>
        <w:tc>
          <w:tcPr>
            <w:tcW w:w="1701" w:type="dxa"/>
            <w:tcBorders>
              <w:top w:val="nil"/>
              <w:left w:val="nil"/>
              <w:bottom w:val="single" w:color="auto" w:sz="4" w:space="0"/>
              <w:right w:val="single" w:color="auto" w:sz="4" w:space="0"/>
            </w:tcBorders>
            <w:vAlign w:val="center"/>
          </w:tcPr>
          <w:p>
            <w:pPr>
              <w:widowControl/>
              <w:jc w:val="right"/>
              <w:textAlignment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0</w:t>
            </w:r>
          </w:p>
        </w:tc>
      </w:tr>
      <w:tr>
        <w:tblPrEx>
          <w:tblLayout w:type="fixed"/>
          <w:tblCellMar>
            <w:top w:w="0" w:type="dxa"/>
            <w:left w:w="108" w:type="dxa"/>
            <w:bottom w:w="0" w:type="dxa"/>
            <w:right w:w="108" w:type="dxa"/>
          </w:tblCellMar>
        </w:tblPrEx>
        <w:trPr>
          <w:trHeight w:val="309" w:hRule="atLeast"/>
        </w:trPr>
        <w:tc>
          <w:tcPr>
            <w:tcW w:w="757" w:type="dxa"/>
            <w:tcBorders>
              <w:top w:val="nil"/>
              <w:left w:val="single" w:color="auto" w:sz="4" w:space="0"/>
              <w:bottom w:val="single" w:color="auto" w:sz="4" w:space="0"/>
              <w:right w:val="single" w:color="auto" w:sz="4" w:space="0"/>
            </w:tcBorders>
            <w:vAlign w:val="center"/>
          </w:tcPr>
          <w:p>
            <w:pPr>
              <w:widowControl/>
              <w:jc w:val="right"/>
              <w:textAlignment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301</w:t>
            </w:r>
          </w:p>
        </w:tc>
        <w:tc>
          <w:tcPr>
            <w:tcW w:w="577" w:type="dxa"/>
            <w:tcBorders>
              <w:top w:val="nil"/>
              <w:left w:val="nil"/>
              <w:bottom w:val="single" w:color="auto" w:sz="4" w:space="0"/>
              <w:right w:val="single" w:color="auto" w:sz="4" w:space="0"/>
            </w:tcBorders>
            <w:vAlign w:val="center"/>
          </w:tcPr>
          <w:p>
            <w:pPr>
              <w:widowControl/>
              <w:jc w:val="right"/>
              <w:textAlignment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12</w:t>
            </w:r>
          </w:p>
        </w:tc>
        <w:tc>
          <w:tcPr>
            <w:tcW w:w="2891"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其他社会保障缴费</w:t>
            </w:r>
          </w:p>
        </w:tc>
        <w:tc>
          <w:tcPr>
            <w:tcW w:w="1701" w:type="dxa"/>
            <w:gridSpan w:val="2"/>
            <w:tcBorders>
              <w:top w:val="nil"/>
              <w:left w:val="nil"/>
              <w:bottom w:val="single" w:color="auto" w:sz="4" w:space="0"/>
              <w:right w:val="single" w:color="auto" w:sz="4" w:space="0"/>
            </w:tcBorders>
            <w:vAlign w:val="center"/>
          </w:tcPr>
          <w:p>
            <w:pPr>
              <w:widowControl/>
              <w:jc w:val="right"/>
              <w:textAlignment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0.56</w:t>
            </w:r>
          </w:p>
        </w:tc>
        <w:tc>
          <w:tcPr>
            <w:tcW w:w="1701" w:type="dxa"/>
            <w:gridSpan w:val="2"/>
            <w:tcBorders>
              <w:top w:val="nil"/>
              <w:left w:val="nil"/>
              <w:bottom w:val="single" w:color="auto" w:sz="4" w:space="0"/>
              <w:right w:val="single" w:color="auto" w:sz="4" w:space="0"/>
            </w:tcBorders>
            <w:vAlign w:val="center"/>
          </w:tcPr>
          <w:p>
            <w:pPr>
              <w:widowControl/>
              <w:jc w:val="right"/>
              <w:textAlignment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0.56</w:t>
            </w:r>
          </w:p>
        </w:tc>
        <w:tc>
          <w:tcPr>
            <w:tcW w:w="1701" w:type="dxa"/>
            <w:tcBorders>
              <w:top w:val="nil"/>
              <w:left w:val="nil"/>
              <w:bottom w:val="single" w:color="auto" w:sz="4" w:space="0"/>
              <w:right w:val="single" w:color="auto" w:sz="4" w:space="0"/>
            </w:tcBorders>
            <w:vAlign w:val="center"/>
          </w:tcPr>
          <w:p>
            <w:pPr>
              <w:widowControl/>
              <w:jc w:val="right"/>
              <w:textAlignment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0</w:t>
            </w:r>
          </w:p>
        </w:tc>
      </w:tr>
      <w:tr>
        <w:tblPrEx>
          <w:tblLayout w:type="fixed"/>
          <w:tblCellMar>
            <w:top w:w="0" w:type="dxa"/>
            <w:left w:w="108" w:type="dxa"/>
            <w:bottom w:w="0" w:type="dxa"/>
            <w:right w:w="108" w:type="dxa"/>
          </w:tblCellMar>
        </w:tblPrEx>
        <w:trPr>
          <w:trHeight w:val="309" w:hRule="atLeast"/>
        </w:trPr>
        <w:tc>
          <w:tcPr>
            <w:tcW w:w="757" w:type="dxa"/>
            <w:tcBorders>
              <w:top w:val="nil"/>
              <w:left w:val="single" w:color="auto" w:sz="4" w:space="0"/>
              <w:bottom w:val="single" w:color="auto" w:sz="4" w:space="0"/>
              <w:right w:val="single" w:color="auto" w:sz="4" w:space="0"/>
            </w:tcBorders>
            <w:vAlign w:val="center"/>
          </w:tcPr>
          <w:p>
            <w:pPr>
              <w:widowControl/>
              <w:jc w:val="right"/>
              <w:textAlignment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301</w:t>
            </w:r>
          </w:p>
        </w:tc>
        <w:tc>
          <w:tcPr>
            <w:tcW w:w="577" w:type="dxa"/>
            <w:tcBorders>
              <w:top w:val="nil"/>
              <w:left w:val="nil"/>
              <w:bottom w:val="single" w:color="auto" w:sz="4" w:space="0"/>
              <w:right w:val="single" w:color="auto" w:sz="4" w:space="0"/>
            </w:tcBorders>
            <w:vAlign w:val="center"/>
          </w:tcPr>
          <w:p>
            <w:pPr>
              <w:widowControl/>
              <w:jc w:val="right"/>
              <w:textAlignment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13</w:t>
            </w:r>
          </w:p>
        </w:tc>
        <w:tc>
          <w:tcPr>
            <w:tcW w:w="2891"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住房公积金</w:t>
            </w:r>
          </w:p>
        </w:tc>
        <w:tc>
          <w:tcPr>
            <w:tcW w:w="1701" w:type="dxa"/>
            <w:gridSpan w:val="2"/>
            <w:tcBorders>
              <w:top w:val="nil"/>
              <w:left w:val="nil"/>
              <w:bottom w:val="single" w:color="auto" w:sz="4" w:space="0"/>
              <w:right w:val="single" w:color="auto" w:sz="4" w:space="0"/>
            </w:tcBorders>
            <w:vAlign w:val="center"/>
          </w:tcPr>
          <w:p>
            <w:pPr>
              <w:widowControl/>
              <w:jc w:val="right"/>
              <w:textAlignment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24</w:t>
            </w:r>
          </w:p>
        </w:tc>
        <w:tc>
          <w:tcPr>
            <w:tcW w:w="1701" w:type="dxa"/>
            <w:gridSpan w:val="2"/>
            <w:tcBorders>
              <w:top w:val="nil"/>
              <w:left w:val="nil"/>
              <w:bottom w:val="single" w:color="auto" w:sz="4" w:space="0"/>
              <w:right w:val="single" w:color="auto" w:sz="4" w:space="0"/>
            </w:tcBorders>
            <w:vAlign w:val="center"/>
          </w:tcPr>
          <w:p>
            <w:pPr>
              <w:widowControl/>
              <w:jc w:val="right"/>
              <w:textAlignment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24</w:t>
            </w:r>
          </w:p>
        </w:tc>
        <w:tc>
          <w:tcPr>
            <w:tcW w:w="1701" w:type="dxa"/>
            <w:tcBorders>
              <w:top w:val="nil"/>
              <w:left w:val="nil"/>
              <w:bottom w:val="single" w:color="auto" w:sz="4" w:space="0"/>
              <w:right w:val="single" w:color="auto" w:sz="4" w:space="0"/>
            </w:tcBorders>
            <w:vAlign w:val="center"/>
          </w:tcPr>
          <w:p>
            <w:pPr>
              <w:widowControl/>
              <w:jc w:val="right"/>
              <w:textAlignment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0</w:t>
            </w:r>
          </w:p>
        </w:tc>
      </w:tr>
      <w:tr>
        <w:tblPrEx>
          <w:tblLayout w:type="fixed"/>
          <w:tblCellMar>
            <w:top w:w="0" w:type="dxa"/>
            <w:left w:w="108" w:type="dxa"/>
            <w:bottom w:w="0" w:type="dxa"/>
            <w:right w:w="108" w:type="dxa"/>
          </w:tblCellMar>
        </w:tblPrEx>
        <w:trPr>
          <w:trHeight w:val="309" w:hRule="atLeast"/>
        </w:trPr>
        <w:tc>
          <w:tcPr>
            <w:tcW w:w="757" w:type="dxa"/>
            <w:tcBorders>
              <w:top w:val="nil"/>
              <w:left w:val="single" w:color="auto" w:sz="4" w:space="0"/>
              <w:bottom w:val="single" w:color="auto" w:sz="4" w:space="0"/>
              <w:right w:val="single" w:color="auto" w:sz="4" w:space="0"/>
            </w:tcBorders>
            <w:vAlign w:val="center"/>
          </w:tcPr>
          <w:p>
            <w:pPr>
              <w:widowControl/>
              <w:jc w:val="right"/>
              <w:textAlignment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302</w:t>
            </w:r>
          </w:p>
        </w:tc>
        <w:tc>
          <w:tcPr>
            <w:tcW w:w="577" w:type="dxa"/>
            <w:tcBorders>
              <w:top w:val="nil"/>
              <w:left w:val="nil"/>
              <w:bottom w:val="single" w:color="auto" w:sz="4" w:space="0"/>
              <w:right w:val="single" w:color="auto" w:sz="4" w:space="0"/>
            </w:tcBorders>
            <w:vAlign w:val="center"/>
          </w:tcPr>
          <w:p>
            <w:pPr>
              <w:widowControl/>
              <w:jc w:val="right"/>
              <w:textAlignment w:val="center"/>
              <w:rPr>
                <w:rFonts w:ascii="仿宋_GB2312" w:hAnsi="宋体" w:eastAsia="仿宋_GB2312" w:cs="宋体"/>
                <w:color w:val="000000"/>
                <w:kern w:val="0"/>
                <w:sz w:val="18"/>
                <w:szCs w:val="18"/>
              </w:rPr>
            </w:pPr>
          </w:p>
        </w:tc>
        <w:tc>
          <w:tcPr>
            <w:tcW w:w="2891" w:type="dxa"/>
            <w:tcBorders>
              <w:top w:val="nil"/>
              <w:left w:val="nil"/>
              <w:bottom w:val="single" w:color="auto" w:sz="4" w:space="0"/>
              <w:right w:val="single" w:color="auto" w:sz="4" w:space="0"/>
            </w:tcBorders>
            <w:vAlign w:val="center"/>
          </w:tcPr>
          <w:p>
            <w:pPr>
              <w:widowControl/>
              <w:jc w:val="center"/>
              <w:textAlignment w:val="center"/>
              <w:rPr>
                <w:rFonts w:hint="eastAsia" w:ascii="仿宋_GB2312" w:hAnsi="宋体" w:eastAsia="仿宋_GB2312" w:cs="宋体"/>
                <w:color w:val="000000"/>
                <w:kern w:val="0"/>
                <w:sz w:val="18"/>
                <w:szCs w:val="18"/>
                <w:lang w:eastAsia="zh-CN"/>
              </w:rPr>
            </w:pPr>
            <w:r>
              <w:rPr>
                <w:rFonts w:hint="eastAsia" w:ascii="仿宋_GB2312" w:hAnsi="宋体" w:eastAsia="仿宋_GB2312" w:cs="宋体"/>
                <w:color w:val="000000"/>
                <w:kern w:val="0"/>
                <w:sz w:val="18"/>
                <w:szCs w:val="18"/>
                <w:lang w:eastAsia="zh-CN"/>
              </w:rPr>
              <w:t>商品和服务支出</w:t>
            </w:r>
          </w:p>
        </w:tc>
        <w:tc>
          <w:tcPr>
            <w:tcW w:w="1701" w:type="dxa"/>
            <w:gridSpan w:val="2"/>
            <w:tcBorders>
              <w:top w:val="nil"/>
              <w:left w:val="nil"/>
              <w:bottom w:val="single" w:color="auto" w:sz="4" w:space="0"/>
              <w:right w:val="single" w:color="auto" w:sz="4" w:space="0"/>
            </w:tcBorders>
            <w:vAlign w:val="center"/>
          </w:tcPr>
          <w:p>
            <w:pPr>
              <w:widowControl/>
              <w:jc w:val="right"/>
              <w:textAlignment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35.61</w:t>
            </w:r>
          </w:p>
        </w:tc>
        <w:tc>
          <w:tcPr>
            <w:tcW w:w="1701" w:type="dxa"/>
            <w:gridSpan w:val="2"/>
            <w:tcBorders>
              <w:top w:val="nil"/>
              <w:left w:val="nil"/>
              <w:bottom w:val="single" w:color="auto" w:sz="4" w:space="0"/>
              <w:right w:val="single" w:color="auto" w:sz="4" w:space="0"/>
            </w:tcBorders>
            <w:vAlign w:val="center"/>
          </w:tcPr>
          <w:p>
            <w:pPr>
              <w:widowControl/>
              <w:jc w:val="right"/>
              <w:textAlignment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w:t>
            </w:r>
          </w:p>
        </w:tc>
        <w:tc>
          <w:tcPr>
            <w:tcW w:w="1701" w:type="dxa"/>
            <w:tcBorders>
              <w:top w:val="nil"/>
              <w:left w:val="nil"/>
              <w:bottom w:val="single" w:color="auto" w:sz="4" w:space="0"/>
              <w:right w:val="single" w:color="auto" w:sz="4" w:space="0"/>
            </w:tcBorders>
            <w:vAlign w:val="center"/>
          </w:tcPr>
          <w:p>
            <w:pPr>
              <w:widowControl/>
              <w:jc w:val="right"/>
              <w:textAlignment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35.61</w:t>
            </w:r>
          </w:p>
        </w:tc>
      </w:tr>
      <w:tr>
        <w:tblPrEx>
          <w:tblLayout w:type="fixed"/>
          <w:tblCellMar>
            <w:top w:w="0" w:type="dxa"/>
            <w:left w:w="108" w:type="dxa"/>
            <w:bottom w:w="0" w:type="dxa"/>
            <w:right w:w="108" w:type="dxa"/>
          </w:tblCellMar>
        </w:tblPrEx>
        <w:trPr>
          <w:trHeight w:val="309" w:hRule="atLeast"/>
        </w:trPr>
        <w:tc>
          <w:tcPr>
            <w:tcW w:w="757" w:type="dxa"/>
            <w:tcBorders>
              <w:top w:val="nil"/>
              <w:left w:val="single" w:color="auto" w:sz="4" w:space="0"/>
              <w:bottom w:val="single" w:color="auto" w:sz="4" w:space="0"/>
              <w:right w:val="single" w:color="auto" w:sz="4" w:space="0"/>
            </w:tcBorders>
            <w:vAlign w:val="center"/>
          </w:tcPr>
          <w:p>
            <w:pPr>
              <w:widowControl/>
              <w:jc w:val="right"/>
              <w:textAlignment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302</w:t>
            </w:r>
          </w:p>
        </w:tc>
        <w:tc>
          <w:tcPr>
            <w:tcW w:w="577" w:type="dxa"/>
            <w:tcBorders>
              <w:top w:val="nil"/>
              <w:left w:val="nil"/>
              <w:bottom w:val="single" w:color="auto" w:sz="4" w:space="0"/>
              <w:right w:val="single" w:color="auto" w:sz="4" w:space="0"/>
            </w:tcBorders>
            <w:vAlign w:val="center"/>
          </w:tcPr>
          <w:p>
            <w:pPr>
              <w:widowControl/>
              <w:jc w:val="right"/>
              <w:textAlignment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01</w:t>
            </w:r>
          </w:p>
        </w:tc>
        <w:tc>
          <w:tcPr>
            <w:tcW w:w="2891"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办公费</w:t>
            </w:r>
          </w:p>
        </w:tc>
        <w:tc>
          <w:tcPr>
            <w:tcW w:w="1701" w:type="dxa"/>
            <w:gridSpan w:val="2"/>
            <w:tcBorders>
              <w:top w:val="nil"/>
              <w:left w:val="nil"/>
              <w:bottom w:val="single" w:color="auto" w:sz="4" w:space="0"/>
              <w:right w:val="single" w:color="auto" w:sz="4" w:space="0"/>
            </w:tcBorders>
            <w:vAlign w:val="center"/>
          </w:tcPr>
          <w:p>
            <w:pPr>
              <w:widowControl/>
              <w:jc w:val="right"/>
              <w:textAlignment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w:t>
            </w:r>
          </w:p>
        </w:tc>
        <w:tc>
          <w:tcPr>
            <w:tcW w:w="1701" w:type="dxa"/>
            <w:gridSpan w:val="2"/>
            <w:tcBorders>
              <w:top w:val="nil"/>
              <w:left w:val="nil"/>
              <w:bottom w:val="single" w:color="auto" w:sz="4" w:space="0"/>
              <w:right w:val="single" w:color="auto" w:sz="4" w:space="0"/>
            </w:tcBorders>
            <w:vAlign w:val="center"/>
          </w:tcPr>
          <w:p>
            <w:pPr>
              <w:widowControl/>
              <w:jc w:val="right"/>
              <w:textAlignment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0</w:t>
            </w:r>
          </w:p>
        </w:tc>
        <w:tc>
          <w:tcPr>
            <w:tcW w:w="1701" w:type="dxa"/>
            <w:tcBorders>
              <w:top w:val="nil"/>
              <w:left w:val="nil"/>
              <w:bottom w:val="single" w:color="auto" w:sz="4" w:space="0"/>
              <w:right w:val="single" w:color="auto" w:sz="4" w:space="0"/>
            </w:tcBorders>
            <w:vAlign w:val="center"/>
          </w:tcPr>
          <w:p>
            <w:pPr>
              <w:widowControl/>
              <w:jc w:val="right"/>
              <w:textAlignment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w:t>
            </w:r>
          </w:p>
        </w:tc>
      </w:tr>
      <w:tr>
        <w:tblPrEx>
          <w:tblLayout w:type="fixed"/>
          <w:tblCellMar>
            <w:top w:w="0" w:type="dxa"/>
            <w:left w:w="108" w:type="dxa"/>
            <w:bottom w:w="0" w:type="dxa"/>
            <w:right w:w="108" w:type="dxa"/>
          </w:tblCellMar>
        </w:tblPrEx>
        <w:trPr>
          <w:trHeight w:val="309" w:hRule="atLeast"/>
        </w:trPr>
        <w:tc>
          <w:tcPr>
            <w:tcW w:w="757" w:type="dxa"/>
            <w:tcBorders>
              <w:top w:val="nil"/>
              <w:left w:val="single" w:color="auto" w:sz="4" w:space="0"/>
              <w:bottom w:val="single" w:color="auto" w:sz="4" w:space="0"/>
              <w:right w:val="single" w:color="auto" w:sz="4" w:space="0"/>
            </w:tcBorders>
            <w:vAlign w:val="center"/>
          </w:tcPr>
          <w:p>
            <w:pPr>
              <w:widowControl/>
              <w:jc w:val="right"/>
              <w:textAlignment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302</w:t>
            </w:r>
          </w:p>
        </w:tc>
        <w:tc>
          <w:tcPr>
            <w:tcW w:w="577" w:type="dxa"/>
            <w:tcBorders>
              <w:top w:val="nil"/>
              <w:left w:val="nil"/>
              <w:bottom w:val="single" w:color="auto" w:sz="4" w:space="0"/>
              <w:right w:val="single" w:color="auto" w:sz="4" w:space="0"/>
            </w:tcBorders>
            <w:vAlign w:val="center"/>
          </w:tcPr>
          <w:p>
            <w:pPr>
              <w:widowControl/>
              <w:jc w:val="right"/>
              <w:textAlignment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02</w:t>
            </w:r>
          </w:p>
        </w:tc>
        <w:tc>
          <w:tcPr>
            <w:tcW w:w="2891"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印刷费</w:t>
            </w:r>
          </w:p>
        </w:tc>
        <w:tc>
          <w:tcPr>
            <w:tcW w:w="1701" w:type="dxa"/>
            <w:gridSpan w:val="2"/>
            <w:tcBorders>
              <w:top w:val="nil"/>
              <w:left w:val="nil"/>
              <w:bottom w:val="single" w:color="auto" w:sz="4" w:space="0"/>
              <w:right w:val="single" w:color="auto" w:sz="4" w:space="0"/>
            </w:tcBorders>
            <w:vAlign w:val="center"/>
          </w:tcPr>
          <w:p>
            <w:pPr>
              <w:widowControl/>
              <w:jc w:val="right"/>
              <w:textAlignment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1.08</w:t>
            </w:r>
          </w:p>
        </w:tc>
        <w:tc>
          <w:tcPr>
            <w:tcW w:w="1701" w:type="dxa"/>
            <w:gridSpan w:val="2"/>
            <w:tcBorders>
              <w:top w:val="nil"/>
              <w:left w:val="nil"/>
              <w:bottom w:val="single" w:color="auto" w:sz="4" w:space="0"/>
              <w:right w:val="single" w:color="auto" w:sz="4" w:space="0"/>
            </w:tcBorders>
            <w:vAlign w:val="center"/>
          </w:tcPr>
          <w:p>
            <w:pPr>
              <w:widowControl/>
              <w:jc w:val="right"/>
              <w:textAlignment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0</w:t>
            </w:r>
          </w:p>
        </w:tc>
        <w:tc>
          <w:tcPr>
            <w:tcW w:w="1701" w:type="dxa"/>
            <w:tcBorders>
              <w:top w:val="nil"/>
              <w:left w:val="nil"/>
              <w:bottom w:val="single" w:color="auto" w:sz="4" w:space="0"/>
              <w:right w:val="single" w:color="auto" w:sz="4" w:space="0"/>
            </w:tcBorders>
            <w:vAlign w:val="center"/>
          </w:tcPr>
          <w:p>
            <w:pPr>
              <w:widowControl/>
              <w:jc w:val="right"/>
              <w:textAlignment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1.08</w:t>
            </w:r>
          </w:p>
        </w:tc>
      </w:tr>
      <w:tr>
        <w:tblPrEx>
          <w:tblLayout w:type="fixed"/>
          <w:tblCellMar>
            <w:top w:w="0" w:type="dxa"/>
            <w:left w:w="108" w:type="dxa"/>
            <w:bottom w:w="0" w:type="dxa"/>
            <w:right w:w="108" w:type="dxa"/>
          </w:tblCellMar>
        </w:tblPrEx>
        <w:trPr>
          <w:trHeight w:val="309" w:hRule="atLeast"/>
        </w:trPr>
        <w:tc>
          <w:tcPr>
            <w:tcW w:w="757" w:type="dxa"/>
            <w:tcBorders>
              <w:top w:val="nil"/>
              <w:left w:val="single" w:color="auto" w:sz="4" w:space="0"/>
              <w:bottom w:val="single" w:color="auto" w:sz="4" w:space="0"/>
              <w:right w:val="single" w:color="auto" w:sz="4" w:space="0"/>
            </w:tcBorders>
            <w:vAlign w:val="center"/>
          </w:tcPr>
          <w:p>
            <w:pPr>
              <w:widowControl/>
              <w:jc w:val="right"/>
              <w:textAlignment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302</w:t>
            </w:r>
          </w:p>
        </w:tc>
        <w:tc>
          <w:tcPr>
            <w:tcW w:w="577" w:type="dxa"/>
            <w:tcBorders>
              <w:top w:val="nil"/>
              <w:left w:val="nil"/>
              <w:bottom w:val="single" w:color="auto" w:sz="4" w:space="0"/>
              <w:right w:val="single" w:color="auto" w:sz="4" w:space="0"/>
            </w:tcBorders>
            <w:vAlign w:val="center"/>
          </w:tcPr>
          <w:p>
            <w:pPr>
              <w:widowControl/>
              <w:jc w:val="right"/>
              <w:textAlignment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05</w:t>
            </w:r>
          </w:p>
        </w:tc>
        <w:tc>
          <w:tcPr>
            <w:tcW w:w="2891"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水费</w:t>
            </w:r>
          </w:p>
        </w:tc>
        <w:tc>
          <w:tcPr>
            <w:tcW w:w="1701" w:type="dxa"/>
            <w:gridSpan w:val="2"/>
            <w:tcBorders>
              <w:top w:val="nil"/>
              <w:left w:val="nil"/>
              <w:bottom w:val="single" w:color="auto" w:sz="4" w:space="0"/>
              <w:right w:val="single" w:color="auto" w:sz="4" w:space="0"/>
            </w:tcBorders>
            <w:vAlign w:val="center"/>
          </w:tcPr>
          <w:p>
            <w:pPr>
              <w:widowControl/>
              <w:jc w:val="right"/>
              <w:textAlignment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1.8</w:t>
            </w:r>
          </w:p>
        </w:tc>
        <w:tc>
          <w:tcPr>
            <w:tcW w:w="1701" w:type="dxa"/>
            <w:gridSpan w:val="2"/>
            <w:tcBorders>
              <w:top w:val="nil"/>
              <w:left w:val="nil"/>
              <w:bottom w:val="single" w:color="auto" w:sz="4" w:space="0"/>
              <w:right w:val="single" w:color="auto" w:sz="4" w:space="0"/>
            </w:tcBorders>
            <w:vAlign w:val="center"/>
          </w:tcPr>
          <w:p>
            <w:pPr>
              <w:widowControl/>
              <w:jc w:val="right"/>
              <w:textAlignment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0</w:t>
            </w:r>
          </w:p>
        </w:tc>
        <w:tc>
          <w:tcPr>
            <w:tcW w:w="1701" w:type="dxa"/>
            <w:tcBorders>
              <w:top w:val="nil"/>
              <w:left w:val="nil"/>
              <w:bottom w:val="single" w:color="auto" w:sz="4" w:space="0"/>
              <w:right w:val="single" w:color="auto" w:sz="4" w:space="0"/>
            </w:tcBorders>
            <w:vAlign w:val="center"/>
          </w:tcPr>
          <w:p>
            <w:pPr>
              <w:widowControl/>
              <w:jc w:val="right"/>
              <w:textAlignment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1.8</w:t>
            </w:r>
          </w:p>
        </w:tc>
      </w:tr>
      <w:tr>
        <w:tblPrEx>
          <w:tblLayout w:type="fixed"/>
          <w:tblCellMar>
            <w:top w:w="0" w:type="dxa"/>
            <w:left w:w="108" w:type="dxa"/>
            <w:bottom w:w="0" w:type="dxa"/>
            <w:right w:w="108" w:type="dxa"/>
          </w:tblCellMar>
        </w:tblPrEx>
        <w:trPr>
          <w:trHeight w:val="309" w:hRule="atLeast"/>
        </w:trPr>
        <w:tc>
          <w:tcPr>
            <w:tcW w:w="757" w:type="dxa"/>
            <w:tcBorders>
              <w:top w:val="nil"/>
              <w:left w:val="single" w:color="auto" w:sz="4" w:space="0"/>
              <w:bottom w:val="single" w:color="auto" w:sz="4" w:space="0"/>
              <w:right w:val="single" w:color="auto" w:sz="4" w:space="0"/>
            </w:tcBorders>
            <w:vAlign w:val="center"/>
          </w:tcPr>
          <w:p>
            <w:pPr>
              <w:widowControl/>
              <w:jc w:val="right"/>
              <w:textAlignment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302</w:t>
            </w:r>
          </w:p>
        </w:tc>
        <w:tc>
          <w:tcPr>
            <w:tcW w:w="577" w:type="dxa"/>
            <w:tcBorders>
              <w:top w:val="nil"/>
              <w:left w:val="nil"/>
              <w:bottom w:val="single" w:color="auto" w:sz="4" w:space="0"/>
              <w:right w:val="single" w:color="auto" w:sz="4" w:space="0"/>
            </w:tcBorders>
            <w:vAlign w:val="center"/>
          </w:tcPr>
          <w:p>
            <w:pPr>
              <w:widowControl/>
              <w:jc w:val="right"/>
              <w:textAlignment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06</w:t>
            </w:r>
          </w:p>
        </w:tc>
        <w:tc>
          <w:tcPr>
            <w:tcW w:w="2891"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电费</w:t>
            </w:r>
          </w:p>
        </w:tc>
        <w:tc>
          <w:tcPr>
            <w:tcW w:w="1701" w:type="dxa"/>
            <w:gridSpan w:val="2"/>
            <w:tcBorders>
              <w:top w:val="nil"/>
              <w:left w:val="nil"/>
              <w:bottom w:val="single" w:color="auto" w:sz="4" w:space="0"/>
              <w:right w:val="single" w:color="auto" w:sz="4" w:space="0"/>
            </w:tcBorders>
            <w:vAlign w:val="center"/>
          </w:tcPr>
          <w:p>
            <w:pPr>
              <w:widowControl/>
              <w:jc w:val="right"/>
              <w:textAlignment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1.8</w:t>
            </w:r>
          </w:p>
        </w:tc>
        <w:tc>
          <w:tcPr>
            <w:tcW w:w="1701" w:type="dxa"/>
            <w:gridSpan w:val="2"/>
            <w:tcBorders>
              <w:top w:val="nil"/>
              <w:left w:val="nil"/>
              <w:bottom w:val="single" w:color="auto" w:sz="4" w:space="0"/>
              <w:right w:val="single" w:color="auto" w:sz="4" w:space="0"/>
            </w:tcBorders>
            <w:vAlign w:val="center"/>
          </w:tcPr>
          <w:p>
            <w:pPr>
              <w:widowControl/>
              <w:jc w:val="right"/>
              <w:textAlignment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0</w:t>
            </w:r>
          </w:p>
        </w:tc>
        <w:tc>
          <w:tcPr>
            <w:tcW w:w="1701" w:type="dxa"/>
            <w:tcBorders>
              <w:top w:val="nil"/>
              <w:left w:val="nil"/>
              <w:bottom w:val="single" w:color="auto" w:sz="4" w:space="0"/>
              <w:right w:val="single" w:color="auto" w:sz="4" w:space="0"/>
            </w:tcBorders>
            <w:vAlign w:val="center"/>
          </w:tcPr>
          <w:p>
            <w:pPr>
              <w:widowControl/>
              <w:jc w:val="right"/>
              <w:textAlignment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1.8</w:t>
            </w:r>
          </w:p>
        </w:tc>
      </w:tr>
      <w:tr>
        <w:tblPrEx>
          <w:tblLayout w:type="fixed"/>
          <w:tblCellMar>
            <w:top w:w="0" w:type="dxa"/>
            <w:left w:w="108" w:type="dxa"/>
            <w:bottom w:w="0" w:type="dxa"/>
            <w:right w:w="108" w:type="dxa"/>
          </w:tblCellMar>
        </w:tblPrEx>
        <w:trPr>
          <w:trHeight w:val="309" w:hRule="atLeast"/>
        </w:trPr>
        <w:tc>
          <w:tcPr>
            <w:tcW w:w="757" w:type="dxa"/>
            <w:tcBorders>
              <w:top w:val="nil"/>
              <w:left w:val="single" w:color="auto" w:sz="4" w:space="0"/>
              <w:bottom w:val="single" w:color="auto" w:sz="4" w:space="0"/>
              <w:right w:val="single" w:color="auto" w:sz="4" w:space="0"/>
            </w:tcBorders>
            <w:vAlign w:val="center"/>
          </w:tcPr>
          <w:p>
            <w:pPr>
              <w:widowControl/>
              <w:jc w:val="right"/>
              <w:textAlignment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302</w:t>
            </w:r>
          </w:p>
        </w:tc>
        <w:tc>
          <w:tcPr>
            <w:tcW w:w="577" w:type="dxa"/>
            <w:tcBorders>
              <w:top w:val="nil"/>
              <w:left w:val="nil"/>
              <w:bottom w:val="single" w:color="auto" w:sz="4" w:space="0"/>
              <w:right w:val="single" w:color="auto" w:sz="4" w:space="0"/>
            </w:tcBorders>
            <w:vAlign w:val="center"/>
          </w:tcPr>
          <w:p>
            <w:pPr>
              <w:widowControl/>
              <w:jc w:val="right"/>
              <w:textAlignment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07</w:t>
            </w:r>
          </w:p>
        </w:tc>
        <w:tc>
          <w:tcPr>
            <w:tcW w:w="2891"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邮电费</w:t>
            </w:r>
          </w:p>
        </w:tc>
        <w:tc>
          <w:tcPr>
            <w:tcW w:w="1701" w:type="dxa"/>
            <w:gridSpan w:val="2"/>
            <w:tcBorders>
              <w:top w:val="nil"/>
              <w:left w:val="nil"/>
              <w:bottom w:val="single" w:color="auto" w:sz="4" w:space="0"/>
              <w:right w:val="single" w:color="auto" w:sz="4" w:space="0"/>
            </w:tcBorders>
            <w:vAlign w:val="center"/>
          </w:tcPr>
          <w:p>
            <w:pPr>
              <w:widowControl/>
              <w:jc w:val="right"/>
              <w:textAlignment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0.6</w:t>
            </w:r>
          </w:p>
        </w:tc>
        <w:tc>
          <w:tcPr>
            <w:tcW w:w="1701" w:type="dxa"/>
            <w:gridSpan w:val="2"/>
            <w:tcBorders>
              <w:top w:val="nil"/>
              <w:left w:val="nil"/>
              <w:bottom w:val="single" w:color="auto" w:sz="4" w:space="0"/>
              <w:right w:val="single" w:color="auto" w:sz="4" w:space="0"/>
            </w:tcBorders>
            <w:vAlign w:val="center"/>
          </w:tcPr>
          <w:p>
            <w:pPr>
              <w:widowControl/>
              <w:jc w:val="right"/>
              <w:textAlignment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0</w:t>
            </w:r>
          </w:p>
        </w:tc>
        <w:tc>
          <w:tcPr>
            <w:tcW w:w="1701" w:type="dxa"/>
            <w:tcBorders>
              <w:top w:val="nil"/>
              <w:left w:val="nil"/>
              <w:bottom w:val="single" w:color="auto" w:sz="4" w:space="0"/>
              <w:right w:val="single" w:color="auto" w:sz="4" w:space="0"/>
            </w:tcBorders>
            <w:vAlign w:val="center"/>
          </w:tcPr>
          <w:p>
            <w:pPr>
              <w:widowControl/>
              <w:jc w:val="right"/>
              <w:textAlignment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0.6</w:t>
            </w:r>
          </w:p>
        </w:tc>
      </w:tr>
      <w:tr>
        <w:tblPrEx>
          <w:tblLayout w:type="fixed"/>
          <w:tblCellMar>
            <w:top w:w="0" w:type="dxa"/>
            <w:left w:w="108" w:type="dxa"/>
            <w:bottom w:w="0" w:type="dxa"/>
            <w:right w:w="108" w:type="dxa"/>
          </w:tblCellMar>
        </w:tblPrEx>
        <w:trPr>
          <w:trHeight w:val="309" w:hRule="atLeast"/>
        </w:trPr>
        <w:tc>
          <w:tcPr>
            <w:tcW w:w="757" w:type="dxa"/>
            <w:tcBorders>
              <w:top w:val="nil"/>
              <w:left w:val="single" w:color="auto" w:sz="4" w:space="0"/>
              <w:bottom w:val="single" w:color="auto" w:sz="4" w:space="0"/>
              <w:right w:val="single" w:color="auto" w:sz="4" w:space="0"/>
            </w:tcBorders>
            <w:vAlign w:val="center"/>
          </w:tcPr>
          <w:p>
            <w:pPr>
              <w:widowControl/>
              <w:jc w:val="right"/>
              <w:textAlignment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302</w:t>
            </w:r>
          </w:p>
        </w:tc>
        <w:tc>
          <w:tcPr>
            <w:tcW w:w="577" w:type="dxa"/>
            <w:tcBorders>
              <w:top w:val="nil"/>
              <w:left w:val="nil"/>
              <w:bottom w:val="single" w:color="auto" w:sz="4" w:space="0"/>
              <w:right w:val="single" w:color="auto" w:sz="4" w:space="0"/>
            </w:tcBorders>
            <w:vAlign w:val="center"/>
          </w:tcPr>
          <w:p>
            <w:pPr>
              <w:widowControl/>
              <w:jc w:val="right"/>
              <w:textAlignment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09</w:t>
            </w:r>
          </w:p>
        </w:tc>
        <w:tc>
          <w:tcPr>
            <w:tcW w:w="2891"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物业管理费</w:t>
            </w:r>
          </w:p>
        </w:tc>
        <w:tc>
          <w:tcPr>
            <w:tcW w:w="1701" w:type="dxa"/>
            <w:gridSpan w:val="2"/>
            <w:tcBorders>
              <w:top w:val="nil"/>
              <w:left w:val="nil"/>
              <w:bottom w:val="single" w:color="auto" w:sz="4" w:space="0"/>
              <w:right w:val="single" w:color="auto" w:sz="4" w:space="0"/>
            </w:tcBorders>
            <w:vAlign w:val="center"/>
          </w:tcPr>
          <w:p>
            <w:pPr>
              <w:widowControl/>
              <w:jc w:val="right"/>
              <w:textAlignment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3.5</w:t>
            </w:r>
          </w:p>
        </w:tc>
        <w:tc>
          <w:tcPr>
            <w:tcW w:w="1701" w:type="dxa"/>
            <w:gridSpan w:val="2"/>
            <w:tcBorders>
              <w:top w:val="nil"/>
              <w:left w:val="nil"/>
              <w:bottom w:val="single" w:color="auto" w:sz="4" w:space="0"/>
              <w:right w:val="single" w:color="auto" w:sz="4" w:space="0"/>
            </w:tcBorders>
            <w:vAlign w:val="center"/>
          </w:tcPr>
          <w:p>
            <w:pPr>
              <w:widowControl/>
              <w:jc w:val="right"/>
              <w:textAlignment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0</w:t>
            </w:r>
          </w:p>
        </w:tc>
        <w:tc>
          <w:tcPr>
            <w:tcW w:w="1701" w:type="dxa"/>
            <w:tcBorders>
              <w:top w:val="nil"/>
              <w:left w:val="nil"/>
              <w:bottom w:val="single" w:color="auto" w:sz="4" w:space="0"/>
              <w:right w:val="single" w:color="auto" w:sz="4" w:space="0"/>
            </w:tcBorders>
            <w:vAlign w:val="center"/>
          </w:tcPr>
          <w:p>
            <w:pPr>
              <w:widowControl/>
              <w:jc w:val="right"/>
              <w:textAlignment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3.5</w:t>
            </w:r>
          </w:p>
        </w:tc>
      </w:tr>
      <w:tr>
        <w:tblPrEx>
          <w:tblLayout w:type="fixed"/>
          <w:tblCellMar>
            <w:top w:w="0" w:type="dxa"/>
            <w:left w:w="108" w:type="dxa"/>
            <w:bottom w:w="0" w:type="dxa"/>
            <w:right w:w="108" w:type="dxa"/>
          </w:tblCellMar>
        </w:tblPrEx>
        <w:trPr>
          <w:trHeight w:val="309" w:hRule="atLeast"/>
        </w:trPr>
        <w:tc>
          <w:tcPr>
            <w:tcW w:w="757" w:type="dxa"/>
            <w:tcBorders>
              <w:top w:val="nil"/>
              <w:left w:val="single" w:color="auto" w:sz="4" w:space="0"/>
              <w:bottom w:val="single" w:color="auto" w:sz="4" w:space="0"/>
              <w:right w:val="single" w:color="auto" w:sz="4" w:space="0"/>
            </w:tcBorders>
            <w:vAlign w:val="center"/>
          </w:tcPr>
          <w:p>
            <w:pPr>
              <w:widowControl/>
              <w:jc w:val="right"/>
              <w:textAlignment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302</w:t>
            </w:r>
          </w:p>
        </w:tc>
        <w:tc>
          <w:tcPr>
            <w:tcW w:w="577" w:type="dxa"/>
            <w:tcBorders>
              <w:top w:val="nil"/>
              <w:left w:val="nil"/>
              <w:bottom w:val="single" w:color="auto" w:sz="4" w:space="0"/>
              <w:right w:val="single" w:color="auto" w:sz="4" w:space="0"/>
            </w:tcBorders>
            <w:vAlign w:val="center"/>
          </w:tcPr>
          <w:p>
            <w:pPr>
              <w:widowControl/>
              <w:jc w:val="right"/>
              <w:textAlignment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11</w:t>
            </w:r>
          </w:p>
        </w:tc>
        <w:tc>
          <w:tcPr>
            <w:tcW w:w="2891"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差旅费</w:t>
            </w:r>
          </w:p>
        </w:tc>
        <w:tc>
          <w:tcPr>
            <w:tcW w:w="1701" w:type="dxa"/>
            <w:gridSpan w:val="2"/>
            <w:tcBorders>
              <w:top w:val="nil"/>
              <w:left w:val="nil"/>
              <w:bottom w:val="single" w:color="auto" w:sz="4" w:space="0"/>
              <w:right w:val="single" w:color="auto" w:sz="4" w:space="0"/>
            </w:tcBorders>
            <w:vAlign w:val="center"/>
          </w:tcPr>
          <w:p>
            <w:pPr>
              <w:widowControl/>
              <w:jc w:val="right"/>
              <w:textAlignment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3.5</w:t>
            </w:r>
          </w:p>
        </w:tc>
        <w:tc>
          <w:tcPr>
            <w:tcW w:w="1701" w:type="dxa"/>
            <w:gridSpan w:val="2"/>
            <w:tcBorders>
              <w:top w:val="nil"/>
              <w:left w:val="nil"/>
              <w:bottom w:val="single" w:color="auto" w:sz="4" w:space="0"/>
              <w:right w:val="single" w:color="auto" w:sz="4" w:space="0"/>
            </w:tcBorders>
            <w:vAlign w:val="center"/>
          </w:tcPr>
          <w:p>
            <w:pPr>
              <w:widowControl/>
              <w:jc w:val="right"/>
              <w:textAlignment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0</w:t>
            </w:r>
          </w:p>
        </w:tc>
        <w:tc>
          <w:tcPr>
            <w:tcW w:w="1701" w:type="dxa"/>
            <w:tcBorders>
              <w:top w:val="nil"/>
              <w:left w:val="nil"/>
              <w:bottom w:val="single" w:color="auto" w:sz="4" w:space="0"/>
              <w:right w:val="single" w:color="auto" w:sz="4" w:space="0"/>
            </w:tcBorders>
            <w:vAlign w:val="center"/>
          </w:tcPr>
          <w:p>
            <w:pPr>
              <w:widowControl/>
              <w:jc w:val="right"/>
              <w:textAlignment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3.5</w:t>
            </w:r>
          </w:p>
        </w:tc>
      </w:tr>
      <w:tr>
        <w:tblPrEx>
          <w:tblLayout w:type="fixed"/>
          <w:tblCellMar>
            <w:top w:w="0" w:type="dxa"/>
            <w:left w:w="108" w:type="dxa"/>
            <w:bottom w:w="0" w:type="dxa"/>
            <w:right w:w="108" w:type="dxa"/>
          </w:tblCellMar>
        </w:tblPrEx>
        <w:trPr>
          <w:trHeight w:val="309" w:hRule="atLeast"/>
        </w:trPr>
        <w:tc>
          <w:tcPr>
            <w:tcW w:w="757" w:type="dxa"/>
            <w:tcBorders>
              <w:top w:val="nil"/>
              <w:left w:val="single" w:color="auto" w:sz="4" w:space="0"/>
              <w:bottom w:val="single" w:color="auto" w:sz="4" w:space="0"/>
              <w:right w:val="single" w:color="auto" w:sz="4" w:space="0"/>
            </w:tcBorders>
            <w:vAlign w:val="center"/>
          </w:tcPr>
          <w:p>
            <w:pPr>
              <w:widowControl/>
              <w:jc w:val="right"/>
              <w:textAlignment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302</w:t>
            </w:r>
          </w:p>
        </w:tc>
        <w:tc>
          <w:tcPr>
            <w:tcW w:w="577" w:type="dxa"/>
            <w:tcBorders>
              <w:top w:val="nil"/>
              <w:left w:val="nil"/>
              <w:bottom w:val="single" w:color="auto" w:sz="4" w:space="0"/>
              <w:right w:val="single" w:color="auto" w:sz="4" w:space="0"/>
            </w:tcBorders>
            <w:vAlign w:val="center"/>
          </w:tcPr>
          <w:p>
            <w:pPr>
              <w:widowControl/>
              <w:jc w:val="right"/>
              <w:textAlignment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13</w:t>
            </w:r>
          </w:p>
        </w:tc>
        <w:tc>
          <w:tcPr>
            <w:tcW w:w="2891"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维修</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护</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费</w:t>
            </w:r>
          </w:p>
        </w:tc>
        <w:tc>
          <w:tcPr>
            <w:tcW w:w="1701" w:type="dxa"/>
            <w:gridSpan w:val="2"/>
            <w:tcBorders>
              <w:top w:val="nil"/>
              <w:left w:val="nil"/>
              <w:bottom w:val="single" w:color="auto" w:sz="4" w:space="0"/>
              <w:right w:val="single" w:color="auto" w:sz="4" w:space="0"/>
            </w:tcBorders>
            <w:vAlign w:val="center"/>
          </w:tcPr>
          <w:p>
            <w:pPr>
              <w:widowControl/>
              <w:jc w:val="right"/>
              <w:textAlignment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0.65</w:t>
            </w:r>
          </w:p>
        </w:tc>
        <w:tc>
          <w:tcPr>
            <w:tcW w:w="1701" w:type="dxa"/>
            <w:gridSpan w:val="2"/>
            <w:tcBorders>
              <w:top w:val="nil"/>
              <w:left w:val="nil"/>
              <w:bottom w:val="single" w:color="auto" w:sz="4" w:space="0"/>
              <w:right w:val="single" w:color="auto" w:sz="4" w:space="0"/>
            </w:tcBorders>
            <w:vAlign w:val="center"/>
          </w:tcPr>
          <w:p>
            <w:pPr>
              <w:widowControl/>
              <w:jc w:val="right"/>
              <w:textAlignment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0</w:t>
            </w:r>
          </w:p>
        </w:tc>
        <w:tc>
          <w:tcPr>
            <w:tcW w:w="1701" w:type="dxa"/>
            <w:tcBorders>
              <w:top w:val="nil"/>
              <w:left w:val="nil"/>
              <w:bottom w:val="single" w:color="auto" w:sz="4" w:space="0"/>
              <w:right w:val="single" w:color="auto" w:sz="4" w:space="0"/>
            </w:tcBorders>
            <w:vAlign w:val="center"/>
          </w:tcPr>
          <w:p>
            <w:pPr>
              <w:widowControl/>
              <w:jc w:val="right"/>
              <w:textAlignment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0.65</w:t>
            </w:r>
          </w:p>
        </w:tc>
      </w:tr>
      <w:tr>
        <w:tblPrEx>
          <w:tblLayout w:type="fixed"/>
          <w:tblCellMar>
            <w:top w:w="0" w:type="dxa"/>
            <w:left w:w="108" w:type="dxa"/>
            <w:bottom w:w="0" w:type="dxa"/>
            <w:right w:w="108" w:type="dxa"/>
          </w:tblCellMar>
        </w:tblPrEx>
        <w:trPr>
          <w:trHeight w:val="309" w:hRule="atLeast"/>
        </w:trPr>
        <w:tc>
          <w:tcPr>
            <w:tcW w:w="757" w:type="dxa"/>
            <w:tcBorders>
              <w:top w:val="nil"/>
              <w:left w:val="single" w:color="auto" w:sz="4" w:space="0"/>
              <w:bottom w:val="single" w:color="auto" w:sz="4" w:space="0"/>
              <w:right w:val="single" w:color="auto" w:sz="4" w:space="0"/>
            </w:tcBorders>
            <w:vAlign w:val="center"/>
          </w:tcPr>
          <w:p>
            <w:pPr>
              <w:widowControl/>
              <w:jc w:val="right"/>
              <w:textAlignment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302</w:t>
            </w:r>
          </w:p>
        </w:tc>
        <w:tc>
          <w:tcPr>
            <w:tcW w:w="577" w:type="dxa"/>
            <w:tcBorders>
              <w:top w:val="nil"/>
              <w:left w:val="nil"/>
              <w:bottom w:val="single" w:color="auto" w:sz="4" w:space="0"/>
              <w:right w:val="single" w:color="auto" w:sz="4" w:space="0"/>
            </w:tcBorders>
            <w:vAlign w:val="center"/>
          </w:tcPr>
          <w:p>
            <w:pPr>
              <w:widowControl/>
              <w:jc w:val="right"/>
              <w:textAlignment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16</w:t>
            </w:r>
          </w:p>
        </w:tc>
        <w:tc>
          <w:tcPr>
            <w:tcW w:w="2891"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培训费</w:t>
            </w:r>
          </w:p>
        </w:tc>
        <w:tc>
          <w:tcPr>
            <w:tcW w:w="1701" w:type="dxa"/>
            <w:gridSpan w:val="2"/>
            <w:tcBorders>
              <w:top w:val="nil"/>
              <w:left w:val="nil"/>
              <w:bottom w:val="single" w:color="auto" w:sz="4" w:space="0"/>
              <w:right w:val="single" w:color="auto" w:sz="4" w:space="0"/>
            </w:tcBorders>
            <w:vAlign w:val="center"/>
          </w:tcPr>
          <w:p>
            <w:pPr>
              <w:widowControl/>
              <w:jc w:val="right"/>
              <w:textAlignment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0.35</w:t>
            </w:r>
          </w:p>
        </w:tc>
        <w:tc>
          <w:tcPr>
            <w:tcW w:w="1701" w:type="dxa"/>
            <w:gridSpan w:val="2"/>
            <w:tcBorders>
              <w:top w:val="nil"/>
              <w:left w:val="nil"/>
              <w:bottom w:val="single" w:color="auto" w:sz="4" w:space="0"/>
              <w:right w:val="single" w:color="auto" w:sz="4" w:space="0"/>
            </w:tcBorders>
            <w:vAlign w:val="center"/>
          </w:tcPr>
          <w:p>
            <w:pPr>
              <w:widowControl/>
              <w:jc w:val="right"/>
              <w:textAlignment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0</w:t>
            </w:r>
          </w:p>
        </w:tc>
        <w:tc>
          <w:tcPr>
            <w:tcW w:w="1701" w:type="dxa"/>
            <w:tcBorders>
              <w:top w:val="nil"/>
              <w:left w:val="nil"/>
              <w:bottom w:val="single" w:color="auto" w:sz="4" w:space="0"/>
              <w:right w:val="single" w:color="auto" w:sz="4" w:space="0"/>
            </w:tcBorders>
            <w:vAlign w:val="center"/>
          </w:tcPr>
          <w:p>
            <w:pPr>
              <w:widowControl/>
              <w:jc w:val="right"/>
              <w:textAlignment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0.35</w:t>
            </w:r>
          </w:p>
        </w:tc>
      </w:tr>
      <w:tr>
        <w:tblPrEx>
          <w:tblLayout w:type="fixed"/>
          <w:tblCellMar>
            <w:top w:w="0" w:type="dxa"/>
            <w:left w:w="108" w:type="dxa"/>
            <w:bottom w:w="0" w:type="dxa"/>
            <w:right w:w="108" w:type="dxa"/>
          </w:tblCellMar>
        </w:tblPrEx>
        <w:trPr>
          <w:trHeight w:val="309" w:hRule="atLeast"/>
        </w:trPr>
        <w:tc>
          <w:tcPr>
            <w:tcW w:w="757" w:type="dxa"/>
            <w:tcBorders>
              <w:top w:val="nil"/>
              <w:left w:val="single" w:color="auto" w:sz="4" w:space="0"/>
              <w:bottom w:val="single" w:color="auto" w:sz="4" w:space="0"/>
              <w:right w:val="single" w:color="auto" w:sz="4" w:space="0"/>
            </w:tcBorders>
            <w:vAlign w:val="center"/>
          </w:tcPr>
          <w:p>
            <w:pPr>
              <w:widowControl/>
              <w:jc w:val="right"/>
              <w:textAlignment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302</w:t>
            </w:r>
          </w:p>
        </w:tc>
        <w:tc>
          <w:tcPr>
            <w:tcW w:w="577" w:type="dxa"/>
            <w:tcBorders>
              <w:top w:val="nil"/>
              <w:left w:val="nil"/>
              <w:bottom w:val="single" w:color="auto" w:sz="4" w:space="0"/>
              <w:right w:val="single" w:color="auto" w:sz="4" w:space="0"/>
            </w:tcBorders>
            <w:vAlign w:val="center"/>
          </w:tcPr>
          <w:p>
            <w:pPr>
              <w:widowControl/>
              <w:jc w:val="right"/>
              <w:textAlignment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17</w:t>
            </w:r>
          </w:p>
        </w:tc>
        <w:tc>
          <w:tcPr>
            <w:tcW w:w="2891"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公务招待费</w:t>
            </w:r>
          </w:p>
        </w:tc>
        <w:tc>
          <w:tcPr>
            <w:tcW w:w="1701" w:type="dxa"/>
            <w:gridSpan w:val="2"/>
            <w:tcBorders>
              <w:top w:val="nil"/>
              <w:left w:val="nil"/>
              <w:bottom w:val="single" w:color="auto" w:sz="4" w:space="0"/>
              <w:right w:val="single" w:color="auto" w:sz="4" w:space="0"/>
            </w:tcBorders>
            <w:vAlign w:val="center"/>
          </w:tcPr>
          <w:p>
            <w:pPr>
              <w:widowControl/>
              <w:jc w:val="right"/>
              <w:textAlignment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0.2</w:t>
            </w:r>
          </w:p>
        </w:tc>
        <w:tc>
          <w:tcPr>
            <w:tcW w:w="1701" w:type="dxa"/>
            <w:gridSpan w:val="2"/>
            <w:tcBorders>
              <w:top w:val="nil"/>
              <w:left w:val="nil"/>
              <w:bottom w:val="single" w:color="auto" w:sz="4" w:space="0"/>
              <w:right w:val="single" w:color="auto" w:sz="4" w:space="0"/>
            </w:tcBorders>
            <w:vAlign w:val="center"/>
          </w:tcPr>
          <w:p>
            <w:pPr>
              <w:widowControl/>
              <w:jc w:val="right"/>
              <w:textAlignment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0</w:t>
            </w:r>
          </w:p>
        </w:tc>
        <w:tc>
          <w:tcPr>
            <w:tcW w:w="1701" w:type="dxa"/>
            <w:tcBorders>
              <w:top w:val="nil"/>
              <w:left w:val="nil"/>
              <w:bottom w:val="single" w:color="auto" w:sz="4" w:space="0"/>
              <w:right w:val="single" w:color="auto" w:sz="4" w:space="0"/>
            </w:tcBorders>
            <w:vAlign w:val="center"/>
          </w:tcPr>
          <w:p>
            <w:pPr>
              <w:widowControl/>
              <w:jc w:val="right"/>
              <w:textAlignment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0.2</w:t>
            </w:r>
          </w:p>
        </w:tc>
      </w:tr>
      <w:tr>
        <w:tblPrEx>
          <w:tblLayout w:type="fixed"/>
          <w:tblCellMar>
            <w:top w:w="0" w:type="dxa"/>
            <w:left w:w="108" w:type="dxa"/>
            <w:bottom w:w="0" w:type="dxa"/>
            <w:right w:w="108" w:type="dxa"/>
          </w:tblCellMar>
        </w:tblPrEx>
        <w:trPr>
          <w:trHeight w:val="309" w:hRule="atLeast"/>
        </w:trPr>
        <w:tc>
          <w:tcPr>
            <w:tcW w:w="757" w:type="dxa"/>
            <w:tcBorders>
              <w:top w:val="nil"/>
              <w:left w:val="single" w:color="auto" w:sz="4" w:space="0"/>
              <w:bottom w:val="single" w:color="auto" w:sz="4" w:space="0"/>
              <w:right w:val="single" w:color="auto" w:sz="4" w:space="0"/>
            </w:tcBorders>
            <w:vAlign w:val="center"/>
          </w:tcPr>
          <w:p>
            <w:pPr>
              <w:widowControl/>
              <w:jc w:val="right"/>
              <w:textAlignment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302</w:t>
            </w:r>
          </w:p>
        </w:tc>
        <w:tc>
          <w:tcPr>
            <w:tcW w:w="577" w:type="dxa"/>
            <w:tcBorders>
              <w:top w:val="nil"/>
              <w:left w:val="nil"/>
              <w:bottom w:val="single" w:color="auto" w:sz="4" w:space="0"/>
              <w:right w:val="single" w:color="auto" w:sz="4" w:space="0"/>
            </w:tcBorders>
            <w:vAlign w:val="center"/>
          </w:tcPr>
          <w:p>
            <w:pPr>
              <w:widowControl/>
              <w:jc w:val="right"/>
              <w:textAlignment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26</w:t>
            </w:r>
          </w:p>
        </w:tc>
        <w:tc>
          <w:tcPr>
            <w:tcW w:w="2891"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劳务费</w:t>
            </w:r>
          </w:p>
        </w:tc>
        <w:tc>
          <w:tcPr>
            <w:tcW w:w="1701" w:type="dxa"/>
            <w:gridSpan w:val="2"/>
            <w:tcBorders>
              <w:top w:val="nil"/>
              <w:left w:val="nil"/>
              <w:bottom w:val="single" w:color="auto" w:sz="4" w:space="0"/>
              <w:right w:val="single" w:color="auto" w:sz="4" w:space="0"/>
            </w:tcBorders>
            <w:vAlign w:val="center"/>
          </w:tcPr>
          <w:p>
            <w:pPr>
              <w:widowControl/>
              <w:jc w:val="right"/>
              <w:textAlignment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2.5</w:t>
            </w:r>
          </w:p>
        </w:tc>
        <w:tc>
          <w:tcPr>
            <w:tcW w:w="1701" w:type="dxa"/>
            <w:gridSpan w:val="2"/>
            <w:tcBorders>
              <w:top w:val="nil"/>
              <w:left w:val="nil"/>
              <w:bottom w:val="single" w:color="auto" w:sz="4" w:space="0"/>
              <w:right w:val="single" w:color="auto" w:sz="4" w:space="0"/>
            </w:tcBorders>
            <w:vAlign w:val="center"/>
          </w:tcPr>
          <w:p>
            <w:pPr>
              <w:widowControl/>
              <w:jc w:val="right"/>
              <w:textAlignment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0</w:t>
            </w:r>
          </w:p>
        </w:tc>
        <w:tc>
          <w:tcPr>
            <w:tcW w:w="1701" w:type="dxa"/>
            <w:tcBorders>
              <w:top w:val="nil"/>
              <w:left w:val="nil"/>
              <w:bottom w:val="single" w:color="auto" w:sz="4" w:space="0"/>
              <w:right w:val="single" w:color="auto" w:sz="4" w:space="0"/>
            </w:tcBorders>
            <w:vAlign w:val="center"/>
          </w:tcPr>
          <w:p>
            <w:pPr>
              <w:widowControl/>
              <w:jc w:val="right"/>
              <w:textAlignment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2.5</w:t>
            </w:r>
          </w:p>
        </w:tc>
      </w:tr>
      <w:tr>
        <w:tblPrEx>
          <w:tblLayout w:type="fixed"/>
          <w:tblCellMar>
            <w:top w:w="0" w:type="dxa"/>
            <w:left w:w="108" w:type="dxa"/>
            <w:bottom w:w="0" w:type="dxa"/>
            <w:right w:w="108" w:type="dxa"/>
          </w:tblCellMar>
        </w:tblPrEx>
        <w:trPr>
          <w:trHeight w:val="309" w:hRule="atLeast"/>
        </w:trPr>
        <w:tc>
          <w:tcPr>
            <w:tcW w:w="757" w:type="dxa"/>
            <w:tcBorders>
              <w:top w:val="nil"/>
              <w:left w:val="single" w:color="auto" w:sz="4" w:space="0"/>
              <w:bottom w:val="single" w:color="auto" w:sz="4" w:space="0"/>
              <w:right w:val="single" w:color="auto" w:sz="4" w:space="0"/>
            </w:tcBorders>
            <w:vAlign w:val="center"/>
          </w:tcPr>
          <w:p>
            <w:pPr>
              <w:widowControl/>
              <w:jc w:val="right"/>
              <w:textAlignment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302</w:t>
            </w:r>
          </w:p>
        </w:tc>
        <w:tc>
          <w:tcPr>
            <w:tcW w:w="577" w:type="dxa"/>
            <w:tcBorders>
              <w:top w:val="nil"/>
              <w:left w:val="nil"/>
              <w:bottom w:val="single" w:color="auto" w:sz="4" w:space="0"/>
              <w:right w:val="single" w:color="auto" w:sz="4" w:space="0"/>
            </w:tcBorders>
            <w:vAlign w:val="center"/>
          </w:tcPr>
          <w:p>
            <w:pPr>
              <w:widowControl/>
              <w:jc w:val="right"/>
              <w:textAlignment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28</w:t>
            </w:r>
          </w:p>
        </w:tc>
        <w:tc>
          <w:tcPr>
            <w:tcW w:w="2891"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工会经费</w:t>
            </w:r>
          </w:p>
        </w:tc>
        <w:tc>
          <w:tcPr>
            <w:tcW w:w="1701" w:type="dxa"/>
            <w:gridSpan w:val="2"/>
            <w:tcBorders>
              <w:top w:val="nil"/>
              <w:left w:val="nil"/>
              <w:bottom w:val="single" w:color="auto" w:sz="4" w:space="0"/>
              <w:right w:val="single" w:color="auto" w:sz="4" w:space="0"/>
            </w:tcBorders>
            <w:vAlign w:val="center"/>
          </w:tcPr>
          <w:p>
            <w:pPr>
              <w:widowControl/>
              <w:jc w:val="right"/>
              <w:textAlignment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2.43</w:t>
            </w:r>
          </w:p>
        </w:tc>
        <w:tc>
          <w:tcPr>
            <w:tcW w:w="1701" w:type="dxa"/>
            <w:gridSpan w:val="2"/>
            <w:tcBorders>
              <w:top w:val="nil"/>
              <w:left w:val="nil"/>
              <w:bottom w:val="single" w:color="auto" w:sz="4" w:space="0"/>
              <w:right w:val="single" w:color="auto" w:sz="4" w:space="0"/>
            </w:tcBorders>
            <w:vAlign w:val="center"/>
          </w:tcPr>
          <w:p>
            <w:pPr>
              <w:widowControl/>
              <w:jc w:val="right"/>
              <w:textAlignment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0</w:t>
            </w:r>
          </w:p>
        </w:tc>
        <w:tc>
          <w:tcPr>
            <w:tcW w:w="1701" w:type="dxa"/>
            <w:tcBorders>
              <w:top w:val="nil"/>
              <w:left w:val="nil"/>
              <w:bottom w:val="single" w:color="auto" w:sz="4" w:space="0"/>
              <w:right w:val="single" w:color="auto" w:sz="4" w:space="0"/>
            </w:tcBorders>
            <w:vAlign w:val="center"/>
          </w:tcPr>
          <w:p>
            <w:pPr>
              <w:widowControl/>
              <w:jc w:val="right"/>
              <w:textAlignment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2.43</w:t>
            </w:r>
          </w:p>
        </w:tc>
      </w:tr>
      <w:tr>
        <w:tblPrEx>
          <w:tblLayout w:type="fixed"/>
          <w:tblCellMar>
            <w:top w:w="0" w:type="dxa"/>
            <w:left w:w="108" w:type="dxa"/>
            <w:bottom w:w="0" w:type="dxa"/>
            <w:right w:w="108" w:type="dxa"/>
          </w:tblCellMar>
        </w:tblPrEx>
        <w:trPr>
          <w:trHeight w:val="309" w:hRule="atLeast"/>
        </w:trPr>
        <w:tc>
          <w:tcPr>
            <w:tcW w:w="757" w:type="dxa"/>
            <w:tcBorders>
              <w:top w:val="nil"/>
              <w:left w:val="single" w:color="auto" w:sz="4" w:space="0"/>
              <w:bottom w:val="single" w:color="auto" w:sz="4" w:space="0"/>
              <w:right w:val="single" w:color="auto" w:sz="4" w:space="0"/>
            </w:tcBorders>
            <w:vAlign w:val="center"/>
          </w:tcPr>
          <w:p>
            <w:pPr>
              <w:widowControl/>
              <w:jc w:val="right"/>
              <w:textAlignment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302</w:t>
            </w:r>
          </w:p>
        </w:tc>
        <w:tc>
          <w:tcPr>
            <w:tcW w:w="577" w:type="dxa"/>
            <w:tcBorders>
              <w:top w:val="nil"/>
              <w:left w:val="nil"/>
              <w:bottom w:val="single" w:color="auto" w:sz="4" w:space="0"/>
              <w:right w:val="single" w:color="auto" w:sz="4" w:space="0"/>
            </w:tcBorders>
            <w:vAlign w:val="center"/>
          </w:tcPr>
          <w:p>
            <w:pPr>
              <w:widowControl/>
              <w:jc w:val="right"/>
              <w:textAlignment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29</w:t>
            </w:r>
          </w:p>
        </w:tc>
        <w:tc>
          <w:tcPr>
            <w:tcW w:w="2891"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福利费</w:t>
            </w:r>
          </w:p>
        </w:tc>
        <w:tc>
          <w:tcPr>
            <w:tcW w:w="1701" w:type="dxa"/>
            <w:gridSpan w:val="2"/>
            <w:tcBorders>
              <w:top w:val="nil"/>
              <w:left w:val="nil"/>
              <w:bottom w:val="single" w:color="auto" w:sz="4" w:space="0"/>
              <w:right w:val="single" w:color="auto" w:sz="4" w:space="0"/>
            </w:tcBorders>
            <w:vAlign w:val="center"/>
          </w:tcPr>
          <w:p>
            <w:pPr>
              <w:widowControl/>
              <w:jc w:val="right"/>
              <w:textAlignment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5.59</w:t>
            </w:r>
          </w:p>
        </w:tc>
        <w:tc>
          <w:tcPr>
            <w:tcW w:w="1701" w:type="dxa"/>
            <w:gridSpan w:val="2"/>
            <w:tcBorders>
              <w:top w:val="nil"/>
              <w:left w:val="nil"/>
              <w:bottom w:val="single" w:color="auto" w:sz="4" w:space="0"/>
              <w:right w:val="single" w:color="auto" w:sz="4" w:space="0"/>
            </w:tcBorders>
            <w:vAlign w:val="center"/>
          </w:tcPr>
          <w:p>
            <w:pPr>
              <w:widowControl/>
              <w:jc w:val="right"/>
              <w:textAlignment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0</w:t>
            </w:r>
          </w:p>
        </w:tc>
        <w:tc>
          <w:tcPr>
            <w:tcW w:w="1701" w:type="dxa"/>
            <w:tcBorders>
              <w:top w:val="nil"/>
              <w:left w:val="nil"/>
              <w:bottom w:val="single" w:color="auto" w:sz="4" w:space="0"/>
              <w:right w:val="single" w:color="auto" w:sz="4" w:space="0"/>
            </w:tcBorders>
            <w:vAlign w:val="center"/>
          </w:tcPr>
          <w:p>
            <w:pPr>
              <w:widowControl/>
              <w:jc w:val="right"/>
              <w:textAlignment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5.59</w:t>
            </w:r>
          </w:p>
        </w:tc>
      </w:tr>
      <w:tr>
        <w:tblPrEx>
          <w:tblLayout w:type="fixed"/>
          <w:tblCellMar>
            <w:top w:w="0" w:type="dxa"/>
            <w:left w:w="108" w:type="dxa"/>
            <w:bottom w:w="0" w:type="dxa"/>
            <w:right w:w="108" w:type="dxa"/>
          </w:tblCellMar>
        </w:tblPrEx>
        <w:trPr>
          <w:trHeight w:val="309" w:hRule="atLeast"/>
        </w:trPr>
        <w:tc>
          <w:tcPr>
            <w:tcW w:w="757"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302</w:t>
            </w:r>
          </w:p>
        </w:tc>
        <w:tc>
          <w:tcPr>
            <w:tcW w:w="577"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31</w:t>
            </w:r>
          </w:p>
        </w:tc>
        <w:tc>
          <w:tcPr>
            <w:tcW w:w="28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公务车运行维护费</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2.18</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0</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2.18</w:t>
            </w:r>
          </w:p>
        </w:tc>
      </w:tr>
      <w:tr>
        <w:tblPrEx>
          <w:tblLayout w:type="fixed"/>
          <w:tblCellMar>
            <w:top w:w="0" w:type="dxa"/>
            <w:left w:w="108" w:type="dxa"/>
            <w:bottom w:w="0" w:type="dxa"/>
            <w:right w:w="108" w:type="dxa"/>
          </w:tblCellMar>
        </w:tblPrEx>
        <w:trPr>
          <w:trHeight w:val="309" w:hRule="atLeast"/>
        </w:trPr>
        <w:tc>
          <w:tcPr>
            <w:tcW w:w="757"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302</w:t>
            </w:r>
          </w:p>
        </w:tc>
        <w:tc>
          <w:tcPr>
            <w:tcW w:w="577"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99</w:t>
            </w:r>
          </w:p>
        </w:tc>
        <w:tc>
          <w:tcPr>
            <w:tcW w:w="28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商品和服务支出</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2.43</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0</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2.43</w:t>
            </w:r>
          </w:p>
        </w:tc>
      </w:tr>
    </w:tbl>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表七：</w:t>
      </w:r>
    </w:p>
    <w:tbl>
      <w:tblPr>
        <w:tblStyle w:val="9"/>
        <w:tblW w:w="9540" w:type="dxa"/>
        <w:tblInd w:w="-360" w:type="dxa"/>
        <w:tblLayout w:type="fixed"/>
        <w:tblCellMar>
          <w:top w:w="0" w:type="dxa"/>
          <w:left w:w="108" w:type="dxa"/>
          <w:bottom w:w="0" w:type="dxa"/>
          <w:right w:w="108" w:type="dxa"/>
        </w:tblCellMar>
      </w:tblPr>
      <w:tblGrid>
        <w:gridCol w:w="8"/>
        <w:gridCol w:w="519"/>
        <w:gridCol w:w="475"/>
        <w:gridCol w:w="443"/>
        <w:gridCol w:w="1219"/>
        <w:gridCol w:w="1144"/>
        <w:gridCol w:w="766"/>
        <w:gridCol w:w="362"/>
        <w:gridCol w:w="652"/>
        <w:gridCol w:w="829"/>
        <w:gridCol w:w="361"/>
        <w:gridCol w:w="257"/>
        <w:gridCol w:w="200"/>
        <w:gridCol w:w="419"/>
        <w:gridCol w:w="578"/>
        <w:gridCol w:w="420"/>
        <w:gridCol w:w="420"/>
        <w:gridCol w:w="389"/>
        <w:gridCol w:w="79"/>
      </w:tblGrid>
      <w:tr>
        <w:tblPrEx>
          <w:tblLayout w:type="fixed"/>
          <w:tblCellMar>
            <w:top w:w="0" w:type="dxa"/>
            <w:left w:w="108" w:type="dxa"/>
            <w:bottom w:w="0" w:type="dxa"/>
            <w:right w:w="108" w:type="dxa"/>
          </w:tblCellMar>
        </w:tblPrEx>
        <w:trPr>
          <w:gridBefore w:val="1"/>
          <w:gridAfter w:val="1"/>
          <w:wBefore w:w="8" w:type="dxa"/>
          <w:wAfter w:w="79" w:type="dxa"/>
          <w:trHeight w:val="375" w:hRule="atLeast"/>
        </w:trPr>
        <w:tc>
          <w:tcPr>
            <w:tcW w:w="9453" w:type="dxa"/>
            <w:gridSpan w:val="17"/>
            <w:tcBorders>
              <w:top w:val="nil"/>
              <w:left w:val="nil"/>
              <w:bottom w:val="nil"/>
              <w:right w:val="nil"/>
            </w:tcBorders>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一般公共预算项目支出情况表</w:t>
            </w:r>
          </w:p>
        </w:tc>
      </w:tr>
      <w:tr>
        <w:tblPrEx>
          <w:tblLayout w:type="fixed"/>
          <w:tblCellMar>
            <w:top w:w="0" w:type="dxa"/>
            <w:left w:w="108" w:type="dxa"/>
            <w:bottom w:w="0" w:type="dxa"/>
            <w:right w:w="108" w:type="dxa"/>
          </w:tblCellMar>
        </w:tblPrEx>
        <w:trPr>
          <w:gridBefore w:val="1"/>
          <w:gridAfter w:val="1"/>
          <w:wBefore w:w="8" w:type="dxa"/>
          <w:wAfter w:w="79" w:type="dxa"/>
          <w:trHeight w:val="405" w:hRule="atLeast"/>
        </w:trPr>
        <w:tc>
          <w:tcPr>
            <w:tcW w:w="4566" w:type="dxa"/>
            <w:gridSpan w:val="6"/>
            <w:tcBorders>
              <w:top w:val="nil"/>
              <w:left w:val="nil"/>
              <w:bottom w:val="nil"/>
              <w:right w:val="nil"/>
            </w:tcBorders>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编制部门（单位）：昌吉州医疗保障局</w:t>
            </w:r>
          </w:p>
        </w:tc>
        <w:tc>
          <w:tcPr>
            <w:tcW w:w="1014" w:type="dxa"/>
            <w:gridSpan w:val="2"/>
            <w:tcBorders>
              <w:top w:val="nil"/>
              <w:left w:val="nil"/>
              <w:bottom w:val="nil"/>
              <w:right w:val="nil"/>
            </w:tcBorders>
            <w:noWrap/>
            <w:vAlign w:val="center"/>
          </w:tcPr>
          <w:p>
            <w:pPr>
              <w:widowControl/>
              <w:jc w:val="left"/>
              <w:rPr>
                <w:rFonts w:ascii="仿宋_GB2312" w:hAnsi="宋体" w:eastAsia="仿宋_GB2312" w:cs="宋体"/>
                <w:color w:val="000000"/>
                <w:kern w:val="0"/>
                <w:sz w:val="24"/>
              </w:rPr>
            </w:pPr>
          </w:p>
        </w:tc>
        <w:tc>
          <w:tcPr>
            <w:tcW w:w="1447" w:type="dxa"/>
            <w:gridSpan w:val="3"/>
            <w:tcBorders>
              <w:top w:val="nil"/>
              <w:left w:val="nil"/>
              <w:bottom w:val="nil"/>
              <w:right w:val="nil"/>
            </w:tcBorders>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6"/>
            <w:tcBorders>
              <w:top w:val="nil"/>
              <w:left w:val="nil"/>
              <w:bottom w:val="nil"/>
              <w:right w:val="nil"/>
            </w:tcBorders>
            <w:noWrap/>
            <w:vAlign w:val="center"/>
          </w:tcPr>
          <w:p>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445" w:type="dxa"/>
            <w:gridSpan w:val="4"/>
            <w:noWrap/>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1219" w:type="dxa"/>
            <w:vMerge w:val="restart"/>
            <w:noWrap/>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144" w:type="dxa"/>
            <w:vMerge w:val="restart"/>
            <w:noWrap/>
            <w:vAlign w:val="center"/>
          </w:tcPr>
          <w:p>
            <w:pPr>
              <w:jc w:val="center"/>
              <w:rPr>
                <w:rFonts w:ascii="Calibri" w:hAnsi="Calibri"/>
                <w:sz w:val="24"/>
              </w:rPr>
            </w:pPr>
            <w:r>
              <w:rPr>
                <w:rFonts w:hint="eastAsia" w:ascii="仿宋_GB2312" w:hAnsi="宋体" w:eastAsia="仿宋_GB2312"/>
                <w:b/>
                <w:kern w:val="0"/>
                <w:sz w:val="24"/>
              </w:rPr>
              <w:t>项目名称</w:t>
            </w:r>
          </w:p>
        </w:tc>
        <w:tc>
          <w:tcPr>
            <w:tcW w:w="766"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362"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652"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829"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361"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457"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19"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78"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2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2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468"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7" w:hRule="atLeast"/>
        </w:trPr>
        <w:tc>
          <w:tcPr>
            <w:tcW w:w="527" w:type="dxa"/>
            <w:gridSpan w:val="2"/>
            <w:tcBorders>
              <w:bottom w:val="single" w:color="auto" w:sz="4" w:space="0"/>
            </w:tcBorders>
            <w:noWrap/>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475" w:type="dxa"/>
            <w:tcBorders>
              <w:bottom w:val="single" w:color="auto" w:sz="4" w:space="0"/>
            </w:tcBorders>
            <w:noWrap/>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443" w:type="dxa"/>
            <w:tcBorders>
              <w:bottom w:val="single" w:color="auto" w:sz="4" w:space="0"/>
            </w:tcBorders>
            <w:noWrap/>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1219" w:type="dxa"/>
            <w:vMerge w:val="continue"/>
            <w:tcBorders>
              <w:bottom w:val="single" w:color="auto" w:sz="4" w:space="0"/>
            </w:tcBorders>
            <w:vAlign w:val="center"/>
          </w:tcPr>
          <w:p>
            <w:pPr>
              <w:widowControl/>
              <w:jc w:val="left"/>
              <w:outlineLvl w:val="1"/>
              <w:rPr>
                <w:rFonts w:ascii="仿宋_GB2312" w:hAnsi="宋体" w:eastAsia="仿宋_GB2312"/>
                <w:b/>
                <w:kern w:val="0"/>
                <w:sz w:val="18"/>
                <w:szCs w:val="18"/>
              </w:rPr>
            </w:pPr>
          </w:p>
        </w:tc>
        <w:tc>
          <w:tcPr>
            <w:tcW w:w="1144"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766"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362"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829"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361"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57"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19"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78"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68"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27" w:type="dxa"/>
            <w:gridSpan w:val="2"/>
            <w:tcBorders>
              <w:top w:val="single" w:color="auto" w:sz="4" w:space="0"/>
              <w:left w:val="single" w:color="auto" w:sz="4" w:space="0"/>
              <w:bottom w:val="single" w:color="auto" w:sz="4" w:space="0"/>
              <w:right w:val="nil"/>
            </w:tcBorders>
            <w:vAlign w:val="center"/>
          </w:tcPr>
          <w:p>
            <w:pPr>
              <w:widowControl/>
              <w:jc w:val="center"/>
              <w:outlineLvl w:val="1"/>
              <w:rPr>
                <w:rFonts w:ascii="仿宋_GB2312" w:hAnsi="宋体" w:eastAsia="仿宋_GB2312"/>
                <w:kern w:val="0"/>
                <w:sz w:val="18"/>
                <w:szCs w:val="18"/>
              </w:rPr>
            </w:pPr>
          </w:p>
        </w:tc>
        <w:tc>
          <w:tcPr>
            <w:tcW w:w="475" w:type="dxa"/>
            <w:tcBorders>
              <w:top w:val="single" w:color="auto" w:sz="4" w:space="0"/>
              <w:left w:val="nil"/>
              <w:bottom w:val="single" w:color="auto" w:sz="4" w:space="0"/>
              <w:right w:val="nil"/>
            </w:tcBorders>
            <w:vAlign w:val="center"/>
          </w:tcPr>
          <w:p>
            <w:pPr>
              <w:widowControl/>
              <w:jc w:val="center"/>
              <w:outlineLvl w:val="1"/>
              <w:rPr>
                <w:rFonts w:ascii="仿宋_GB2312" w:hAnsi="宋体" w:eastAsia="仿宋_GB2312"/>
                <w:kern w:val="0"/>
                <w:sz w:val="18"/>
                <w:szCs w:val="18"/>
              </w:rPr>
            </w:pPr>
          </w:p>
        </w:tc>
        <w:tc>
          <w:tcPr>
            <w:tcW w:w="443" w:type="dxa"/>
            <w:tcBorders>
              <w:top w:val="single" w:color="auto" w:sz="4" w:space="0"/>
              <w:left w:val="nil"/>
              <w:bottom w:val="single" w:color="auto" w:sz="4" w:space="0"/>
              <w:right w:val="nil"/>
            </w:tcBorders>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合</w:t>
            </w:r>
          </w:p>
        </w:tc>
        <w:tc>
          <w:tcPr>
            <w:tcW w:w="121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kern w:val="0"/>
                <w:sz w:val="18"/>
                <w:szCs w:val="18"/>
              </w:rPr>
            </w:pPr>
            <w:r>
              <w:rPr>
                <w:rFonts w:hint="eastAsia" w:ascii="仿宋_GB2312" w:hAnsi="宋体" w:eastAsia="仿宋_GB2312"/>
                <w:kern w:val="0"/>
                <w:sz w:val="18"/>
                <w:szCs w:val="18"/>
              </w:rPr>
              <w:t>计</w:t>
            </w:r>
          </w:p>
        </w:tc>
        <w:tc>
          <w:tcPr>
            <w:tcW w:w="1144" w:type="dxa"/>
            <w:tcBorders>
              <w:left w:val="single" w:color="auto" w:sz="4" w:space="0"/>
            </w:tcBorders>
            <w:vAlign w:val="center"/>
          </w:tcPr>
          <w:p>
            <w:pPr>
              <w:widowControl/>
              <w:jc w:val="left"/>
              <w:textAlignment w:val="center"/>
              <w:rPr>
                <w:rFonts w:ascii="仿宋_GB2312" w:hAnsi="宋体" w:eastAsia="仿宋_GB2312"/>
                <w:kern w:val="0"/>
                <w:sz w:val="18"/>
                <w:szCs w:val="18"/>
              </w:rPr>
            </w:pPr>
          </w:p>
        </w:tc>
        <w:tc>
          <w:tcPr>
            <w:tcW w:w="766"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1186.5</w:t>
            </w:r>
          </w:p>
        </w:tc>
        <w:tc>
          <w:tcPr>
            <w:tcW w:w="362"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0</w:t>
            </w:r>
          </w:p>
        </w:tc>
        <w:tc>
          <w:tcPr>
            <w:tcW w:w="652"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100</w:t>
            </w:r>
          </w:p>
        </w:tc>
        <w:tc>
          <w:tcPr>
            <w:tcW w:w="829"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1086.5</w:t>
            </w:r>
          </w:p>
        </w:tc>
        <w:tc>
          <w:tcPr>
            <w:tcW w:w="361"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0</w:t>
            </w:r>
          </w:p>
        </w:tc>
        <w:tc>
          <w:tcPr>
            <w:tcW w:w="457" w:type="dxa"/>
            <w:gridSpan w:val="2"/>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0</w:t>
            </w:r>
          </w:p>
        </w:tc>
        <w:tc>
          <w:tcPr>
            <w:tcW w:w="419"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0</w:t>
            </w:r>
          </w:p>
        </w:tc>
        <w:tc>
          <w:tcPr>
            <w:tcW w:w="578"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0</w:t>
            </w:r>
          </w:p>
        </w:tc>
        <w:tc>
          <w:tcPr>
            <w:tcW w:w="420"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0</w:t>
            </w:r>
          </w:p>
        </w:tc>
        <w:tc>
          <w:tcPr>
            <w:tcW w:w="420"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0</w:t>
            </w:r>
          </w:p>
        </w:tc>
        <w:tc>
          <w:tcPr>
            <w:tcW w:w="468" w:type="dxa"/>
            <w:gridSpan w:val="2"/>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27" w:type="dxa"/>
            <w:gridSpan w:val="2"/>
            <w:tcBorders>
              <w:top w:val="single" w:color="auto" w:sz="4" w:space="0"/>
            </w:tcBorders>
            <w:vAlign w:val="center"/>
          </w:tcPr>
          <w:p>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210</w:t>
            </w:r>
          </w:p>
        </w:tc>
        <w:tc>
          <w:tcPr>
            <w:tcW w:w="475" w:type="dxa"/>
            <w:tcBorders>
              <w:top w:val="single" w:color="auto" w:sz="4" w:space="0"/>
            </w:tcBorders>
            <w:vAlign w:val="center"/>
          </w:tcPr>
          <w:p>
            <w:pPr>
              <w:widowControl/>
              <w:jc w:val="center"/>
              <w:outlineLvl w:val="1"/>
              <w:rPr>
                <w:rFonts w:hint="eastAsia" w:ascii="仿宋_GB2312" w:hAnsi="宋体" w:eastAsia="仿宋_GB2312"/>
                <w:kern w:val="0"/>
                <w:sz w:val="18"/>
                <w:szCs w:val="18"/>
              </w:rPr>
            </w:pPr>
          </w:p>
        </w:tc>
        <w:tc>
          <w:tcPr>
            <w:tcW w:w="443" w:type="dxa"/>
            <w:tcBorders>
              <w:top w:val="single" w:color="auto" w:sz="4" w:space="0"/>
            </w:tcBorders>
            <w:vAlign w:val="center"/>
          </w:tcPr>
          <w:p>
            <w:pPr>
              <w:widowControl/>
              <w:jc w:val="center"/>
              <w:outlineLvl w:val="1"/>
              <w:rPr>
                <w:rFonts w:hint="eastAsia" w:ascii="仿宋_GB2312" w:hAnsi="宋体" w:eastAsia="仿宋_GB2312"/>
                <w:kern w:val="0"/>
                <w:sz w:val="18"/>
                <w:szCs w:val="18"/>
              </w:rPr>
            </w:pPr>
          </w:p>
        </w:tc>
        <w:tc>
          <w:tcPr>
            <w:tcW w:w="1219" w:type="dxa"/>
            <w:tcBorders>
              <w:top w:val="single" w:color="auto" w:sz="4" w:space="0"/>
            </w:tcBorders>
            <w:vAlign w:val="center"/>
          </w:tcPr>
          <w:p>
            <w:pPr>
              <w:widowControl/>
              <w:jc w:val="center"/>
              <w:outlineLvl w:val="1"/>
              <w:rPr>
                <w:rFonts w:hint="eastAsia" w:ascii="仿宋_GB2312" w:hAnsi="宋体" w:eastAsia="仿宋_GB2312"/>
                <w:kern w:val="0"/>
                <w:sz w:val="18"/>
                <w:szCs w:val="18"/>
                <w:lang w:eastAsia="zh-CN"/>
              </w:rPr>
            </w:pPr>
            <w:r>
              <w:rPr>
                <w:rFonts w:hint="eastAsia" w:ascii="仿宋_GB2312" w:hAnsi="宋体" w:eastAsia="仿宋_GB2312"/>
                <w:kern w:val="0"/>
                <w:sz w:val="18"/>
                <w:szCs w:val="18"/>
                <w:lang w:eastAsia="zh-CN"/>
              </w:rPr>
              <w:t>卫生健康支出</w:t>
            </w:r>
          </w:p>
        </w:tc>
        <w:tc>
          <w:tcPr>
            <w:tcW w:w="1144" w:type="dxa"/>
            <w:vAlign w:val="center"/>
          </w:tcPr>
          <w:p>
            <w:pPr>
              <w:widowControl/>
              <w:jc w:val="center"/>
              <w:outlineLvl w:val="1"/>
              <w:rPr>
                <w:rFonts w:hint="eastAsia" w:ascii="仿宋_GB2312" w:hAnsi="宋体" w:eastAsia="仿宋_GB2312"/>
                <w:kern w:val="0"/>
                <w:sz w:val="18"/>
                <w:szCs w:val="18"/>
              </w:rPr>
            </w:pPr>
          </w:p>
        </w:tc>
        <w:tc>
          <w:tcPr>
            <w:tcW w:w="766" w:type="dxa"/>
            <w:vAlign w:val="center"/>
          </w:tcPr>
          <w:p>
            <w:pPr>
              <w:widowControl/>
              <w:jc w:val="center"/>
              <w:outlineLvl w:val="1"/>
              <w:rPr>
                <w:rFonts w:hint="eastAsia" w:ascii="仿宋_GB2312" w:hAnsi="宋体" w:eastAsia="仿宋_GB2312"/>
                <w:kern w:val="0"/>
                <w:sz w:val="18"/>
                <w:szCs w:val="18"/>
              </w:rPr>
            </w:pPr>
            <w:r>
              <w:rPr>
                <w:rFonts w:hint="eastAsia" w:ascii="仿宋_GB2312" w:hAnsi="宋体" w:eastAsia="仿宋_GB2312"/>
                <w:kern w:val="0"/>
                <w:sz w:val="18"/>
                <w:szCs w:val="18"/>
              </w:rPr>
              <w:t>1186.5</w:t>
            </w:r>
          </w:p>
        </w:tc>
        <w:tc>
          <w:tcPr>
            <w:tcW w:w="362" w:type="dxa"/>
            <w:vAlign w:val="center"/>
          </w:tcPr>
          <w:p>
            <w:pPr>
              <w:widowControl/>
              <w:jc w:val="center"/>
              <w:outlineLvl w:val="1"/>
              <w:rPr>
                <w:rFonts w:hint="eastAsia" w:ascii="仿宋_GB2312" w:hAnsi="宋体" w:eastAsia="仿宋_GB2312"/>
                <w:kern w:val="0"/>
                <w:sz w:val="18"/>
                <w:szCs w:val="18"/>
              </w:rPr>
            </w:pPr>
            <w:r>
              <w:rPr>
                <w:rFonts w:hint="eastAsia" w:ascii="仿宋_GB2312" w:hAnsi="宋体" w:eastAsia="仿宋_GB2312"/>
                <w:kern w:val="0"/>
                <w:sz w:val="18"/>
                <w:szCs w:val="18"/>
              </w:rPr>
              <w:t>0</w:t>
            </w:r>
          </w:p>
        </w:tc>
        <w:tc>
          <w:tcPr>
            <w:tcW w:w="652" w:type="dxa"/>
            <w:vAlign w:val="center"/>
          </w:tcPr>
          <w:p>
            <w:pPr>
              <w:widowControl/>
              <w:jc w:val="center"/>
              <w:outlineLvl w:val="1"/>
              <w:rPr>
                <w:rFonts w:hint="eastAsia" w:ascii="仿宋_GB2312" w:hAnsi="宋体" w:eastAsia="仿宋_GB2312"/>
                <w:kern w:val="0"/>
                <w:sz w:val="18"/>
                <w:szCs w:val="18"/>
              </w:rPr>
            </w:pPr>
            <w:r>
              <w:rPr>
                <w:rFonts w:hint="eastAsia" w:ascii="仿宋_GB2312" w:hAnsi="宋体" w:eastAsia="仿宋_GB2312"/>
                <w:kern w:val="0"/>
                <w:sz w:val="18"/>
                <w:szCs w:val="18"/>
              </w:rPr>
              <w:t>100</w:t>
            </w:r>
          </w:p>
        </w:tc>
        <w:tc>
          <w:tcPr>
            <w:tcW w:w="829" w:type="dxa"/>
            <w:vAlign w:val="center"/>
          </w:tcPr>
          <w:p>
            <w:pPr>
              <w:widowControl/>
              <w:jc w:val="center"/>
              <w:outlineLvl w:val="1"/>
              <w:rPr>
                <w:rFonts w:hint="eastAsia" w:ascii="仿宋_GB2312" w:hAnsi="宋体" w:eastAsia="仿宋_GB2312"/>
                <w:kern w:val="0"/>
                <w:sz w:val="18"/>
                <w:szCs w:val="18"/>
              </w:rPr>
            </w:pPr>
            <w:r>
              <w:rPr>
                <w:rFonts w:hint="eastAsia" w:ascii="仿宋_GB2312" w:hAnsi="宋体" w:eastAsia="仿宋_GB2312"/>
                <w:kern w:val="0"/>
                <w:sz w:val="18"/>
                <w:szCs w:val="18"/>
              </w:rPr>
              <w:t>1086.5</w:t>
            </w:r>
          </w:p>
        </w:tc>
        <w:tc>
          <w:tcPr>
            <w:tcW w:w="361" w:type="dxa"/>
            <w:vAlign w:val="center"/>
          </w:tcPr>
          <w:p>
            <w:pPr>
              <w:widowControl/>
              <w:jc w:val="center"/>
              <w:outlineLvl w:val="1"/>
              <w:rPr>
                <w:rFonts w:hint="eastAsia"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0</w:t>
            </w:r>
          </w:p>
        </w:tc>
        <w:tc>
          <w:tcPr>
            <w:tcW w:w="457" w:type="dxa"/>
            <w:gridSpan w:val="2"/>
            <w:vAlign w:val="center"/>
          </w:tcPr>
          <w:p>
            <w:pPr>
              <w:widowControl/>
              <w:jc w:val="center"/>
              <w:outlineLvl w:val="1"/>
              <w:rPr>
                <w:rFonts w:hint="eastAsia"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0</w:t>
            </w:r>
          </w:p>
        </w:tc>
        <w:tc>
          <w:tcPr>
            <w:tcW w:w="419"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0</w:t>
            </w:r>
          </w:p>
        </w:tc>
        <w:tc>
          <w:tcPr>
            <w:tcW w:w="578"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0</w:t>
            </w:r>
          </w:p>
        </w:tc>
        <w:tc>
          <w:tcPr>
            <w:tcW w:w="420"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0</w:t>
            </w:r>
          </w:p>
        </w:tc>
        <w:tc>
          <w:tcPr>
            <w:tcW w:w="420"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0</w:t>
            </w:r>
          </w:p>
        </w:tc>
        <w:tc>
          <w:tcPr>
            <w:tcW w:w="468" w:type="dxa"/>
            <w:gridSpan w:val="2"/>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27" w:type="dxa"/>
            <w:gridSpan w:val="2"/>
            <w:tcBorders>
              <w:top w:val="single" w:color="auto" w:sz="4" w:space="0"/>
            </w:tcBorders>
            <w:vAlign w:val="center"/>
          </w:tcPr>
          <w:p>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210</w:t>
            </w:r>
          </w:p>
        </w:tc>
        <w:tc>
          <w:tcPr>
            <w:tcW w:w="475" w:type="dxa"/>
            <w:tcBorders>
              <w:top w:val="single" w:color="auto" w:sz="4" w:space="0"/>
            </w:tcBorders>
            <w:vAlign w:val="center"/>
          </w:tcPr>
          <w:p>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15</w:t>
            </w:r>
          </w:p>
        </w:tc>
        <w:tc>
          <w:tcPr>
            <w:tcW w:w="443" w:type="dxa"/>
            <w:tcBorders>
              <w:top w:val="single" w:color="auto" w:sz="4" w:space="0"/>
            </w:tcBorders>
            <w:vAlign w:val="center"/>
          </w:tcPr>
          <w:p>
            <w:pPr>
              <w:widowControl/>
              <w:jc w:val="center"/>
              <w:outlineLvl w:val="1"/>
              <w:rPr>
                <w:rFonts w:hint="eastAsia" w:ascii="仿宋_GB2312" w:hAnsi="宋体" w:eastAsia="仿宋_GB2312"/>
                <w:kern w:val="0"/>
                <w:sz w:val="18"/>
                <w:szCs w:val="18"/>
              </w:rPr>
            </w:pPr>
          </w:p>
        </w:tc>
        <w:tc>
          <w:tcPr>
            <w:tcW w:w="1219" w:type="dxa"/>
            <w:tcBorders>
              <w:top w:val="single" w:color="auto" w:sz="4" w:space="0"/>
            </w:tcBorders>
            <w:vAlign w:val="center"/>
          </w:tcPr>
          <w:p>
            <w:pPr>
              <w:widowControl/>
              <w:jc w:val="center"/>
              <w:outlineLvl w:val="1"/>
              <w:rPr>
                <w:rFonts w:hint="eastAsia" w:ascii="仿宋_GB2312" w:hAnsi="宋体" w:eastAsia="仿宋_GB2312"/>
                <w:kern w:val="0"/>
                <w:sz w:val="18"/>
                <w:szCs w:val="18"/>
                <w:lang w:eastAsia="zh-CN"/>
              </w:rPr>
            </w:pPr>
            <w:r>
              <w:rPr>
                <w:rFonts w:hint="eastAsia" w:ascii="仿宋_GB2312" w:hAnsi="宋体" w:eastAsia="仿宋_GB2312"/>
                <w:kern w:val="0"/>
                <w:sz w:val="18"/>
                <w:szCs w:val="18"/>
                <w:lang w:eastAsia="zh-CN"/>
              </w:rPr>
              <w:t>医疗保障管理事务</w:t>
            </w:r>
          </w:p>
        </w:tc>
        <w:tc>
          <w:tcPr>
            <w:tcW w:w="1144" w:type="dxa"/>
            <w:vAlign w:val="center"/>
          </w:tcPr>
          <w:p>
            <w:pPr>
              <w:widowControl/>
              <w:jc w:val="center"/>
              <w:outlineLvl w:val="1"/>
              <w:rPr>
                <w:rFonts w:hint="eastAsia" w:ascii="仿宋_GB2312" w:hAnsi="宋体" w:eastAsia="仿宋_GB2312"/>
                <w:kern w:val="0"/>
                <w:sz w:val="18"/>
                <w:szCs w:val="18"/>
              </w:rPr>
            </w:pPr>
          </w:p>
        </w:tc>
        <w:tc>
          <w:tcPr>
            <w:tcW w:w="766" w:type="dxa"/>
            <w:vAlign w:val="center"/>
          </w:tcPr>
          <w:p>
            <w:pPr>
              <w:widowControl/>
              <w:jc w:val="center"/>
              <w:outlineLvl w:val="1"/>
              <w:rPr>
                <w:rFonts w:hint="eastAsia" w:ascii="仿宋_GB2312" w:hAnsi="宋体" w:eastAsia="仿宋_GB2312"/>
                <w:kern w:val="0"/>
                <w:sz w:val="18"/>
                <w:szCs w:val="18"/>
              </w:rPr>
            </w:pPr>
            <w:r>
              <w:rPr>
                <w:rFonts w:hint="eastAsia" w:ascii="仿宋_GB2312" w:hAnsi="宋体" w:eastAsia="仿宋_GB2312"/>
                <w:kern w:val="0"/>
                <w:sz w:val="18"/>
                <w:szCs w:val="18"/>
              </w:rPr>
              <w:t>1186.5</w:t>
            </w:r>
          </w:p>
        </w:tc>
        <w:tc>
          <w:tcPr>
            <w:tcW w:w="362" w:type="dxa"/>
            <w:vAlign w:val="center"/>
          </w:tcPr>
          <w:p>
            <w:pPr>
              <w:widowControl/>
              <w:jc w:val="center"/>
              <w:outlineLvl w:val="1"/>
              <w:rPr>
                <w:rFonts w:hint="eastAsia" w:ascii="仿宋_GB2312" w:hAnsi="宋体" w:eastAsia="仿宋_GB2312"/>
                <w:kern w:val="0"/>
                <w:sz w:val="18"/>
                <w:szCs w:val="18"/>
              </w:rPr>
            </w:pPr>
            <w:r>
              <w:rPr>
                <w:rFonts w:hint="eastAsia" w:ascii="仿宋_GB2312" w:hAnsi="宋体" w:eastAsia="仿宋_GB2312"/>
                <w:kern w:val="0"/>
                <w:sz w:val="18"/>
                <w:szCs w:val="18"/>
              </w:rPr>
              <w:t>0</w:t>
            </w:r>
          </w:p>
        </w:tc>
        <w:tc>
          <w:tcPr>
            <w:tcW w:w="652" w:type="dxa"/>
            <w:vAlign w:val="center"/>
          </w:tcPr>
          <w:p>
            <w:pPr>
              <w:widowControl/>
              <w:jc w:val="center"/>
              <w:outlineLvl w:val="1"/>
              <w:rPr>
                <w:rFonts w:hint="eastAsia" w:ascii="仿宋_GB2312" w:hAnsi="宋体" w:eastAsia="仿宋_GB2312"/>
                <w:kern w:val="0"/>
                <w:sz w:val="18"/>
                <w:szCs w:val="18"/>
              </w:rPr>
            </w:pPr>
            <w:r>
              <w:rPr>
                <w:rFonts w:hint="eastAsia" w:ascii="仿宋_GB2312" w:hAnsi="宋体" w:eastAsia="仿宋_GB2312"/>
                <w:kern w:val="0"/>
                <w:sz w:val="18"/>
                <w:szCs w:val="18"/>
              </w:rPr>
              <w:t>100</w:t>
            </w:r>
          </w:p>
        </w:tc>
        <w:tc>
          <w:tcPr>
            <w:tcW w:w="829" w:type="dxa"/>
            <w:vAlign w:val="center"/>
          </w:tcPr>
          <w:p>
            <w:pPr>
              <w:widowControl/>
              <w:jc w:val="center"/>
              <w:outlineLvl w:val="1"/>
              <w:rPr>
                <w:rFonts w:hint="eastAsia" w:ascii="仿宋_GB2312" w:hAnsi="宋体" w:eastAsia="仿宋_GB2312"/>
                <w:kern w:val="0"/>
                <w:sz w:val="18"/>
                <w:szCs w:val="18"/>
              </w:rPr>
            </w:pPr>
            <w:r>
              <w:rPr>
                <w:rFonts w:hint="eastAsia" w:ascii="仿宋_GB2312" w:hAnsi="宋体" w:eastAsia="仿宋_GB2312"/>
                <w:kern w:val="0"/>
                <w:sz w:val="18"/>
                <w:szCs w:val="18"/>
              </w:rPr>
              <w:t>1086.5</w:t>
            </w:r>
          </w:p>
        </w:tc>
        <w:tc>
          <w:tcPr>
            <w:tcW w:w="361" w:type="dxa"/>
            <w:vAlign w:val="center"/>
          </w:tcPr>
          <w:p>
            <w:pPr>
              <w:widowControl/>
              <w:jc w:val="center"/>
              <w:outlineLvl w:val="1"/>
              <w:rPr>
                <w:rFonts w:hint="eastAsia"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0</w:t>
            </w:r>
          </w:p>
        </w:tc>
        <w:tc>
          <w:tcPr>
            <w:tcW w:w="457" w:type="dxa"/>
            <w:gridSpan w:val="2"/>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0</w:t>
            </w:r>
          </w:p>
        </w:tc>
        <w:tc>
          <w:tcPr>
            <w:tcW w:w="419"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0</w:t>
            </w:r>
          </w:p>
        </w:tc>
        <w:tc>
          <w:tcPr>
            <w:tcW w:w="578"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0</w:t>
            </w:r>
          </w:p>
        </w:tc>
        <w:tc>
          <w:tcPr>
            <w:tcW w:w="420"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0</w:t>
            </w:r>
          </w:p>
        </w:tc>
        <w:tc>
          <w:tcPr>
            <w:tcW w:w="420"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0</w:t>
            </w:r>
          </w:p>
        </w:tc>
        <w:tc>
          <w:tcPr>
            <w:tcW w:w="468" w:type="dxa"/>
            <w:gridSpan w:val="2"/>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27" w:type="dxa"/>
            <w:gridSpan w:val="2"/>
            <w:tcBorders>
              <w:top w:val="single" w:color="auto" w:sz="4" w:space="0"/>
            </w:tcBorders>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210</w:t>
            </w:r>
          </w:p>
        </w:tc>
        <w:tc>
          <w:tcPr>
            <w:tcW w:w="475" w:type="dxa"/>
            <w:tcBorders>
              <w:top w:val="single" w:color="auto" w:sz="4" w:space="0"/>
            </w:tcBorders>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15</w:t>
            </w:r>
          </w:p>
        </w:tc>
        <w:tc>
          <w:tcPr>
            <w:tcW w:w="443" w:type="dxa"/>
            <w:tcBorders>
              <w:top w:val="single" w:color="auto" w:sz="4" w:space="0"/>
            </w:tcBorders>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02</w:t>
            </w:r>
          </w:p>
        </w:tc>
        <w:tc>
          <w:tcPr>
            <w:tcW w:w="1219" w:type="dxa"/>
            <w:tcBorders>
              <w:top w:val="single" w:color="auto" w:sz="4" w:space="0"/>
            </w:tcBorders>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一般行政管理事务</w:t>
            </w:r>
          </w:p>
        </w:tc>
        <w:tc>
          <w:tcPr>
            <w:tcW w:w="1144"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医保局医保经办中心公共耗材及工作经费</w:t>
            </w:r>
          </w:p>
        </w:tc>
        <w:tc>
          <w:tcPr>
            <w:tcW w:w="766"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60</w:t>
            </w:r>
          </w:p>
        </w:tc>
        <w:tc>
          <w:tcPr>
            <w:tcW w:w="362"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0</w:t>
            </w:r>
          </w:p>
        </w:tc>
        <w:tc>
          <w:tcPr>
            <w:tcW w:w="652"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60</w:t>
            </w:r>
          </w:p>
        </w:tc>
        <w:tc>
          <w:tcPr>
            <w:tcW w:w="829"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0</w:t>
            </w:r>
          </w:p>
        </w:tc>
        <w:tc>
          <w:tcPr>
            <w:tcW w:w="361" w:type="dxa"/>
            <w:vAlign w:val="center"/>
          </w:tcPr>
          <w:p>
            <w:pPr>
              <w:widowControl/>
              <w:jc w:val="center"/>
              <w:outlineLvl w:val="1"/>
              <w:rPr>
                <w:rFonts w:hint="eastAsia" w:ascii="仿宋_GB2312" w:hAnsi="宋体" w:eastAsia="仿宋_GB2312"/>
                <w:kern w:val="0"/>
                <w:sz w:val="18"/>
                <w:szCs w:val="18"/>
                <w:lang w:val="en-US" w:eastAsia="zh-CN"/>
              </w:rPr>
            </w:pPr>
          </w:p>
        </w:tc>
        <w:tc>
          <w:tcPr>
            <w:tcW w:w="457" w:type="dxa"/>
            <w:gridSpan w:val="2"/>
            <w:vAlign w:val="center"/>
          </w:tcPr>
          <w:p>
            <w:pPr>
              <w:widowControl/>
              <w:jc w:val="center"/>
              <w:outlineLvl w:val="1"/>
              <w:rPr>
                <w:rFonts w:ascii="仿宋_GB2312" w:hAnsi="宋体" w:eastAsia="仿宋_GB2312"/>
                <w:kern w:val="0"/>
                <w:sz w:val="18"/>
                <w:szCs w:val="18"/>
              </w:rPr>
            </w:pPr>
          </w:p>
        </w:tc>
        <w:tc>
          <w:tcPr>
            <w:tcW w:w="419" w:type="dxa"/>
            <w:vAlign w:val="center"/>
          </w:tcPr>
          <w:p>
            <w:pPr>
              <w:widowControl/>
              <w:jc w:val="center"/>
              <w:outlineLvl w:val="1"/>
              <w:rPr>
                <w:rFonts w:ascii="仿宋_GB2312" w:hAnsi="宋体" w:eastAsia="仿宋_GB2312"/>
                <w:kern w:val="0"/>
                <w:sz w:val="18"/>
                <w:szCs w:val="18"/>
              </w:rPr>
            </w:pPr>
          </w:p>
        </w:tc>
        <w:tc>
          <w:tcPr>
            <w:tcW w:w="578"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68" w:type="dxa"/>
            <w:gridSpan w:val="2"/>
            <w:vAlign w:val="center"/>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27" w:type="dxa"/>
            <w:gridSpan w:val="2"/>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210</w:t>
            </w:r>
          </w:p>
        </w:tc>
        <w:tc>
          <w:tcPr>
            <w:tcW w:w="475"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15</w:t>
            </w:r>
          </w:p>
        </w:tc>
        <w:tc>
          <w:tcPr>
            <w:tcW w:w="443"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02</w:t>
            </w:r>
          </w:p>
        </w:tc>
        <w:tc>
          <w:tcPr>
            <w:tcW w:w="1219"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一般行政管理事务</w:t>
            </w:r>
          </w:p>
        </w:tc>
        <w:tc>
          <w:tcPr>
            <w:tcW w:w="1144"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长期护理保险工作经费</w:t>
            </w:r>
          </w:p>
        </w:tc>
        <w:tc>
          <w:tcPr>
            <w:tcW w:w="766"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10</w:t>
            </w:r>
          </w:p>
        </w:tc>
        <w:tc>
          <w:tcPr>
            <w:tcW w:w="362"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0</w:t>
            </w:r>
          </w:p>
        </w:tc>
        <w:tc>
          <w:tcPr>
            <w:tcW w:w="652"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10</w:t>
            </w:r>
          </w:p>
        </w:tc>
        <w:tc>
          <w:tcPr>
            <w:tcW w:w="829"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0</w:t>
            </w:r>
          </w:p>
        </w:tc>
        <w:tc>
          <w:tcPr>
            <w:tcW w:w="361" w:type="dxa"/>
            <w:vAlign w:val="center"/>
          </w:tcPr>
          <w:p>
            <w:pPr>
              <w:widowControl/>
              <w:jc w:val="center"/>
              <w:outlineLvl w:val="1"/>
              <w:rPr>
                <w:rFonts w:ascii="仿宋_GB2312" w:hAnsi="宋体" w:eastAsia="仿宋_GB2312"/>
                <w:kern w:val="0"/>
                <w:sz w:val="18"/>
                <w:szCs w:val="18"/>
              </w:rPr>
            </w:pPr>
          </w:p>
        </w:tc>
        <w:tc>
          <w:tcPr>
            <w:tcW w:w="457" w:type="dxa"/>
            <w:gridSpan w:val="2"/>
            <w:vAlign w:val="center"/>
          </w:tcPr>
          <w:p>
            <w:pPr>
              <w:widowControl/>
              <w:jc w:val="center"/>
              <w:outlineLvl w:val="1"/>
              <w:rPr>
                <w:rFonts w:ascii="仿宋_GB2312" w:hAnsi="宋体" w:eastAsia="仿宋_GB2312"/>
                <w:kern w:val="0"/>
                <w:sz w:val="18"/>
                <w:szCs w:val="18"/>
              </w:rPr>
            </w:pPr>
          </w:p>
        </w:tc>
        <w:tc>
          <w:tcPr>
            <w:tcW w:w="419" w:type="dxa"/>
            <w:vAlign w:val="center"/>
          </w:tcPr>
          <w:p>
            <w:pPr>
              <w:widowControl/>
              <w:jc w:val="center"/>
              <w:outlineLvl w:val="1"/>
              <w:rPr>
                <w:rFonts w:ascii="仿宋_GB2312" w:hAnsi="宋体" w:eastAsia="仿宋_GB2312"/>
                <w:kern w:val="0"/>
                <w:sz w:val="18"/>
                <w:szCs w:val="18"/>
              </w:rPr>
            </w:pPr>
          </w:p>
        </w:tc>
        <w:tc>
          <w:tcPr>
            <w:tcW w:w="578"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68" w:type="dxa"/>
            <w:gridSpan w:val="2"/>
            <w:vAlign w:val="center"/>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27" w:type="dxa"/>
            <w:gridSpan w:val="2"/>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210</w:t>
            </w:r>
          </w:p>
        </w:tc>
        <w:tc>
          <w:tcPr>
            <w:tcW w:w="475"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15</w:t>
            </w:r>
          </w:p>
        </w:tc>
        <w:tc>
          <w:tcPr>
            <w:tcW w:w="443"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02</w:t>
            </w:r>
          </w:p>
        </w:tc>
        <w:tc>
          <w:tcPr>
            <w:tcW w:w="1219"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一般行政管理事务</w:t>
            </w:r>
          </w:p>
        </w:tc>
        <w:tc>
          <w:tcPr>
            <w:tcW w:w="1144"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医疗基金监管工作经费</w:t>
            </w:r>
          </w:p>
        </w:tc>
        <w:tc>
          <w:tcPr>
            <w:tcW w:w="766" w:type="dxa"/>
            <w:vAlign w:val="center"/>
          </w:tcPr>
          <w:p>
            <w:pPr>
              <w:widowControl/>
              <w:jc w:val="center"/>
              <w:outlineLvl w:val="1"/>
              <w:rPr>
                <w:rFonts w:ascii="仿宋_GB2312" w:hAnsi="宋体" w:eastAsia="仿宋_GB2312"/>
                <w:kern w:val="0"/>
                <w:sz w:val="18"/>
                <w:szCs w:val="18"/>
              </w:rPr>
            </w:pPr>
            <w:r>
              <w:rPr>
                <w:rFonts w:ascii="仿宋_GB2312" w:hAnsi="宋体" w:eastAsia="仿宋_GB2312"/>
                <w:kern w:val="0"/>
                <w:sz w:val="18"/>
                <w:szCs w:val="18"/>
              </w:rPr>
              <w:t>30</w:t>
            </w:r>
          </w:p>
        </w:tc>
        <w:tc>
          <w:tcPr>
            <w:tcW w:w="362"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0</w:t>
            </w:r>
          </w:p>
        </w:tc>
        <w:tc>
          <w:tcPr>
            <w:tcW w:w="652" w:type="dxa"/>
            <w:vAlign w:val="center"/>
          </w:tcPr>
          <w:p>
            <w:pPr>
              <w:widowControl/>
              <w:jc w:val="center"/>
              <w:outlineLvl w:val="1"/>
              <w:rPr>
                <w:rFonts w:ascii="仿宋_GB2312" w:hAnsi="宋体" w:eastAsia="仿宋_GB2312"/>
                <w:kern w:val="0"/>
                <w:sz w:val="18"/>
                <w:szCs w:val="18"/>
              </w:rPr>
            </w:pPr>
            <w:r>
              <w:rPr>
                <w:rFonts w:ascii="仿宋_GB2312" w:hAnsi="宋体" w:eastAsia="仿宋_GB2312"/>
                <w:kern w:val="0"/>
                <w:sz w:val="18"/>
                <w:szCs w:val="18"/>
              </w:rPr>
              <w:t>30</w:t>
            </w:r>
          </w:p>
        </w:tc>
        <w:tc>
          <w:tcPr>
            <w:tcW w:w="829"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0</w:t>
            </w:r>
          </w:p>
        </w:tc>
        <w:tc>
          <w:tcPr>
            <w:tcW w:w="361" w:type="dxa"/>
            <w:vAlign w:val="center"/>
          </w:tcPr>
          <w:p>
            <w:pPr>
              <w:widowControl/>
              <w:jc w:val="center"/>
              <w:outlineLvl w:val="1"/>
              <w:rPr>
                <w:rFonts w:ascii="仿宋_GB2312" w:hAnsi="宋体" w:eastAsia="仿宋_GB2312"/>
                <w:kern w:val="0"/>
                <w:sz w:val="18"/>
                <w:szCs w:val="18"/>
              </w:rPr>
            </w:pPr>
          </w:p>
        </w:tc>
        <w:tc>
          <w:tcPr>
            <w:tcW w:w="457" w:type="dxa"/>
            <w:gridSpan w:val="2"/>
            <w:vAlign w:val="center"/>
          </w:tcPr>
          <w:p>
            <w:pPr>
              <w:widowControl/>
              <w:jc w:val="center"/>
              <w:outlineLvl w:val="1"/>
              <w:rPr>
                <w:rFonts w:ascii="仿宋_GB2312" w:hAnsi="宋体" w:eastAsia="仿宋_GB2312"/>
                <w:kern w:val="0"/>
                <w:sz w:val="18"/>
                <w:szCs w:val="18"/>
              </w:rPr>
            </w:pPr>
          </w:p>
        </w:tc>
        <w:tc>
          <w:tcPr>
            <w:tcW w:w="419" w:type="dxa"/>
            <w:vAlign w:val="center"/>
          </w:tcPr>
          <w:p>
            <w:pPr>
              <w:widowControl/>
              <w:jc w:val="center"/>
              <w:outlineLvl w:val="1"/>
              <w:rPr>
                <w:rFonts w:ascii="仿宋_GB2312" w:hAnsi="宋体" w:eastAsia="仿宋_GB2312"/>
                <w:kern w:val="0"/>
                <w:sz w:val="18"/>
                <w:szCs w:val="18"/>
              </w:rPr>
            </w:pPr>
          </w:p>
        </w:tc>
        <w:tc>
          <w:tcPr>
            <w:tcW w:w="578"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68" w:type="dxa"/>
            <w:gridSpan w:val="2"/>
            <w:vAlign w:val="center"/>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27" w:type="dxa"/>
            <w:gridSpan w:val="2"/>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210</w:t>
            </w:r>
          </w:p>
        </w:tc>
        <w:tc>
          <w:tcPr>
            <w:tcW w:w="475"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15</w:t>
            </w:r>
          </w:p>
        </w:tc>
        <w:tc>
          <w:tcPr>
            <w:tcW w:w="443"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99</w:t>
            </w:r>
          </w:p>
        </w:tc>
        <w:tc>
          <w:tcPr>
            <w:tcW w:w="1219"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其他医疗保障管理事务支出</w:t>
            </w:r>
          </w:p>
        </w:tc>
        <w:tc>
          <w:tcPr>
            <w:tcW w:w="1144"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地州级退休人员医疗补助经费</w:t>
            </w:r>
          </w:p>
        </w:tc>
        <w:tc>
          <w:tcPr>
            <w:tcW w:w="766"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265</w:t>
            </w:r>
          </w:p>
        </w:tc>
        <w:tc>
          <w:tcPr>
            <w:tcW w:w="362"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0</w:t>
            </w:r>
          </w:p>
        </w:tc>
        <w:tc>
          <w:tcPr>
            <w:tcW w:w="652"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0</w:t>
            </w:r>
          </w:p>
        </w:tc>
        <w:tc>
          <w:tcPr>
            <w:tcW w:w="829"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265</w:t>
            </w:r>
          </w:p>
        </w:tc>
        <w:tc>
          <w:tcPr>
            <w:tcW w:w="361" w:type="dxa"/>
            <w:vAlign w:val="center"/>
          </w:tcPr>
          <w:p>
            <w:pPr>
              <w:widowControl/>
              <w:jc w:val="center"/>
              <w:outlineLvl w:val="1"/>
              <w:rPr>
                <w:rFonts w:ascii="仿宋_GB2312" w:hAnsi="宋体" w:eastAsia="仿宋_GB2312"/>
                <w:kern w:val="0"/>
                <w:sz w:val="18"/>
                <w:szCs w:val="18"/>
              </w:rPr>
            </w:pPr>
          </w:p>
        </w:tc>
        <w:tc>
          <w:tcPr>
            <w:tcW w:w="457" w:type="dxa"/>
            <w:gridSpan w:val="2"/>
            <w:vAlign w:val="center"/>
          </w:tcPr>
          <w:p>
            <w:pPr>
              <w:widowControl/>
              <w:jc w:val="center"/>
              <w:outlineLvl w:val="1"/>
              <w:rPr>
                <w:rFonts w:ascii="仿宋_GB2312" w:hAnsi="宋体" w:eastAsia="仿宋_GB2312"/>
                <w:kern w:val="0"/>
                <w:sz w:val="18"/>
                <w:szCs w:val="18"/>
              </w:rPr>
            </w:pPr>
          </w:p>
        </w:tc>
        <w:tc>
          <w:tcPr>
            <w:tcW w:w="419" w:type="dxa"/>
            <w:vAlign w:val="center"/>
          </w:tcPr>
          <w:p>
            <w:pPr>
              <w:widowControl/>
              <w:jc w:val="center"/>
              <w:outlineLvl w:val="1"/>
              <w:rPr>
                <w:rFonts w:ascii="仿宋_GB2312" w:hAnsi="宋体" w:eastAsia="仿宋_GB2312"/>
                <w:kern w:val="0"/>
                <w:sz w:val="18"/>
                <w:szCs w:val="18"/>
              </w:rPr>
            </w:pPr>
          </w:p>
        </w:tc>
        <w:tc>
          <w:tcPr>
            <w:tcW w:w="578"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68" w:type="dxa"/>
            <w:gridSpan w:val="2"/>
            <w:vAlign w:val="center"/>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27" w:type="dxa"/>
            <w:gridSpan w:val="2"/>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210</w:t>
            </w:r>
          </w:p>
        </w:tc>
        <w:tc>
          <w:tcPr>
            <w:tcW w:w="475"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15</w:t>
            </w:r>
          </w:p>
        </w:tc>
        <w:tc>
          <w:tcPr>
            <w:tcW w:w="443"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99</w:t>
            </w:r>
          </w:p>
        </w:tc>
        <w:tc>
          <w:tcPr>
            <w:tcW w:w="1219"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其他医疗保障管理事务支出</w:t>
            </w:r>
          </w:p>
        </w:tc>
        <w:tc>
          <w:tcPr>
            <w:tcW w:w="1144"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国务院特殊津贴专家保健医疗费</w:t>
            </w:r>
          </w:p>
        </w:tc>
        <w:tc>
          <w:tcPr>
            <w:tcW w:w="766"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40</w:t>
            </w:r>
          </w:p>
        </w:tc>
        <w:tc>
          <w:tcPr>
            <w:tcW w:w="362"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0</w:t>
            </w:r>
          </w:p>
        </w:tc>
        <w:tc>
          <w:tcPr>
            <w:tcW w:w="652"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0</w:t>
            </w:r>
          </w:p>
        </w:tc>
        <w:tc>
          <w:tcPr>
            <w:tcW w:w="829"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40</w:t>
            </w:r>
          </w:p>
        </w:tc>
        <w:tc>
          <w:tcPr>
            <w:tcW w:w="361" w:type="dxa"/>
            <w:vAlign w:val="center"/>
          </w:tcPr>
          <w:p>
            <w:pPr>
              <w:widowControl/>
              <w:jc w:val="center"/>
              <w:outlineLvl w:val="1"/>
              <w:rPr>
                <w:rFonts w:ascii="仿宋_GB2312" w:hAnsi="宋体" w:eastAsia="仿宋_GB2312"/>
                <w:kern w:val="0"/>
                <w:sz w:val="18"/>
                <w:szCs w:val="18"/>
              </w:rPr>
            </w:pPr>
          </w:p>
        </w:tc>
        <w:tc>
          <w:tcPr>
            <w:tcW w:w="457" w:type="dxa"/>
            <w:gridSpan w:val="2"/>
            <w:vAlign w:val="center"/>
          </w:tcPr>
          <w:p>
            <w:pPr>
              <w:widowControl/>
              <w:jc w:val="center"/>
              <w:outlineLvl w:val="1"/>
              <w:rPr>
                <w:rFonts w:ascii="仿宋_GB2312" w:hAnsi="宋体" w:eastAsia="仿宋_GB2312"/>
                <w:kern w:val="0"/>
                <w:sz w:val="18"/>
                <w:szCs w:val="18"/>
              </w:rPr>
            </w:pPr>
          </w:p>
        </w:tc>
        <w:tc>
          <w:tcPr>
            <w:tcW w:w="419" w:type="dxa"/>
            <w:vAlign w:val="center"/>
          </w:tcPr>
          <w:p>
            <w:pPr>
              <w:widowControl/>
              <w:jc w:val="center"/>
              <w:outlineLvl w:val="1"/>
              <w:rPr>
                <w:rFonts w:ascii="仿宋_GB2312" w:hAnsi="宋体" w:eastAsia="仿宋_GB2312"/>
                <w:kern w:val="0"/>
                <w:sz w:val="18"/>
                <w:szCs w:val="18"/>
              </w:rPr>
            </w:pPr>
          </w:p>
        </w:tc>
        <w:tc>
          <w:tcPr>
            <w:tcW w:w="578"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68" w:type="dxa"/>
            <w:gridSpan w:val="2"/>
            <w:vAlign w:val="center"/>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27" w:type="dxa"/>
            <w:gridSpan w:val="2"/>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210</w:t>
            </w:r>
          </w:p>
        </w:tc>
        <w:tc>
          <w:tcPr>
            <w:tcW w:w="475"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15</w:t>
            </w:r>
          </w:p>
        </w:tc>
        <w:tc>
          <w:tcPr>
            <w:tcW w:w="443"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99</w:t>
            </w:r>
          </w:p>
        </w:tc>
        <w:tc>
          <w:tcPr>
            <w:tcW w:w="1219"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其他医疗保障管理事务支出</w:t>
            </w:r>
          </w:p>
        </w:tc>
        <w:tc>
          <w:tcPr>
            <w:tcW w:w="1144"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国务院特殊津贴专家保健医疗周转金</w:t>
            </w:r>
          </w:p>
        </w:tc>
        <w:tc>
          <w:tcPr>
            <w:tcW w:w="766"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8.5</w:t>
            </w:r>
          </w:p>
        </w:tc>
        <w:tc>
          <w:tcPr>
            <w:tcW w:w="362"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0</w:t>
            </w:r>
          </w:p>
        </w:tc>
        <w:tc>
          <w:tcPr>
            <w:tcW w:w="652"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0</w:t>
            </w:r>
          </w:p>
        </w:tc>
        <w:tc>
          <w:tcPr>
            <w:tcW w:w="829"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8.5</w:t>
            </w:r>
          </w:p>
        </w:tc>
        <w:tc>
          <w:tcPr>
            <w:tcW w:w="361" w:type="dxa"/>
            <w:vAlign w:val="center"/>
          </w:tcPr>
          <w:p>
            <w:pPr>
              <w:widowControl/>
              <w:jc w:val="center"/>
              <w:outlineLvl w:val="1"/>
              <w:rPr>
                <w:rFonts w:ascii="仿宋_GB2312" w:hAnsi="宋体" w:eastAsia="仿宋_GB2312"/>
                <w:kern w:val="0"/>
                <w:sz w:val="18"/>
                <w:szCs w:val="18"/>
              </w:rPr>
            </w:pPr>
          </w:p>
        </w:tc>
        <w:tc>
          <w:tcPr>
            <w:tcW w:w="457" w:type="dxa"/>
            <w:gridSpan w:val="2"/>
            <w:vAlign w:val="center"/>
          </w:tcPr>
          <w:p>
            <w:pPr>
              <w:widowControl/>
              <w:jc w:val="center"/>
              <w:outlineLvl w:val="1"/>
              <w:rPr>
                <w:rFonts w:ascii="仿宋_GB2312" w:hAnsi="宋体" w:eastAsia="仿宋_GB2312"/>
                <w:kern w:val="0"/>
                <w:sz w:val="18"/>
                <w:szCs w:val="18"/>
              </w:rPr>
            </w:pPr>
          </w:p>
        </w:tc>
        <w:tc>
          <w:tcPr>
            <w:tcW w:w="419" w:type="dxa"/>
            <w:vAlign w:val="center"/>
          </w:tcPr>
          <w:p>
            <w:pPr>
              <w:widowControl/>
              <w:jc w:val="center"/>
              <w:outlineLvl w:val="1"/>
              <w:rPr>
                <w:rFonts w:ascii="仿宋_GB2312" w:hAnsi="宋体" w:eastAsia="仿宋_GB2312"/>
                <w:kern w:val="0"/>
                <w:sz w:val="18"/>
                <w:szCs w:val="18"/>
              </w:rPr>
            </w:pPr>
          </w:p>
        </w:tc>
        <w:tc>
          <w:tcPr>
            <w:tcW w:w="578"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68" w:type="dxa"/>
            <w:gridSpan w:val="2"/>
            <w:vAlign w:val="center"/>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27" w:type="dxa"/>
            <w:gridSpan w:val="2"/>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210</w:t>
            </w:r>
          </w:p>
        </w:tc>
        <w:tc>
          <w:tcPr>
            <w:tcW w:w="475"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15</w:t>
            </w:r>
          </w:p>
        </w:tc>
        <w:tc>
          <w:tcPr>
            <w:tcW w:w="443"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99</w:t>
            </w:r>
          </w:p>
        </w:tc>
        <w:tc>
          <w:tcPr>
            <w:tcW w:w="1219"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其他医疗保障管理事务支出</w:t>
            </w:r>
          </w:p>
        </w:tc>
        <w:tc>
          <w:tcPr>
            <w:tcW w:w="1144"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离休人员医疗费</w:t>
            </w:r>
          </w:p>
        </w:tc>
        <w:tc>
          <w:tcPr>
            <w:tcW w:w="766"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773</w:t>
            </w:r>
          </w:p>
        </w:tc>
        <w:tc>
          <w:tcPr>
            <w:tcW w:w="362"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0</w:t>
            </w:r>
          </w:p>
        </w:tc>
        <w:tc>
          <w:tcPr>
            <w:tcW w:w="652"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0</w:t>
            </w:r>
          </w:p>
        </w:tc>
        <w:tc>
          <w:tcPr>
            <w:tcW w:w="829"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773</w:t>
            </w:r>
          </w:p>
        </w:tc>
        <w:tc>
          <w:tcPr>
            <w:tcW w:w="361" w:type="dxa"/>
            <w:vAlign w:val="center"/>
          </w:tcPr>
          <w:p>
            <w:pPr>
              <w:widowControl/>
              <w:jc w:val="center"/>
              <w:outlineLvl w:val="1"/>
              <w:rPr>
                <w:rFonts w:ascii="仿宋_GB2312" w:hAnsi="宋体" w:eastAsia="仿宋_GB2312"/>
                <w:kern w:val="0"/>
                <w:sz w:val="18"/>
                <w:szCs w:val="18"/>
              </w:rPr>
            </w:pPr>
          </w:p>
        </w:tc>
        <w:tc>
          <w:tcPr>
            <w:tcW w:w="457" w:type="dxa"/>
            <w:gridSpan w:val="2"/>
            <w:vAlign w:val="center"/>
          </w:tcPr>
          <w:p>
            <w:pPr>
              <w:widowControl/>
              <w:jc w:val="center"/>
              <w:outlineLvl w:val="1"/>
              <w:rPr>
                <w:rFonts w:ascii="仿宋_GB2312" w:hAnsi="宋体" w:eastAsia="仿宋_GB2312"/>
                <w:kern w:val="0"/>
                <w:sz w:val="18"/>
                <w:szCs w:val="18"/>
              </w:rPr>
            </w:pPr>
          </w:p>
        </w:tc>
        <w:tc>
          <w:tcPr>
            <w:tcW w:w="419" w:type="dxa"/>
            <w:vAlign w:val="center"/>
          </w:tcPr>
          <w:p>
            <w:pPr>
              <w:widowControl/>
              <w:jc w:val="center"/>
              <w:outlineLvl w:val="1"/>
              <w:rPr>
                <w:rFonts w:ascii="仿宋_GB2312" w:hAnsi="宋体" w:eastAsia="仿宋_GB2312"/>
                <w:kern w:val="0"/>
                <w:sz w:val="18"/>
                <w:szCs w:val="18"/>
              </w:rPr>
            </w:pPr>
          </w:p>
        </w:tc>
        <w:tc>
          <w:tcPr>
            <w:tcW w:w="578"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68" w:type="dxa"/>
            <w:gridSpan w:val="2"/>
            <w:vAlign w:val="center"/>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trPr>
        <w:tc>
          <w:tcPr>
            <w:tcW w:w="527" w:type="dxa"/>
            <w:gridSpan w:val="2"/>
            <w:vAlign w:val="center"/>
          </w:tcPr>
          <w:p>
            <w:pPr>
              <w:widowControl/>
              <w:jc w:val="center"/>
              <w:outlineLvl w:val="1"/>
              <w:rPr>
                <w:rFonts w:ascii="仿宋_GB2312" w:hAnsi="宋体" w:eastAsia="仿宋_GB2312"/>
                <w:kern w:val="0"/>
                <w:sz w:val="18"/>
                <w:szCs w:val="18"/>
              </w:rPr>
            </w:pPr>
          </w:p>
        </w:tc>
        <w:tc>
          <w:tcPr>
            <w:tcW w:w="475" w:type="dxa"/>
            <w:vAlign w:val="center"/>
          </w:tcPr>
          <w:p>
            <w:pPr>
              <w:widowControl/>
              <w:jc w:val="center"/>
              <w:outlineLvl w:val="1"/>
              <w:rPr>
                <w:rFonts w:ascii="仿宋_GB2312" w:hAnsi="宋体" w:eastAsia="仿宋_GB2312"/>
                <w:kern w:val="0"/>
                <w:sz w:val="18"/>
                <w:szCs w:val="18"/>
              </w:rPr>
            </w:pPr>
          </w:p>
        </w:tc>
        <w:tc>
          <w:tcPr>
            <w:tcW w:w="443" w:type="dxa"/>
            <w:vAlign w:val="center"/>
          </w:tcPr>
          <w:p>
            <w:pPr>
              <w:widowControl/>
              <w:jc w:val="center"/>
              <w:outlineLvl w:val="1"/>
              <w:rPr>
                <w:rFonts w:ascii="仿宋_GB2312" w:hAnsi="宋体" w:eastAsia="仿宋_GB2312"/>
                <w:kern w:val="0"/>
                <w:sz w:val="18"/>
                <w:szCs w:val="18"/>
              </w:rPr>
            </w:pPr>
          </w:p>
        </w:tc>
        <w:tc>
          <w:tcPr>
            <w:tcW w:w="1219" w:type="dxa"/>
            <w:vAlign w:val="center"/>
          </w:tcPr>
          <w:p>
            <w:pPr>
              <w:widowControl/>
              <w:jc w:val="center"/>
              <w:outlineLvl w:val="1"/>
              <w:rPr>
                <w:rFonts w:ascii="仿宋_GB2312" w:hAnsi="宋体" w:eastAsia="仿宋_GB2312"/>
                <w:kern w:val="0"/>
                <w:sz w:val="18"/>
                <w:szCs w:val="18"/>
              </w:rPr>
            </w:pPr>
          </w:p>
        </w:tc>
        <w:tc>
          <w:tcPr>
            <w:tcW w:w="1144" w:type="dxa"/>
            <w:vAlign w:val="center"/>
          </w:tcPr>
          <w:p>
            <w:pPr>
              <w:widowControl/>
              <w:jc w:val="center"/>
              <w:outlineLvl w:val="1"/>
              <w:rPr>
                <w:rFonts w:ascii="仿宋_GB2312" w:hAnsi="宋体" w:eastAsia="仿宋_GB2312"/>
                <w:kern w:val="0"/>
                <w:sz w:val="18"/>
                <w:szCs w:val="18"/>
              </w:rPr>
            </w:pPr>
          </w:p>
        </w:tc>
        <w:tc>
          <w:tcPr>
            <w:tcW w:w="766" w:type="dxa"/>
            <w:vAlign w:val="center"/>
          </w:tcPr>
          <w:p>
            <w:pPr>
              <w:widowControl/>
              <w:jc w:val="center"/>
              <w:outlineLvl w:val="1"/>
              <w:rPr>
                <w:rFonts w:ascii="仿宋_GB2312" w:hAnsi="宋体" w:eastAsia="仿宋_GB2312"/>
                <w:kern w:val="0"/>
                <w:sz w:val="18"/>
                <w:szCs w:val="18"/>
              </w:rPr>
            </w:pPr>
          </w:p>
        </w:tc>
        <w:tc>
          <w:tcPr>
            <w:tcW w:w="362"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829" w:type="dxa"/>
            <w:vAlign w:val="center"/>
          </w:tcPr>
          <w:p>
            <w:pPr>
              <w:widowControl/>
              <w:jc w:val="center"/>
              <w:outlineLvl w:val="1"/>
              <w:rPr>
                <w:rFonts w:ascii="仿宋_GB2312" w:hAnsi="宋体" w:eastAsia="仿宋_GB2312"/>
                <w:kern w:val="0"/>
                <w:sz w:val="18"/>
                <w:szCs w:val="18"/>
              </w:rPr>
            </w:pPr>
          </w:p>
        </w:tc>
        <w:tc>
          <w:tcPr>
            <w:tcW w:w="361" w:type="dxa"/>
            <w:vAlign w:val="center"/>
          </w:tcPr>
          <w:p>
            <w:pPr>
              <w:widowControl/>
              <w:jc w:val="center"/>
              <w:outlineLvl w:val="1"/>
              <w:rPr>
                <w:rFonts w:ascii="仿宋_GB2312" w:hAnsi="宋体" w:eastAsia="仿宋_GB2312"/>
                <w:kern w:val="0"/>
                <w:sz w:val="18"/>
                <w:szCs w:val="18"/>
              </w:rPr>
            </w:pPr>
          </w:p>
        </w:tc>
        <w:tc>
          <w:tcPr>
            <w:tcW w:w="457" w:type="dxa"/>
            <w:gridSpan w:val="2"/>
            <w:vAlign w:val="center"/>
          </w:tcPr>
          <w:p>
            <w:pPr>
              <w:widowControl/>
              <w:jc w:val="center"/>
              <w:outlineLvl w:val="1"/>
              <w:rPr>
                <w:rFonts w:ascii="仿宋_GB2312" w:hAnsi="宋体" w:eastAsia="仿宋_GB2312"/>
                <w:kern w:val="0"/>
                <w:sz w:val="18"/>
                <w:szCs w:val="18"/>
              </w:rPr>
            </w:pPr>
          </w:p>
        </w:tc>
        <w:tc>
          <w:tcPr>
            <w:tcW w:w="419" w:type="dxa"/>
            <w:vAlign w:val="center"/>
          </w:tcPr>
          <w:p>
            <w:pPr>
              <w:widowControl/>
              <w:jc w:val="center"/>
              <w:outlineLvl w:val="1"/>
              <w:rPr>
                <w:rFonts w:ascii="仿宋_GB2312" w:hAnsi="宋体" w:eastAsia="仿宋_GB2312"/>
                <w:kern w:val="0"/>
                <w:sz w:val="18"/>
                <w:szCs w:val="18"/>
              </w:rPr>
            </w:pPr>
          </w:p>
        </w:tc>
        <w:tc>
          <w:tcPr>
            <w:tcW w:w="578"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68" w:type="dxa"/>
            <w:gridSpan w:val="2"/>
            <w:vAlign w:val="center"/>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527" w:type="dxa"/>
            <w:gridSpan w:val="2"/>
            <w:vAlign w:val="center"/>
          </w:tcPr>
          <w:p>
            <w:pPr>
              <w:widowControl/>
              <w:jc w:val="center"/>
              <w:outlineLvl w:val="1"/>
              <w:rPr>
                <w:rFonts w:ascii="仿宋_GB2312" w:hAnsi="宋体" w:eastAsia="仿宋_GB2312"/>
                <w:kern w:val="0"/>
                <w:sz w:val="18"/>
                <w:szCs w:val="18"/>
              </w:rPr>
            </w:pPr>
          </w:p>
        </w:tc>
        <w:tc>
          <w:tcPr>
            <w:tcW w:w="475" w:type="dxa"/>
            <w:vAlign w:val="center"/>
          </w:tcPr>
          <w:p>
            <w:pPr>
              <w:widowControl/>
              <w:jc w:val="center"/>
              <w:outlineLvl w:val="1"/>
              <w:rPr>
                <w:rFonts w:ascii="仿宋_GB2312" w:hAnsi="宋体" w:eastAsia="仿宋_GB2312"/>
                <w:kern w:val="0"/>
                <w:sz w:val="18"/>
                <w:szCs w:val="18"/>
              </w:rPr>
            </w:pPr>
          </w:p>
        </w:tc>
        <w:tc>
          <w:tcPr>
            <w:tcW w:w="443" w:type="dxa"/>
            <w:vAlign w:val="center"/>
          </w:tcPr>
          <w:p>
            <w:pPr>
              <w:widowControl/>
              <w:jc w:val="center"/>
              <w:outlineLvl w:val="1"/>
              <w:rPr>
                <w:rFonts w:ascii="仿宋_GB2312" w:hAnsi="宋体" w:eastAsia="仿宋_GB2312"/>
                <w:kern w:val="0"/>
                <w:sz w:val="18"/>
                <w:szCs w:val="18"/>
              </w:rPr>
            </w:pPr>
          </w:p>
        </w:tc>
        <w:tc>
          <w:tcPr>
            <w:tcW w:w="1219" w:type="dxa"/>
            <w:vAlign w:val="center"/>
          </w:tcPr>
          <w:p>
            <w:pPr>
              <w:widowControl/>
              <w:jc w:val="center"/>
              <w:outlineLvl w:val="1"/>
              <w:rPr>
                <w:rFonts w:ascii="仿宋_GB2312" w:hAnsi="宋体" w:eastAsia="仿宋_GB2312"/>
                <w:kern w:val="0"/>
                <w:sz w:val="18"/>
                <w:szCs w:val="18"/>
              </w:rPr>
            </w:pPr>
          </w:p>
        </w:tc>
        <w:tc>
          <w:tcPr>
            <w:tcW w:w="1144" w:type="dxa"/>
            <w:vAlign w:val="center"/>
          </w:tcPr>
          <w:p>
            <w:pPr>
              <w:widowControl/>
              <w:jc w:val="center"/>
              <w:outlineLvl w:val="1"/>
              <w:rPr>
                <w:rFonts w:ascii="仿宋_GB2312" w:hAnsi="宋体" w:eastAsia="仿宋_GB2312"/>
                <w:kern w:val="0"/>
                <w:sz w:val="18"/>
                <w:szCs w:val="18"/>
              </w:rPr>
            </w:pPr>
          </w:p>
        </w:tc>
        <w:tc>
          <w:tcPr>
            <w:tcW w:w="766" w:type="dxa"/>
            <w:vAlign w:val="center"/>
          </w:tcPr>
          <w:p>
            <w:pPr>
              <w:widowControl/>
              <w:jc w:val="center"/>
              <w:outlineLvl w:val="1"/>
              <w:rPr>
                <w:rFonts w:ascii="仿宋_GB2312" w:hAnsi="宋体" w:eastAsia="仿宋_GB2312"/>
                <w:kern w:val="0"/>
                <w:sz w:val="18"/>
                <w:szCs w:val="18"/>
              </w:rPr>
            </w:pPr>
          </w:p>
        </w:tc>
        <w:tc>
          <w:tcPr>
            <w:tcW w:w="362"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829" w:type="dxa"/>
            <w:vAlign w:val="center"/>
          </w:tcPr>
          <w:p>
            <w:pPr>
              <w:widowControl/>
              <w:jc w:val="center"/>
              <w:outlineLvl w:val="1"/>
              <w:rPr>
                <w:rFonts w:ascii="仿宋_GB2312" w:hAnsi="宋体" w:eastAsia="仿宋_GB2312"/>
                <w:kern w:val="0"/>
                <w:sz w:val="18"/>
                <w:szCs w:val="18"/>
              </w:rPr>
            </w:pPr>
          </w:p>
        </w:tc>
        <w:tc>
          <w:tcPr>
            <w:tcW w:w="361" w:type="dxa"/>
            <w:vAlign w:val="center"/>
          </w:tcPr>
          <w:p>
            <w:pPr>
              <w:widowControl/>
              <w:jc w:val="center"/>
              <w:outlineLvl w:val="1"/>
              <w:rPr>
                <w:rFonts w:ascii="仿宋_GB2312" w:hAnsi="宋体" w:eastAsia="仿宋_GB2312"/>
                <w:kern w:val="0"/>
                <w:sz w:val="18"/>
                <w:szCs w:val="18"/>
              </w:rPr>
            </w:pPr>
          </w:p>
        </w:tc>
        <w:tc>
          <w:tcPr>
            <w:tcW w:w="457" w:type="dxa"/>
            <w:gridSpan w:val="2"/>
            <w:vAlign w:val="center"/>
          </w:tcPr>
          <w:p>
            <w:pPr>
              <w:widowControl/>
              <w:jc w:val="center"/>
              <w:outlineLvl w:val="1"/>
              <w:rPr>
                <w:rFonts w:ascii="仿宋_GB2312" w:hAnsi="宋体" w:eastAsia="仿宋_GB2312"/>
                <w:kern w:val="0"/>
                <w:sz w:val="18"/>
                <w:szCs w:val="18"/>
              </w:rPr>
            </w:pPr>
          </w:p>
        </w:tc>
        <w:tc>
          <w:tcPr>
            <w:tcW w:w="419" w:type="dxa"/>
            <w:vAlign w:val="center"/>
          </w:tcPr>
          <w:p>
            <w:pPr>
              <w:widowControl/>
              <w:jc w:val="center"/>
              <w:outlineLvl w:val="1"/>
              <w:rPr>
                <w:rFonts w:ascii="仿宋_GB2312" w:hAnsi="宋体" w:eastAsia="仿宋_GB2312"/>
                <w:kern w:val="0"/>
                <w:sz w:val="18"/>
                <w:szCs w:val="18"/>
              </w:rPr>
            </w:pPr>
          </w:p>
        </w:tc>
        <w:tc>
          <w:tcPr>
            <w:tcW w:w="578"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68" w:type="dxa"/>
            <w:gridSpan w:val="2"/>
            <w:vAlign w:val="center"/>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trPr>
        <w:tc>
          <w:tcPr>
            <w:tcW w:w="527" w:type="dxa"/>
            <w:gridSpan w:val="2"/>
            <w:vAlign w:val="center"/>
          </w:tcPr>
          <w:p>
            <w:pPr>
              <w:widowControl/>
              <w:jc w:val="center"/>
              <w:outlineLvl w:val="1"/>
              <w:rPr>
                <w:rFonts w:ascii="仿宋_GB2312" w:hAnsi="宋体" w:eastAsia="仿宋_GB2312"/>
                <w:kern w:val="0"/>
                <w:sz w:val="18"/>
                <w:szCs w:val="18"/>
              </w:rPr>
            </w:pPr>
          </w:p>
        </w:tc>
        <w:tc>
          <w:tcPr>
            <w:tcW w:w="475" w:type="dxa"/>
            <w:vAlign w:val="center"/>
          </w:tcPr>
          <w:p>
            <w:pPr>
              <w:widowControl/>
              <w:jc w:val="center"/>
              <w:outlineLvl w:val="1"/>
              <w:rPr>
                <w:rFonts w:ascii="仿宋_GB2312" w:hAnsi="宋体" w:eastAsia="仿宋_GB2312"/>
                <w:kern w:val="0"/>
                <w:sz w:val="18"/>
                <w:szCs w:val="18"/>
              </w:rPr>
            </w:pPr>
          </w:p>
        </w:tc>
        <w:tc>
          <w:tcPr>
            <w:tcW w:w="443" w:type="dxa"/>
            <w:vAlign w:val="center"/>
          </w:tcPr>
          <w:p>
            <w:pPr>
              <w:widowControl/>
              <w:jc w:val="center"/>
              <w:outlineLvl w:val="1"/>
              <w:rPr>
                <w:rFonts w:ascii="仿宋_GB2312" w:hAnsi="宋体" w:eastAsia="仿宋_GB2312"/>
                <w:kern w:val="0"/>
                <w:sz w:val="18"/>
                <w:szCs w:val="18"/>
              </w:rPr>
            </w:pPr>
          </w:p>
        </w:tc>
        <w:tc>
          <w:tcPr>
            <w:tcW w:w="1219" w:type="dxa"/>
            <w:vAlign w:val="center"/>
          </w:tcPr>
          <w:p>
            <w:pPr>
              <w:widowControl/>
              <w:jc w:val="center"/>
              <w:outlineLvl w:val="1"/>
              <w:rPr>
                <w:rFonts w:ascii="仿宋_GB2312" w:hAnsi="宋体" w:eastAsia="仿宋_GB2312"/>
                <w:kern w:val="0"/>
                <w:sz w:val="18"/>
                <w:szCs w:val="18"/>
              </w:rPr>
            </w:pPr>
          </w:p>
        </w:tc>
        <w:tc>
          <w:tcPr>
            <w:tcW w:w="1144" w:type="dxa"/>
            <w:vAlign w:val="center"/>
          </w:tcPr>
          <w:p>
            <w:pPr>
              <w:widowControl/>
              <w:jc w:val="center"/>
              <w:outlineLvl w:val="1"/>
              <w:rPr>
                <w:rFonts w:ascii="仿宋_GB2312" w:hAnsi="宋体" w:eastAsia="仿宋_GB2312"/>
                <w:kern w:val="0"/>
                <w:sz w:val="18"/>
                <w:szCs w:val="18"/>
              </w:rPr>
            </w:pPr>
          </w:p>
        </w:tc>
        <w:tc>
          <w:tcPr>
            <w:tcW w:w="766" w:type="dxa"/>
            <w:vAlign w:val="center"/>
          </w:tcPr>
          <w:p>
            <w:pPr>
              <w:widowControl/>
              <w:jc w:val="center"/>
              <w:outlineLvl w:val="1"/>
              <w:rPr>
                <w:rFonts w:ascii="仿宋_GB2312" w:hAnsi="宋体" w:eastAsia="仿宋_GB2312"/>
                <w:kern w:val="0"/>
                <w:sz w:val="18"/>
                <w:szCs w:val="18"/>
              </w:rPr>
            </w:pPr>
          </w:p>
        </w:tc>
        <w:tc>
          <w:tcPr>
            <w:tcW w:w="362"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829" w:type="dxa"/>
            <w:vAlign w:val="center"/>
          </w:tcPr>
          <w:p>
            <w:pPr>
              <w:widowControl/>
              <w:jc w:val="center"/>
              <w:outlineLvl w:val="1"/>
              <w:rPr>
                <w:rFonts w:ascii="仿宋_GB2312" w:hAnsi="宋体" w:eastAsia="仿宋_GB2312"/>
                <w:kern w:val="0"/>
                <w:sz w:val="18"/>
                <w:szCs w:val="18"/>
              </w:rPr>
            </w:pPr>
          </w:p>
        </w:tc>
        <w:tc>
          <w:tcPr>
            <w:tcW w:w="361" w:type="dxa"/>
            <w:vAlign w:val="center"/>
          </w:tcPr>
          <w:p>
            <w:pPr>
              <w:widowControl/>
              <w:jc w:val="center"/>
              <w:outlineLvl w:val="1"/>
              <w:rPr>
                <w:rFonts w:ascii="仿宋_GB2312" w:hAnsi="宋体" w:eastAsia="仿宋_GB2312"/>
                <w:kern w:val="0"/>
                <w:sz w:val="18"/>
                <w:szCs w:val="18"/>
              </w:rPr>
            </w:pPr>
          </w:p>
        </w:tc>
        <w:tc>
          <w:tcPr>
            <w:tcW w:w="457" w:type="dxa"/>
            <w:gridSpan w:val="2"/>
            <w:vAlign w:val="center"/>
          </w:tcPr>
          <w:p>
            <w:pPr>
              <w:widowControl/>
              <w:jc w:val="center"/>
              <w:outlineLvl w:val="1"/>
              <w:rPr>
                <w:rFonts w:ascii="仿宋_GB2312" w:hAnsi="宋体" w:eastAsia="仿宋_GB2312"/>
                <w:kern w:val="0"/>
                <w:sz w:val="18"/>
                <w:szCs w:val="18"/>
              </w:rPr>
            </w:pPr>
          </w:p>
        </w:tc>
        <w:tc>
          <w:tcPr>
            <w:tcW w:w="419" w:type="dxa"/>
            <w:vAlign w:val="center"/>
          </w:tcPr>
          <w:p>
            <w:pPr>
              <w:widowControl/>
              <w:jc w:val="center"/>
              <w:outlineLvl w:val="1"/>
              <w:rPr>
                <w:rFonts w:ascii="仿宋_GB2312" w:hAnsi="宋体" w:eastAsia="仿宋_GB2312"/>
                <w:kern w:val="0"/>
                <w:sz w:val="18"/>
                <w:szCs w:val="18"/>
              </w:rPr>
            </w:pPr>
          </w:p>
        </w:tc>
        <w:tc>
          <w:tcPr>
            <w:tcW w:w="578"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68" w:type="dxa"/>
            <w:gridSpan w:val="2"/>
            <w:vAlign w:val="center"/>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527" w:type="dxa"/>
            <w:gridSpan w:val="2"/>
            <w:vAlign w:val="center"/>
          </w:tcPr>
          <w:p>
            <w:pPr>
              <w:widowControl/>
              <w:jc w:val="center"/>
              <w:outlineLvl w:val="1"/>
              <w:rPr>
                <w:rFonts w:ascii="仿宋_GB2312" w:hAnsi="宋体" w:eastAsia="仿宋_GB2312"/>
                <w:kern w:val="0"/>
                <w:sz w:val="18"/>
                <w:szCs w:val="18"/>
              </w:rPr>
            </w:pPr>
          </w:p>
        </w:tc>
        <w:tc>
          <w:tcPr>
            <w:tcW w:w="475" w:type="dxa"/>
            <w:vAlign w:val="center"/>
          </w:tcPr>
          <w:p>
            <w:pPr>
              <w:widowControl/>
              <w:jc w:val="center"/>
              <w:outlineLvl w:val="1"/>
              <w:rPr>
                <w:rFonts w:ascii="仿宋_GB2312" w:hAnsi="宋体" w:eastAsia="仿宋_GB2312"/>
                <w:kern w:val="0"/>
                <w:sz w:val="18"/>
                <w:szCs w:val="18"/>
              </w:rPr>
            </w:pPr>
          </w:p>
        </w:tc>
        <w:tc>
          <w:tcPr>
            <w:tcW w:w="443" w:type="dxa"/>
            <w:vAlign w:val="center"/>
          </w:tcPr>
          <w:p>
            <w:pPr>
              <w:widowControl/>
              <w:jc w:val="center"/>
              <w:outlineLvl w:val="1"/>
              <w:rPr>
                <w:rFonts w:ascii="仿宋_GB2312" w:hAnsi="宋体" w:eastAsia="仿宋_GB2312"/>
                <w:kern w:val="0"/>
                <w:sz w:val="18"/>
                <w:szCs w:val="18"/>
              </w:rPr>
            </w:pPr>
          </w:p>
        </w:tc>
        <w:tc>
          <w:tcPr>
            <w:tcW w:w="1219" w:type="dxa"/>
            <w:vAlign w:val="center"/>
          </w:tcPr>
          <w:p>
            <w:pPr>
              <w:widowControl/>
              <w:jc w:val="center"/>
              <w:outlineLvl w:val="1"/>
              <w:rPr>
                <w:rFonts w:ascii="仿宋_GB2312" w:hAnsi="宋体" w:eastAsia="仿宋_GB2312"/>
                <w:kern w:val="0"/>
                <w:sz w:val="18"/>
                <w:szCs w:val="18"/>
              </w:rPr>
            </w:pPr>
          </w:p>
        </w:tc>
        <w:tc>
          <w:tcPr>
            <w:tcW w:w="1144"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b/>
                <w:bCs/>
                <w:kern w:val="0"/>
                <w:sz w:val="18"/>
                <w:szCs w:val="18"/>
              </w:rPr>
              <w:t>合 计</w:t>
            </w:r>
          </w:p>
        </w:tc>
        <w:tc>
          <w:tcPr>
            <w:tcW w:w="766"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1186.5</w:t>
            </w:r>
          </w:p>
        </w:tc>
        <w:tc>
          <w:tcPr>
            <w:tcW w:w="362"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0</w:t>
            </w:r>
          </w:p>
        </w:tc>
        <w:tc>
          <w:tcPr>
            <w:tcW w:w="652"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100</w:t>
            </w:r>
          </w:p>
        </w:tc>
        <w:tc>
          <w:tcPr>
            <w:tcW w:w="829"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1086.5</w:t>
            </w:r>
          </w:p>
        </w:tc>
        <w:tc>
          <w:tcPr>
            <w:tcW w:w="361" w:type="dxa"/>
            <w:vAlign w:val="center"/>
          </w:tcPr>
          <w:p>
            <w:pPr>
              <w:widowControl/>
              <w:jc w:val="center"/>
              <w:outlineLvl w:val="1"/>
              <w:rPr>
                <w:rFonts w:hint="eastAsia"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0</w:t>
            </w:r>
          </w:p>
        </w:tc>
        <w:tc>
          <w:tcPr>
            <w:tcW w:w="457" w:type="dxa"/>
            <w:gridSpan w:val="2"/>
            <w:vAlign w:val="center"/>
          </w:tcPr>
          <w:p>
            <w:pPr>
              <w:widowControl/>
              <w:jc w:val="center"/>
              <w:outlineLvl w:val="1"/>
              <w:rPr>
                <w:rFonts w:hint="eastAsia"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0</w:t>
            </w:r>
          </w:p>
        </w:tc>
        <w:tc>
          <w:tcPr>
            <w:tcW w:w="419" w:type="dxa"/>
            <w:vAlign w:val="center"/>
          </w:tcPr>
          <w:p>
            <w:pPr>
              <w:widowControl/>
              <w:jc w:val="center"/>
              <w:outlineLvl w:val="1"/>
              <w:rPr>
                <w:rFonts w:hint="eastAsia"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0</w:t>
            </w:r>
          </w:p>
        </w:tc>
        <w:tc>
          <w:tcPr>
            <w:tcW w:w="578" w:type="dxa"/>
            <w:vAlign w:val="center"/>
          </w:tcPr>
          <w:p>
            <w:pPr>
              <w:widowControl/>
              <w:jc w:val="center"/>
              <w:outlineLvl w:val="1"/>
              <w:rPr>
                <w:rFonts w:hint="eastAsia"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0</w:t>
            </w:r>
          </w:p>
        </w:tc>
        <w:tc>
          <w:tcPr>
            <w:tcW w:w="420" w:type="dxa"/>
            <w:vAlign w:val="center"/>
          </w:tcPr>
          <w:p>
            <w:pPr>
              <w:widowControl/>
              <w:jc w:val="center"/>
              <w:outlineLvl w:val="1"/>
              <w:rPr>
                <w:rFonts w:hint="eastAsia"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0</w:t>
            </w:r>
          </w:p>
        </w:tc>
        <w:tc>
          <w:tcPr>
            <w:tcW w:w="420" w:type="dxa"/>
            <w:vAlign w:val="center"/>
          </w:tcPr>
          <w:p>
            <w:pPr>
              <w:widowControl/>
              <w:jc w:val="center"/>
              <w:outlineLvl w:val="1"/>
              <w:rPr>
                <w:rFonts w:hint="eastAsia"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0</w:t>
            </w:r>
          </w:p>
        </w:tc>
        <w:tc>
          <w:tcPr>
            <w:tcW w:w="468" w:type="dxa"/>
            <w:gridSpan w:val="2"/>
            <w:vAlign w:val="center"/>
          </w:tcPr>
          <w:p>
            <w:pPr>
              <w:widowControl/>
              <w:jc w:val="center"/>
              <w:outlineLvl w:val="1"/>
              <w:rPr>
                <w:rFonts w:hint="eastAsia"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0</w:t>
            </w:r>
          </w:p>
        </w:tc>
      </w:tr>
    </w:tbl>
    <w:p>
      <w:pPr>
        <w:widowControl/>
        <w:jc w:val="left"/>
        <w:outlineLvl w:val="1"/>
        <w:rPr>
          <w:rFonts w:ascii="仿宋_GB2312" w:hAnsi="宋体" w:eastAsia="仿宋_GB2312"/>
          <w:b/>
          <w:kern w:val="0"/>
          <w:sz w:val="32"/>
          <w:szCs w:val="32"/>
        </w:rPr>
      </w:pPr>
    </w:p>
    <w:p>
      <w:pPr>
        <w:pStyle w:val="2"/>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表八：</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一般公共预算“三公”经费支出情况表</w:t>
      </w:r>
    </w:p>
    <w:p>
      <w:pPr>
        <w:widowControl/>
        <w:jc w:val="center"/>
        <w:outlineLvl w:val="1"/>
        <w:rPr>
          <w:rFonts w:ascii="仿宋_GB2312" w:hAnsi="宋体" w:eastAsia="仿宋_GB2312"/>
          <w:b/>
          <w:kern w:val="0"/>
          <w:sz w:val="32"/>
          <w:szCs w:val="32"/>
        </w:rPr>
      </w:pP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编制部门（单位）： 昌吉州医疗保障局                             单位：万元</w:t>
      </w:r>
    </w:p>
    <w:tbl>
      <w:tblPr>
        <w:tblStyle w:val="9"/>
        <w:tblW w:w="9240" w:type="dxa"/>
        <w:tblInd w:w="-173" w:type="dxa"/>
        <w:tblLayout w:type="fixed"/>
        <w:tblCellMar>
          <w:top w:w="0" w:type="dxa"/>
          <w:left w:w="108" w:type="dxa"/>
          <w:bottom w:w="0" w:type="dxa"/>
          <w:right w:w="108" w:type="dxa"/>
        </w:tblCellMar>
      </w:tblPr>
      <w:tblGrid>
        <w:gridCol w:w="1575"/>
        <w:gridCol w:w="1417"/>
        <w:gridCol w:w="1559"/>
        <w:gridCol w:w="1418"/>
        <w:gridCol w:w="1559"/>
        <w:gridCol w:w="1712"/>
      </w:tblGrid>
      <w:tr>
        <w:tblPrEx>
          <w:tblLayout w:type="fixed"/>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  计</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71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公务接待费</w:t>
            </w:r>
          </w:p>
        </w:tc>
      </w:tr>
      <w:tr>
        <w:tblPrEx>
          <w:tblLayout w:type="fixed"/>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  计</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2.38</w:t>
            </w:r>
          </w:p>
        </w:tc>
        <w:tc>
          <w:tcPr>
            <w:tcW w:w="1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2.18</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2.18</w:t>
            </w:r>
          </w:p>
        </w:tc>
        <w:tc>
          <w:tcPr>
            <w:tcW w:w="171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0.2</w:t>
            </w:r>
          </w:p>
        </w:tc>
      </w:tr>
      <w:tr>
        <w:tblPrEx>
          <w:tblLayout w:type="fixed"/>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1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bl>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pStyle w:val="2"/>
      </w:pPr>
    </w:p>
    <w:p>
      <w:pPr>
        <w:widowControl/>
        <w:spacing w:line="360" w:lineRule="exact"/>
        <w:jc w:val="left"/>
        <w:outlineLvl w:val="1"/>
        <w:rPr>
          <w:rFonts w:ascii="仿宋_GB2312" w:hAnsi="宋体" w:eastAsia="仿宋_GB2312"/>
          <w:b/>
          <w:kern w:val="0"/>
          <w:sz w:val="32"/>
          <w:szCs w:val="32"/>
        </w:rPr>
      </w:pPr>
    </w:p>
    <w:p>
      <w:pPr>
        <w:widowControl/>
        <w:spacing w:line="360" w:lineRule="exact"/>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表九：</w:t>
      </w:r>
    </w:p>
    <w:p>
      <w:pPr>
        <w:widowControl/>
        <w:spacing w:line="36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pPr>
        <w:widowControl/>
        <w:spacing w:line="280" w:lineRule="exact"/>
        <w:outlineLvl w:val="1"/>
        <w:rPr>
          <w:rFonts w:ascii="仿宋_GB2312" w:hAnsi="宋体" w:eastAsia="仿宋_GB2312"/>
          <w:kern w:val="0"/>
          <w:sz w:val="24"/>
        </w:rPr>
      </w:pPr>
      <w:r>
        <w:rPr>
          <w:rFonts w:hint="eastAsia" w:ascii="仿宋_GB2312" w:hAnsi="宋体" w:eastAsia="仿宋_GB2312"/>
          <w:kern w:val="0"/>
          <w:sz w:val="24"/>
        </w:rPr>
        <w:t>编制部门（单位）：昌吉州医疗保障局                              单位：万元</w:t>
      </w:r>
    </w:p>
    <w:tbl>
      <w:tblPr>
        <w:tblStyle w:val="9"/>
        <w:tblW w:w="9214" w:type="dxa"/>
        <w:tblInd w:w="-34" w:type="dxa"/>
        <w:tblLayout w:type="fixed"/>
        <w:tblCellMar>
          <w:top w:w="0" w:type="dxa"/>
          <w:left w:w="108" w:type="dxa"/>
          <w:bottom w:w="0" w:type="dxa"/>
          <w:right w:w="108" w:type="dxa"/>
        </w:tblCellMar>
      </w:tblPr>
      <w:tblGrid>
        <w:gridCol w:w="585"/>
        <w:gridCol w:w="457"/>
        <w:gridCol w:w="699"/>
        <w:gridCol w:w="2544"/>
        <w:gridCol w:w="1669"/>
        <w:gridCol w:w="1701"/>
        <w:gridCol w:w="1559"/>
      </w:tblGrid>
      <w:tr>
        <w:tblPrEx>
          <w:tblLayout w:type="fixed"/>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929" w:type="dxa"/>
            <w:gridSpan w:val="3"/>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blPrEx>
          <w:tblLayout w:type="fixed"/>
          <w:tblCellMar>
            <w:top w:w="0" w:type="dxa"/>
            <w:left w:w="108" w:type="dxa"/>
            <w:bottom w:w="0" w:type="dxa"/>
            <w:right w:w="108" w:type="dxa"/>
          </w:tblCellMar>
        </w:tblPrEx>
        <w:trPr>
          <w:trHeight w:val="360" w:hRule="atLeast"/>
        </w:trPr>
        <w:tc>
          <w:tcPr>
            <w:tcW w:w="1741"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544"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669"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合 计</w:t>
            </w:r>
          </w:p>
        </w:tc>
        <w:tc>
          <w:tcPr>
            <w:tcW w:w="1701"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blPrEx>
          <w:tblLayout w:type="fixed"/>
          <w:tblCellMar>
            <w:top w:w="0" w:type="dxa"/>
            <w:left w:w="108" w:type="dxa"/>
            <w:bottom w:w="0" w:type="dxa"/>
            <w:right w:w="108" w:type="dxa"/>
          </w:tblCellMar>
        </w:tblPrEx>
        <w:trPr>
          <w:trHeight w:val="315"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544"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rPr>
            </w:pPr>
          </w:p>
        </w:tc>
        <w:tc>
          <w:tcPr>
            <w:tcW w:w="166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b/>
                <w:bCs/>
                <w:color w:val="000000"/>
                <w:kern w:val="0"/>
                <w:sz w:val="18"/>
                <w:szCs w:val="18"/>
              </w:rPr>
              <w:t>合  计</w:t>
            </w: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r>
    </w:tbl>
    <w:p>
      <w:pPr>
        <w:widowControl/>
        <w:spacing w:line="280" w:lineRule="exact"/>
        <w:outlineLvl w:val="1"/>
        <w:rPr>
          <w:rFonts w:ascii="仿宋_GB2312" w:hAnsi="宋体" w:eastAsia="仿宋_GB2312"/>
          <w:b/>
          <w:kern w:val="0"/>
          <w:sz w:val="28"/>
          <w:szCs w:val="32"/>
        </w:rPr>
      </w:pPr>
      <w:r>
        <w:rPr>
          <w:rFonts w:hint="eastAsia" w:ascii="仿宋_GB2312" w:hAnsi="宋体" w:eastAsia="仿宋_GB2312"/>
          <w:b/>
          <w:kern w:val="0"/>
          <w:sz w:val="28"/>
          <w:szCs w:val="32"/>
        </w:rPr>
        <w:t>备注：我单位无政府性基金预算，此表为空表。</w:t>
      </w:r>
    </w:p>
    <w:p>
      <w:pPr>
        <w:widowControl/>
        <w:spacing w:line="280" w:lineRule="exact"/>
        <w:jc w:val="left"/>
        <w:outlineLvl w:val="1"/>
        <w:rPr>
          <w:rFonts w:ascii="仿宋_GB2312" w:hAnsi="宋体" w:eastAsia="仿宋_GB2312"/>
          <w:kern w:val="0"/>
          <w:sz w:val="32"/>
          <w:szCs w:val="32"/>
        </w:rPr>
        <w:sectPr>
          <w:footerReference r:id="rId3" w:type="even"/>
          <w:pgSz w:w="11906" w:h="16838"/>
          <w:pgMar w:top="2098" w:right="1418" w:bottom="1928" w:left="1588" w:header="851" w:footer="992" w:gutter="0"/>
          <w:pgNumType w:start="1"/>
          <w:cols w:space="720" w:num="1"/>
          <w:docGrid w:linePitch="312" w:charSpace="0"/>
        </w:sectPr>
      </w:pPr>
    </w:p>
    <w:p>
      <w:pPr>
        <w:spacing w:line="560" w:lineRule="exact"/>
        <w:jc w:val="center"/>
        <w:rPr>
          <w:rFonts w:ascii="黑体" w:hAnsi="黑体" w:eastAsia="黑体"/>
          <w:kern w:val="0"/>
          <w:sz w:val="32"/>
          <w:szCs w:val="32"/>
        </w:rPr>
      </w:pPr>
      <w:r>
        <w:rPr>
          <w:rFonts w:hint="eastAsia" w:ascii="黑体" w:hAnsi="黑体" w:eastAsia="黑体"/>
          <w:kern w:val="0"/>
          <w:sz w:val="32"/>
          <w:szCs w:val="32"/>
        </w:rPr>
        <w:t>第三部分  2021年昌吉州医疗保障局预算情况说明</w:t>
      </w:r>
    </w:p>
    <w:p>
      <w:pPr>
        <w:spacing w:line="560" w:lineRule="exact"/>
        <w:jc w:val="center"/>
        <w:rPr>
          <w:rFonts w:ascii="黑体" w:hAnsi="黑体" w:eastAsia="黑体"/>
          <w:kern w:val="0"/>
          <w:sz w:val="32"/>
          <w:szCs w:val="32"/>
        </w:rPr>
      </w:pPr>
    </w:p>
    <w:p>
      <w:pPr>
        <w:spacing w:line="560" w:lineRule="exact"/>
        <w:ind w:firstLine="320" w:firstLineChars="100"/>
        <w:rPr>
          <w:rFonts w:ascii="黑体" w:hAnsi="宋体" w:eastAsia="黑体" w:cs="宋体"/>
          <w:kern w:val="0"/>
          <w:sz w:val="32"/>
          <w:szCs w:val="32"/>
        </w:rPr>
      </w:pPr>
      <w:r>
        <w:rPr>
          <w:rFonts w:hint="eastAsia" w:ascii="黑体" w:hAnsi="黑体" w:eastAsia="黑体" w:cs="宋体"/>
          <w:bCs/>
          <w:kern w:val="0"/>
          <w:sz w:val="32"/>
          <w:szCs w:val="32"/>
        </w:rPr>
        <w:t>一、</w:t>
      </w:r>
      <w:r>
        <w:rPr>
          <w:rFonts w:hint="eastAsia" w:ascii="黑体" w:hAnsi="宋体" w:eastAsia="黑体" w:cs="宋体"/>
          <w:kern w:val="0"/>
          <w:sz w:val="32"/>
          <w:szCs w:val="32"/>
        </w:rPr>
        <w:t>关于</w:t>
      </w:r>
      <w:r>
        <w:rPr>
          <w:rFonts w:hint="eastAsia" w:ascii="黑体" w:hAnsi="黑体" w:eastAsia="黑体"/>
          <w:kern w:val="0"/>
          <w:sz w:val="32"/>
          <w:szCs w:val="32"/>
        </w:rPr>
        <w:t>昌吉州医疗保障局2021</w:t>
      </w:r>
      <w:r>
        <w:rPr>
          <w:rFonts w:hint="eastAsia" w:ascii="黑体" w:hAnsi="宋体" w:eastAsia="黑体" w:cs="宋体"/>
          <w:kern w:val="0"/>
          <w:sz w:val="32"/>
          <w:szCs w:val="32"/>
        </w:rPr>
        <w:t>年收支预算情况的总体说明</w:t>
      </w:r>
    </w:p>
    <w:p>
      <w:pPr>
        <w:spacing w:line="560" w:lineRule="exact"/>
        <w:ind w:firstLine="640" w:firstLineChars="200"/>
        <w:rPr>
          <w:rFonts w:ascii="黑体" w:hAnsi="宋体" w:eastAsia="黑体" w:cs="宋体"/>
          <w:kern w:val="0"/>
          <w:sz w:val="32"/>
          <w:szCs w:val="32"/>
        </w:rPr>
      </w:pPr>
      <w:r>
        <w:rPr>
          <w:rFonts w:hint="eastAsia" w:ascii="仿宋_GB2312" w:hAnsi="宋体" w:eastAsia="仿宋_GB2312" w:cs="宋体"/>
          <w:kern w:val="0"/>
          <w:sz w:val="32"/>
          <w:szCs w:val="32"/>
        </w:rPr>
        <w:t>按照全口径预算的原则，昌吉州医疗保障局2021年所有收入和支出均纳入部门（单位）预算管理。根据《关于下达昌吉州本级预算单位2021年部门预算的通知》（昌州财社[2021]3号），2021年收支总预算为1573.6万元。其中收入预算包括：一般公共预算拨款。支出预算包括：社会保障和就业支出、医疗卫生健康支出。</w:t>
      </w:r>
    </w:p>
    <w:p>
      <w:pPr>
        <w:spacing w:line="560" w:lineRule="exact"/>
        <w:ind w:firstLine="320" w:firstLineChars="100"/>
        <w:rPr>
          <w:rFonts w:ascii="黑体" w:hAnsi="宋体" w:eastAsia="黑体" w:cs="宋体"/>
          <w:kern w:val="0"/>
          <w:sz w:val="32"/>
          <w:szCs w:val="32"/>
        </w:rPr>
      </w:pPr>
      <w:r>
        <w:rPr>
          <w:rFonts w:hint="eastAsia" w:ascii="黑体" w:hAnsi="宋体" w:eastAsia="黑体" w:cs="宋体"/>
          <w:kern w:val="0"/>
          <w:sz w:val="32"/>
          <w:szCs w:val="32"/>
        </w:rPr>
        <w:t>二、关于</w:t>
      </w:r>
      <w:r>
        <w:rPr>
          <w:rFonts w:hint="eastAsia" w:ascii="黑体" w:hAnsi="黑体" w:eastAsia="黑体"/>
          <w:kern w:val="0"/>
          <w:sz w:val="32"/>
          <w:szCs w:val="32"/>
        </w:rPr>
        <w:t>昌吉州医疗保障局2021</w:t>
      </w:r>
      <w:r>
        <w:rPr>
          <w:rFonts w:hint="eastAsia" w:ascii="黑体" w:hAnsi="宋体" w:eastAsia="黑体" w:cs="宋体"/>
          <w:kern w:val="0"/>
          <w:sz w:val="32"/>
          <w:szCs w:val="32"/>
        </w:rPr>
        <w:t>年收入预算情况说明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昌吉州医疗保障局收入预算 1573.6万元，其中：一般公共预算1573.6万元，占100%，比上年预算增加 1286.06万元，主要原因是：1、因新增人员，基本经费增加201.56万元；2、因新增项目，项目经费增加1084.5万元。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政府性基金预算未安排。</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国有资本经营预算未安排。</w:t>
      </w:r>
    </w:p>
    <w:p>
      <w:pPr>
        <w:spacing w:line="560" w:lineRule="exact"/>
        <w:ind w:firstLine="320" w:firstLineChars="100"/>
        <w:rPr>
          <w:rFonts w:ascii="黑体" w:hAnsi="宋体" w:eastAsia="黑体" w:cs="宋体"/>
          <w:kern w:val="0"/>
          <w:sz w:val="32"/>
          <w:szCs w:val="32"/>
        </w:rPr>
      </w:pPr>
      <w:r>
        <w:rPr>
          <w:rFonts w:hint="eastAsia" w:ascii="黑体" w:hAnsi="宋体" w:eastAsia="黑体" w:cs="宋体"/>
          <w:kern w:val="0"/>
          <w:sz w:val="32"/>
          <w:szCs w:val="32"/>
        </w:rPr>
        <w:t>三、关于</w:t>
      </w:r>
      <w:r>
        <w:rPr>
          <w:rFonts w:hint="eastAsia" w:ascii="黑体" w:hAnsi="黑体" w:eastAsia="黑体"/>
          <w:kern w:val="0"/>
          <w:sz w:val="32"/>
          <w:szCs w:val="32"/>
        </w:rPr>
        <w:t>昌吉州医疗保障局2021</w:t>
      </w:r>
      <w:r>
        <w:rPr>
          <w:rFonts w:hint="eastAsia" w:ascii="黑体" w:hAnsi="宋体" w:eastAsia="黑体" w:cs="宋体"/>
          <w:kern w:val="0"/>
          <w:sz w:val="32"/>
          <w:szCs w:val="32"/>
        </w:rPr>
        <w:t>年支出预算情况说明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昌吉州医疗保障局2021年支出预算1573.6万元，其中：</w:t>
      </w:r>
    </w:p>
    <w:p>
      <w:pPr>
        <w:spacing w:line="560" w:lineRule="exact"/>
        <w:ind w:firstLine="640" w:firstLineChars="200"/>
        <w:rPr>
          <w:rFonts w:ascii="仿宋_GB2312" w:hAnsi="宋体" w:eastAsia="仿宋_GB2312" w:cs="宋体"/>
          <w:b/>
          <w:kern w:val="0"/>
          <w:sz w:val="32"/>
          <w:szCs w:val="32"/>
        </w:rPr>
      </w:pPr>
      <w:r>
        <w:rPr>
          <w:rFonts w:hint="eastAsia" w:ascii="仿宋_GB2312" w:hAnsi="宋体" w:eastAsia="仿宋_GB2312" w:cs="宋体"/>
          <w:kern w:val="0"/>
          <w:sz w:val="32"/>
          <w:szCs w:val="32"/>
        </w:rPr>
        <w:t>基本支出387.1万元，占24.6%，比上年预算增加201.56万元，主要原因是我单位为2020年6月，因人员划转新增人员增加基本支出。</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项目支出1186.5万元，占75.4%，比上年预算增加1084.5万元，主要原因是今年比去年新增4个项目，增加项目支出。</w:t>
      </w:r>
    </w:p>
    <w:p>
      <w:pPr>
        <w:spacing w:line="560" w:lineRule="exact"/>
        <w:ind w:firstLine="640" w:firstLineChars="200"/>
        <w:rPr>
          <w:rFonts w:ascii="黑体" w:hAnsi="黑体" w:eastAsia="黑体" w:cs="宋体"/>
          <w:bCs/>
          <w:kern w:val="0"/>
          <w:sz w:val="32"/>
          <w:szCs w:val="32"/>
        </w:rPr>
      </w:pPr>
      <w:r>
        <w:rPr>
          <w:rFonts w:hint="eastAsia" w:ascii="黑体" w:hAnsi="黑体" w:eastAsia="黑体" w:cs="宋体"/>
          <w:bCs/>
          <w:kern w:val="0"/>
          <w:sz w:val="32"/>
          <w:szCs w:val="32"/>
        </w:rPr>
        <w:t>四、关于</w:t>
      </w:r>
      <w:r>
        <w:rPr>
          <w:rFonts w:hint="eastAsia" w:ascii="黑体" w:hAnsi="黑体" w:eastAsia="黑体"/>
          <w:kern w:val="0"/>
          <w:sz w:val="32"/>
          <w:szCs w:val="32"/>
        </w:rPr>
        <w:t>昌吉州医疗保障局2021</w:t>
      </w:r>
      <w:r>
        <w:rPr>
          <w:rFonts w:hint="eastAsia" w:ascii="黑体" w:hAnsi="宋体" w:eastAsia="黑体" w:cs="宋体"/>
          <w:kern w:val="0"/>
          <w:sz w:val="32"/>
          <w:szCs w:val="32"/>
        </w:rPr>
        <w:t>年</w:t>
      </w:r>
      <w:r>
        <w:rPr>
          <w:rFonts w:hint="eastAsia" w:ascii="黑体" w:hAnsi="黑体" w:eastAsia="黑体" w:cs="宋体"/>
          <w:bCs/>
          <w:kern w:val="0"/>
          <w:sz w:val="32"/>
          <w:szCs w:val="32"/>
        </w:rPr>
        <w:t>财政拨款收支预算情况的总体说明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2021年财政拨款收支总预算1573.6万元。</w:t>
      </w:r>
    </w:p>
    <w:p>
      <w:pPr>
        <w:spacing w:line="560" w:lineRule="exact"/>
        <w:ind w:firstLine="616" w:firstLineChars="200"/>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收入全部为一般公共预算拨款，无政府性基金预算和国有资本经营预算拨款。</w:t>
      </w:r>
    </w:p>
    <w:p>
      <w:pPr>
        <w:spacing w:line="560" w:lineRule="exact"/>
        <w:ind w:firstLine="616" w:firstLineChars="200"/>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收入预算包括：一般公共预算拨款1573.6万元。</w:t>
      </w:r>
    </w:p>
    <w:p>
      <w:pPr>
        <w:spacing w:line="560" w:lineRule="exact"/>
        <w:ind w:firstLine="616" w:firstLineChars="200"/>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一般公共预算支出包括：一般预算支出1573.6万元，主要用于208社会保障和就业支出32.01万元，210卫生健康支出1541.59万元。</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五、关于</w:t>
      </w:r>
      <w:r>
        <w:rPr>
          <w:rFonts w:hint="eastAsia" w:ascii="黑体" w:hAnsi="黑体" w:eastAsia="黑体"/>
          <w:kern w:val="0"/>
          <w:sz w:val="32"/>
          <w:szCs w:val="32"/>
        </w:rPr>
        <w:t>昌吉州医疗保障局2021</w:t>
      </w:r>
      <w:r>
        <w:rPr>
          <w:rFonts w:hint="eastAsia" w:ascii="黑体" w:hAnsi="宋体" w:eastAsia="黑体" w:cs="宋体"/>
          <w:kern w:val="0"/>
          <w:sz w:val="32"/>
          <w:szCs w:val="32"/>
        </w:rPr>
        <w:t>年一般公共预算当年拨款情况说明</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（一）一般公共预算当年拨款规模变化情况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州医疗保障局2021年一般公共预算拨款合计1573.6万元，其中：基本支出387.1万元，比上年预算增加201.56万元，增长108.63%。主要原因是：因我单位为2020年6月，因人员划转新增人员增加基本支出。项目支出1186.5万元，比上年预算增加1084.5万元，增长1063%。主要原因是：今年比去年新增4个项目，增加项目支出。</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（二）一般公共预算当年拨款结构情况</w:t>
      </w:r>
    </w:p>
    <w:p>
      <w:pPr>
        <w:spacing w:line="560" w:lineRule="exact"/>
        <w:ind w:firstLine="640" w:firstLineChars="200"/>
        <w:rPr>
          <w:rFonts w:ascii="仿宋_GB2312" w:hAnsi="宋体" w:eastAsia="仿宋_GB2312" w:cs="宋体"/>
          <w:kern w:val="0"/>
          <w:sz w:val="32"/>
          <w:szCs w:val="32"/>
        </w:rPr>
      </w:pPr>
      <w:r>
        <w:rPr>
          <w:rFonts w:hint="eastAsia" w:ascii="仿宋_GB2312" w:eastAsia="仿宋_GB2312"/>
          <w:sz w:val="32"/>
          <w:szCs w:val="32"/>
        </w:rPr>
        <w:t>1.2101501行政运行329.53万元，占</w:t>
      </w:r>
      <w:r>
        <w:rPr>
          <w:rFonts w:hint="eastAsia" w:ascii="仿宋_GB2312" w:hAnsi="宋体" w:eastAsia="仿宋_GB2312" w:cs="宋体"/>
          <w:kern w:val="0"/>
          <w:sz w:val="32"/>
          <w:szCs w:val="32"/>
        </w:rPr>
        <w:t>一般公共预算支出的</w:t>
      </w:r>
      <w:r>
        <w:rPr>
          <w:rFonts w:hint="eastAsia" w:ascii="仿宋_GB2312" w:eastAsia="仿宋_GB2312"/>
          <w:sz w:val="32"/>
          <w:szCs w:val="32"/>
        </w:rPr>
        <w:t>20.94%；</w:t>
      </w:r>
    </w:p>
    <w:p>
      <w:pPr>
        <w:spacing w:line="560" w:lineRule="exact"/>
        <w:ind w:firstLine="640" w:firstLineChars="200"/>
        <w:rPr>
          <w:rFonts w:ascii="仿宋_GB2312" w:eastAsia="仿宋_GB2312"/>
          <w:sz w:val="32"/>
          <w:szCs w:val="32"/>
        </w:rPr>
      </w:pPr>
      <w:r>
        <w:rPr>
          <w:rFonts w:hint="eastAsia" w:ascii="仿宋_GB2312" w:hAnsi="宋体" w:eastAsia="仿宋_GB2312" w:cs="宋体"/>
          <w:kern w:val="0"/>
          <w:sz w:val="32"/>
          <w:szCs w:val="32"/>
        </w:rPr>
        <w:t>2.2101101行政单位医疗19万元，</w:t>
      </w:r>
      <w:r>
        <w:rPr>
          <w:rFonts w:hint="eastAsia" w:ascii="仿宋_GB2312" w:eastAsia="仿宋_GB2312"/>
          <w:sz w:val="32"/>
          <w:szCs w:val="32"/>
        </w:rPr>
        <w:t>占</w:t>
      </w:r>
      <w:r>
        <w:rPr>
          <w:rFonts w:hint="eastAsia" w:ascii="仿宋_GB2312" w:hAnsi="宋体" w:eastAsia="仿宋_GB2312" w:cs="宋体"/>
          <w:kern w:val="0"/>
          <w:sz w:val="32"/>
          <w:szCs w:val="32"/>
        </w:rPr>
        <w:t>一般公共预算支出的</w:t>
      </w:r>
      <w:r>
        <w:rPr>
          <w:rFonts w:hint="eastAsia" w:ascii="仿宋_GB2312" w:eastAsia="仿宋_GB2312"/>
          <w:sz w:val="32"/>
          <w:szCs w:val="32"/>
        </w:rPr>
        <w:t>1.21%；</w:t>
      </w:r>
    </w:p>
    <w:p>
      <w:pPr>
        <w:pStyle w:val="2"/>
        <w:ind w:firstLine="640"/>
        <w:jc w:val="both"/>
        <w:rPr>
          <w:rFonts w:ascii="仿宋_GB2312" w:eastAsia="仿宋_GB2312"/>
          <w:sz w:val="32"/>
          <w:szCs w:val="32"/>
        </w:rPr>
      </w:pPr>
      <w:r>
        <w:rPr>
          <w:rFonts w:hint="eastAsia" w:ascii="仿宋_GB2312" w:eastAsia="仿宋_GB2312"/>
          <w:sz w:val="32"/>
          <w:szCs w:val="32"/>
        </w:rPr>
        <w:t>3.2101103公务员医疗补助6万元，占</w:t>
      </w:r>
      <w:r>
        <w:rPr>
          <w:rFonts w:hint="eastAsia" w:ascii="仿宋_GB2312" w:hAnsi="宋体" w:eastAsia="仿宋_GB2312" w:cs="宋体"/>
          <w:kern w:val="0"/>
          <w:sz w:val="32"/>
          <w:szCs w:val="32"/>
        </w:rPr>
        <w:t>一般公共预算支出的</w:t>
      </w:r>
      <w:r>
        <w:rPr>
          <w:rFonts w:hint="eastAsia" w:ascii="仿宋_GB2312" w:eastAsia="仿宋_GB2312"/>
          <w:sz w:val="32"/>
          <w:szCs w:val="32"/>
        </w:rPr>
        <w:t>0.38%；</w:t>
      </w:r>
    </w:p>
    <w:p>
      <w:pPr>
        <w:ind w:firstLine="640" w:firstLineChars="200"/>
        <w:rPr>
          <w:rFonts w:ascii="仿宋_GB2312" w:eastAsia="仿宋_GB2312"/>
          <w:sz w:val="32"/>
          <w:szCs w:val="32"/>
        </w:rPr>
      </w:pPr>
      <w:r>
        <w:rPr>
          <w:rFonts w:hint="eastAsia" w:ascii="仿宋_GB2312" w:hAnsi="宋体" w:eastAsia="仿宋_GB2312" w:cs="宋体"/>
          <w:kern w:val="0"/>
          <w:sz w:val="32"/>
          <w:szCs w:val="32"/>
        </w:rPr>
        <w:t>4.2101199其他行政事业单位医疗支出0.56万元，</w:t>
      </w:r>
      <w:r>
        <w:rPr>
          <w:rFonts w:hint="eastAsia" w:ascii="仿宋_GB2312" w:eastAsia="仿宋_GB2312"/>
          <w:sz w:val="32"/>
          <w:szCs w:val="32"/>
        </w:rPr>
        <w:t>占</w:t>
      </w:r>
      <w:r>
        <w:rPr>
          <w:rFonts w:hint="eastAsia" w:ascii="仿宋_GB2312" w:hAnsi="宋体" w:eastAsia="仿宋_GB2312" w:cs="宋体"/>
          <w:kern w:val="0"/>
          <w:sz w:val="32"/>
          <w:szCs w:val="32"/>
        </w:rPr>
        <w:t>一般公共预算支出的</w:t>
      </w:r>
      <w:r>
        <w:rPr>
          <w:rFonts w:hint="eastAsia" w:ascii="仿宋_GB2312" w:eastAsia="仿宋_GB2312"/>
          <w:sz w:val="32"/>
          <w:szCs w:val="32"/>
        </w:rPr>
        <w:t>0.04%；</w:t>
      </w:r>
    </w:p>
    <w:p>
      <w:pPr>
        <w:ind w:firstLine="640" w:firstLineChars="200"/>
        <w:rPr>
          <w:rFonts w:ascii="仿宋_GB2312" w:eastAsia="仿宋_GB2312"/>
          <w:sz w:val="32"/>
          <w:szCs w:val="32"/>
        </w:rPr>
      </w:pPr>
      <w:r>
        <w:rPr>
          <w:rFonts w:hint="eastAsia" w:ascii="仿宋_GB2312" w:hAnsi="宋体" w:eastAsia="仿宋_GB2312" w:cs="宋体"/>
          <w:kern w:val="0"/>
          <w:sz w:val="32"/>
          <w:szCs w:val="32"/>
        </w:rPr>
        <w:t>5.2101502一般行政管理事务100万元，</w:t>
      </w:r>
      <w:r>
        <w:rPr>
          <w:rFonts w:hint="eastAsia" w:ascii="仿宋_GB2312" w:eastAsia="仿宋_GB2312"/>
          <w:sz w:val="32"/>
          <w:szCs w:val="32"/>
        </w:rPr>
        <w:t>占</w:t>
      </w:r>
      <w:r>
        <w:rPr>
          <w:rFonts w:hint="eastAsia" w:ascii="仿宋_GB2312" w:hAnsi="宋体" w:eastAsia="仿宋_GB2312" w:cs="宋体"/>
          <w:kern w:val="0"/>
          <w:sz w:val="32"/>
          <w:szCs w:val="32"/>
        </w:rPr>
        <w:t>一般公共预算支出的</w:t>
      </w:r>
      <w:r>
        <w:rPr>
          <w:rFonts w:hint="eastAsia" w:ascii="仿宋_GB2312" w:eastAsia="仿宋_GB2312"/>
          <w:sz w:val="32"/>
          <w:szCs w:val="32"/>
        </w:rPr>
        <w:t>6.35%；</w:t>
      </w:r>
    </w:p>
    <w:p>
      <w:pPr>
        <w:ind w:firstLine="640" w:firstLineChars="200"/>
        <w:rPr>
          <w:rFonts w:ascii="仿宋_GB2312" w:eastAsia="仿宋_GB2312"/>
          <w:sz w:val="32"/>
          <w:szCs w:val="32"/>
        </w:rPr>
      </w:pPr>
      <w:r>
        <w:rPr>
          <w:rFonts w:hint="eastAsia" w:ascii="仿宋_GB2312" w:hAnsi="宋体" w:eastAsia="仿宋_GB2312" w:cs="宋体"/>
          <w:kern w:val="0"/>
          <w:sz w:val="32"/>
          <w:szCs w:val="32"/>
        </w:rPr>
        <w:t>6.2101599其他医疗保障管理事务支出1086.5万元，</w:t>
      </w:r>
      <w:r>
        <w:rPr>
          <w:rFonts w:hint="eastAsia" w:ascii="仿宋_GB2312" w:eastAsia="仿宋_GB2312"/>
          <w:sz w:val="32"/>
          <w:szCs w:val="32"/>
        </w:rPr>
        <w:t>占</w:t>
      </w:r>
      <w:r>
        <w:rPr>
          <w:rFonts w:hint="eastAsia" w:ascii="仿宋_GB2312" w:hAnsi="宋体" w:eastAsia="仿宋_GB2312" w:cs="宋体"/>
          <w:kern w:val="0"/>
          <w:sz w:val="32"/>
          <w:szCs w:val="32"/>
        </w:rPr>
        <w:t>一般公共预算支出的</w:t>
      </w:r>
      <w:r>
        <w:rPr>
          <w:rFonts w:hint="eastAsia" w:ascii="仿宋_GB2312" w:eastAsia="仿宋_GB2312"/>
          <w:sz w:val="32"/>
          <w:szCs w:val="32"/>
        </w:rPr>
        <w:t>69.05%；</w:t>
      </w:r>
    </w:p>
    <w:p>
      <w:pPr>
        <w:pStyle w:val="2"/>
        <w:jc w:val="both"/>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7.2080505机关事业单位基本养老保险缴费支出32.01万元，</w:t>
      </w:r>
      <w:r>
        <w:rPr>
          <w:rFonts w:hint="eastAsia" w:ascii="仿宋_GB2312" w:eastAsia="仿宋_GB2312"/>
          <w:sz w:val="32"/>
          <w:szCs w:val="32"/>
        </w:rPr>
        <w:t>占</w:t>
      </w:r>
      <w:r>
        <w:rPr>
          <w:rFonts w:hint="eastAsia" w:ascii="仿宋_GB2312" w:hAnsi="宋体" w:eastAsia="仿宋_GB2312" w:cs="宋体"/>
          <w:kern w:val="0"/>
          <w:sz w:val="32"/>
          <w:szCs w:val="32"/>
        </w:rPr>
        <w:t>一般公共预算支出的</w:t>
      </w:r>
      <w:r>
        <w:rPr>
          <w:rFonts w:hint="eastAsia" w:ascii="仿宋_GB2312" w:eastAsia="仿宋_GB2312"/>
          <w:sz w:val="32"/>
          <w:szCs w:val="32"/>
        </w:rPr>
        <w:t>2.03%。</w:t>
      </w:r>
    </w:p>
    <w:p>
      <w:pPr>
        <w:spacing w:line="560" w:lineRule="exact"/>
        <w:ind w:firstLine="321" w:firstLineChars="100"/>
        <w:rPr>
          <w:rFonts w:ascii="楷体_GB2312" w:hAnsi="宋体" w:eastAsia="楷体_GB2312" w:cs="宋体"/>
          <w:b/>
          <w:kern w:val="0"/>
          <w:sz w:val="32"/>
          <w:szCs w:val="32"/>
        </w:rPr>
      </w:pPr>
      <w:r>
        <w:rPr>
          <w:rFonts w:hint="eastAsia" w:ascii="楷体_GB2312" w:hAnsi="宋体" w:eastAsia="楷体_GB2312" w:cs="宋体"/>
          <w:b/>
          <w:kern w:val="0"/>
          <w:sz w:val="32"/>
          <w:szCs w:val="32"/>
        </w:rPr>
        <w:t>（三）一般公共预算当年拨款具体使用情况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 2101501行政运行</w:t>
      </w:r>
      <w:r>
        <w:rPr>
          <w:rFonts w:ascii="仿宋_GB2312" w:hAnsi="宋体" w:eastAsia="仿宋_GB2312" w:cs="宋体"/>
          <w:kern w:val="0"/>
          <w:sz w:val="32"/>
          <w:szCs w:val="32"/>
        </w:rPr>
        <w:t>预算数为</w:t>
      </w:r>
      <w:r>
        <w:rPr>
          <w:rFonts w:hint="eastAsia" w:ascii="仿宋_GB2312" w:hAnsi="宋体" w:eastAsia="仿宋_GB2312" w:cs="宋体"/>
          <w:kern w:val="0"/>
          <w:sz w:val="32"/>
          <w:szCs w:val="32"/>
        </w:rPr>
        <w:t>329.53</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比上年预算数增加143.99万元，增长77.61%，主要原因是：新增人员行政运行经费增加；</w:t>
      </w:r>
    </w:p>
    <w:p>
      <w:pPr>
        <w:spacing w:line="560" w:lineRule="exact"/>
        <w:ind w:firstLine="640" w:firstLineChars="200"/>
        <w:rPr>
          <w:rFonts w:ascii="仿宋_GB2312" w:hAnsi="宋体" w:eastAsia="仿宋_GB2312" w:cs="宋体"/>
          <w:kern w:val="0"/>
          <w:sz w:val="32"/>
          <w:szCs w:val="32"/>
        </w:rPr>
      </w:pPr>
      <w:r>
        <w:rPr>
          <w:rFonts w:hint="eastAsia" w:ascii="楷体_GB2312" w:hAnsi="宋体" w:eastAsia="楷体_GB2312" w:cs="宋体"/>
          <w:kern w:val="0"/>
          <w:sz w:val="32"/>
          <w:szCs w:val="32"/>
        </w:rPr>
        <w:t>2.</w:t>
      </w:r>
      <w:r>
        <w:rPr>
          <w:rFonts w:hint="eastAsia" w:ascii="仿宋_GB2312" w:hAnsi="宋体" w:eastAsia="仿宋_GB2312" w:cs="宋体"/>
          <w:kern w:val="0"/>
          <w:sz w:val="32"/>
          <w:szCs w:val="32"/>
        </w:rPr>
        <w:t>2101101行政单位医疗预算数为19万元，比上年预算数增加19万元，增长100%，主要原因是：新增此功能分类项目，去年无此分类；</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3.2101103公务员医疗补助预算数为6万元，比上年预算数增加6万元，增长100%，主要原因是：新增此功能分类项目，去年无此分类；</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4.2101199其他行政事业单位医疗支出预算数为0.56万元，比上年预算数增加0.56万元，增长100%，主要原因是：新增功能分类项目，去年无此分类；</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5.2101502一般行政管理事务预算数为100万元，比上年预算数减少2万元，减少2%，主要原因是：今年医保经办中心公共耗材及工作经费比去年下降2万元；</w:t>
      </w:r>
    </w:p>
    <w:p>
      <w:pPr>
        <w:pStyle w:val="2"/>
        <w:jc w:val="both"/>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6.2101599其他医疗保障管理事务支出1086.5万元，比上年预算数增加1086.5万元，增长100%，主要原因是：新增功能分类项目，去年无此分类，今年新增项目支出；</w:t>
      </w:r>
    </w:p>
    <w:p>
      <w:pPr>
        <w:ind w:firstLine="640" w:firstLineChars="200"/>
      </w:pPr>
      <w:r>
        <w:rPr>
          <w:rFonts w:hint="eastAsia" w:ascii="仿宋_GB2312" w:hAnsi="宋体" w:eastAsia="仿宋_GB2312" w:cs="宋体"/>
          <w:kern w:val="0"/>
          <w:sz w:val="32"/>
          <w:szCs w:val="32"/>
        </w:rPr>
        <w:t>7.2080505机关事业单位基本养老保险缴费支出32.01万元，比上年预算数增加32.01万元，增长100%，主要原因是：新增功能分类项目，去年无此分类。</w:t>
      </w:r>
    </w:p>
    <w:p>
      <w:pPr>
        <w:spacing w:line="560" w:lineRule="exact"/>
        <w:rPr>
          <w:rFonts w:ascii="黑体" w:hAnsi="宋体" w:eastAsia="黑体" w:cs="宋体"/>
          <w:kern w:val="0"/>
          <w:sz w:val="32"/>
          <w:szCs w:val="32"/>
        </w:rPr>
      </w:pPr>
      <w:r>
        <w:rPr>
          <w:rFonts w:hint="eastAsia" w:ascii="黑体" w:hAnsi="宋体" w:eastAsia="黑体" w:cs="宋体"/>
          <w:kern w:val="0"/>
          <w:sz w:val="32"/>
          <w:szCs w:val="32"/>
        </w:rPr>
        <w:t>六、关于昌吉州医疗保障局2021年一般公共预算基本支出情况说明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昌吉州医疗保障局2021年一般公共预算基本支出387.1万元，其中：</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人员经费351.49万元，主要包括：基本工资121.57万元、津贴补贴26.81万元、奖金8.32万元、伙食补助费32.76万元、绩效工资45.92万元、其他工资福利支出34.54万元、机关事业单位基本养老保险缴费32.01万元、职工基本医疗保险缴费19万元、公务员医疗补助缴费6万元、其他社会保障缴费0.56万元、住房公积金24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公用经费35.61万元，主要包括：办公费7万元、印刷费1.08万元、水费1.8万元、电费1.8万元、邮电费0.6万元、物业管理费3.5万元、差旅费3.5万元、维修（护）费0.65万元、培训费0.35万元、公务接待费0.2万元、劳务费2.5万元、工会经费2.43万元、福利费5.59万元、公务用车运行维护费2.18万元、商品和服务支出2.43万元。</w:t>
      </w:r>
    </w:p>
    <w:p>
      <w:pPr>
        <w:numPr>
          <w:ilvl w:val="0"/>
          <w:numId w:val="1"/>
        </w:num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关于昌吉州医疗保障局2021年一般公共预算项目支出情况说明</w:t>
      </w:r>
    </w:p>
    <w:p>
      <w:pPr>
        <w:spacing w:line="560" w:lineRule="exact"/>
        <w:ind w:firstLine="420" w:firstLineChars="200"/>
        <w:rPr>
          <w:rFonts w:ascii="仿宋_GB2312" w:hAnsi="黑体" w:eastAsia="仿宋_GB2312"/>
          <w:sz w:val="32"/>
          <w:szCs w:val="32"/>
        </w:rPr>
      </w:pPr>
      <w:r>
        <w:rPr>
          <w:rFonts w:hint="eastAsia"/>
        </w:rPr>
        <w:t xml:space="preserve">  </w:t>
      </w:r>
      <w:r>
        <w:rPr>
          <w:rFonts w:hint="eastAsia" w:ascii="仿宋_GB2312" w:hAnsi="黑体" w:eastAsia="仿宋_GB2312"/>
          <w:sz w:val="32"/>
          <w:szCs w:val="32"/>
        </w:rPr>
        <w:t>1、项目</w:t>
      </w:r>
      <w:r>
        <w:rPr>
          <w:rFonts w:ascii="仿宋_GB2312" w:hAnsi="黑体" w:eastAsia="仿宋_GB2312"/>
          <w:sz w:val="32"/>
          <w:szCs w:val="32"/>
        </w:rPr>
        <w:t>名称</w:t>
      </w:r>
      <w:r>
        <w:rPr>
          <w:rFonts w:hint="eastAsia" w:ascii="仿宋_GB2312" w:hAnsi="黑体" w:eastAsia="仿宋_GB2312"/>
          <w:sz w:val="32"/>
          <w:szCs w:val="32"/>
        </w:rPr>
        <w:t>：医保局医保经办中心公共耗材及工作经费</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ascii="仿宋_GB2312" w:hAnsi="黑体" w:eastAsia="仿宋_GB2312"/>
          <w:sz w:val="32"/>
          <w:szCs w:val="32"/>
        </w:rPr>
        <w:t>设立的政策依据</w:t>
      </w:r>
      <w:r>
        <w:rPr>
          <w:rFonts w:hint="eastAsia" w:ascii="仿宋_GB2312" w:hAnsi="黑体" w:eastAsia="仿宋_GB2312"/>
          <w:sz w:val="32"/>
          <w:szCs w:val="32"/>
        </w:rPr>
        <w:t>：《关于设置自治医保经办中心的通知》昌州党机编发</w:t>
      </w:r>
      <w:r>
        <w:rPr>
          <w:rFonts w:hint="eastAsia" w:ascii="仿宋_GB2312" w:hAnsi="仿宋_GB2312" w:eastAsia="仿宋_GB2312" w:cs="仿宋_GB2312"/>
          <w:sz w:val="32"/>
          <w:szCs w:val="32"/>
        </w:rPr>
        <w:t>〔</w:t>
      </w:r>
      <w:r>
        <w:rPr>
          <w:rFonts w:hint="eastAsia" w:ascii="仿宋_GB2312" w:hAnsi="黑体" w:eastAsia="仿宋_GB2312"/>
          <w:sz w:val="32"/>
          <w:szCs w:val="32"/>
        </w:rPr>
        <w:t>2019</w:t>
      </w:r>
      <w:r>
        <w:rPr>
          <w:rFonts w:hint="eastAsia" w:ascii="仿宋_GB2312" w:hAnsi="仿宋_GB2312" w:eastAsia="仿宋_GB2312" w:cs="仿宋_GB2312"/>
          <w:sz w:val="32"/>
          <w:szCs w:val="32"/>
        </w:rPr>
        <w:t>〕</w:t>
      </w:r>
      <w:r>
        <w:rPr>
          <w:rFonts w:hint="eastAsia" w:ascii="仿宋_GB2312" w:hAnsi="黑体" w:eastAsia="仿宋_GB2312"/>
          <w:sz w:val="32"/>
          <w:szCs w:val="32"/>
        </w:rPr>
        <w:t>13号、&lt;自治区医疗保障局关于印发《自治区医疗保障信息平台建设实施方案》的通知&gt;新医保</w:t>
      </w:r>
      <w:r>
        <w:rPr>
          <w:rFonts w:hint="eastAsia" w:ascii="仿宋_GB2312" w:hAnsi="仿宋_GB2312" w:eastAsia="仿宋_GB2312" w:cs="仿宋_GB2312"/>
          <w:sz w:val="32"/>
          <w:szCs w:val="32"/>
        </w:rPr>
        <w:t>〔</w:t>
      </w:r>
      <w:r>
        <w:rPr>
          <w:rFonts w:hint="eastAsia" w:ascii="仿宋_GB2312" w:hAnsi="黑体" w:eastAsia="仿宋_GB2312"/>
          <w:sz w:val="32"/>
          <w:szCs w:val="32"/>
        </w:rPr>
        <w:t>2020</w:t>
      </w:r>
      <w:r>
        <w:rPr>
          <w:rFonts w:hint="eastAsia" w:ascii="仿宋_GB2312" w:hAnsi="仿宋_GB2312" w:eastAsia="仿宋_GB2312" w:cs="仿宋_GB2312"/>
          <w:sz w:val="32"/>
          <w:szCs w:val="32"/>
        </w:rPr>
        <w:t>〕</w:t>
      </w:r>
      <w:r>
        <w:rPr>
          <w:rFonts w:hint="eastAsia" w:ascii="仿宋_GB2312" w:hAnsi="黑体" w:eastAsia="仿宋_GB2312"/>
          <w:sz w:val="32"/>
          <w:szCs w:val="32"/>
        </w:rPr>
        <w:t>107号。</w:t>
      </w:r>
    </w:p>
    <w:p>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rPr>
        <w:t>60万元</w:t>
      </w:r>
    </w:p>
    <w:p>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rPr>
        <w:t>昌吉州医疗保障局</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办公设备12万元、办公家具1万元、医保培训费2万元、特殊慢性病鉴定申请表2.4万元、定点零售药店医疗服务协议书3万元、政务服务专线2.4万元，系统运行维护费10万元、医保宣传资料印刷15万元，物业管理聘用人员7万元、办公耗材5.2万元。</w:t>
      </w:r>
    </w:p>
    <w:p>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2021年</w:t>
      </w:r>
    </w:p>
    <w:p>
      <w:pPr>
        <w:spacing w:line="560" w:lineRule="exact"/>
        <w:ind w:firstLine="640" w:firstLineChars="200"/>
        <w:rPr>
          <w:rFonts w:ascii="仿宋_GB2312" w:hAnsi="宋体" w:eastAsia="仿宋_GB2312" w:cs="宋体"/>
          <w:kern w:val="0"/>
          <w:sz w:val="32"/>
          <w:szCs w:val="32"/>
        </w:rPr>
      </w:pPr>
    </w:p>
    <w:p>
      <w:pPr>
        <w:spacing w:line="560" w:lineRule="exact"/>
        <w:ind w:firstLine="320" w:firstLineChars="1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2、</w:t>
      </w: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：长期护理保险工作经费</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：《昌吉回族自治州人民政府办公室关于印发自治州城镇职工长期护理保险实施方案的通知》昌州政办发</w:t>
      </w:r>
      <w:r>
        <w:rPr>
          <w:rFonts w:hint="eastAsia" w:ascii="仿宋_GB2312" w:hAnsi="仿宋_GB2312" w:eastAsia="仿宋_GB2312" w:cs="仿宋_GB2312"/>
          <w:sz w:val="32"/>
          <w:szCs w:val="32"/>
        </w:rPr>
        <w:t>〔</w:t>
      </w:r>
      <w:r>
        <w:rPr>
          <w:rFonts w:hint="eastAsia" w:ascii="仿宋_GB2312" w:hAnsi="黑体" w:eastAsia="仿宋_GB2312"/>
          <w:sz w:val="32"/>
          <w:szCs w:val="32"/>
        </w:rPr>
        <w:t>2017</w:t>
      </w:r>
      <w:r>
        <w:rPr>
          <w:rFonts w:hint="eastAsia" w:ascii="仿宋_GB2312" w:hAnsi="仿宋_GB2312" w:eastAsia="仿宋_GB2312" w:cs="仿宋_GB2312"/>
          <w:sz w:val="32"/>
          <w:szCs w:val="32"/>
        </w:rPr>
        <w:t>〕</w:t>
      </w:r>
      <w:r>
        <w:rPr>
          <w:rFonts w:hint="eastAsia" w:ascii="仿宋_GB2312" w:hAnsi="黑体" w:eastAsia="仿宋_GB2312"/>
          <w:sz w:val="32"/>
          <w:szCs w:val="32"/>
        </w:rPr>
        <w:t>106号、《关于开展长期护理保险制度试点的指导意见》人社厅发</w:t>
      </w:r>
      <w:r>
        <w:rPr>
          <w:rFonts w:hint="eastAsia" w:ascii="仿宋_GB2312" w:hAnsi="仿宋_GB2312" w:eastAsia="仿宋_GB2312" w:cs="仿宋_GB2312"/>
          <w:sz w:val="32"/>
          <w:szCs w:val="32"/>
        </w:rPr>
        <w:t>〔</w:t>
      </w:r>
      <w:r>
        <w:rPr>
          <w:rFonts w:hint="eastAsia" w:ascii="仿宋_GB2312" w:hAnsi="黑体" w:eastAsia="仿宋_GB2312"/>
          <w:sz w:val="32"/>
          <w:szCs w:val="32"/>
        </w:rPr>
        <w:t>2016</w:t>
      </w:r>
      <w:r>
        <w:rPr>
          <w:rFonts w:hint="eastAsia" w:ascii="仿宋_GB2312" w:hAnsi="仿宋_GB2312" w:eastAsia="仿宋_GB2312" w:cs="仿宋_GB2312"/>
          <w:sz w:val="32"/>
          <w:szCs w:val="32"/>
        </w:rPr>
        <w:t>〕</w:t>
      </w:r>
      <w:r>
        <w:rPr>
          <w:rFonts w:hint="eastAsia" w:ascii="仿宋_GB2312" w:hAnsi="黑体" w:eastAsia="仿宋_GB2312"/>
          <w:sz w:val="32"/>
          <w:szCs w:val="32"/>
        </w:rPr>
        <w:t>80号、《关于印发&lt;自治州促进康养产业发展实施意见&gt;的通知》昌州党办发</w:t>
      </w:r>
      <w:r>
        <w:rPr>
          <w:rFonts w:hint="eastAsia" w:ascii="仿宋_GB2312" w:hAnsi="仿宋_GB2312" w:eastAsia="仿宋_GB2312" w:cs="仿宋_GB2312"/>
          <w:sz w:val="32"/>
          <w:szCs w:val="32"/>
        </w:rPr>
        <w:t>〔</w:t>
      </w:r>
      <w:r>
        <w:rPr>
          <w:rFonts w:hint="eastAsia" w:ascii="仿宋_GB2312" w:hAnsi="黑体" w:eastAsia="仿宋_GB2312"/>
          <w:sz w:val="32"/>
          <w:szCs w:val="32"/>
        </w:rPr>
        <w:t>2017</w:t>
      </w:r>
      <w:r>
        <w:rPr>
          <w:rFonts w:hint="eastAsia" w:ascii="仿宋_GB2312" w:hAnsi="仿宋_GB2312" w:eastAsia="仿宋_GB2312" w:cs="仿宋_GB2312"/>
          <w:sz w:val="32"/>
          <w:szCs w:val="32"/>
        </w:rPr>
        <w:t>〕</w:t>
      </w:r>
      <w:r>
        <w:rPr>
          <w:rFonts w:hint="eastAsia" w:ascii="仿宋_GB2312" w:hAnsi="黑体" w:eastAsia="仿宋_GB2312"/>
          <w:sz w:val="32"/>
          <w:szCs w:val="32"/>
        </w:rPr>
        <w:t>1号、《关于印发&lt;自治州推进医疗卫生与养老服务相结合的实施方案&gt;的通知》昌州政办发</w:t>
      </w:r>
      <w:r>
        <w:rPr>
          <w:rFonts w:hint="eastAsia" w:ascii="仿宋_GB2312" w:hAnsi="仿宋_GB2312" w:eastAsia="仿宋_GB2312" w:cs="仿宋_GB2312"/>
          <w:sz w:val="32"/>
          <w:szCs w:val="32"/>
        </w:rPr>
        <w:t>〔</w:t>
      </w:r>
      <w:r>
        <w:rPr>
          <w:rFonts w:hint="eastAsia" w:ascii="仿宋_GB2312" w:hAnsi="黑体" w:eastAsia="仿宋_GB2312"/>
          <w:sz w:val="32"/>
          <w:szCs w:val="32"/>
        </w:rPr>
        <w:t>2017</w:t>
      </w:r>
      <w:r>
        <w:rPr>
          <w:rFonts w:hint="eastAsia" w:ascii="仿宋_GB2312" w:hAnsi="仿宋_GB2312" w:eastAsia="仿宋_GB2312" w:cs="仿宋_GB2312"/>
          <w:sz w:val="32"/>
          <w:szCs w:val="32"/>
        </w:rPr>
        <w:t>〕</w:t>
      </w:r>
      <w:r>
        <w:rPr>
          <w:rFonts w:hint="eastAsia" w:ascii="仿宋_GB2312" w:hAnsi="黑体" w:eastAsia="仿宋_GB2312"/>
          <w:sz w:val="32"/>
          <w:szCs w:val="32"/>
        </w:rPr>
        <w:t>83号。</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rPr>
        <w:t>10万元</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rPr>
        <w:t>昌吉州医疗保障局</w:t>
      </w:r>
    </w:p>
    <w:p>
      <w:pPr>
        <w:spacing w:line="560" w:lineRule="exact"/>
        <w:ind w:left="2878" w:leftChars="304" w:hanging="2240" w:hangingChars="700"/>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：长期护理保险失能人员评定费1.5万元、</w:t>
      </w:r>
    </w:p>
    <w:p>
      <w:pPr>
        <w:spacing w:line="560" w:lineRule="exact"/>
        <w:ind w:left="2878" w:leftChars="304" w:hanging="2240" w:hangingChars="700"/>
        <w:rPr>
          <w:rFonts w:ascii="仿宋_GB2312" w:hAnsi="黑体" w:eastAsia="仿宋_GB2312"/>
          <w:sz w:val="32"/>
          <w:szCs w:val="32"/>
        </w:rPr>
      </w:pPr>
      <w:r>
        <w:rPr>
          <w:rFonts w:hint="eastAsia" w:ascii="仿宋_GB2312" w:hAnsi="黑体" w:eastAsia="仿宋_GB2312"/>
          <w:sz w:val="32"/>
          <w:szCs w:val="32"/>
        </w:rPr>
        <w:t>长期护理保险工作经费8.5万元。</w:t>
      </w:r>
    </w:p>
    <w:p>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2021年</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3、</w:t>
      </w: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：医疗基金监管工作经费</w:t>
      </w:r>
    </w:p>
    <w:p>
      <w:pPr>
        <w:ind w:firstLine="640" w:firstLineChars="200"/>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ascii="仿宋_GB2312" w:hAnsi="黑体" w:eastAsia="仿宋_GB2312"/>
          <w:sz w:val="32"/>
          <w:szCs w:val="32"/>
        </w:rPr>
        <w:t>设立的政策依据</w:t>
      </w:r>
      <w:r>
        <w:rPr>
          <w:rFonts w:hint="eastAsia" w:ascii="仿宋_GB2312" w:hAnsi="黑体" w:eastAsia="仿宋_GB2312"/>
          <w:sz w:val="32"/>
          <w:szCs w:val="32"/>
        </w:rPr>
        <w:t>：《新疆维吾尔自治区医疗保障局 新疆维吾尔自治区财政厅关于印发&lt;新疆维吾尔自治区打击欺诈骗取医疗保障基金行为举报奖励暂行办法&gt;的通知》新医保</w:t>
      </w:r>
      <w:r>
        <w:rPr>
          <w:rFonts w:hint="eastAsia" w:ascii="仿宋_GB2312" w:hAnsi="仿宋_GB2312" w:eastAsia="仿宋_GB2312" w:cs="仿宋_GB2312"/>
          <w:sz w:val="32"/>
          <w:szCs w:val="32"/>
        </w:rPr>
        <w:t>〔</w:t>
      </w:r>
      <w:r>
        <w:rPr>
          <w:rFonts w:hint="eastAsia" w:ascii="仿宋_GB2312" w:hAnsi="黑体" w:eastAsia="仿宋_GB2312"/>
          <w:sz w:val="32"/>
          <w:szCs w:val="32"/>
        </w:rPr>
        <w:t>2019</w:t>
      </w:r>
      <w:r>
        <w:rPr>
          <w:rFonts w:hint="eastAsia" w:ascii="仿宋_GB2312" w:hAnsi="仿宋_GB2312" w:eastAsia="仿宋_GB2312" w:cs="仿宋_GB2312"/>
          <w:sz w:val="32"/>
          <w:szCs w:val="32"/>
        </w:rPr>
        <w:t>〕</w:t>
      </w:r>
      <w:r>
        <w:rPr>
          <w:rFonts w:hint="eastAsia" w:ascii="仿宋_GB2312" w:hAnsi="黑体" w:eastAsia="仿宋_GB2312"/>
          <w:sz w:val="32"/>
          <w:szCs w:val="32"/>
        </w:rPr>
        <w:t>53号、《自治区医疗保障局关于做好2021年医疗保障基金监管工作的通知》、《关于推进医疗保障基金监管制度体系改革的实施意见》。</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rPr>
        <w:t>30万元</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rPr>
        <w:t>昌吉州医疗保障局</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：打击欺诈骗取医保基金举报奖励资金2万元、购买第三方服务18.5万元、基金监管巡查费6万元、宣传费3.5万元。</w:t>
      </w:r>
    </w:p>
    <w:p>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2021年</w:t>
      </w:r>
    </w:p>
    <w:p>
      <w:pPr>
        <w:pStyle w:val="2"/>
        <w:jc w:val="both"/>
        <w:rPr>
          <w:rFonts w:eastAsia="仿宋_GB2312"/>
        </w:rPr>
      </w:pPr>
    </w:p>
    <w:p>
      <w:pPr>
        <w:pStyle w:val="2"/>
        <w:jc w:val="both"/>
        <w:rPr>
          <w:rFonts w:eastAsia="仿宋_GB2312"/>
        </w:rPr>
      </w:pPr>
    </w:p>
    <w:p>
      <w:pPr>
        <w:spacing w:line="560" w:lineRule="exact"/>
        <w:ind w:firstLine="640" w:firstLineChars="200"/>
        <w:rPr>
          <w:rFonts w:ascii="仿宋_GB2312" w:hAnsi="宋体" w:eastAsia="仿宋_GB2312" w:cs="宋体"/>
          <w:kern w:val="0"/>
          <w:sz w:val="32"/>
          <w:szCs w:val="32"/>
        </w:rPr>
      </w:pPr>
      <w:r>
        <w:rPr>
          <w:rFonts w:hint="eastAsia" w:ascii="仿宋_GB2312" w:hAnsi="仿宋_GB2312" w:eastAsia="仿宋_GB2312" w:cs="仿宋_GB2312"/>
          <w:kern w:val="0"/>
          <w:sz w:val="32"/>
          <w:szCs w:val="32"/>
        </w:rPr>
        <w:t>4</w:t>
      </w: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rPr>
        <w:t>地州级退休人员医疗补助经费</w:t>
      </w:r>
    </w:p>
    <w:p>
      <w:pPr>
        <w:spacing w:line="560" w:lineRule="exact"/>
        <w:ind w:firstLine="640" w:firstLineChars="200"/>
        <w:rPr>
          <w:rFonts w:ascii="仿宋_GB2312" w:hAnsi="仿宋_GB2312" w:eastAsia="仿宋_GB2312" w:cs="仿宋_GB2312"/>
          <w:kern w:val="0"/>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宋体" w:eastAsia="仿宋_GB2312" w:cs="宋体"/>
          <w:kern w:val="0"/>
          <w:sz w:val="32"/>
          <w:szCs w:val="32"/>
        </w:rPr>
        <w:t>《关于对昌吉回族自治州副州级退休国家公务员实行医疗补助的意见》昌州劳社发</w:t>
      </w:r>
      <w:r>
        <w:rPr>
          <w:rFonts w:hint="eastAsia" w:ascii="仿宋_GB2312" w:hAnsi="仿宋_GB2312" w:eastAsia="仿宋_GB2312" w:cs="仿宋_GB2312"/>
          <w:kern w:val="0"/>
          <w:sz w:val="32"/>
          <w:szCs w:val="32"/>
        </w:rPr>
        <w:t>〔2005〕134号。</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rPr>
        <w:t>265万元</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rPr>
        <w:t>昌吉州医疗保障局</w:t>
      </w:r>
    </w:p>
    <w:p>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kern w:val="0"/>
          <w:sz w:val="32"/>
          <w:szCs w:val="32"/>
        </w:rPr>
        <w:t>地州级离退休干部体检费8万元，医疗门诊费180万元，医疗住院费77万元。</w:t>
      </w:r>
    </w:p>
    <w:p>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2021年</w:t>
      </w:r>
    </w:p>
    <w:p>
      <w:pPr>
        <w:spacing w:line="560" w:lineRule="exact"/>
        <w:ind w:firstLine="640" w:firstLineChars="200"/>
        <w:rPr>
          <w:rFonts w:ascii="仿宋_GB2312" w:hAnsi="宋体" w:eastAsia="仿宋_GB2312"/>
          <w:sz w:val="32"/>
          <w:szCs w:val="22"/>
        </w:rPr>
      </w:pPr>
      <w:r>
        <w:rPr>
          <w:rFonts w:ascii="仿宋_GB2312" w:hAnsi="宋体" w:eastAsia="仿宋_GB2312"/>
          <w:sz w:val="32"/>
          <w:szCs w:val="22"/>
        </w:rPr>
        <w:t>资金来源</w:t>
      </w:r>
      <w:r>
        <w:rPr>
          <w:rFonts w:hint="eastAsia" w:ascii="仿宋_GB2312" w:hAnsi="黑体" w:eastAsia="仿宋_GB2312"/>
          <w:sz w:val="32"/>
          <w:szCs w:val="32"/>
        </w:rPr>
        <w:t>：</w:t>
      </w:r>
      <w:r>
        <w:rPr>
          <w:rFonts w:hint="eastAsia" w:ascii="仿宋_GB2312" w:hAnsi="宋体" w:eastAsia="仿宋_GB2312" w:cs="宋体"/>
          <w:kern w:val="0"/>
          <w:sz w:val="32"/>
          <w:szCs w:val="32"/>
        </w:rPr>
        <w:t>财政拨款</w:t>
      </w:r>
    </w:p>
    <w:p>
      <w:pPr>
        <w:spacing w:line="560" w:lineRule="exact"/>
        <w:ind w:firstLine="640" w:firstLineChars="200"/>
        <w:rPr>
          <w:rFonts w:ascii="仿宋_GB2312" w:hAnsi="宋体" w:eastAsia="仿宋_GB2312"/>
          <w:sz w:val="32"/>
          <w:szCs w:val="22"/>
        </w:rPr>
      </w:pPr>
      <w:r>
        <w:rPr>
          <w:rFonts w:ascii="仿宋_GB2312" w:hAnsi="宋体" w:eastAsia="仿宋_GB2312"/>
          <w:sz w:val="32"/>
          <w:szCs w:val="22"/>
        </w:rPr>
        <w:t>补贴人数</w:t>
      </w:r>
      <w:r>
        <w:rPr>
          <w:rFonts w:hint="eastAsia" w:ascii="仿宋_GB2312" w:hAnsi="黑体" w:eastAsia="仿宋_GB2312"/>
          <w:sz w:val="32"/>
          <w:szCs w:val="32"/>
        </w:rPr>
        <w:t>：</w:t>
      </w:r>
      <w:r>
        <w:rPr>
          <w:rFonts w:hint="eastAsia" w:ascii="仿宋_GB2312" w:hAnsi="宋体" w:eastAsia="仿宋_GB2312" w:cs="宋体"/>
          <w:kern w:val="0"/>
          <w:sz w:val="32"/>
          <w:szCs w:val="32"/>
        </w:rPr>
        <w:t>59人</w:t>
      </w:r>
    </w:p>
    <w:p>
      <w:pPr>
        <w:spacing w:line="560" w:lineRule="exact"/>
        <w:ind w:firstLine="640" w:firstLineChars="200"/>
        <w:rPr>
          <w:rFonts w:ascii="仿宋_GB2312" w:hAnsi="黑体" w:eastAsia="仿宋_GB2312"/>
          <w:sz w:val="32"/>
          <w:szCs w:val="32"/>
        </w:rPr>
      </w:pPr>
      <w:r>
        <w:rPr>
          <w:rFonts w:ascii="仿宋_GB2312" w:hAnsi="宋体" w:eastAsia="仿宋_GB2312"/>
          <w:sz w:val="32"/>
          <w:szCs w:val="22"/>
        </w:rPr>
        <w:t>补贴标准</w:t>
      </w:r>
      <w:r>
        <w:rPr>
          <w:rFonts w:hint="eastAsia" w:ascii="仿宋_GB2312" w:hAnsi="黑体" w:eastAsia="仿宋_GB2312"/>
          <w:sz w:val="32"/>
          <w:szCs w:val="32"/>
        </w:rPr>
        <w:t>：自治州副州级退休国家公务员，在门诊（含慢性病）发生的医疗费用，先由个人账户支付，个人账户不足时，由本人垫付，凭医疗费发票和医疗费发生的数额依次按基本医疗保险、公务员医疗补助、大病医疗补助的顺序报销完后，差额部分给予医疗补助；自治州副州级退休国家公务员住院发生的医疗费用，凭医疗费发票和医疗费发生的数额依次按基本医疗保险、公务员医疗补助、大病医疗补助的顺序报销完后，差额部分给予医疗补助。</w:t>
      </w:r>
    </w:p>
    <w:p>
      <w:pPr>
        <w:spacing w:line="560" w:lineRule="exact"/>
        <w:ind w:firstLine="640" w:firstLineChars="200"/>
        <w:rPr>
          <w:rFonts w:ascii="仿宋_GB2312" w:hAnsi="宋体" w:eastAsia="仿宋_GB2312" w:cs="宋体"/>
          <w:kern w:val="0"/>
          <w:sz w:val="32"/>
          <w:szCs w:val="32"/>
        </w:rPr>
      </w:pPr>
      <w:r>
        <w:rPr>
          <w:rFonts w:ascii="仿宋_GB2312" w:hAnsi="宋体" w:eastAsia="仿宋_GB2312"/>
          <w:sz w:val="32"/>
          <w:szCs w:val="22"/>
        </w:rPr>
        <w:t>补贴范围</w:t>
      </w:r>
      <w:r>
        <w:rPr>
          <w:rFonts w:hint="eastAsia" w:ascii="仿宋_GB2312" w:hAnsi="黑体" w:eastAsia="仿宋_GB2312"/>
          <w:sz w:val="32"/>
          <w:szCs w:val="32"/>
        </w:rPr>
        <w:t>：</w:t>
      </w:r>
      <w:r>
        <w:rPr>
          <w:rFonts w:hint="eastAsia" w:ascii="仿宋_GB2312" w:hAnsi="宋体" w:eastAsia="仿宋_GB2312" w:cs="宋体"/>
          <w:kern w:val="0"/>
          <w:sz w:val="32"/>
          <w:szCs w:val="32"/>
        </w:rPr>
        <w:t>自治州党委、人大、政府、政协、审判机关、检察机关等工作的副州级退休国家公务员。</w:t>
      </w:r>
    </w:p>
    <w:p>
      <w:pPr>
        <w:spacing w:line="560" w:lineRule="exact"/>
        <w:ind w:firstLine="640" w:firstLineChars="200"/>
        <w:rPr>
          <w:rFonts w:ascii="仿宋_GB2312" w:hAnsi="宋体" w:eastAsia="仿宋_GB2312" w:cs="宋体"/>
          <w:kern w:val="0"/>
          <w:sz w:val="32"/>
          <w:szCs w:val="32"/>
        </w:rPr>
      </w:pPr>
      <w:r>
        <w:rPr>
          <w:rFonts w:ascii="仿宋_GB2312" w:hAnsi="宋体" w:eastAsia="仿宋_GB2312"/>
          <w:sz w:val="32"/>
          <w:szCs w:val="22"/>
        </w:rPr>
        <w:t>补贴方式</w:t>
      </w:r>
      <w:r>
        <w:rPr>
          <w:rFonts w:hint="eastAsia" w:ascii="仿宋_GB2312" w:hAnsi="黑体" w:eastAsia="仿宋_GB2312"/>
          <w:sz w:val="32"/>
          <w:szCs w:val="32"/>
        </w:rPr>
        <w:t>：</w:t>
      </w:r>
      <w:r>
        <w:rPr>
          <w:rFonts w:hint="eastAsia" w:ascii="仿宋_GB2312" w:hAnsi="宋体" w:eastAsia="仿宋_GB2312" w:cs="宋体"/>
          <w:kern w:val="0"/>
          <w:sz w:val="32"/>
          <w:szCs w:val="32"/>
        </w:rPr>
        <w:t>及时报销门诊、住院医疗费</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发放程序：每月业务科室核算医疗费用结算票据，通过基金账户进行发放。</w:t>
      </w:r>
    </w:p>
    <w:p>
      <w:pPr>
        <w:spacing w:line="560" w:lineRule="exact"/>
        <w:ind w:firstLine="640" w:firstLineChars="200"/>
        <w:rPr>
          <w:rFonts w:ascii="仿宋_GB2312" w:hAnsi="宋体" w:eastAsia="仿宋_GB2312" w:cs="宋体"/>
          <w:kern w:val="0"/>
          <w:sz w:val="32"/>
          <w:szCs w:val="32"/>
        </w:rPr>
      </w:pPr>
      <w:r>
        <w:rPr>
          <w:rFonts w:ascii="仿宋_GB2312" w:hAnsi="宋体" w:eastAsia="仿宋_GB2312"/>
          <w:sz w:val="32"/>
          <w:szCs w:val="22"/>
        </w:rPr>
        <w:t>受益人群和社会效益</w:t>
      </w:r>
      <w:r>
        <w:rPr>
          <w:rFonts w:hint="eastAsia" w:ascii="仿宋_GB2312" w:hAnsi="黑体" w:eastAsia="仿宋_GB2312"/>
          <w:sz w:val="32"/>
          <w:szCs w:val="32"/>
        </w:rPr>
        <w:t>：</w:t>
      </w:r>
      <w:r>
        <w:rPr>
          <w:rFonts w:hint="eastAsia" w:ascii="仿宋_GB2312" w:hAnsi="宋体" w:eastAsia="仿宋_GB2312" w:cs="宋体"/>
          <w:kern w:val="0"/>
          <w:sz w:val="32"/>
          <w:szCs w:val="32"/>
        </w:rPr>
        <w:t>享受地州级退休人员医疗补助经费59人，提高地州级退休人员生活质量。</w:t>
      </w:r>
    </w:p>
    <w:p>
      <w:pPr>
        <w:spacing w:line="560" w:lineRule="exact"/>
        <w:ind w:firstLine="640" w:firstLineChars="200"/>
        <w:rPr>
          <w:rFonts w:ascii="仿宋_GB2312" w:hAnsi="黑体" w:eastAsia="仿宋_GB2312"/>
          <w:sz w:val="32"/>
          <w:szCs w:val="32"/>
        </w:rPr>
      </w:pP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5</w:t>
      </w: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rPr>
        <w:t>国务院特殊津贴专家保健医疗费</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宋体" w:eastAsia="仿宋_GB2312" w:cs="宋体"/>
          <w:kern w:val="0"/>
          <w:sz w:val="32"/>
          <w:szCs w:val="32"/>
        </w:rPr>
        <w:t>《州劳动和社会保障局财政局关于享受国务院特殊津贴专家实行保健医疗待遇实施办法》（昌州政办发</w:t>
      </w:r>
      <w:r>
        <w:rPr>
          <w:rFonts w:hint="eastAsia" w:ascii="仿宋_GB2312" w:hAnsi="仿宋_GB2312" w:eastAsia="仿宋_GB2312" w:cs="仿宋_GB2312"/>
          <w:sz w:val="32"/>
          <w:szCs w:val="32"/>
        </w:rPr>
        <w:t>〔</w:t>
      </w:r>
      <w:r>
        <w:rPr>
          <w:rFonts w:hint="eastAsia" w:ascii="仿宋_GB2312" w:hAnsi="黑体" w:eastAsia="仿宋_GB2312"/>
          <w:sz w:val="32"/>
          <w:szCs w:val="32"/>
        </w:rPr>
        <w:t>2003</w:t>
      </w:r>
      <w:r>
        <w:rPr>
          <w:rFonts w:hint="eastAsia" w:ascii="仿宋_GB2312" w:hAnsi="仿宋_GB2312" w:eastAsia="仿宋_GB2312" w:cs="仿宋_GB2312"/>
          <w:sz w:val="32"/>
          <w:szCs w:val="32"/>
        </w:rPr>
        <w:t>〕</w:t>
      </w:r>
      <w:r>
        <w:rPr>
          <w:rFonts w:hint="eastAsia" w:ascii="仿宋_GB2312" w:hAnsi="宋体" w:eastAsia="仿宋_GB2312" w:cs="宋体"/>
          <w:kern w:val="0"/>
          <w:sz w:val="32"/>
          <w:szCs w:val="32"/>
        </w:rPr>
        <w:t>30号）</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rPr>
        <w:t>40万元</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rPr>
        <w:t>昌吉州医疗保障局</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kern w:val="0"/>
          <w:sz w:val="32"/>
          <w:szCs w:val="32"/>
        </w:rPr>
        <w:t>专家所需医疗费按上年度每位专家发生的医疗费实际支出额进行分配。</w:t>
      </w:r>
    </w:p>
    <w:p>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2021年</w:t>
      </w:r>
    </w:p>
    <w:p>
      <w:pPr>
        <w:spacing w:line="560" w:lineRule="exact"/>
        <w:ind w:firstLine="640" w:firstLineChars="200"/>
        <w:rPr>
          <w:rFonts w:ascii="仿宋_GB2312" w:hAnsi="宋体" w:eastAsia="仿宋_GB2312"/>
          <w:sz w:val="32"/>
          <w:szCs w:val="22"/>
        </w:rPr>
      </w:pPr>
      <w:r>
        <w:rPr>
          <w:rFonts w:ascii="仿宋_GB2312" w:hAnsi="宋体" w:eastAsia="仿宋_GB2312"/>
          <w:sz w:val="32"/>
          <w:szCs w:val="22"/>
        </w:rPr>
        <w:t>资金来源</w:t>
      </w:r>
      <w:r>
        <w:rPr>
          <w:rFonts w:hint="eastAsia" w:ascii="仿宋_GB2312" w:hAnsi="黑体" w:eastAsia="仿宋_GB2312"/>
          <w:sz w:val="32"/>
          <w:szCs w:val="32"/>
        </w:rPr>
        <w:t>：</w:t>
      </w:r>
      <w:r>
        <w:rPr>
          <w:rFonts w:hint="eastAsia" w:ascii="仿宋_GB2312" w:hAnsi="宋体" w:eastAsia="仿宋_GB2312" w:cs="宋体"/>
          <w:kern w:val="0"/>
          <w:sz w:val="32"/>
          <w:szCs w:val="32"/>
        </w:rPr>
        <w:t>财政拨款</w:t>
      </w:r>
    </w:p>
    <w:p>
      <w:pPr>
        <w:spacing w:line="560" w:lineRule="exact"/>
        <w:ind w:firstLine="640" w:firstLineChars="200"/>
        <w:rPr>
          <w:rFonts w:ascii="仿宋_GB2312" w:hAnsi="宋体" w:eastAsia="仿宋_GB2312"/>
          <w:sz w:val="32"/>
          <w:szCs w:val="22"/>
        </w:rPr>
      </w:pPr>
      <w:r>
        <w:rPr>
          <w:rFonts w:ascii="仿宋_GB2312" w:hAnsi="宋体" w:eastAsia="仿宋_GB2312"/>
          <w:sz w:val="32"/>
          <w:szCs w:val="22"/>
        </w:rPr>
        <w:t>补贴人数</w:t>
      </w:r>
      <w:r>
        <w:rPr>
          <w:rFonts w:hint="eastAsia" w:ascii="仿宋_GB2312" w:hAnsi="黑体" w:eastAsia="仿宋_GB2312"/>
          <w:sz w:val="32"/>
          <w:szCs w:val="32"/>
        </w:rPr>
        <w:t>：</w:t>
      </w:r>
      <w:r>
        <w:rPr>
          <w:rFonts w:hint="eastAsia" w:ascii="仿宋_GB2312" w:hAnsi="宋体" w:eastAsia="仿宋_GB2312" w:cs="宋体"/>
          <w:kern w:val="0"/>
          <w:sz w:val="32"/>
          <w:szCs w:val="32"/>
        </w:rPr>
        <w:t>10人</w:t>
      </w:r>
    </w:p>
    <w:p>
      <w:pPr>
        <w:spacing w:line="560" w:lineRule="exact"/>
        <w:ind w:left="2238" w:leftChars="304" w:hanging="1600" w:hangingChars="500"/>
        <w:rPr>
          <w:rFonts w:ascii="仿宋_GB2312" w:hAnsi="宋体" w:eastAsia="仿宋_GB2312" w:cs="宋体"/>
          <w:kern w:val="0"/>
          <w:sz w:val="32"/>
          <w:szCs w:val="32"/>
        </w:rPr>
      </w:pPr>
      <w:r>
        <w:rPr>
          <w:rFonts w:ascii="仿宋_GB2312" w:hAnsi="宋体" w:eastAsia="仿宋_GB2312"/>
          <w:sz w:val="32"/>
          <w:szCs w:val="22"/>
        </w:rPr>
        <w:t>补贴标准</w:t>
      </w:r>
      <w:r>
        <w:rPr>
          <w:rFonts w:hint="eastAsia" w:ascii="仿宋_GB2312" w:hAnsi="黑体" w:eastAsia="仿宋_GB2312"/>
          <w:sz w:val="32"/>
          <w:szCs w:val="32"/>
        </w:rPr>
        <w:t>：</w:t>
      </w:r>
      <w:r>
        <w:rPr>
          <w:rFonts w:hint="eastAsia" w:ascii="仿宋_GB2312" w:hAnsi="宋体" w:eastAsia="仿宋_GB2312" w:cs="宋体"/>
          <w:kern w:val="0"/>
          <w:sz w:val="32"/>
          <w:szCs w:val="32"/>
        </w:rPr>
        <w:t>专家所需医疗费按上年度专家医疗费实际支出额计算。</w:t>
      </w:r>
    </w:p>
    <w:p>
      <w:pPr>
        <w:spacing w:line="560" w:lineRule="exact"/>
        <w:ind w:firstLine="640" w:firstLineChars="200"/>
        <w:rPr>
          <w:rFonts w:ascii="仿宋_GB2312" w:hAnsi="宋体" w:eastAsia="仿宋_GB2312"/>
          <w:sz w:val="32"/>
          <w:szCs w:val="22"/>
        </w:rPr>
      </w:pPr>
      <w:r>
        <w:rPr>
          <w:rFonts w:ascii="仿宋_GB2312" w:hAnsi="宋体" w:eastAsia="仿宋_GB2312"/>
          <w:sz w:val="32"/>
          <w:szCs w:val="22"/>
        </w:rPr>
        <w:t>补贴范围</w:t>
      </w:r>
      <w:r>
        <w:rPr>
          <w:rFonts w:hint="eastAsia" w:ascii="仿宋_GB2312" w:hAnsi="黑体" w:eastAsia="仿宋_GB2312"/>
          <w:sz w:val="32"/>
          <w:szCs w:val="32"/>
        </w:rPr>
        <w:t>：</w:t>
      </w:r>
      <w:r>
        <w:rPr>
          <w:rFonts w:hint="eastAsia" w:ascii="仿宋_GB2312" w:hAnsi="宋体" w:eastAsia="仿宋_GB2312" w:cs="宋体"/>
          <w:kern w:val="0"/>
          <w:sz w:val="32"/>
          <w:szCs w:val="32"/>
        </w:rPr>
        <w:t>国务院特殊津贴专家保健医疗费享受人员</w:t>
      </w:r>
    </w:p>
    <w:p>
      <w:pPr>
        <w:spacing w:line="560" w:lineRule="exact"/>
        <w:ind w:firstLine="640" w:firstLineChars="200"/>
        <w:rPr>
          <w:rFonts w:ascii="仿宋_GB2312" w:hAnsi="宋体" w:eastAsia="仿宋_GB2312" w:cs="宋体"/>
          <w:kern w:val="0"/>
          <w:sz w:val="32"/>
          <w:szCs w:val="32"/>
        </w:rPr>
      </w:pPr>
      <w:r>
        <w:rPr>
          <w:rFonts w:ascii="仿宋_GB2312" w:hAnsi="宋体" w:eastAsia="仿宋_GB2312"/>
          <w:sz w:val="32"/>
          <w:szCs w:val="22"/>
        </w:rPr>
        <w:t>补贴方式</w:t>
      </w:r>
      <w:r>
        <w:rPr>
          <w:rFonts w:hint="eastAsia" w:ascii="仿宋_GB2312" w:hAnsi="黑体" w:eastAsia="仿宋_GB2312"/>
          <w:sz w:val="32"/>
          <w:szCs w:val="32"/>
        </w:rPr>
        <w:t>：</w:t>
      </w:r>
      <w:r>
        <w:rPr>
          <w:rFonts w:hint="eastAsia" w:ascii="仿宋_GB2312" w:hAnsi="宋体" w:eastAsia="仿宋_GB2312" w:cs="宋体"/>
          <w:kern w:val="0"/>
          <w:sz w:val="32"/>
          <w:szCs w:val="32"/>
        </w:rPr>
        <w:t>报销门诊、住院医疗费</w:t>
      </w:r>
    </w:p>
    <w:p>
      <w:pPr>
        <w:spacing w:line="560" w:lineRule="exact"/>
        <w:ind w:left="3518" w:leftChars="304" w:hanging="2880" w:hangingChars="900"/>
        <w:rPr>
          <w:rFonts w:ascii="仿宋_GB2312" w:hAnsi="宋体" w:eastAsia="仿宋_GB2312" w:cs="宋体"/>
          <w:kern w:val="0"/>
          <w:sz w:val="32"/>
          <w:szCs w:val="32"/>
        </w:rPr>
      </w:pPr>
      <w:r>
        <w:rPr>
          <w:rFonts w:hint="eastAsia" w:ascii="仿宋_GB2312" w:hAnsi="宋体" w:eastAsia="仿宋_GB2312" w:cs="宋体"/>
          <w:kern w:val="0"/>
          <w:sz w:val="32"/>
          <w:szCs w:val="32"/>
        </w:rPr>
        <w:t>发放程序：业务科室核算上年度专家医疗费用结算票</w:t>
      </w:r>
    </w:p>
    <w:p>
      <w:pPr>
        <w:spacing w:line="560" w:lineRule="exact"/>
        <w:ind w:left="3518" w:leftChars="304" w:hanging="2880" w:hangingChars="900"/>
        <w:rPr>
          <w:rFonts w:ascii="仿宋_GB2312" w:hAnsi="宋体" w:eastAsia="仿宋_GB2312" w:cs="宋体"/>
          <w:kern w:val="0"/>
          <w:sz w:val="32"/>
          <w:szCs w:val="32"/>
        </w:rPr>
      </w:pPr>
      <w:r>
        <w:rPr>
          <w:rFonts w:hint="eastAsia" w:ascii="仿宋_GB2312" w:hAnsi="宋体" w:eastAsia="仿宋_GB2312" w:cs="宋体"/>
          <w:kern w:val="0"/>
          <w:sz w:val="32"/>
          <w:szCs w:val="32"/>
        </w:rPr>
        <w:t>据，通过单位账户进行发放。</w:t>
      </w:r>
    </w:p>
    <w:p>
      <w:pPr>
        <w:spacing w:line="560" w:lineRule="exact"/>
        <w:ind w:firstLine="640" w:firstLineChars="200"/>
        <w:rPr>
          <w:rFonts w:ascii="仿宋_GB2312" w:hAnsi="宋体" w:eastAsia="仿宋_GB2312" w:cs="宋体"/>
          <w:kern w:val="0"/>
          <w:sz w:val="32"/>
          <w:szCs w:val="32"/>
        </w:rPr>
      </w:pPr>
      <w:r>
        <w:rPr>
          <w:rFonts w:ascii="仿宋_GB2312" w:hAnsi="宋体" w:eastAsia="仿宋_GB2312"/>
          <w:sz w:val="32"/>
          <w:szCs w:val="22"/>
        </w:rPr>
        <w:t>受益人群和社会效益</w:t>
      </w:r>
      <w:r>
        <w:rPr>
          <w:rFonts w:hint="eastAsia" w:ascii="仿宋_GB2312" w:hAnsi="黑体" w:eastAsia="仿宋_GB2312"/>
          <w:sz w:val="32"/>
          <w:szCs w:val="32"/>
        </w:rPr>
        <w:t>：</w:t>
      </w:r>
      <w:r>
        <w:rPr>
          <w:rFonts w:hint="eastAsia" w:ascii="仿宋_GB2312" w:hAnsi="宋体" w:eastAsia="仿宋_GB2312" w:cs="宋体"/>
          <w:kern w:val="0"/>
          <w:sz w:val="32"/>
          <w:szCs w:val="32"/>
        </w:rPr>
        <w:t>国务院特殊津贴专家保健医疗费享受人员，提高国务院特殊津贴专家生活质量</w:t>
      </w:r>
    </w:p>
    <w:p>
      <w:pPr>
        <w:spacing w:line="560" w:lineRule="exact"/>
        <w:ind w:left="-832" w:leftChars="-396" w:firstLine="1280" w:firstLineChars="400"/>
        <w:rPr>
          <w:rFonts w:ascii="仿宋_GB2312" w:hAnsi="黑体" w:eastAsia="仿宋_GB2312"/>
          <w:sz w:val="32"/>
          <w:szCs w:val="32"/>
        </w:rPr>
      </w:pP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6</w:t>
      </w: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rPr>
        <w:t>国务院特殊津贴专家保健医疗周转金</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宋体" w:eastAsia="仿宋_GB2312" w:cs="宋体"/>
          <w:kern w:val="0"/>
          <w:sz w:val="32"/>
          <w:szCs w:val="32"/>
        </w:rPr>
        <w:t>《州劳动和社会保障局财政局关于享受国务院特殊津贴专家实行保健医疗待遇实施办法》（昌州政办发</w:t>
      </w:r>
      <w:r>
        <w:rPr>
          <w:rFonts w:hint="eastAsia" w:ascii="仿宋_GB2312" w:hAnsi="仿宋_GB2312" w:eastAsia="仿宋_GB2312" w:cs="仿宋_GB2312"/>
          <w:sz w:val="32"/>
          <w:szCs w:val="32"/>
        </w:rPr>
        <w:t>〔</w:t>
      </w:r>
      <w:r>
        <w:rPr>
          <w:rFonts w:hint="eastAsia" w:ascii="仿宋_GB2312" w:hAnsi="黑体" w:eastAsia="仿宋_GB2312"/>
          <w:sz w:val="32"/>
          <w:szCs w:val="32"/>
        </w:rPr>
        <w:t>2003</w:t>
      </w:r>
      <w:r>
        <w:rPr>
          <w:rFonts w:hint="eastAsia" w:ascii="仿宋_GB2312" w:hAnsi="仿宋_GB2312" w:eastAsia="仿宋_GB2312" w:cs="仿宋_GB2312"/>
          <w:sz w:val="32"/>
          <w:szCs w:val="32"/>
        </w:rPr>
        <w:t>〕</w:t>
      </w:r>
      <w:r>
        <w:rPr>
          <w:rFonts w:hint="eastAsia" w:ascii="仿宋_GB2312" w:hAnsi="宋体" w:eastAsia="仿宋_GB2312" w:cs="宋体"/>
          <w:kern w:val="0"/>
          <w:sz w:val="32"/>
          <w:szCs w:val="32"/>
        </w:rPr>
        <w:t>30号）</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rPr>
        <w:t>8.5万元</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rPr>
        <w:t>昌吉州医疗保障局</w:t>
      </w:r>
    </w:p>
    <w:p>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资金分配情况</w:t>
      </w:r>
      <w:r>
        <w:rPr>
          <w:rFonts w:hint="eastAsia" w:ascii="仿宋_GB2312" w:hAnsi="黑体" w:eastAsia="仿宋_GB2312"/>
          <w:sz w:val="32"/>
          <w:szCs w:val="32"/>
        </w:rPr>
        <w:t>：10位专家</w:t>
      </w:r>
      <w:r>
        <w:rPr>
          <w:rFonts w:hint="eastAsia" w:ascii="仿宋_GB2312" w:hAnsi="宋体" w:eastAsia="仿宋_GB2312" w:cs="宋体"/>
          <w:kern w:val="0"/>
          <w:sz w:val="32"/>
          <w:szCs w:val="32"/>
        </w:rPr>
        <w:t>周转金按每人每年8500元拨付</w:t>
      </w:r>
    </w:p>
    <w:p>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2021年</w:t>
      </w:r>
    </w:p>
    <w:p>
      <w:pPr>
        <w:spacing w:line="560" w:lineRule="exact"/>
        <w:ind w:firstLine="640" w:firstLineChars="200"/>
        <w:rPr>
          <w:rFonts w:ascii="仿宋_GB2312" w:hAnsi="宋体" w:eastAsia="仿宋_GB2312"/>
          <w:sz w:val="32"/>
          <w:szCs w:val="22"/>
        </w:rPr>
      </w:pPr>
      <w:r>
        <w:rPr>
          <w:rFonts w:ascii="仿宋_GB2312" w:hAnsi="宋体" w:eastAsia="仿宋_GB2312"/>
          <w:sz w:val="32"/>
          <w:szCs w:val="22"/>
        </w:rPr>
        <w:t>资金来源</w:t>
      </w:r>
      <w:r>
        <w:rPr>
          <w:rFonts w:hint="eastAsia" w:ascii="仿宋_GB2312" w:hAnsi="黑体" w:eastAsia="仿宋_GB2312"/>
          <w:sz w:val="32"/>
          <w:szCs w:val="32"/>
        </w:rPr>
        <w:t>：</w:t>
      </w:r>
      <w:r>
        <w:rPr>
          <w:rFonts w:hint="eastAsia" w:ascii="仿宋_GB2312" w:hAnsi="宋体" w:eastAsia="仿宋_GB2312" w:cs="宋体"/>
          <w:kern w:val="0"/>
          <w:sz w:val="32"/>
          <w:szCs w:val="32"/>
        </w:rPr>
        <w:t>财政拨款</w:t>
      </w:r>
    </w:p>
    <w:p>
      <w:pPr>
        <w:spacing w:line="560" w:lineRule="exact"/>
        <w:ind w:firstLine="640" w:firstLineChars="200"/>
        <w:rPr>
          <w:rFonts w:ascii="仿宋_GB2312" w:hAnsi="宋体" w:eastAsia="仿宋_GB2312"/>
          <w:sz w:val="32"/>
          <w:szCs w:val="22"/>
        </w:rPr>
      </w:pPr>
      <w:r>
        <w:rPr>
          <w:rFonts w:ascii="仿宋_GB2312" w:hAnsi="宋体" w:eastAsia="仿宋_GB2312"/>
          <w:sz w:val="32"/>
          <w:szCs w:val="22"/>
        </w:rPr>
        <w:t>补贴人数</w:t>
      </w:r>
      <w:r>
        <w:rPr>
          <w:rFonts w:hint="eastAsia" w:ascii="仿宋_GB2312" w:hAnsi="黑体" w:eastAsia="仿宋_GB2312"/>
          <w:sz w:val="32"/>
          <w:szCs w:val="32"/>
        </w:rPr>
        <w:t>：</w:t>
      </w:r>
      <w:r>
        <w:rPr>
          <w:rFonts w:hint="eastAsia" w:ascii="仿宋_GB2312" w:hAnsi="宋体" w:eastAsia="仿宋_GB2312" w:cs="宋体"/>
          <w:kern w:val="0"/>
          <w:sz w:val="32"/>
          <w:szCs w:val="32"/>
        </w:rPr>
        <w:t>10人</w:t>
      </w:r>
    </w:p>
    <w:p>
      <w:pPr>
        <w:spacing w:line="560" w:lineRule="exact"/>
        <w:ind w:firstLine="640" w:firstLineChars="200"/>
        <w:rPr>
          <w:rFonts w:ascii="仿宋_GB2312" w:hAnsi="宋体" w:eastAsia="仿宋_GB2312" w:cs="宋体"/>
          <w:kern w:val="0"/>
          <w:sz w:val="32"/>
          <w:szCs w:val="32"/>
        </w:rPr>
      </w:pPr>
      <w:r>
        <w:rPr>
          <w:rFonts w:ascii="仿宋_GB2312" w:hAnsi="宋体" w:eastAsia="仿宋_GB2312"/>
          <w:sz w:val="32"/>
          <w:szCs w:val="22"/>
        </w:rPr>
        <w:t>补贴标准</w:t>
      </w:r>
      <w:r>
        <w:rPr>
          <w:rFonts w:hint="eastAsia" w:ascii="仿宋_GB2312" w:hAnsi="黑体" w:eastAsia="仿宋_GB2312"/>
          <w:sz w:val="32"/>
          <w:szCs w:val="32"/>
        </w:rPr>
        <w:t>：</w:t>
      </w:r>
      <w:r>
        <w:rPr>
          <w:rFonts w:hint="eastAsia" w:ascii="仿宋_GB2312" w:hAnsi="宋体" w:eastAsia="仿宋_GB2312" w:cs="宋体"/>
          <w:kern w:val="0"/>
          <w:sz w:val="32"/>
          <w:szCs w:val="32"/>
        </w:rPr>
        <w:t>周转金按每人每年8500元拨付（含每年一次500元常规体检费和疗养期间的检查费、医疗费）</w:t>
      </w:r>
    </w:p>
    <w:p>
      <w:pPr>
        <w:spacing w:line="560" w:lineRule="exact"/>
        <w:ind w:firstLine="640" w:firstLineChars="200"/>
        <w:rPr>
          <w:rFonts w:ascii="仿宋_GB2312" w:hAnsi="宋体" w:eastAsia="仿宋_GB2312"/>
          <w:sz w:val="32"/>
          <w:szCs w:val="22"/>
        </w:rPr>
      </w:pPr>
      <w:r>
        <w:rPr>
          <w:rFonts w:ascii="仿宋_GB2312" w:hAnsi="宋体" w:eastAsia="仿宋_GB2312"/>
          <w:sz w:val="32"/>
          <w:szCs w:val="22"/>
        </w:rPr>
        <w:t>补贴范围</w:t>
      </w:r>
      <w:r>
        <w:rPr>
          <w:rFonts w:hint="eastAsia" w:ascii="仿宋_GB2312" w:hAnsi="黑体" w:eastAsia="仿宋_GB2312"/>
          <w:sz w:val="32"/>
          <w:szCs w:val="32"/>
        </w:rPr>
        <w:t>：</w:t>
      </w:r>
      <w:r>
        <w:rPr>
          <w:rFonts w:hint="eastAsia" w:ascii="仿宋_GB2312" w:hAnsi="宋体" w:eastAsia="仿宋_GB2312" w:cs="宋体"/>
          <w:kern w:val="0"/>
          <w:sz w:val="32"/>
          <w:szCs w:val="32"/>
        </w:rPr>
        <w:t>享受国务院特殊津贴专家保健医疗周转金人员</w:t>
      </w:r>
    </w:p>
    <w:p>
      <w:pPr>
        <w:spacing w:line="560" w:lineRule="exact"/>
        <w:ind w:firstLine="640" w:firstLineChars="200"/>
        <w:rPr>
          <w:rFonts w:ascii="仿宋_GB2312" w:hAnsi="宋体" w:eastAsia="仿宋_GB2312" w:cs="宋体"/>
          <w:kern w:val="0"/>
          <w:sz w:val="32"/>
          <w:szCs w:val="32"/>
        </w:rPr>
      </w:pPr>
      <w:r>
        <w:rPr>
          <w:rFonts w:ascii="仿宋_GB2312" w:hAnsi="宋体" w:eastAsia="仿宋_GB2312"/>
          <w:sz w:val="32"/>
          <w:szCs w:val="22"/>
        </w:rPr>
        <w:t>补贴方式</w:t>
      </w:r>
      <w:r>
        <w:rPr>
          <w:rFonts w:hint="eastAsia" w:ascii="仿宋_GB2312" w:hAnsi="黑体" w:eastAsia="仿宋_GB2312"/>
          <w:sz w:val="32"/>
          <w:szCs w:val="32"/>
        </w:rPr>
        <w:t>：专家医疗保健经费使用实行</w:t>
      </w:r>
      <w:r>
        <w:rPr>
          <w:rFonts w:hint="eastAsia" w:ascii="仿宋_GB2312" w:hAnsi="宋体" w:eastAsia="仿宋_GB2312" w:cs="宋体"/>
          <w:kern w:val="0"/>
          <w:sz w:val="32"/>
          <w:szCs w:val="32"/>
        </w:rPr>
        <w:t>发放周转金，节约归己。</w:t>
      </w:r>
    </w:p>
    <w:p>
      <w:pPr>
        <w:spacing w:line="560" w:lineRule="exact"/>
        <w:ind w:firstLine="640" w:firstLineChars="200"/>
        <w:rPr>
          <w:rFonts w:ascii="仿宋_GB2312" w:hAnsi="宋体" w:eastAsia="仿宋_GB2312"/>
          <w:sz w:val="32"/>
          <w:szCs w:val="22"/>
        </w:rPr>
      </w:pPr>
      <w:r>
        <w:rPr>
          <w:rFonts w:hint="eastAsia" w:ascii="仿宋_GB2312" w:hAnsi="宋体" w:eastAsia="仿宋_GB2312" w:cs="宋体"/>
          <w:kern w:val="0"/>
          <w:sz w:val="32"/>
          <w:szCs w:val="32"/>
        </w:rPr>
        <w:t>发放程序：10位特贴专家按每人每年8500元通过单位账户进行发放。</w:t>
      </w:r>
    </w:p>
    <w:p>
      <w:pPr>
        <w:spacing w:line="560" w:lineRule="exact"/>
        <w:ind w:firstLine="640" w:firstLineChars="200"/>
        <w:rPr>
          <w:rFonts w:ascii="仿宋_GB2312" w:hAnsi="宋体" w:eastAsia="仿宋_GB2312" w:cs="宋体"/>
          <w:kern w:val="0"/>
          <w:sz w:val="32"/>
          <w:szCs w:val="32"/>
        </w:rPr>
      </w:pPr>
      <w:r>
        <w:rPr>
          <w:rFonts w:ascii="仿宋_GB2312" w:hAnsi="宋体" w:eastAsia="仿宋_GB2312"/>
          <w:sz w:val="32"/>
          <w:szCs w:val="22"/>
        </w:rPr>
        <w:t>受益人群和社会效益</w:t>
      </w:r>
      <w:r>
        <w:rPr>
          <w:rFonts w:hint="eastAsia" w:ascii="仿宋_GB2312" w:hAnsi="黑体" w:eastAsia="仿宋_GB2312"/>
          <w:sz w:val="32"/>
          <w:szCs w:val="32"/>
        </w:rPr>
        <w:t>：</w:t>
      </w:r>
      <w:r>
        <w:rPr>
          <w:rFonts w:hint="eastAsia" w:ascii="仿宋_GB2312" w:hAnsi="宋体" w:eastAsia="仿宋_GB2312" w:cs="宋体"/>
          <w:kern w:val="0"/>
          <w:sz w:val="32"/>
          <w:szCs w:val="32"/>
        </w:rPr>
        <w:t>享受国务院特殊津贴专家保健医疗周转金10人，提高国务院特殊津贴专家生活质量</w:t>
      </w:r>
    </w:p>
    <w:p>
      <w:pPr>
        <w:pStyle w:val="2"/>
        <w:jc w:val="both"/>
        <w:rPr>
          <w:rFonts w:eastAsia="仿宋_GB2312"/>
        </w:rPr>
      </w:pPr>
    </w:p>
    <w:p>
      <w:pPr>
        <w:spacing w:line="560" w:lineRule="exact"/>
        <w:ind w:firstLine="640" w:firstLineChars="200"/>
        <w:rPr>
          <w:rFonts w:ascii="仿宋_GB2312" w:hAnsi="黑体" w:eastAsia="仿宋_GB2312"/>
          <w:sz w:val="32"/>
          <w:szCs w:val="32"/>
        </w:rPr>
      </w:pPr>
      <w:r>
        <w:rPr>
          <w:rFonts w:hint="eastAsia" w:ascii="仿宋_GB2312" w:hAnsi="宋体" w:eastAsia="仿宋_GB2312" w:cs="宋体"/>
          <w:kern w:val="0"/>
          <w:sz w:val="32"/>
          <w:szCs w:val="32"/>
        </w:rPr>
        <w:t>7</w:t>
      </w: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rPr>
        <w:t>离休人员医疗费</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rPr>
        <w:t>773万元</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rPr>
        <w:t>昌吉州医疗保障局</w:t>
      </w:r>
    </w:p>
    <w:p>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kern w:val="0"/>
          <w:sz w:val="32"/>
          <w:szCs w:val="32"/>
        </w:rPr>
        <w:t>离休人员医疗周转金5</w:t>
      </w:r>
      <w:bookmarkStart w:id="0" w:name="_GoBack"/>
      <w:r>
        <w:rPr>
          <w:rFonts w:hint="eastAsia" w:ascii="仿宋_GB2312" w:hAnsi="宋体" w:eastAsia="仿宋_GB2312" w:cs="宋体"/>
          <w:kern w:val="0"/>
          <w:sz w:val="32"/>
          <w:szCs w:val="32"/>
        </w:rPr>
        <w:t>8</w:t>
      </w:r>
      <w:bookmarkEnd w:id="0"/>
      <w:r>
        <w:rPr>
          <w:rFonts w:hint="eastAsia" w:ascii="仿宋_GB2312" w:hAnsi="宋体" w:eastAsia="仿宋_GB2312" w:cs="宋体"/>
          <w:kern w:val="0"/>
          <w:sz w:val="32"/>
          <w:szCs w:val="32"/>
        </w:rPr>
        <w:t>.5万元，离休人员门诊医疗费571.6万元，离休人员住院医疗费142.9万元。</w:t>
      </w:r>
    </w:p>
    <w:p>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2021年</w:t>
      </w:r>
    </w:p>
    <w:p>
      <w:pPr>
        <w:spacing w:line="560" w:lineRule="exact"/>
        <w:ind w:firstLine="640" w:firstLineChars="200"/>
        <w:rPr>
          <w:rFonts w:ascii="仿宋_GB2312" w:hAnsi="宋体" w:eastAsia="仿宋_GB2312"/>
          <w:sz w:val="32"/>
          <w:szCs w:val="22"/>
        </w:rPr>
      </w:pPr>
      <w:r>
        <w:rPr>
          <w:rFonts w:ascii="仿宋_GB2312" w:hAnsi="宋体" w:eastAsia="仿宋_GB2312"/>
          <w:sz w:val="32"/>
          <w:szCs w:val="22"/>
        </w:rPr>
        <w:t>资金来源</w:t>
      </w:r>
      <w:r>
        <w:rPr>
          <w:rFonts w:hint="eastAsia" w:ascii="仿宋_GB2312" w:hAnsi="黑体" w:eastAsia="仿宋_GB2312"/>
          <w:sz w:val="32"/>
          <w:szCs w:val="32"/>
        </w:rPr>
        <w:t>：</w:t>
      </w:r>
      <w:r>
        <w:rPr>
          <w:rFonts w:hint="eastAsia" w:ascii="仿宋_GB2312" w:hAnsi="宋体" w:eastAsia="仿宋_GB2312" w:cs="宋体"/>
          <w:kern w:val="0"/>
          <w:sz w:val="32"/>
          <w:szCs w:val="32"/>
        </w:rPr>
        <w:t>财政拨款</w:t>
      </w:r>
    </w:p>
    <w:p>
      <w:pPr>
        <w:spacing w:line="560" w:lineRule="exact"/>
        <w:ind w:firstLine="640" w:firstLineChars="200"/>
        <w:rPr>
          <w:rFonts w:ascii="仿宋_GB2312" w:hAnsi="宋体" w:eastAsia="仿宋_GB2312"/>
          <w:sz w:val="32"/>
          <w:szCs w:val="22"/>
        </w:rPr>
      </w:pPr>
      <w:r>
        <w:rPr>
          <w:rFonts w:ascii="仿宋_GB2312" w:hAnsi="宋体" w:eastAsia="仿宋_GB2312"/>
          <w:sz w:val="32"/>
          <w:szCs w:val="22"/>
        </w:rPr>
        <w:t>补贴人数</w:t>
      </w:r>
      <w:r>
        <w:rPr>
          <w:rFonts w:hint="eastAsia" w:ascii="仿宋_GB2312" w:hAnsi="黑体" w:eastAsia="仿宋_GB2312"/>
          <w:sz w:val="32"/>
          <w:szCs w:val="32"/>
        </w:rPr>
        <w:t>：</w:t>
      </w:r>
      <w:r>
        <w:rPr>
          <w:rFonts w:hint="eastAsia" w:ascii="仿宋_GB2312" w:hAnsi="宋体" w:eastAsia="仿宋_GB2312" w:cs="宋体"/>
          <w:kern w:val="0"/>
          <w:sz w:val="32"/>
          <w:szCs w:val="32"/>
        </w:rPr>
        <w:t>94人</w:t>
      </w:r>
    </w:p>
    <w:p>
      <w:pPr>
        <w:spacing w:line="560" w:lineRule="exact"/>
        <w:ind w:firstLine="640" w:firstLineChars="200"/>
        <w:rPr>
          <w:rFonts w:ascii="仿宋_GB2312" w:hAnsi="宋体" w:eastAsia="仿宋_GB2312"/>
          <w:sz w:val="32"/>
          <w:szCs w:val="22"/>
        </w:rPr>
      </w:pPr>
      <w:r>
        <w:rPr>
          <w:rFonts w:ascii="仿宋_GB2312" w:hAnsi="宋体" w:eastAsia="仿宋_GB2312"/>
          <w:sz w:val="32"/>
          <w:szCs w:val="22"/>
        </w:rPr>
        <w:t>补贴标准</w:t>
      </w:r>
      <w:r>
        <w:rPr>
          <w:rFonts w:hint="eastAsia" w:ascii="仿宋_GB2312" w:hAnsi="黑体" w:eastAsia="仿宋_GB2312"/>
          <w:sz w:val="32"/>
          <w:szCs w:val="32"/>
        </w:rPr>
        <w:t>：规定范围内发生的</w:t>
      </w:r>
      <w:r>
        <w:rPr>
          <w:rFonts w:hint="eastAsia" w:ascii="仿宋_GB2312" w:hAnsi="宋体" w:eastAsia="仿宋_GB2312" w:cs="宋体"/>
          <w:kern w:val="0"/>
          <w:sz w:val="32"/>
          <w:szCs w:val="32"/>
        </w:rPr>
        <w:t>医疗费实报实销</w:t>
      </w:r>
    </w:p>
    <w:p>
      <w:pPr>
        <w:spacing w:line="560" w:lineRule="exact"/>
        <w:ind w:firstLine="640" w:firstLineChars="200"/>
        <w:rPr>
          <w:rFonts w:ascii="仿宋_GB2312" w:hAnsi="宋体" w:eastAsia="仿宋_GB2312"/>
          <w:sz w:val="32"/>
          <w:szCs w:val="22"/>
        </w:rPr>
      </w:pPr>
      <w:r>
        <w:rPr>
          <w:rFonts w:ascii="仿宋_GB2312" w:hAnsi="宋体" w:eastAsia="仿宋_GB2312"/>
          <w:sz w:val="32"/>
          <w:szCs w:val="22"/>
        </w:rPr>
        <w:t>补贴范围</w:t>
      </w:r>
      <w:r>
        <w:rPr>
          <w:rFonts w:hint="eastAsia" w:ascii="仿宋_GB2312" w:hAnsi="黑体" w:eastAsia="仿宋_GB2312"/>
          <w:sz w:val="32"/>
          <w:szCs w:val="32"/>
        </w:rPr>
        <w:t>：</w:t>
      </w:r>
      <w:r>
        <w:rPr>
          <w:rFonts w:hint="eastAsia" w:ascii="仿宋_GB2312" w:hAnsi="宋体" w:eastAsia="仿宋_GB2312" w:cs="宋体"/>
          <w:kern w:val="0"/>
          <w:sz w:val="32"/>
          <w:szCs w:val="32"/>
        </w:rPr>
        <w:t>离休人员医疗费享受人员</w:t>
      </w:r>
    </w:p>
    <w:p>
      <w:pPr>
        <w:spacing w:line="560" w:lineRule="exact"/>
        <w:ind w:firstLine="640" w:firstLineChars="200"/>
        <w:rPr>
          <w:rFonts w:ascii="仿宋_GB2312" w:hAnsi="宋体" w:eastAsia="仿宋_GB2312" w:cs="宋体"/>
          <w:kern w:val="0"/>
          <w:sz w:val="32"/>
          <w:szCs w:val="32"/>
        </w:rPr>
      </w:pPr>
      <w:r>
        <w:rPr>
          <w:rFonts w:ascii="仿宋_GB2312" w:hAnsi="宋体" w:eastAsia="仿宋_GB2312"/>
          <w:sz w:val="32"/>
          <w:szCs w:val="22"/>
        </w:rPr>
        <w:t>补贴方式</w:t>
      </w:r>
      <w:r>
        <w:rPr>
          <w:rFonts w:hint="eastAsia" w:ascii="仿宋_GB2312" w:hAnsi="黑体" w:eastAsia="仿宋_GB2312"/>
          <w:sz w:val="32"/>
          <w:szCs w:val="32"/>
        </w:rPr>
        <w:t>：</w:t>
      </w:r>
      <w:r>
        <w:rPr>
          <w:rFonts w:hint="eastAsia" w:ascii="仿宋_GB2312" w:hAnsi="宋体" w:eastAsia="仿宋_GB2312" w:cs="宋体"/>
          <w:kern w:val="0"/>
          <w:sz w:val="32"/>
          <w:szCs w:val="32"/>
        </w:rPr>
        <w:t>报销门诊、住院医疗费</w:t>
      </w:r>
    </w:p>
    <w:p>
      <w:pPr>
        <w:spacing w:line="560" w:lineRule="exact"/>
        <w:ind w:left="2238" w:leftChars="304" w:hanging="1600" w:hangingChars="500"/>
        <w:rPr>
          <w:rFonts w:ascii="仿宋_GB2312" w:hAnsi="宋体" w:eastAsia="仿宋_GB2312"/>
          <w:sz w:val="32"/>
          <w:szCs w:val="22"/>
        </w:rPr>
      </w:pPr>
      <w:r>
        <w:rPr>
          <w:rFonts w:hint="eastAsia" w:ascii="仿宋_GB2312" w:hAnsi="宋体" w:eastAsia="仿宋_GB2312" w:cs="宋体"/>
          <w:kern w:val="0"/>
          <w:sz w:val="32"/>
          <w:szCs w:val="32"/>
        </w:rPr>
        <w:t>发放程序：每月业务科室核算医疗费用结算票据，通过基金账户进行发放。</w:t>
      </w:r>
    </w:p>
    <w:p>
      <w:pPr>
        <w:spacing w:line="560" w:lineRule="exact"/>
        <w:ind w:left="3838" w:leftChars="304" w:hanging="3200" w:hangingChars="1000"/>
        <w:rPr>
          <w:rFonts w:ascii="仿宋_GB2312" w:hAnsi="宋体" w:eastAsia="仿宋_GB2312"/>
          <w:sz w:val="32"/>
          <w:szCs w:val="22"/>
        </w:rPr>
      </w:pPr>
      <w:r>
        <w:rPr>
          <w:rFonts w:ascii="仿宋_GB2312" w:hAnsi="宋体" w:eastAsia="仿宋_GB2312"/>
          <w:sz w:val="32"/>
          <w:szCs w:val="22"/>
        </w:rPr>
        <w:t>受益人群和社会效益</w:t>
      </w:r>
      <w:r>
        <w:rPr>
          <w:rFonts w:hint="eastAsia" w:ascii="仿宋_GB2312" w:hAnsi="黑体" w:eastAsia="仿宋_GB2312"/>
          <w:sz w:val="32"/>
          <w:szCs w:val="32"/>
        </w:rPr>
        <w:t>：</w:t>
      </w:r>
      <w:r>
        <w:rPr>
          <w:rFonts w:hint="eastAsia" w:ascii="仿宋_GB2312" w:hAnsi="宋体" w:eastAsia="仿宋_GB2312" w:cs="宋体"/>
          <w:kern w:val="0"/>
          <w:sz w:val="32"/>
          <w:szCs w:val="32"/>
        </w:rPr>
        <w:t>离休人员医疗费享受人员94人，提高离休人员生活质量。</w:t>
      </w:r>
    </w:p>
    <w:p>
      <w:pPr>
        <w:spacing w:line="560" w:lineRule="exact"/>
        <w:ind w:firstLine="640" w:firstLineChars="200"/>
        <w:rPr>
          <w:rFonts w:ascii="仿宋_GB2312" w:hAnsi="宋体" w:eastAsia="仿宋_GB2312" w:cs="宋体"/>
          <w:kern w:val="0"/>
          <w:sz w:val="32"/>
          <w:szCs w:val="32"/>
        </w:rPr>
      </w:pPr>
    </w:p>
    <w:p>
      <w:pPr>
        <w:pStyle w:val="2"/>
      </w:pP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八、关于昌吉州医疗保障局2021年一般公共预算“三公”经费预算情况说明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昌吉州医疗保障局2021年一般公共预算“三公”经费数为2.38万元，其中：因公出国（境）费0万元，公务用车购置0万元，公务用车运行费2.18万元，公务接待费0.2万元。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2021年一般公共预算“三公”经费与上年数据一致，其中：因公出国（境）费未发生，主要原因是我单位无因公出国业务；公务用车购置费增加0万元，未安排预算；公务用车运行费增加0万元，主要原因是严格公务用车管理，压减公车运行费只减不增；公务接待费增加0万元，主要原因是严格执行八项规定，严格控制公务接待。</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九、关于昌吉州医疗保障局2021年政府性基金预算拨款情况说明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昌吉州医疗保障局2021年没有使用政府性基金预算拨款安排的支出，政府性基金预算支出情况表为空表。</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十、其他重要事项的情况说明</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2021年，昌吉州医疗保障局的机关运行经费财政拨款预算35.61万元，比上年预算增加16.45万元，增长85.86%。主要原因是人员增加导致公用经费开支加大。</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（二）政府采购情况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2021年，昌吉州医疗保障局政府采购预算110.23万元，其中：政府采购货物预算39.86万元，政府采购工程预算0万元，政府采购服务预算70.37万元。</w:t>
      </w:r>
    </w:p>
    <w:p>
      <w:pPr>
        <w:spacing w:line="560" w:lineRule="exact"/>
        <w:ind w:firstLine="640" w:firstLineChars="200"/>
        <w:rPr>
          <w:rFonts w:ascii="仿宋_GB2312" w:hAnsi="宋体" w:eastAsia="仿宋_GB2312" w:cs="宋体"/>
          <w:kern w:val="0"/>
          <w:sz w:val="32"/>
          <w:szCs w:val="32"/>
        </w:rPr>
      </w:pPr>
      <w:r>
        <w:rPr>
          <w:rFonts w:hint="eastAsia" w:ascii="仿宋_GB2312" w:hAnsi="仿宋_GB2312" w:eastAsia="仿宋_GB2312"/>
          <w:sz w:val="32"/>
        </w:rPr>
        <w:t>2021年度本部门（单位）面向中小企业预留政府采购项目预算金额0万元，其中：面向小微企业预留政府采购项目预算金额0万元。</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截至2020年底，昌吉州医疗保障局占用使用国有资产总体情况为</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1.房屋0平方米，价值0万元。本单位为联合办公用房，无房屋资产，本单位实际使用办公室用房805平方米。</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2.车辆1辆，价值19.77万元；其中：一般公务用车1辆，价值19.77万元；执法执勤用车0辆，价值0万元；调配使用其他车辆1辆，价值0.5万元。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3.办公家具价值6.12万元。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4.其他资产价值135.93万元。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单位价值50万元以上大型设备0台（套），单位价值100万元以上大型设备0台（套）。</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2021年昌吉州医疗保障局部门预算未安排购置车辆经费，安排购置50万元以上大型设备0台（套），单位价值100万元以上大型设备0台（套）。</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2021年度，本年度实行绩效管理的一般公共预算项目7   个，涉及预算金额1186.5万元。具体情况见下表（按项目分别填报）：</w:t>
      </w:r>
    </w:p>
    <w:p/>
    <w:tbl>
      <w:tblPr>
        <w:tblStyle w:val="9"/>
        <w:tblW w:w="8330" w:type="dxa"/>
        <w:tblInd w:w="0" w:type="dxa"/>
        <w:tblLayout w:type="fixed"/>
        <w:tblCellMar>
          <w:top w:w="0" w:type="dxa"/>
          <w:left w:w="0" w:type="dxa"/>
          <w:bottom w:w="0" w:type="dxa"/>
          <w:right w:w="0" w:type="dxa"/>
        </w:tblCellMar>
      </w:tblPr>
      <w:tblGrid>
        <w:gridCol w:w="1517"/>
        <w:gridCol w:w="1417"/>
        <w:gridCol w:w="500"/>
        <w:gridCol w:w="1417"/>
        <w:gridCol w:w="886"/>
        <w:gridCol w:w="2200"/>
        <w:gridCol w:w="393"/>
      </w:tblGrid>
      <w:tr>
        <w:tblPrEx>
          <w:tblLayout w:type="fixed"/>
          <w:tblCellMar>
            <w:top w:w="0" w:type="dxa"/>
            <w:left w:w="0" w:type="dxa"/>
            <w:bottom w:w="0" w:type="dxa"/>
            <w:right w:w="0" w:type="dxa"/>
          </w:tblCellMar>
        </w:tblPrEx>
        <w:trPr>
          <w:trHeight w:val="480" w:hRule="atLeast"/>
        </w:trPr>
        <w:tc>
          <w:tcPr>
            <w:tcW w:w="8330" w:type="dxa"/>
            <w:gridSpan w:val="7"/>
            <w:tcBorders>
              <w:top w:val="nil"/>
              <w:left w:val="nil"/>
              <w:bottom w:val="nil"/>
              <w:right w:val="nil"/>
            </w:tcBorders>
            <w:noWrap/>
            <w:tcMar>
              <w:top w:w="12" w:type="dxa"/>
              <w:left w:w="12" w:type="dxa"/>
              <w:right w:w="12" w:type="dxa"/>
            </w:tcMar>
            <w:vAlign w:val="bottom"/>
          </w:tcPr>
          <w:p>
            <w:pPr>
              <w:widowControl/>
              <w:spacing w:line="480" w:lineRule="exact"/>
              <w:jc w:val="center"/>
              <w:textAlignment w:val="bottom"/>
              <w:rPr>
                <w:rFonts w:ascii="仿宋_GB2312" w:hAnsi="宋体" w:eastAsia="仿宋_GB2312" w:cs="仿宋_GB2312"/>
                <w:b/>
                <w:color w:val="000000"/>
                <w:sz w:val="32"/>
                <w:szCs w:val="32"/>
              </w:rPr>
            </w:pPr>
            <w:r>
              <w:rPr>
                <w:rFonts w:hint="eastAsia" w:ascii="仿宋_GB2312" w:hAnsi="宋体" w:eastAsia="仿宋_GB2312" w:cs="仿宋_GB2312"/>
                <w:b/>
                <w:color w:val="000000"/>
                <w:kern w:val="0"/>
                <w:sz w:val="32"/>
                <w:szCs w:val="32"/>
                <w:lang w:bidi="ar"/>
              </w:rPr>
              <w:t>离休人员医疗费支出绩效目标表</w:t>
            </w:r>
          </w:p>
        </w:tc>
      </w:tr>
      <w:tr>
        <w:tblPrEx>
          <w:tblLayout w:type="fixed"/>
          <w:tblCellMar>
            <w:top w:w="0" w:type="dxa"/>
            <w:left w:w="0" w:type="dxa"/>
            <w:bottom w:w="0" w:type="dxa"/>
            <w:right w:w="0" w:type="dxa"/>
          </w:tblCellMar>
        </w:tblPrEx>
        <w:trPr>
          <w:trHeight w:val="380" w:hRule="atLeast"/>
        </w:trPr>
        <w:tc>
          <w:tcPr>
            <w:tcW w:w="8330" w:type="dxa"/>
            <w:gridSpan w:val="7"/>
            <w:tcBorders>
              <w:top w:val="nil"/>
              <w:left w:val="nil"/>
              <w:bottom w:val="nil"/>
              <w:right w:val="nil"/>
            </w:tcBorders>
            <w:noWrap/>
            <w:tcMar>
              <w:top w:w="12" w:type="dxa"/>
              <w:left w:w="12" w:type="dxa"/>
              <w:right w:w="12" w:type="dxa"/>
            </w:tcMar>
            <w:vAlign w:val="bottom"/>
          </w:tcPr>
          <w:p>
            <w:pPr>
              <w:widowControl/>
              <w:spacing w:line="480" w:lineRule="exact"/>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（2021年）</w:t>
            </w:r>
          </w:p>
        </w:tc>
      </w:tr>
      <w:tr>
        <w:tblPrEx>
          <w:tblLayout w:type="fixed"/>
          <w:tblCellMar>
            <w:top w:w="0" w:type="dxa"/>
            <w:left w:w="0" w:type="dxa"/>
            <w:bottom w:w="0" w:type="dxa"/>
            <w:right w:w="0" w:type="dxa"/>
          </w:tblCellMar>
        </w:tblPrEx>
        <w:trPr>
          <w:trHeight w:val="782" w:hRule="atLeast"/>
        </w:trPr>
        <w:tc>
          <w:tcPr>
            <w:tcW w:w="151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预算单位</w:t>
            </w:r>
          </w:p>
        </w:tc>
        <w:tc>
          <w:tcPr>
            <w:tcW w:w="3334" w:type="dxa"/>
            <w:gridSpan w:val="3"/>
            <w:tcBorders>
              <w:top w:val="single" w:color="000000" w:sz="4" w:space="0"/>
              <w:left w:val="single" w:color="000000" w:sz="4" w:space="0"/>
              <w:bottom w:val="single" w:color="000000" w:sz="4" w:space="0"/>
              <w:right w:val="nil"/>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昌吉回族自治州医疗保障局本级</w:t>
            </w:r>
          </w:p>
        </w:tc>
        <w:tc>
          <w:tcPr>
            <w:tcW w:w="8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项目名称</w:t>
            </w:r>
          </w:p>
        </w:tc>
        <w:tc>
          <w:tcPr>
            <w:tcW w:w="2593"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离休人员医疗费</w:t>
            </w:r>
          </w:p>
        </w:tc>
      </w:tr>
      <w:tr>
        <w:tblPrEx>
          <w:tblLayout w:type="fixed"/>
          <w:tblCellMar>
            <w:top w:w="0" w:type="dxa"/>
            <w:left w:w="0" w:type="dxa"/>
            <w:bottom w:w="0" w:type="dxa"/>
            <w:right w:w="0" w:type="dxa"/>
          </w:tblCellMar>
        </w:tblPrEx>
        <w:trPr>
          <w:trHeight w:val="800" w:hRule="atLeast"/>
        </w:trPr>
        <w:tc>
          <w:tcPr>
            <w:tcW w:w="151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项目资金（万元）</w:t>
            </w:r>
          </w:p>
        </w:tc>
        <w:tc>
          <w:tcPr>
            <w:tcW w:w="141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年度资金总额：</w:t>
            </w:r>
          </w:p>
        </w:tc>
        <w:tc>
          <w:tcPr>
            <w:tcW w:w="5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773</w:t>
            </w:r>
          </w:p>
        </w:tc>
        <w:tc>
          <w:tcPr>
            <w:tcW w:w="141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其中：财政拨款</w:t>
            </w:r>
          </w:p>
        </w:tc>
        <w:tc>
          <w:tcPr>
            <w:tcW w:w="8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773</w:t>
            </w:r>
          </w:p>
        </w:tc>
        <w:tc>
          <w:tcPr>
            <w:tcW w:w="2200"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其他资金</w:t>
            </w:r>
          </w:p>
        </w:tc>
        <w:tc>
          <w:tcPr>
            <w:tcW w:w="39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0</w:t>
            </w:r>
          </w:p>
        </w:tc>
      </w:tr>
      <w:tr>
        <w:tblPrEx>
          <w:tblLayout w:type="fixed"/>
          <w:tblCellMar>
            <w:top w:w="0" w:type="dxa"/>
            <w:left w:w="0" w:type="dxa"/>
            <w:bottom w:w="0" w:type="dxa"/>
            <w:right w:w="0" w:type="dxa"/>
          </w:tblCellMar>
        </w:tblPrEx>
        <w:trPr>
          <w:trHeight w:val="1717" w:hRule="atLeast"/>
        </w:trPr>
        <w:tc>
          <w:tcPr>
            <w:tcW w:w="151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项目总体目标</w:t>
            </w:r>
          </w:p>
        </w:tc>
        <w:tc>
          <w:tcPr>
            <w:tcW w:w="6813" w:type="dxa"/>
            <w:gridSpan w:val="6"/>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spacing w:line="480" w:lineRule="exact"/>
              <w:jc w:val="left"/>
              <w:rPr>
                <w:rFonts w:ascii="宋体" w:hAnsi="宋体" w:cs="宋体"/>
                <w:color w:val="000000"/>
                <w:sz w:val="18"/>
                <w:szCs w:val="18"/>
              </w:rPr>
            </w:pPr>
            <w:r>
              <w:rPr>
                <w:rFonts w:hint="eastAsia" w:ascii="宋体" w:hAnsi="宋体" w:cs="宋体"/>
                <w:color w:val="000000"/>
                <w:sz w:val="18"/>
                <w:szCs w:val="18"/>
              </w:rPr>
              <w:t>单位职能：贯彻执行国家及区州社会保险法律、法规和政策，拟定全州基金管理办法和经办服务规程并组织实施；负责区、州统筹的社会保险基金的管理和运营，指导县市级统筹的社会保险基金的经办管理；项目目标：以建立社会保险全覆盖体系为目标，提高州直离休人员生活质量，使参保人员的幸福感、获得感、安全感不断增强。</w:t>
            </w:r>
          </w:p>
        </w:tc>
      </w:tr>
      <w:tr>
        <w:tblPrEx>
          <w:tblLayout w:type="fixed"/>
          <w:tblCellMar>
            <w:top w:w="0" w:type="dxa"/>
            <w:left w:w="0" w:type="dxa"/>
            <w:bottom w:w="0" w:type="dxa"/>
            <w:right w:w="0" w:type="dxa"/>
          </w:tblCellMar>
        </w:tblPrEx>
        <w:trPr>
          <w:trHeight w:val="480" w:hRule="atLeast"/>
        </w:trPr>
        <w:tc>
          <w:tcPr>
            <w:tcW w:w="151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一级指标</w:t>
            </w:r>
          </w:p>
        </w:tc>
        <w:tc>
          <w:tcPr>
            <w:tcW w:w="141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二级指标</w:t>
            </w:r>
          </w:p>
        </w:tc>
        <w:tc>
          <w:tcPr>
            <w:tcW w:w="2803"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三级指标</w:t>
            </w:r>
          </w:p>
        </w:tc>
        <w:tc>
          <w:tcPr>
            <w:tcW w:w="2593"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指标值（包含数字及文字描述）</w:t>
            </w:r>
          </w:p>
        </w:tc>
      </w:tr>
      <w:tr>
        <w:tblPrEx>
          <w:tblLayout w:type="fixed"/>
          <w:tblCellMar>
            <w:top w:w="0" w:type="dxa"/>
            <w:left w:w="0" w:type="dxa"/>
            <w:bottom w:w="0" w:type="dxa"/>
            <w:right w:w="0" w:type="dxa"/>
          </w:tblCellMar>
        </w:tblPrEx>
        <w:trPr>
          <w:trHeight w:val="711" w:hRule="atLeast"/>
        </w:trPr>
        <w:tc>
          <w:tcPr>
            <w:tcW w:w="151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产出指标</w:t>
            </w:r>
          </w:p>
        </w:tc>
        <w:tc>
          <w:tcPr>
            <w:tcW w:w="141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数量指标</w:t>
            </w:r>
          </w:p>
        </w:tc>
        <w:tc>
          <w:tcPr>
            <w:tcW w:w="2803"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tabs>
                <w:tab w:val="left" w:pos="205"/>
              </w:tabs>
              <w:spacing w:line="480" w:lineRule="exact"/>
              <w:jc w:val="left"/>
              <w:rPr>
                <w:rFonts w:ascii="宋体" w:hAnsi="宋体" w:cs="宋体"/>
                <w:color w:val="000000"/>
                <w:sz w:val="18"/>
                <w:szCs w:val="18"/>
              </w:rPr>
            </w:pPr>
            <w:r>
              <w:rPr>
                <w:rFonts w:hint="eastAsia" w:ascii="宋体" w:hAnsi="宋体" w:cs="宋体"/>
                <w:color w:val="000000"/>
                <w:sz w:val="18"/>
                <w:szCs w:val="18"/>
              </w:rPr>
              <w:tab/>
            </w:r>
            <w:r>
              <w:rPr>
                <w:rFonts w:hint="eastAsia" w:ascii="宋体" w:hAnsi="宋体" w:cs="宋体"/>
                <w:color w:val="000000"/>
                <w:sz w:val="18"/>
                <w:szCs w:val="18"/>
              </w:rPr>
              <w:t>核定离休人员医疗费享受人数</w:t>
            </w:r>
          </w:p>
        </w:tc>
        <w:tc>
          <w:tcPr>
            <w:tcW w:w="2593"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=94</w:t>
            </w:r>
          </w:p>
        </w:tc>
      </w:tr>
      <w:tr>
        <w:tblPrEx>
          <w:tblLayout w:type="fixed"/>
          <w:tblCellMar>
            <w:top w:w="0" w:type="dxa"/>
            <w:left w:w="0" w:type="dxa"/>
            <w:bottom w:w="0" w:type="dxa"/>
            <w:right w:w="0" w:type="dxa"/>
          </w:tblCellMar>
        </w:tblPrEx>
        <w:trPr>
          <w:trHeight w:val="651" w:hRule="atLeast"/>
        </w:trPr>
        <w:tc>
          <w:tcPr>
            <w:tcW w:w="151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1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质量指标</w:t>
            </w:r>
          </w:p>
        </w:tc>
        <w:tc>
          <w:tcPr>
            <w:tcW w:w="2803"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补助覆盖率</w:t>
            </w:r>
          </w:p>
        </w:tc>
        <w:tc>
          <w:tcPr>
            <w:tcW w:w="2593"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=100%</w:t>
            </w:r>
          </w:p>
        </w:tc>
      </w:tr>
      <w:tr>
        <w:tblPrEx>
          <w:tblLayout w:type="fixed"/>
          <w:tblCellMar>
            <w:top w:w="0" w:type="dxa"/>
            <w:left w:w="0" w:type="dxa"/>
            <w:bottom w:w="0" w:type="dxa"/>
            <w:right w:w="0" w:type="dxa"/>
          </w:tblCellMar>
        </w:tblPrEx>
        <w:trPr>
          <w:trHeight w:val="674" w:hRule="atLeast"/>
        </w:trPr>
        <w:tc>
          <w:tcPr>
            <w:tcW w:w="151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1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时效指标</w:t>
            </w:r>
          </w:p>
        </w:tc>
        <w:tc>
          <w:tcPr>
            <w:tcW w:w="2803"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及时报销门诊、住院医疗费</w:t>
            </w:r>
          </w:p>
        </w:tc>
        <w:tc>
          <w:tcPr>
            <w:tcW w:w="2593"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=100%</w:t>
            </w:r>
          </w:p>
        </w:tc>
      </w:tr>
      <w:tr>
        <w:tblPrEx>
          <w:tblLayout w:type="fixed"/>
          <w:tblCellMar>
            <w:top w:w="0" w:type="dxa"/>
            <w:left w:w="0" w:type="dxa"/>
            <w:bottom w:w="0" w:type="dxa"/>
            <w:right w:w="0" w:type="dxa"/>
          </w:tblCellMar>
        </w:tblPrEx>
        <w:trPr>
          <w:trHeight w:val="628" w:hRule="atLeast"/>
        </w:trPr>
        <w:tc>
          <w:tcPr>
            <w:tcW w:w="151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1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803"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全年补助发放时间</w:t>
            </w:r>
          </w:p>
        </w:tc>
        <w:tc>
          <w:tcPr>
            <w:tcW w:w="2593"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2021年1月-12月</w:t>
            </w:r>
          </w:p>
        </w:tc>
      </w:tr>
      <w:tr>
        <w:tblPrEx>
          <w:tblLayout w:type="fixed"/>
          <w:tblCellMar>
            <w:top w:w="0" w:type="dxa"/>
            <w:left w:w="0" w:type="dxa"/>
            <w:bottom w:w="0" w:type="dxa"/>
            <w:right w:w="0" w:type="dxa"/>
          </w:tblCellMar>
        </w:tblPrEx>
        <w:trPr>
          <w:trHeight w:val="678" w:hRule="atLeast"/>
        </w:trPr>
        <w:tc>
          <w:tcPr>
            <w:tcW w:w="151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1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成本指标</w:t>
            </w:r>
          </w:p>
        </w:tc>
        <w:tc>
          <w:tcPr>
            <w:tcW w:w="2803"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离休人员医疗费（万元）</w:t>
            </w:r>
          </w:p>
        </w:tc>
        <w:tc>
          <w:tcPr>
            <w:tcW w:w="2593"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≦773</w:t>
            </w:r>
          </w:p>
        </w:tc>
      </w:tr>
      <w:tr>
        <w:tblPrEx>
          <w:tblLayout w:type="fixed"/>
          <w:tblCellMar>
            <w:top w:w="0" w:type="dxa"/>
            <w:left w:w="0" w:type="dxa"/>
            <w:bottom w:w="0" w:type="dxa"/>
            <w:right w:w="0" w:type="dxa"/>
          </w:tblCellMar>
        </w:tblPrEx>
        <w:trPr>
          <w:trHeight w:val="684" w:hRule="atLeast"/>
        </w:trPr>
        <w:tc>
          <w:tcPr>
            <w:tcW w:w="151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1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社会效益指标</w:t>
            </w:r>
          </w:p>
        </w:tc>
        <w:tc>
          <w:tcPr>
            <w:tcW w:w="2803"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提高离休人员生活质量</w:t>
            </w:r>
          </w:p>
        </w:tc>
        <w:tc>
          <w:tcPr>
            <w:tcW w:w="2593"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提高</w:t>
            </w:r>
          </w:p>
        </w:tc>
      </w:tr>
      <w:tr>
        <w:tblPrEx>
          <w:tblLayout w:type="fixed"/>
          <w:tblCellMar>
            <w:top w:w="0" w:type="dxa"/>
            <w:left w:w="0" w:type="dxa"/>
            <w:bottom w:w="0" w:type="dxa"/>
            <w:right w:w="0" w:type="dxa"/>
          </w:tblCellMar>
        </w:tblPrEx>
        <w:trPr>
          <w:trHeight w:val="1162" w:hRule="atLeast"/>
        </w:trPr>
        <w:tc>
          <w:tcPr>
            <w:tcW w:w="151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1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可持续影响指标</w:t>
            </w:r>
          </w:p>
        </w:tc>
        <w:tc>
          <w:tcPr>
            <w:tcW w:w="2803"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增强参保人员的幸福感、获得感、安全感</w:t>
            </w:r>
          </w:p>
        </w:tc>
        <w:tc>
          <w:tcPr>
            <w:tcW w:w="2593"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长期</w:t>
            </w:r>
          </w:p>
        </w:tc>
      </w:tr>
      <w:tr>
        <w:tblPrEx>
          <w:tblLayout w:type="fixed"/>
          <w:tblCellMar>
            <w:top w:w="0" w:type="dxa"/>
            <w:left w:w="0" w:type="dxa"/>
            <w:bottom w:w="0" w:type="dxa"/>
            <w:right w:w="0" w:type="dxa"/>
          </w:tblCellMar>
        </w:tblPrEx>
        <w:trPr>
          <w:trHeight w:val="854" w:hRule="atLeast"/>
        </w:trPr>
        <w:tc>
          <w:tcPr>
            <w:tcW w:w="151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141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2803"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离休人员满意度</w:t>
            </w:r>
          </w:p>
        </w:tc>
        <w:tc>
          <w:tcPr>
            <w:tcW w:w="2593"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≧95%</w:t>
            </w:r>
          </w:p>
        </w:tc>
      </w:tr>
    </w:tbl>
    <w:p>
      <w:pPr>
        <w:widowControl/>
        <w:spacing w:line="480" w:lineRule="exact"/>
        <w:rPr>
          <w:rFonts w:ascii="仿宋_GB2312" w:hAnsi="宋体" w:eastAsia="仿宋_GB2312" w:cs="宋体"/>
          <w:kern w:val="0"/>
          <w:sz w:val="32"/>
          <w:szCs w:val="32"/>
        </w:rPr>
        <w:sectPr>
          <w:pgSz w:w="11906" w:h="16838"/>
          <w:pgMar w:top="1440" w:right="1800" w:bottom="1440" w:left="1800" w:header="851" w:footer="992" w:gutter="0"/>
          <w:pgNumType w:fmt="numberInDash" w:start="24"/>
          <w:cols w:space="720" w:num="1"/>
          <w:docGrid w:type="lines" w:linePitch="312" w:charSpace="0"/>
        </w:sectPr>
      </w:pPr>
    </w:p>
    <w:p>
      <w:pPr>
        <w:widowControl/>
        <w:spacing w:line="480" w:lineRule="exact"/>
        <w:ind w:firstLine="630" w:firstLineChars="196"/>
        <w:jc w:val="left"/>
        <w:rPr>
          <w:rFonts w:ascii="楷体_GB2312" w:hAnsi="宋体" w:eastAsia="楷体_GB2312" w:cs="宋体"/>
          <w:b/>
          <w:kern w:val="0"/>
          <w:sz w:val="32"/>
          <w:szCs w:val="32"/>
        </w:rPr>
      </w:pPr>
    </w:p>
    <w:tbl>
      <w:tblPr>
        <w:tblStyle w:val="9"/>
        <w:tblW w:w="8815" w:type="dxa"/>
        <w:tblInd w:w="0" w:type="dxa"/>
        <w:tblLayout w:type="fixed"/>
        <w:tblCellMar>
          <w:top w:w="0" w:type="dxa"/>
          <w:left w:w="0" w:type="dxa"/>
          <w:bottom w:w="0" w:type="dxa"/>
          <w:right w:w="0" w:type="dxa"/>
        </w:tblCellMar>
      </w:tblPr>
      <w:tblGrid>
        <w:gridCol w:w="960"/>
        <w:gridCol w:w="1452"/>
        <w:gridCol w:w="1224"/>
        <w:gridCol w:w="1476"/>
        <w:gridCol w:w="1039"/>
        <w:gridCol w:w="1481"/>
        <w:gridCol w:w="1183"/>
      </w:tblGrid>
      <w:tr>
        <w:tblPrEx>
          <w:tblLayout w:type="fixed"/>
          <w:tblCellMar>
            <w:top w:w="0" w:type="dxa"/>
            <w:left w:w="0" w:type="dxa"/>
            <w:bottom w:w="0" w:type="dxa"/>
            <w:right w:w="0" w:type="dxa"/>
          </w:tblCellMar>
        </w:tblPrEx>
        <w:trPr>
          <w:trHeight w:val="480" w:hRule="atLeast"/>
        </w:trPr>
        <w:tc>
          <w:tcPr>
            <w:tcW w:w="8815" w:type="dxa"/>
            <w:gridSpan w:val="7"/>
            <w:tcBorders>
              <w:top w:val="nil"/>
              <w:left w:val="nil"/>
              <w:bottom w:val="nil"/>
              <w:right w:val="nil"/>
            </w:tcBorders>
            <w:noWrap/>
            <w:tcMar>
              <w:top w:w="12" w:type="dxa"/>
              <w:left w:w="12" w:type="dxa"/>
              <w:right w:w="12" w:type="dxa"/>
            </w:tcMar>
            <w:vAlign w:val="bottom"/>
          </w:tcPr>
          <w:p>
            <w:pPr>
              <w:widowControl/>
              <w:spacing w:line="480" w:lineRule="exact"/>
              <w:jc w:val="center"/>
              <w:textAlignment w:val="bottom"/>
              <w:rPr>
                <w:rFonts w:ascii="仿宋_GB2312" w:hAnsi="宋体" w:eastAsia="仿宋_GB2312" w:cs="仿宋_GB2312"/>
                <w:b/>
                <w:color w:val="000000"/>
                <w:sz w:val="32"/>
                <w:szCs w:val="32"/>
              </w:rPr>
            </w:pPr>
            <w:r>
              <w:rPr>
                <w:rFonts w:hint="eastAsia" w:ascii="仿宋_GB2312" w:hAnsi="宋体" w:eastAsia="仿宋_GB2312" w:cs="仿宋_GB2312"/>
                <w:b/>
                <w:color w:val="000000"/>
                <w:kern w:val="0"/>
                <w:sz w:val="32"/>
                <w:szCs w:val="32"/>
                <w:lang w:bidi="ar"/>
              </w:rPr>
              <w:t>国务院特殊津贴专家保健医疗费支出绩效目标表</w:t>
            </w:r>
          </w:p>
        </w:tc>
      </w:tr>
      <w:tr>
        <w:tblPrEx>
          <w:tblLayout w:type="fixed"/>
          <w:tblCellMar>
            <w:top w:w="0" w:type="dxa"/>
            <w:left w:w="0" w:type="dxa"/>
            <w:bottom w:w="0" w:type="dxa"/>
            <w:right w:w="0" w:type="dxa"/>
          </w:tblCellMar>
        </w:tblPrEx>
        <w:trPr>
          <w:trHeight w:val="380" w:hRule="atLeast"/>
        </w:trPr>
        <w:tc>
          <w:tcPr>
            <w:tcW w:w="8815" w:type="dxa"/>
            <w:gridSpan w:val="7"/>
            <w:tcBorders>
              <w:top w:val="nil"/>
              <w:left w:val="nil"/>
              <w:bottom w:val="nil"/>
              <w:right w:val="nil"/>
            </w:tcBorders>
            <w:noWrap/>
            <w:tcMar>
              <w:top w:w="12" w:type="dxa"/>
              <w:left w:w="12" w:type="dxa"/>
              <w:right w:w="12" w:type="dxa"/>
            </w:tcMar>
            <w:vAlign w:val="bottom"/>
          </w:tcPr>
          <w:p>
            <w:pPr>
              <w:widowControl/>
              <w:spacing w:line="480" w:lineRule="exact"/>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（2021年）</w:t>
            </w:r>
          </w:p>
        </w:tc>
      </w:tr>
      <w:tr>
        <w:tblPrEx>
          <w:tblLayout w:type="fixed"/>
          <w:tblCellMar>
            <w:top w:w="0" w:type="dxa"/>
            <w:left w:w="0" w:type="dxa"/>
            <w:bottom w:w="0" w:type="dxa"/>
            <w:right w:w="0" w:type="dxa"/>
          </w:tblCellMar>
        </w:tblPrEx>
        <w:trPr>
          <w:trHeight w:val="50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预算单位</w:t>
            </w:r>
          </w:p>
        </w:tc>
        <w:tc>
          <w:tcPr>
            <w:tcW w:w="4152" w:type="dxa"/>
            <w:gridSpan w:val="3"/>
            <w:tcBorders>
              <w:top w:val="single" w:color="000000" w:sz="4" w:space="0"/>
              <w:left w:val="single" w:color="000000" w:sz="4" w:space="0"/>
              <w:bottom w:val="single" w:color="000000" w:sz="4" w:space="0"/>
              <w:right w:val="nil"/>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昌吉回族自治州医疗保障局本级</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项目名称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国务院特殊津贴专家保健医疗费</w:t>
            </w:r>
          </w:p>
        </w:tc>
      </w:tr>
      <w:tr>
        <w:tblPrEx>
          <w:tblLayout w:type="fixed"/>
          <w:tblCellMar>
            <w:top w:w="0" w:type="dxa"/>
            <w:left w:w="0" w:type="dxa"/>
            <w:bottom w:w="0" w:type="dxa"/>
            <w:right w:w="0" w:type="dxa"/>
          </w:tblCellMar>
        </w:tblPrEx>
        <w:trPr>
          <w:trHeight w:val="54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项目资金（万元）</w:t>
            </w: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年度资金总额：</w:t>
            </w:r>
          </w:p>
        </w:tc>
        <w:tc>
          <w:tcPr>
            <w:tcW w:w="12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40</w:t>
            </w:r>
          </w:p>
        </w:tc>
        <w:tc>
          <w:tcPr>
            <w:tcW w:w="14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其中：财政拨款</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40</w:t>
            </w:r>
          </w:p>
        </w:tc>
        <w:tc>
          <w:tcPr>
            <w:tcW w:w="1481"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其他资金</w:t>
            </w:r>
          </w:p>
        </w:tc>
        <w:tc>
          <w:tcPr>
            <w:tcW w:w="118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0</w:t>
            </w:r>
          </w:p>
        </w:tc>
      </w:tr>
      <w:tr>
        <w:tblPrEx>
          <w:tblLayout w:type="fixed"/>
          <w:tblCellMar>
            <w:top w:w="0" w:type="dxa"/>
            <w:left w:w="0" w:type="dxa"/>
            <w:bottom w:w="0" w:type="dxa"/>
            <w:right w:w="0" w:type="dxa"/>
          </w:tblCellMar>
        </w:tblPrEx>
        <w:trPr>
          <w:trHeight w:val="110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项目总体目标</w:t>
            </w:r>
          </w:p>
        </w:tc>
        <w:tc>
          <w:tcPr>
            <w:tcW w:w="7855" w:type="dxa"/>
            <w:gridSpan w:val="6"/>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spacing w:line="480" w:lineRule="exact"/>
              <w:jc w:val="left"/>
              <w:rPr>
                <w:rFonts w:ascii="宋体" w:hAnsi="宋体" w:cs="宋体"/>
                <w:color w:val="000000"/>
                <w:sz w:val="18"/>
                <w:szCs w:val="18"/>
              </w:rPr>
            </w:pPr>
            <w:r>
              <w:rPr>
                <w:rFonts w:hint="eastAsia" w:ascii="宋体" w:hAnsi="宋体" w:cs="宋体"/>
                <w:color w:val="000000"/>
                <w:sz w:val="18"/>
                <w:szCs w:val="18"/>
              </w:rPr>
              <w:t>单位职能：贯彻执行国家及区州社会保险法律、法规和政策，拟定全州基金管理办法和经办服务规程并组织实施；负责区、州统筹的社会保险基金的管理和运营，指导县市级统筹的社会保险基金的经办管理；项目目标：以建立社会保险全覆盖体系为目标，提高国务院特殊津贴专家的生活质量，使国务院特殊津贴专家的幸福感、获得感、安全感不断增强。</w:t>
            </w:r>
          </w:p>
        </w:tc>
      </w:tr>
      <w:tr>
        <w:tblPrEx>
          <w:tblLayout w:type="fixed"/>
          <w:tblCellMar>
            <w:top w:w="0" w:type="dxa"/>
            <w:left w:w="0" w:type="dxa"/>
            <w:bottom w:w="0" w:type="dxa"/>
            <w:right w:w="0" w:type="dxa"/>
          </w:tblCellMar>
        </w:tblPrEx>
        <w:trPr>
          <w:trHeight w:val="48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一级指标</w:t>
            </w: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二级指标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三级指标</w:t>
            </w:r>
          </w:p>
        </w:tc>
        <w:tc>
          <w:tcPr>
            <w:tcW w:w="2664"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指标值（包含数字及文字描述）</w:t>
            </w:r>
          </w:p>
        </w:tc>
      </w:tr>
      <w:tr>
        <w:tblPrEx>
          <w:tblLayout w:type="fixed"/>
          <w:tblCellMar>
            <w:top w:w="0" w:type="dxa"/>
            <w:left w:w="0" w:type="dxa"/>
            <w:bottom w:w="0" w:type="dxa"/>
            <w:right w:w="0" w:type="dxa"/>
          </w:tblCellMar>
        </w:tblPrEx>
        <w:trPr>
          <w:trHeight w:val="711" w:hRule="atLeast"/>
        </w:trPr>
        <w:tc>
          <w:tcPr>
            <w:tcW w:w="96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产出指标</w:t>
            </w: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tabs>
                <w:tab w:val="left" w:pos="824"/>
              </w:tabs>
              <w:spacing w:line="480" w:lineRule="exact"/>
              <w:jc w:val="left"/>
              <w:rPr>
                <w:rFonts w:ascii="宋体" w:hAnsi="宋体" w:cs="宋体"/>
                <w:color w:val="000000"/>
                <w:sz w:val="18"/>
                <w:szCs w:val="18"/>
              </w:rPr>
            </w:pPr>
            <w:r>
              <w:rPr>
                <w:rFonts w:hint="eastAsia" w:ascii="宋体" w:hAnsi="宋体" w:cs="宋体"/>
                <w:color w:val="000000"/>
                <w:sz w:val="18"/>
                <w:szCs w:val="18"/>
              </w:rPr>
              <w:t>核定国务院特殊津贴专家保健医疗费享受人数（人次）</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=10人</w:t>
            </w:r>
          </w:p>
        </w:tc>
      </w:tr>
      <w:tr>
        <w:tblPrEx>
          <w:tblLayout w:type="fixed"/>
          <w:tblCellMar>
            <w:top w:w="0" w:type="dxa"/>
            <w:left w:w="0" w:type="dxa"/>
            <w:bottom w:w="0" w:type="dxa"/>
            <w:right w:w="0" w:type="dxa"/>
          </w:tblCellMar>
        </w:tblPrEx>
        <w:trPr>
          <w:trHeight w:val="774"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质量指标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tabs>
                <w:tab w:val="left" w:pos="371"/>
              </w:tabs>
              <w:spacing w:line="480" w:lineRule="exact"/>
              <w:jc w:val="left"/>
              <w:rPr>
                <w:rFonts w:ascii="宋体" w:hAnsi="宋体" w:cs="宋体"/>
                <w:color w:val="000000"/>
                <w:sz w:val="18"/>
                <w:szCs w:val="18"/>
              </w:rPr>
            </w:pPr>
            <w:r>
              <w:rPr>
                <w:rFonts w:hint="eastAsia" w:ascii="宋体" w:hAnsi="宋体" w:cs="宋体"/>
                <w:color w:val="000000"/>
                <w:sz w:val="18"/>
                <w:szCs w:val="18"/>
              </w:rPr>
              <w:t>享受补助人员覆盖率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=100%</w:t>
            </w:r>
          </w:p>
        </w:tc>
      </w:tr>
      <w:tr>
        <w:tblPrEx>
          <w:tblLayout w:type="fixed"/>
          <w:tblCellMar>
            <w:top w:w="0" w:type="dxa"/>
            <w:left w:w="0" w:type="dxa"/>
            <w:bottom w:w="0" w:type="dxa"/>
            <w:right w:w="0" w:type="dxa"/>
          </w:tblCellMar>
        </w:tblPrEx>
        <w:trPr>
          <w:trHeight w:val="644"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时效指标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left"/>
              <w:rPr>
                <w:rFonts w:ascii="宋体" w:hAnsi="宋体" w:cs="宋体"/>
                <w:color w:val="000000"/>
                <w:sz w:val="18"/>
                <w:szCs w:val="18"/>
              </w:rPr>
            </w:pPr>
            <w:r>
              <w:rPr>
                <w:rFonts w:hint="eastAsia" w:ascii="宋体" w:hAnsi="宋体" w:cs="宋体"/>
                <w:color w:val="000000"/>
                <w:sz w:val="18"/>
                <w:szCs w:val="18"/>
              </w:rPr>
              <w:t>报销门诊、住院医疗费及时性</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=100%</w:t>
            </w:r>
          </w:p>
        </w:tc>
      </w:tr>
      <w:tr>
        <w:tblPrEx>
          <w:tblLayout w:type="fixed"/>
          <w:tblCellMar>
            <w:top w:w="0" w:type="dxa"/>
            <w:left w:w="0" w:type="dxa"/>
            <w:bottom w:w="0" w:type="dxa"/>
            <w:right w:w="0" w:type="dxa"/>
          </w:tblCellMar>
        </w:tblPrEx>
        <w:trPr>
          <w:trHeight w:val="697"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left"/>
              <w:rPr>
                <w:rFonts w:ascii="宋体" w:hAnsi="宋体" w:cs="宋体"/>
                <w:color w:val="000000"/>
                <w:sz w:val="18"/>
                <w:szCs w:val="18"/>
              </w:rPr>
            </w:pPr>
            <w:r>
              <w:rPr>
                <w:rFonts w:hint="eastAsia" w:ascii="宋体" w:hAnsi="宋体" w:cs="宋体"/>
                <w:color w:val="000000"/>
                <w:sz w:val="18"/>
                <w:szCs w:val="18"/>
              </w:rPr>
              <w:t>全年补助发放时间</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2021年1月-12月</w:t>
            </w:r>
          </w:p>
        </w:tc>
      </w:tr>
      <w:tr>
        <w:tblPrEx>
          <w:tblLayout w:type="fixed"/>
          <w:tblCellMar>
            <w:top w:w="0" w:type="dxa"/>
            <w:left w:w="0" w:type="dxa"/>
            <w:bottom w:w="0" w:type="dxa"/>
            <w:right w:w="0" w:type="dxa"/>
          </w:tblCellMar>
        </w:tblPrEx>
        <w:trPr>
          <w:trHeight w:val="676"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成本指标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tabs>
                <w:tab w:val="left" w:pos="835"/>
              </w:tabs>
              <w:spacing w:line="480" w:lineRule="exact"/>
              <w:jc w:val="left"/>
              <w:rPr>
                <w:rFonts w:ascii="宋体" w:hAnsi="宋体" w:cs="宋体"/>
                <w:color w:val="000000"/>
                <w:sz w:val="18"/>
                <w:szCs w:val="18"/>
              </w:rPr>
            </w:pPr>
            <w:r>
              <w:rPr>
                <w:rFonts w:hint="eastAsia" w:ascii="宋体" w:hAnsi="宋体" w:cs="宋体"/>
                <w:color w:val="000000"/>
                <w:sz w:val="18"/>
                <w:szCs w:val="18"/>
              </w:rPr>
              <w:t>国务院特殊津贴专家保健医疗费</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≦40万元</w:t>
            </w:r>
          </w:p>
        </w:tc>
      </w:tr>
      <w:tr>
        <w:tblPrEx>
          <w:tblLayout w:type="fixed"/>
          <w:tblCellMar>
            <w:top w:w="0" w:type="dxa"/>
            <w:left w:w="0" w:type="dxa"/>
            <w:bottom w:w="0" w:type="dxa"/>
            <w:right w:w="0" w:type="dxa"/>
          </w:tblCellMar>
        </w:tblPrEx>
        <w:trPr>
          <w:trHeight w:val="773"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社会效益指标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tabs>
                <w:tab w:val="left" w:pos="996"/>
              </w:tabs>
              <w:spacing w:line="480" w:lineRule="exact"/>
              <w:jc w:val="left"/>
              <w:rPr>
                <w:rFonts w:ascii="宋体" w:hAnsi="宋体" w:cs="宋体"/>
                <w:color w:val="000000"/>
                <w:sz w:val="18"/>
                <w:szCs w:val="18"/>
              </w:rPr>
            </w:pPr>
            <w:r>
              <w:rPr>
                <w:rFonts w:hint="eastAsia" w:ascii="宋体" w:hAnsi="宋体" w:cs="宋体"/>
                <w:color w:val="000000"/>
                <w:sz w:val="18"/>
                <w:szCs w:val="18"/>
              </w:rPr>
              <w:t>提高国务院特殊津贴专家生活质量</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提高</w:t>
            </w:r>
          </w:p>
        </w:tc>
      </w:tr>
      <w:tr>
        <w:tblPrEx>
          <w:tblLayout w:type="fixed"/>
          <w:tblCellMar>
            <w:top w:w="0" w:type="dxa"/>
            <w:left w:w="0" w:type="dxa"/>
            <w:bottom w:w="0" w:type="dxa"/>
            <w:right w:w="0" w:type="dxa"/>
          </w:tblCellMar>
        </w:tblPrEx>
        <w:trPr>
          <w:trHeight w:val="698"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可持续影响指标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left"/>
              <w:rPr>
                <w:rFonts w:ascii="宋体" w:hAnsi="宋体" w:cs="宋体"/>
                <w:color w:val="000000"/>
                <w:sz w:val="18"/>
                <w:szCs w:val="18"/>
              </w:rPr>
            </w:pPr>
            <w:r>
              <w:rPr>
                <w:rFonts w:hint="eastAsia" w:ascii="宋体" w:hAnsi="宋体" w:cs="宋体"/>
                <w:color w:val="000000"/>
                <w:sz w:val="18"/>
                <w:szCs w:val="18"/>
              </w:rPr>
              <w:t>增强国务院特殊津贴专家的幸福感、获得感、安全感</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长期</w:t>
            </w:r>
          </w:p>
        </w:tc>
      </w:tr>
      <w:tr>
        <w:tblPrEx>
          <w:tblLayout w:type="fixed"/>
          <w:tblCellMar>
            <w:top w:w="0" w:type="dxa"/>
            <w:left w:w="0" w:type="dxa"/>
            <w:bottom w:w="0" w:type="dxa"/>
            <w:right w:w="0" w:type="dxa"/>
          </w:tblCellMar>
        </w:tblPrEx>
        <w:trPr>
          <w:trHeight w:val="838"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left"/>
              <w:rPr>
                <w:rFonts w:ascii="宋体" w:hAnsi="宋体" w:cs="宋体"/>
                <w:color w:val="000000"/>
                <w:sz w:val="18"/>
                <w:szCs w:val="18"/>
              </w:rPr>
            </w:pPr>
            <w:r>
              <w:rPr>
                <w:rFonts w:hint="eastAsia" w:ascii="宋体" w:hAnsi="宋体" w:cs="宋体"/>
                <w:color w:val="000000"/>
                <w:sz w:val="18"/>
                <w:szCs w:val="18"/>
              </w:rPr>
              <w:t>国务院特殊津贴专家满意度</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≧95%</w:t>
            </w:r>
          </w:p>
        </w:tc>
      </w:tr>
      <w:tr>
        <w:tblPrEx>
          <w:tblLayout w:type="fixed"/>
          <w:tblCellMar>
            <w:top w:w="0" w:type="dxa"/>
            <w:left w:w="0" w:type="dxa"/>
            <w:bottom w:w="0" w:type="dxa"/>
            <w:right w:w="0" w:type="dxa"/>
          </w:tblCellMar>
        </w:tblPrEx>
        <w:trPr>
          <w:trHeight w:val="480" w:hRule="atLeast"/>
        </w:trPr>
        <w:tc>
          <w:tcPr>
            <w:tcW w:w="8815" w:type="dxa"/>
            <w:gridSpan w:val="7"/>
            <w:tcBorders>
              <w:top w:val="nil"/>
              <w:left w:val="nil"/>
              <w:bottom w:val="nil"/>
              <w:right w:val="nil"/>
            </w:tcBorders>
            <w:noWrap/>
            <w:tcMar>
              <w:top w:w="12" w:type="dxa"/>
              <w:left w:w="12" w:type="dxa"/>
              <w:right w:w="12" w:type="dxa"/>
            </w:tcMar>
            <w:vAlign w:val="bottom"/>
          </w:tcPr>
          <w:p>
            <w:pPr>
              <w:widowControl/>
              <w:spacing w:line="480" w:lineRule="exact"/>
              <w:textAlignment w:val="bottom"/>
              <w:rPr>
                <w:rFonts w:ascii="仿宋_GB2312" w:hAnsi="宋体" w:eastAsia="仿宋_GB2312" w:cs="仿宋_GB2312"/>
                <w:b/>
                <w:color w:val="000000"/>
                <w:kern w:val="0"/>
                <w:sz w:val="32"/>
                <w:szCs w:val="32"/>
                <w:lang w:bidi="ar"/>
              </w:rPr>
            </w:pPr>
          </w:p>
          <w:p>
            <w:pPr>
              <w:widowControl/>
              <w:spacing w:line="480" w:lineRule="exact"/>
              <w:jc w:val="center"/>
              <w:textAlignment w:val="bottom"/>
              <w:rPr>
                <w:rFonts w:ascii="仿宋_GB2312" w:hAnsi="宋体" w:eastAsia="仿宋_GB2312" w:cs="仿宋_GB2312"/>
                <w:b/>
                <w:color w:val="000000"/>
                <w:kern w:val="0"/>
                <w:sz w:val="32"/>
                <w:szCs w:val="32"/>
                <w:lang w:bidi="ar"/>
              </w:rPr>
            </w:pPr>
          </w:p>
          <w:p>
            <w:pPr>
              <w:widowControl/>
              <w:spacing w:line="480" w:lineRule="exact"/>
              <w:jc w:val="center"/>
              <w:textAlignment w:val="bottom"/>
              <w:rPr>
                <w:rFonts w:ascii="仿宋_GB2312" w:hAnsi="宋体" w:eastAsia="仿宋_GB2312" w:cs="仿宋_GB2312"/>
                <w:b/>
                <w:color w:val="000000"/>
                <w:kern w:val="0"/>
                <w:sz w:val="32"/>
                <w:szCs w:val="32"/>
                <w:lang w:bidi="ar"/>
              </w:rPr>
            </w:pPr>
          </w:p>
          <w:p>
            <w:pPr>
              <w:widowControl/>
              <w:spacing w:line="480" w:lineRule="exact"/>
              <w:textAlignment w:val="bottom"/>
              <w:rPr>
                <w:rFonts w:ascii="仿宋_GB2312" w:hAnsi="宋体" w:eastAsia="仿宋_GB2312" w:cs="仿宋_GB2312"/>
                <w:b/>
                <w:color w:val="000000"/>
                <w:kern w:val="0"/>
                <w:sz w:val="32"/>
                <w:szCs w:val="32"/>
                <w:lang w:bidi="ar"/>
              </w:rPr>
            </w:pPr>
          </w:p>
          <w:p>
            <w:pPr>
              <w:widowControl/>
              <w:spacing w:line="480" w:lineRule="exact"/>
              <w:jc w:val="center"/>
              <w:textAlignment w:val="bottom"/>
              <w:rPr>
                <w:rFonts w:ascii="仿宋_GB2312" w:hAnsi="宋体" w:eastAsia="仿宋_GB2312" w:cs="仿宋_GB2312"/>
                <w:b/>
                <w:color w:val="000000"/>
                <w:sz w:val="32"/>
                <w:szCs w:val="32"/>
              </w:rPr>
            </w:pPr>
            <w:r>
              <w:rPr>
                <w:rFonts w:hint="eastAsia" w:ascii="仿宋_GB2312" w:hAnsi="宋体" w:eastAsia="仿宋_GB2312" w:cs="仿宋_GB2312"/>
                <w:b/>
                <w:color w:val="000000"/>
                <w:kern w:val="0"/>
                <w:sz w:val="32"/>
                <w:szCs w:val="32"/>
                <w:lang w:bidi="ar"/>
              </w:rPr>
              <w:t>长期护理保险工作经费支出绩效目标表</w:t>
            </w:r>
          </w:p>
        </w:tc>
      </w:tr>
      <w:tr>
        <w:tblPrEx>
          <w:tblLayout w:type="fixed"/>
          <w:tblCellMar>
            <w:top w:w="0" w:type="dxa"/>
            <w:left w:w="0" w:type="dxa"/>
            <w:bottom w:w="0" w:type="dxa"/>
            <w:right w:w="0" w:type="dxa"/>
          </w:tblCellMar>
        </w:tblPrEx>
        <w:trPr>
          <w:trHeight w:val="380" w:hRule="atLeast"/>
        </w:trPr>
        <w:tc>
          <w:tcPr>
            <w:tcW w:w="8815" w:type="dxa"/>
            <w:gridSpan w:val="7"/>
            <w:tcBorders>
              <w:top w:val="nil"/>
              <w:left w:val="nil"/>
              <w:bottom w:val="nil"/>
              <w:right w:val="nil"/>
            </w:tcBorders>
            <w:noWrap/>
            <w:tcMar>
              <w:top w:w="12" w:type="dxa"/>
              <w:left w:w="12" w:type="dxa"/>
              <w:right w:w="12" w:type="dxa"/>
            </w:tcMar>
            <w:vAlign w:val="bottom"/>
          </w:tcPr>
          <w:p>
            <w:pPr>
              <w:widowControl/>
              <w:spacing w:line="480" w:lineRule="exact"/>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（2021年）</w:t>
            </w:r>
          </w:p>
        </w:tc>
      </w:tr>
      <w:tr>
        <w:tblPrEx>
          <w:tblLayout w:type="fixed"/>
          <w:tblCellMar>
            <w:top w:w="0" w:type="dxa"/>
            <w:left w:w="0" w:type="dxa"/>
            <w:bottom w:w="0" w:type="dxa"/>
            <w:right w:w="0" w:type="dxa"/>
          </w:tblCellMar>
        </w:tblPrEx>
        <w:trPr>
          <w:trHeight w:val="50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预算单位</w:t>
            </w:r>
          </w:p>
        </w:tc>
        <w:tc>
          <w:tcPr>
            <w:tcW w:w="4152" w:type="dxa"/>
            <w:gridSpan w:val="3"/>
            <w:tcBorders>
              <w:top w:val="single" w:color="000000" w:sz="4" w:space="0"/>
              <w:left w:val="single" w:color="000000" w:sz="4" w:space="0"/>
              <w:bottom w:val="single" w:color="000000" w:sz="4" w:space="0"/>
              <w:right w:val="nil"/>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昌吉州医疗保障局</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项目名称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长期护理保险工作经费</w:t>
            </w:r>
          </w:p>
        </w:tc>
      </w:tr>
      <w:tr>
        <w:tblPrEx>
          <w:tblLayout w:type="fixed"/>
          <w:tblCellMar>
            <w:top w:w="0" w:type="dxa"/>
            <w:left w:w="0" w:type="dxa"/>
            <w:bottom w:w="0" w:type="dxa"/>
            <w:right w:w="0" w:type="dxa"/>
          </w:tblCellMar>
        </w:tblPrEx>
        <w:trPr>
          <w:trHeight w:val="54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项目资金（万元）</w:t>
            </w: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年度资金总额：</w:t>
            </w:r>
          </w:p>
        </w:tc>
        <w:tc>
          <w:tcPr>
            <w:tcW w:w="12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10</w:t>
            </w:r>
          </w:p>
        </w:tc>
        <w:tc>
          <w:tcPr>
            <w:tcW w:w="14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其中：财政拨款</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10</w:t>
            </w:r>
          </w:p>
        </w:tc>
        <w:tc>
          <w:tcPr>
            <w:tcW w:w="1481"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其他资金</w:t>
            </w:r>
          </w:p>
        </w:tc>
        <w:tc>
          <w:tcPr>
            <w:tcW w:w="118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0</w:t>
            </w:r>
          </w:p>
        </w:tc>
      </w:tr>
      <w:tr>
        <w:tblPrEx>
          <w:tblLayout w:type="fixed"/>
          <w:tblCellMar>
            <w:top w:w="0" w:type="dxa"/>
            <w:left w:w="0" w:type="dxa"/>
            <w:bottom w:w="0" w:type="dxa"/>
            <w:right w:w="0" w:type="dxa"/>
          </w:tblCellMar>
        </w:tblPrEx>
        <w:trPr>
          <w:trHeight w:val="210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项目总体目标</w:t>
            </w:r>
          </w:p>
        </w:tc>
        <w:tc>
          <w:tcPr>
            <w:tcW w:w="7855" w:type="dxa"/>
            <w:gridSpan w:val="6"/>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spacing w:line="340" w:lineRule="exact"/>
              <w:jc w:val="left"/>
              <w:rPr>
                <w:rFonts w:ascii="宋体" w:hAnsi="宋体" w:cs="宋体"/>
                <w:color w:val="000000"/>
                <w:sz w:val="18"/>
                <w:szCs w:val="18"/>
              </w:rPr>
            </w:pPr>
            <w:r>
              <w:rPr>
                <w:rFonts w:hint="eastAsia" w:ascii="宋体" w:hAnsi="宋体" w:cs="宋体"/>
                <w:color w:val="000000"/>
                <w:sz w:val="18"/>
                <w:szCs w:val="18"/>
              </w:rPr>
              <w:t>单位职能：贯彻落实国家和自治区医疗保险、生育保险、人身意外伤害保险、医疗救助等医疗保障制度，提出自治州医疗保障制度的规章草案、政策、规划和标准并组织实施；</w:t>
            </w:r>
          </w:p>
          <w:p>
            <w:pPr>
              <w:spacing w:line="340" w:lineRule="exact"/>
              <w:jc w:val="left"/>
              <w:rPr>
                <w:rFonts w:ascii="宋体" w:hAnsi="宋体" w:cs="宋体"/>
                <w:color w:val="000000"/>
                <w:sz w:val="18"/>
                <w:szCs w:val="18"/>
              </w:rPr>
            </w:pPr>
            <w:r>
              <w:rPr>
                <w:rFonts w:hint="eastAsia" w:ascii="宋体" w:hAnsi="宋体" w:cs="宋体"/>
                <w:color w:val="000000"/>
                <w:sz w:val="18"/>
                <w:szCs w:val="18"/>
              </w:rPr>
              <w:t>项目目标：在我州范围内建立多层次的社会保障体系，积极应对人口老龄化，保障失能人员基本生活权益，切实解决自治州职工基本医疗参保人员中的长期失能人员，不断增加人民群众在共建共享发展中的认同感和幸福感，促进经济社会协调发展。</w:t>
            </w:r>
          </w:p>
        </w:tc>
      </w:tr>
      <w:tr>
        <w:tblPrEx>
          <w:tblLayout w:type="fixed"/>
          <w:tblCellMar>
            <w:top w:w="0" w:type="dxa"/>
            <w:left w:w="0" w:type="dxa"/>
            <w:bottom w:w="0" w:type="dxa"/>
            <w:right w:w="0" w:type="dxa"/>
          </w:tblCellMar>
        </w:tblPrEx>
        <w:trPr>
          <w:trHeight w:val="48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62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一级指标</w:t>
            </w: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62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二级指标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62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三级指标</w:t>
            </w:r>
          </w:p>
        </w:tc>
        <w:tc>
          <w:tcPr>
            <w:tcW w:w="2664"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62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指标值（包含数字及文字描述）</w:t>
            </w:r>
          </w:p>
        </w:tc>
      </w:tr>
      <w:tr>
        <w:tblPrEx>
          <w:tblLayout w:type="fixed"/>
          <w:tblCellMar>
            <w:top w:w="0" w:type="dxa"/>
            <w:left w:w="0" w:type="dxa"/>
            <w:bottom w:w="0" w:type="dxa"/>
            <w:right w:w="0" w:type="dxa"/>
          </w:tblCellMar>
        </w:tblPrEx>
        <w:trPr>
          <w:trHeight w:val="440" w:hRule="atLeast"/>
        </w:trPr>
        <w:tc>
          <w:tcPr>
            <w:tcW w:w="96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62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产出指标</w:t>
            </w:r>
          </w:p>
        </w:tc>
        <w:tc>
          <w:tcPr>
            <w:tcW w:w="145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62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620" w:lineRule="exact"/>
              <w:rPr>
                <w:rFonts w:ascii="宋体" w:hAnsi="宋体" w:cs="宋体"/>
                <w:color w:val="000000"/>
                <w:sz w:val="18"/>
                <w:szCs w:val="18"/>
              </w:rPr>
            </w:pPr>
            <w:r>
              <w:rPr>
                <w:rFonts w:hint="eastAsia" w:ascii="宋体" w:hAnsi="宋体" w:cs="宋体"/>
                <w:color w:val="000000"/>
                <w:sz w:val="18"/>
                <w:szCs w:val="18"/>
              </w:rPr>
              <w:t>长期护理保险享受人数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620" w:lineRule="exact"/>
              <w:jc w:val="center"/>
              <w:rPr>
                <w:rFonts w:ascii="宋体" w:hAnsi="宋体" w:cs="宋体"/>
                <w:color w:val="000000"/>
                <w:sz w:val="18"/>
                <w:szCs w:val="18"/>
              </w:rPr>
            </w:pPr>
            <w:r>
              <w:rPr>
                <w:rFonts w:hint="eastAsia" w:ascii="宋体" w:hAnsi="宋体" w:cs="宋体"/>
                <w:color w:val="000000"/>
                <w:sz w:val="18"/>
                <w:szCs w:val="18"/>
              </w:rPr>
              <w:t>100人</w:t>
            </w:r>
          </w:p>
        </w:tc>
      </w:tr>
      <w:tr>
        <w:tblPrEx>
          <w:tblLayout w:type="fixed"/>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620" w:lineRule="exact"/>
              <w:jc w:val="center"/>
              <w:rPr>
                <w:rFonts w:ascii="宋体" w:hAnsi="宋体" w:cs="宋体"/>
                <w:color w:val="000000"/>
                <w:sz w:val="18"/>
                <w:szCs w:val="18"/>
              </w:rPr>
            </w:pPr>
          </w:p>
        </w:tc>
        <w:tc>
          <w:tcPr>
            <w:tcW w:w="14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620" w:lineRule="exact"/>
              <w:jc w:val="center"/>
              <w:rPr>
                <w:rFonts w:ascii="宋体" w:hAnsi="宋体" w:cs="宋体"/>
                <w:color w:val="000000"/>
                <w:sz w:val="18"/>
                <w:szCs w:val="18"/>
              </w:rP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620" w:lineRule="exact"/>
              <w:rPr>
                <w:rFonts w:ascii="宋体" w:hAnsi="宋体" w:cs="宋体"/>
                <w:color w:val="000000"/>
                <w:sz w:val="18"/>
                <w:szCs w:val="18"/>
              </w:rPr>
            </w:pPr>
            <w:r>
              <w:rPr>
                <w:rFonts w:hint="eastAsia" w:ascii="宋体" w:hAnsi="宋体" w:cs="宋体"/>
                <w:color w:val="000000"/>
                <w:sz w:val="18"/>
                <w:szCs w:val="18"/>
              </w:rPr>
              <w:t>长期护理保险鉴定次数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620" w:lineRule="exact"/>
              <w:jc w:val="center"/>
              <w:rPr>
                <w:rFonts w:ascii="宋体" w:hAnsi="宋体" w:cs="宋体"/>
                <w:color w:val="000000"/>
                <w:sz w:val="18"/>
                <w:szCs w:val="18"/>
              </w:rPr>
            </w:pPr>
            <w:r>
              <w:rPr>
                <w:rFonts w:hint="eastAsia" w:ascii="宋体" w:hAnsi="宋体" w:cs="宋体"/>
                <w:color w:val="000000"/>
                <w:sz w:val="18"/>
                <w:szCs w:val="18"/>
              </w:rPr>
              <w:t>12次</w:t>
            </w:r>
          </w:p>
        </w:tc>
      </w:tr>
      <w:tr>
        <w:tblPrEx>
          <w:tblLayout w:type="fixed"/>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620" w:lineRule="exact"/>
              <w:jc w:val="center"/>
              <w:rPr>
                <w:rFonts w:ascii="宋体" w:hAnsi="宋体" w:cs="宋体"/>
                <w:color w:val="000000"/>
                <w:sz w:val="18"/>
                <w:szCs w:val="18"/>
              </w:rPr>
            </w:pP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62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质量指标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tabs>
                <w:tab w:val="left" w:pos="813"/>
              </w:tabs>
              <w:spacing w:line="620" w:lineRule="exact"/>
              <w:jc w:val="left"/>
              <w:rPr>
                <w:rFonts w:ascii="宋体" w:hAnsi="宋体" w:cs="宋体"/>
                <w:color w:val="000000"/>
                <w:sz w:val="18"/>
                <w:szCs w:val="18"/>
              </w:rPr>
            </w:pPr>
            <w:r>
              <w:rPr>
                <w:rFonts w:hint="eastAsia" w:ascii="宋体" w:hAnsi="宋体" w:cs="宋体"/>
                <w:color w:val="000000"/>
                <w:sz w:val="18"/>
                <w:szCs w:val="18"/>
              </w:rPr>
              <w:t>符合政策要求的鉴定工作完成率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620" w:lineRule="exact"/>
              <w:jc w:val="center"/>
              <w:rPr>
                <w:rFonts w:ascii="宋体" w:hAnsi="宋体" w:cs="宋体"/>
                <w:color w:val="000000"/>
                <w:sz w:val="18"/>
                <w:szCs w:val="18"/>
              </w:rPr>
            </w:pPr>
            <w:r>
              <w:rPr>
                <w:rFonts w:hint="eastAsia" w:ascii="宋体" w:hAnsi="宋体" w:cs="宋体"/>
                <w:color w:val="000000"/>
                <w:sz w:val="18"/>
                <w:szCs w:val="18"/>
              </w:rPr>
              <w:t>100%</w:t>
            </w:r>
          </w:p>
        </w:tc>
      </w:tr>
      <w:tr>
        <w:tblPrEx>
          <w:tblLayout w:type="fixed"/>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620" w:lineRule="exact"/>
              <w:jc w:val="center"/>
              <w:rPr>
                <w:rFonts w:ascii="宋体" w:hAnsi="宋体" w:cs="宋体"/>
                <w:color w:val="000000"/>
                <w:sz w:val="18"/>
                <w:szCs w:val="18"/>
              </w:rPr>
            </w:pP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62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时效指标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620" w:lineRule="exact"/>
              <w:rPr>
                <w:rFonts w:ascii="宋体" w:hAnsi="宋体" w:cs="宋体"/>
                <w:color w:val="000000"/>
                <w:sz w:val="18"/>
                <w:szCs w:val="18"/>
              </w:rPr>
            </w:pPr>
            <w:r>
              <w:rPr>
                <w:rFonts w:hint="eastAsia" w:ascii="宋体" w:hAnsi="宋体" w:cs="宋体"/>
                <w:color w:val="000000"/>
                <w:sz w:val="18"/>
                <w:szCs w:val="18"/>
              </w:rPr>
              <w:t>各项工作完成时间</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620" w:lineRule="exact"/>
              <w:jc w:val="center"/>
              <w:rPr>
                <w:rFonts w:ascii="宋体" w:hAnsi="宋体" w:cs="宋体"/>
                <w:color w:val="000000"/>
                <w:sz w:val="18"/>
                <w:szCs w:val="18"/>
              </w:rPr>
            </w:pPr>
            <w:r>
              <w:rPr>
                <w:rFonts w:hint="eastAsia" w:ascii="宋体" w:hAnsi="宋体" w:cs="宋体"/>
                <w:color w:val="000000"/>
                <w:sz w:val="18"/>
                <w:szCs w:val="18"/>
              </w:rPr>
              <w:t>2021年12月31日</w:t>
            </w:r>
          </w:p>
        </w:tc>
      </w:tr>
      <w:tr>
        <w:tblPrEx>
          <w:tblLayout w:type="fixed"/>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620" w:lineRule="exact"/>
              <w:jc w:val="center"/>
              <w:rPr>
                <w:rFonts w:ascii="宋体" w:hAnsi="宋体" w:cs="宋体"/>
                <w:color w:val="000000"/>
                <w:sz w:val="18"/>
                <w:szCs w:val="18"/>
              </w:rPr>
            </w:pPr>
          </w:p>
        </w:tc>
        <w:tc>
          <w:tcPr>
            <w:tcW w:w="1452"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widowControl/>
              <w:spacing w:line="62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成本指标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620" w:lineRule="exact"/>
              <w:jc w:val="center"/>
              <w:rPr>
                <w:rFonts w:ascii="宋体" w:hAnsi="宋体" w:cs="宋体"/>
                <w:color w:val="000000"/>
                <w:sz w:val="18"/>
                <w:szCs w:val="18"/>
              </w:rPr>
            </w:pPr>
            <w:r>
              <w:rPr>
                <w:rFonts w:hint="eastAsia" w:ascii="宋体" w:hAnsi="宋体" w:cs="宋体"/>
                <w:color w:val="000000"/>
                <w:sz w:val="18"/>
                <w:szCs w:val="18"/>
              </w:rPr>
              <w:t>试点长期护理保险失能人员评定费（万元）</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620" w:lineRule="exact"/>
              <w:jc w:val="center"/>
              <w:rPr>
                <w:rFonts w:ascii="宋体" w:hAnsi="宋体" w:cs="宋体"/>
                <w:color w:val="000000"/>
                <w:sz w:val="18"/>
                <w:szCs w:val="18"/>
              </w:rPr>
            </w:pPr>
            <w:r>
              <w:rPr>
                <w:rFonts w:hint="eastAsia" w:ascii="宋体" w:hAnsi="宋体" w:cs="宋体"/>
                <w:color w:val="000000"/>
                <w:sz w:val="18"/>
                <w:szCs w:val="18"/>
              </w:rPr>
              <w:t>≦1.5万元</w:t>
            </w:r>
          </w:p>
        </w:tc>
      </w:tr>
      <w:tr>
        <w:tblPrEx>
          <w:tblLayout w:type="fixed"/>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620" w:lineRule="exact"/>
              <w:jc w:val="center"/>
              <w:rPr>
                <w:rFonts w:ascii="宋体" w:hAnsi="宋体" w:cs="宋体"/>
                <w:color w:val="000000"/>
                <w:sz w:val="18"/>
                <w:szCs w:val="18"/>
              </w:rPr>
            </w:pPr>
          </w:p>
        </w:tc>
        <w:tc>
          <w:tcPr>
            <w:tcW w:w="1452"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pPr>
              <w:widowControl/>
              <w:spacing w:line="620" w:lineRule="exact"/>
              <w:jc w:val="center"/>
              <w:textAlignment w:val="center"/>
              <w:rPr>
                <w:rFonts w:ascii="宋体" w:hAnsi="宋体" w:cs="宋体"/>
                <w:color w:val="000000"/>
                <w:kern w:val="0"/>
                <w:sz w:val="18"/>
                <w:szCs w:val="18"/>
                <w:lang w:bidi="ar"/>
              </w:rP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620" w:lineRule="exact"/>
              <w:rPr>
                <w:rFonts w:ascii="宋体" w:hAnsi="宋体" w:cs="宋体"/>
                <w:color w:val="000000"/>
                <w:sz w:val="18"/>
                <w:szCs w:val="18"/>
              </w:rPr>
            </w:pPr>
            <w:r>
              <w:rPr>
                <w:rFonts w:hint="eastAsia" w:ascii="宋体" w:hAnsi="宋体" w:cs="宋体"/>
                <w:color w:val="000000"/>
                <w:sz w:val="18"/>
                <w:szCs w:val="18"/>
              </w:rPr>
              <w:t>日常工作经费（万元）</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620" w:lineRule="exact"/>
              <w:jc w:val="center"/>
              <w:rPr>
                <w:rFonts w:ascii="宋体" w:hAnsi="宋体" w:cs="宋体"/>
                <w:color w:val="000000"/>
                <w:sz w:val="18"/>
                <w:szCs w:val="18"/>
              </w:rPr>
            </w:pPr>
            <w:r>
              <w:rPr>
                <w:rFonts w:hint="eastAsia" w:ascii="宋体" w:hAnsi="宋体" w:cs="宋体"/>
                <w:color w:val="000000"/>
                <w:sz w:val="18"/>
                <w:szCs w:val="18"/>
              </w:rPr>
              <w:t>≦8.5万元</w:t>
            </w:r>
          </w:p>
        </w:tc>
      </w:tr>
      <w:tr>
        <w:tblPrEx>
          <w:tblLayout w:type="fixed"/>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620" w:lineRule="exact"/>
              <w:jc w:val="center"/>
              <w:rPr>
                <w:rFonts w:ascii="宋体" w:hAnsi="宋体" w:cs="宋体"/>
                <w:color w:val="000000"/>
                <w:sz w:val="18"/>
                <w:szCs w:val="18"/>
              </w:rPr>
            </w:pP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62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社会效益指标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620" w:lineRule="exact"/>
              <w:rPr>
                <w:rFonts w:ascii="宋体" w:hAnsi="宋体" w:cs="宋体"/>
                <w:color w:val="000000"/>
                <w:sz w:val="18"/>
                <w:szCs w:val="18"/>
              </w:rPr>
            </w:pPr>
            <w:r>
              <w:rPr>
                <w:rFonts w:hint="eastAsia" w:ascii="宋体" w:hAnsi="宋体" w:cs="宋体"/>
                <w:color w:val="000000"/>
                <w:sz w:val="18"/>
                <w:szCs w:val="18"/>
              </w:rPr>
              <w:t>改善失能老人长期护理问题</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620" w:lineRule="exact"/>
              <w:jc w:val="center"/>
              <w:rPr>
                <w:rFonts w:ascii="宋体" w:hAnsi="宋体" w:cs="宋体"/>
                <w:color w:val="000000"/>
                <w:sz w:val="18"/>
                <w:szCs w:val="18"/>
              </w:rPr>
            </w:pPr>
            <w:r>
              <w:rPr>
                <w:rFonts w:hint="eastAsia" w:ascii="宋体" w:hAnsi="宋体" w:cs="宋体"/>
                <w:color w:val="000000"/>
                <w:sz w:val="18"/>
                <w:szCs w:val="18"/>
              </w:rPr>
              <w:t>改善</w:t>
            </w:r>
          </w:p>
        </w:tc>
      </w:tr>
      <w:tr>
        <w:tblPrEx>
          <w:tblLayout w:type="fixed"/>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620" w:lineRule="exact"/>
              <w:jc w:val="center"/>
              <w:rPr>
                <w:rFonts w:ascii="宋体" w:hAnsi="宋体" w:cs="宋体"/>
                <w:color w:val="000000"/>
                <w:sz w:val="18"/>
                <w:szCs w:val="18"/>
              </w:rPr>
            </w:pP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62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可持续影响指标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620" w:lineRule="exact"/>
              <w:jc w:val="left"/>
              <w:rPr>
                <w:rFonts w:ascii="宋体" w:hAnsi="宋体" w:cs="宋体"/>
                <w:color w:val="000000"/>
                <w:sz w:val="18"/>
                <w:szCs w:val="18"/>
              </w:rPr>
            </w:pPr>
            <w:r>
              <w:rPr>
                <w:rFonts w:hint="eastAsia" w:ascii="宋体" w:hAnsi="宋体" w:cs="宋体"/>
                <w:color w:val="000000"/>
                <w:sz w:val="18"/>
                <w:szCs w:val="18"/>
              </w:rPr>
              <w:t>提高自治州城镇职工长期护理保险实施方案执行力</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620" w:lineRule="exact"/>
              <w:jc w:val="center"/>
              <w:rPr>
                <w:rFonts w:ascii="宋体" w:hAnsi="宋体" w:cs="宋体"/>
                <w:color w:val="000000"/>
                <w:sz w:val="18"/>
                <w:szCs w:val="18"/>
              </w:rPr>
            </w:pPr>
            <w:r>
              <w:rPr>
                <w:rFonts w:hint="eastAsia" w:ascii="宋体" w:hAnsi="宋体" w:cs="宋体"/>
                <w:color w:val="000000"/>
                <w:sz w:val="18"/>
                <w:szCs w:val="18"/>
              </w:rPr>
              <w:t>长期</w:t>
            </w:r>
          </w:p>
        </w:tc>
      </w:tr>
      <w:tr>
        <w:tblPrEx>
          <w:tblLayout w:type="fixed"/>
          <w:tblCellMar>
            <w:top w:w="0" w:type="dxa"/>
            <w:left w:w="0" w:type="dxa"/>
            <w:bottom w:w="0" w:type="dxa"/>
            <w:right w:w="0" w:type="dxa"/>
          </w:tblCellMar>
        </w:tblPrEx>
        <w:trPr>
          <w:trHeight w:val="44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62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62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620" w:lineRule="exact"/>
              <w:jc w:val="left"/>
              <w:rPr>
                <w:rFonts w:ascii="宋体" w:hAnsi="宋体" w:cs="宋体"/>
                <w:color w:val="000000"/>
                <w:sz w:val="18"/>
                <w:szCs w:val="18"/>
              </w:rPr>
            </w:pPr>
            <w:r>
              <w:rPr>
                <w:rFonts w:hint="eastAsia" w:ascii="宋体" w:hAnsi="宋体" w:cs="宋体"/>
                <w:color w:val="000000"/>
                <w:sz w:val="18"/>
                <w:szCs w:val="18"/>
              </w:rPr>
              <w:t>享受长期护理保险的参保人满意度</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620" w:lineRule="exact"/>
              <w:jc w:val="center"/>
              <w:rPr>
                <w:rFonts w:ascii="宋体" w:hAnsi="宋体" w:cs="宋体"/>
                <w:color w:val="000000"/>
                <w:sz w:val="18"/>
                <w:szCs w:val="18"/>
              </w:rPr>
            </w:pPr>
            <w:r>
              <w:rPr>
                <w:rFonts w:hint="eastAsia" w:ascii="宋体" w:hAnsi="宋体" w:cs="宋体"/>
                <w:color w:val="000000"/>
                <w:sz w:val="18"/>
                <w:szCs w:val="18"/>
              </w:rPr>
              <w:t>≧95%</w:t>
            </w:r>
          </w:p>
        </w:tc>
      </w:tr>
      <w:tr>
        <w:tblPrEx>
          <w:tblLayout w:type="fixed"/>
          <w:tblCellMar>
            <w:top w:w="0" w:type="dxa"/>
            <w:left w:w="0" w:type="dxa"/>
            <w:bottom w:w="0" w:type="dxa"/>
            <w:right w:w="0" w:type="dxa"/>
          </w:tblCellMar>
        </w:tblPrEx>
        <w:trPr>
          <w:trHeight w:val="480" w:hRule="atLeast"/>
        </w:trPr>
        <w:tc>
          <w:tcPr>
            <w:tcW w:w="8815" w:type="dxa"/>
            <w:gridSpan w:val="7"/>
            <w:tcBorders>
              <w:top w:val="nil"/>
              <w:left w:val="nil"/>
              <w:bottom w:val="nil"/>
              <w:right w:val="nil"/>
            </w:tcBorders>
            <w:noWrap/>
            <w:tcMar>
              <w:top w:w="12" w:type="dxa"/>
              <w:left w:w="12" w:type="dxa"/>
              <w:right w:w="12" w:type="dxa"/>
            </w:tcMar>
            <w:vAlign w:val="bottom"/>
          </w:tcPr>
          <w:p>
            <w:pPr>
              <w:widowControl/>
              <w:spacing w:line="480" w:lineRule="exact"/>
              <w:jc w:val="center"/>
              <w:textAlignment w:val="bottom"/>
              <w:rPr>
                <w:rFonts w:ascii="仿宋_GB2312" w:hAnsi="宋体" w:eastAsia="仿宋_GB2312" w:cs="仿宋_GB2312"/>
                <w:b/>
                <w:color w:val="000000"/>
                <w:kern w:val="0"/>
                <w:sz w:val="32"/>
                <w:szCs w:val="32"/>
                <w:lang w:bidi="ar"/>
              </w:rPr>
            </w:pPr>
          </w:p>
          <w:p>
            <w:pPr>
              <w:widowControl/>
              <w:spacing w:line="480" w:lineRule="exact"/>
              <w:ind w:firstLine="1606" w:firstLineChars="500"/>
              <w:textAlignment w:val="bottom"/>
              <w:rPr>
                <w:rFonts w:ascii="仿宋_GB2312" w:hAnsi="宋体" w:eastAsia="仿宋_GB2312" w:cs="仿宋_GB2312"/>
                <w:b/>
                <w:color w:val="000000"/>
                <w:kern w:val="0"/>
                <w:sz w:val="32"/>
                <w:szCs w:val="32"/>
                <w:lang w:bidi="ar"/>
              </w:rPr>
            </w:pPr>
          </w:p>
          <w:p>
            <w:pPr>
              <w:widowControl/>
              <w:spacing w:line="480" w:lineRule="exact"/>
              <w:textAlignment w:val="bottom"/>
              <w:rPr>
                <w:rFonts w:ascii="仿宋_GB2312" w:hAnsi="宋体" w:eastAsia="仿宋_GB2312" w:cs="仿宋_GB2312"/>
                <w:b/>
                <w:color w:val="000000"/>
                <w:kern w:val="0"/>
                <w:sz w:val="32"/>
                <w:szCs w:val="32"/>
                <w:lang w:bidi="ar"/>
              </w:rPr>
            </w:pPr>
          </w:p>
          <w:p>
            <w:pPr>
              <w:pStyle w:val="2"/>
              <w:rPr>
                <w:rFonts w:ascii="仿宋_GB2312" w:hAnsi="宋体" w:eastAsia="仿宋_GB2312" w:cs="仿宋_GB2312"/>
                <w:b/>
                <w:color w:val="000000"/>
                <w:kern w:val="0"/>
                <w:sz w:val="32"/>
                <w:szCs w:val="32"/>
                <w:lang w:bidi="ar"/>
              </w:rPr>
            </w:pPr>
          </w:p>
          <w:p/>
          <w:p>
            <w:pPr>
              <w:widowControl/>
              <w:spacing w:line="480" w:lineRule="exact"/>
              <w:ind w:firstLine="1606" w:firstLineChars="500"/>
              <w:textAlignment w:val="bottom"/>
              <w:rPr>
                <w:rFonts w:ascii="仿宋_GB2312" w:hAnsi="宋体" w:eastAsia="仿宋_GB2312" w:cs="仿宋_GB2312"/>
                <w:b/>
                <w:color w:val="000000"/>
                <w:sz w:val="32"/>
                <w:szCs w:val="32"/>
              </w:rPr>
            </w:pPr>
            <w:r>
              <w:rPr>
                <w:rFonts w:hint="eastAsia" w:ascii="仿宋_GB2312" w:hAnsi="宋体" w:eastAsia="仿宋_GB2312" w:cs="仿宋_GB2312"/>
                <w:b/>
                <w:color w:val="000000"/>
                <w:kern w:val="0"/>
                <w:sz w:val="32"/>
                <w:szCs w:val="32"/>
                <w:lang w:bidi="ar"/>
              </w:rPr>
              <w:t>医疗基金监管工作经费支出绩效目标表</w:t>
            </w:r>
          </w:p>
        </w:tc>
      </w:tr>
      <w:tr>
        <w:tblPrEx>
          <w:tblLayout w:type="fixed"/>
          <w:tblCellMar>
            <w:top w:w="0" w:type="dxa"/>
            <w:left w:w="0" w:type="dxa"/>
            <w:bottom w:w="0" w:type="dxa"/>
            <w:right w:w="0" w:type="dxa"/>
          </w:tblCellMar>
        </w:tblPrEx>
        <w:trPr>
          <w:trHeight w:val="380" w:hRule="atLeast"/>
        </w:trPr>
        <w:tc>
          <w:tcPr>
            <w:tcW w:w="8815" w:type="dxa"/>
            <w:gridSpan w:val="7"/>
            <w:tcBorders>
              <w:top w:val="nil"/>
              <w:left w:val="nil"/>
              <w:bottom w:val="nil"/>
              <w:right w:val="nil"/>
            </w:tcBorders>
            <w:noWrap/>
            <w:tcMar>
              <w:top w:w="12" w:type="dxa"/>
              <w:left w:w="12" w:type="dxa"/>
              <w:right w:w="12" w:type="dxa"/>
            </w:tcMar>
            <w:vAlign w:val="bottom"/>
          </w:tcPr>
          <w:p>
            <w:pPr>
              <w:widowControl/>
              <w:spacing w:line="480" w:lineRule="exact"/>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（2021年）</w:t>
            </w:r>
          </w:p>
        </w:tc>
      </w:tr>
      <w:tr>
        <w:tblPrEx>
          <w:tblLayout w:type="fixed"/>
          <w:tblCellMar>
            <w:top w:w="0" w:type="dxa"/>
            <w:left w:w="0" w:type="dxa"/>
            <w:bottom w:w="0" w:type="dxa"/>
            <w:right w:w="0" w:type="dxa"/>
          </w:tblCellMar>
        </w:tblPrEx>
        <w:trPr>
          <w:trHeight w:val="50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预算单位</w:t>
            </w:r>
          </w:p>
        </w:tc>
        <w:tc>
          <w:tcPr>
            <w:tcW w:w="4152" w:type="dxa"/>
            <w:gridSpan w:val="3"/>
            <w:tcBorders>
              <w:top w:val="single" w:color="000000" w:sz="4" w:space="0"/>
              <w:left w:val="single" w:color="000000" w:sz="4" w:space="0"/>
              <w:bottom w:val="single" w:color="000000" w:sz="4" w:space="0"/>
              <w:right w:val="nil"/>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昌吉州医疗保障局</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项目名称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医疗基金监管工作经费</w:t>
            </w:r>
          </w:p>
        </w:tc>
      </w:tr>
      <w:tr>
        <w:tblPrEx>
          <w:tblLayout w:type="fixed"/>
          <w:tblCellMar>
            <w:top w:w="0" w:type="dxa"/>
            <w:left w:w="0" w:type="dxa"/>
            <w:bottom w:w="0" w:type="dxa"/>
            <w:right w:w="0" w:type="dxa"/>
          </w:tblCellMar>
        </w:tblPrEx>
        <w:trPr>
          <w:trHeight w:val="54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项目资金（万元）</w:t>
            </w: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年度资金总额：</w:t>
            </w:r>
          </w:p>
        </w:tc>
        <w:tc>
          <w:tcPr>
            <w:tcW w:w="12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30</w:t>
            </w:r>
          </w:p>
        </w:tc>
        <w:tc>
          <w:tcPr>
            <w:tcW w:w="14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其中：财政拨款</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30</w:t>
            </w:r>
          </w:p>
        </w:tc>
        <w:tc>
          <w:tcPr>
            <w:tcW w:w="1481"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其他资金</w:t>
            </w:r>
          </w:p>
        </w:tc>
        <w:tc>
          <w:tcPr>
            <w:tcW w:w="118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0</w:t>
            </w:r>
          </w:p>
        </w:tc>
      </w:tr>
      <w:tr>
        <w:tblPrEx>
          <w:tblLayout w:type="fixed"/>
          <w:tblCellMar>
            <w:top w:w="0" w:type="dxa"/>
            <w:left w:w="0" w:type="dxa"/>
            <w:bottom w:w="0" w:type="dxa"/>
            <w:right w:w="0" w:type="dxa"/>
          </w:tblCellMar>
        </w:tblPrEx>
        <w:trPr>
          <w:trHeight w:val="110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项目总体目标</w:t>
            </w:r>
          </w:p>
        </w:tc>
        <w:tc>
          <w:tcPr>
            <w:tcW w:w="7855" w:type="dxa"/>
            <w:gridSpan w:val="6"/>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spacing w:line="340" w:lineRule="exact"/>
              <w:jc w:val="left"/>
              <w:rPr>
                <w:rFonts w:ascii="宋体" w:hAnsi="宋体" w:cs="宋体"/>
                <w:color w:val="000000"/>
                <w:sz w:val="18"/>
                <w:szCs w:val="18"/>
              </w:rPr>
            </w:pPr>
            <w:r>
              <w:rPr>
                <w:rFonts w:hint="eastAsia" w:ascii="宋体" w:hAnsi="宋体" w:cs="宋体"/>
                <w:color w:val="000000"/>
                <w:sz w:val="18"/>
                <w:szCs w:val="18"/>
              </w:rPr>
              <w:t>单位职能：组织制定并实施医疗保障基金监督管理办法，建立健全医疗保障基金安全防控机制，承担推进医疗保障基金支付方式改革工作，编制自治州医疗保障基金预决算草案。项目目标：按加强基金监管队伍建设，提高基金监管质量。加强打击欺诈骗保工作力度、切实保障医保基金合理有效使用，确保医保基金安全，保障人民群众的切身利益，提升群众满意度。</w:t>
            </w:r>
          </w:p>
        </w:tc>
      </w:tr>
      <w:tr>
        <w:tblPrEx>
          <w:tblLayout w:type="fixed"/>
          <w:tblCellMar>
            <w:top w:w="0" w:type="dxa"/>
            <w:left w:w="0" w:type="dxa"/>
            <w:bottom w:w="0" w:type="dxa"/>
            <w:right w:w="0" w:type="dxa"/>
          </w:tblCellMar>
        </w:tblPrEx>
        <w:trPr>
          <w:trHeight w:val="48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5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一级指标</w:t>
            </w: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5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二级指标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5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三级指标</w:t>
            </w:r>
          </w:p>
        </w:tc>
        <w:tc>
          <w:tcPr>
            <w:tcW w:w="2664"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5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指标值（包含数字及文字描述）</w:t>
            </w:r>
          </w:p>
        </w:tc>
      </w:tr>
      <w:tr>
        <w:tblPrEx>
          <w:tblLayout w:type="fixed"/>
          <w:tblCellMar>
            <w:top w:w="0" w:type="dxa"/>
            <w:left w:w="0" w:type="dxa"/>
            <w:bottom w:w="0" w:type="dxa"/>
            <w:right w:w="0" w:type="dxa"/>
          </w:tblCellMar>
        </w:tblPrEx>
        <w:trPr>
          <w:trHeight w:val="440" w:hRule="atLeast"/>
        </w:trPr>
        <w:tc>
          <w:tcPr>
            <w:tcW w:w="96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5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产出指标</w:t>
            </w: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5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580" w:lineRule="exact"/>
              <w:rPr>
                <w:rFonts w:ascii="宋体" w:hAnsi="宋体" w:cs="宋体"/>
                <w:color w:val="000000"/>
                <w:sz w:val="18"/>
                <w:szCs w:val="18"/>
              </w:rPr>
            </w:pPr>
            <w:r>
              <w:rPr>
                <w:rFonts w:hint="eastAsia" w:ascii="宋体" w:hAnsi="宋体" w:cs="宋体"/>
                <w:color w:val="000000"/>
                <w:sz w:val="18"/>
                <w:szCs w:val="18"/>
              </w:rPr>
              <w:t>检查监管全州医疗机构个数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580" w:lineRule="exact"/>
              <w:jc w:val="center"/>
              <w:rPr>
                <w:rFonts w:ascii="宋体" w:hAnsi="宋体" w:cs="宋体"/>
                <w:color w:val="000000"/>
                <w:sz w:val="18"/>
                <w:szCs w:val="18"/>
              </w:rPr>
            </w:pPr>
            <w:r>
              <w:rPr>
                <w:rFonts w:hint="eastAsia" w:ascii="宋体" w:hAnsi="宋体" w:cs="宋体"/>
                <w:color w:val="000000"/>
                <w:sz w:val="18"/>
                <w:szCs w:val="18"/>
              </w:rPr>
              <w:t>927家</w:t>
            </w:r>
          </w:p>
        </w:tc>
      </w:tr>
      <w:tr>
        <w:tblPrEx>
          <w:tblLayout w:type="fixed"/>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580" w:lineRule="exact"/>
              <w:jc w:val="center"/>
              <w:rPr>
                <w:rFonts w:ascii="宋体" w:hAnsi="宋体" w:cs="宋体"/>
                <w:color w:val="000000"/>
                <w:sz w:val="18"/>
                <w:szCs w:val="18"/>
              </w:rPr>
            </w:pPr>
          </w:p>
        </w:tc>
        <w:tc>
          <w:tcPr>
            <w:tcW w:w="145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5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质量指标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580" w:lineRule="exact"/>
              <w:rPr>
                <w:rFonts w:ascii="宋体" w:hAnsi="宋体" w:cs="宋体"/>
                <w:color w:val="000000"/>
                <w:sz w:val="18"/>
                <w:szCs w:val="18"/>
              </w:rPr>
            </w:pPr>
            <w:r>
              <w:rPr>
                <w:rFonts w:hint="eastAsia" w:ascii="宋体" w:hAnsi="宋体" w:cs="宋体"/>
                <w:color w:val="000000"/>
                <w:sz w:val="18"/>
                <w:szCs w:val="18"/>
              </w:rPr>
              <w:t>交叉检查抽查率10%</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580" w:lineRule="exact"/>
              <w:jc w:val="center"/>
              <w:rPr>
                <w:rFonts w:ascii="宋体" w:hAnsi="宋体" w:cs="宋体"/>
                <w:color w:val="000000"/>
                <w:sz w:val="18"/>
                <w:szCs w:val="18"/>
              </w:rPr>
            </w:pPr>
            <w:r>
              <w:rPr>
                <w:rFonts w:hint="eastAsia" w:ascii="宋体" w:hAnsi="宋体" w:cs="宋体"/>
                <w:color w:val="000000"/>
                <w:sz w:val="18"/>
                <w:szCs w:val="18"/>
              </w:rPr>
              <w:t>100%</w:t>
            </w:r>
          </w:p>
        </w:tc>
      </w:tr>
      <w:tr>
        <w:tblPrEx>
          <w:tblLayout w:type="fixed"/>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580" w:lineRule="exact"/>
              <w:jc w:val="center"/>
              <w:rPr>
                <w:rFonts w:ascii="宋体" w:hAnsi="宋体" w:cs="宋体"/>
                <w:color w:val="000000"/>
                <w:sz w:val="18"/>
                <w:szCs w:val="18"/>
              </w:rPr>
            </w:pPr>
          </w:p>
        </w:tc>
        <w:tc>
          <w:tcPr>
            <w:tcW w:w="14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580" w:lineRule="exact"/>
              <w:jc w:val="center"/>
              <w:rPr>
                <w:rFonts w:ascii="宋体" w:hAnsi="宋体" w:cs="宋体"/>
                <w:color w:val="000000"/>
                <w:sz w:val="18"/>
                <w:szCs w:val="18"/>
              </w:rP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580" w:lineRule="exact"/>
              <w:rPr>
                <w:rFonts w:ascii="宋体" w:hAnsi="宋体" w:cs="宋体"/>
                <w:color w:val="000000"/>
                <w:sz w:val="18"/>
                <w:szCs w:val="18"/>
              </w:rPr>
            </w:pPr>
            <w:r>
              <w:rPr>
                <w:rFonts w:hint="eastAsia" w:ascii="宋体" w:hAnsi="宋体" w:cs="宋体"/>
                <w:color w:val="000000"/>
                <w:sz w:val="18"/>
                <w:szCs w:val="18"/>
              </w:rPr>
              <w:t>形成处罚决定书下达率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580" w:lineRule="exact"/>
              <w:jc w:val="center"/>
              <w:rPr>
                <w:rFonts w:ascii="宋体" w:hAnsi="宋体" w:cs="宋体"/>
                <w:color w:val="000000"/>
                <w:sz w:val="18"/>
                <w:szCs w:val="18"/>
              </w:rPr>
            </w:pPr>
            <w:r>
              <w:rPr>
                <w:rFonts w:hint="eastAsia" w:ascii="宋体" w:hAnsi="宋体" w:cs="宋体"/>
                <w:color w:val="000000"/>
                <w:sz w:val="18"/>
                <w:szCs w:val="18"/>
              </w:rPr>
              <w:t>100%</w:t>
            </w:r>
          </w:p>
        </w:tc>
      </w:tr>
      <w:tr>
        <w:tblPrEx>
          <w:tblLayout w:type="fixed"/>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580" w:lineRule="exact"/>
              <w:jc w:val="center"/>
              <w:rPr>
                <w:rFonts w:ascii="宋体" w:hAnsi="宋体" w:cs="宋体"/>
                <w:color w:val="000000"/>
                <w:sz w:val="18"/>
                <w:szCs w:val="18"/>
              </w:rPr>
            </w:pPr>
          </w:p>
        </w:tc>
        <w:tc>
          <w:tcPr>
            <w:tcW w:w="145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5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时效指标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580" w:lineRule="exact"/>
              <w:rPr>
                <w:rFonts w:ascii="宋体" w:hAnsi="宋体" w:cs="宋体"/>
                <w:color w:val="000000"/>
                <w:sz w:val="18"/>
                <w:szCs w:val="18"/>
              </w:rPr>
            </w:pPr>
            <w:r>
              <w:rPr>
                <w:rFonts w:hint="eastAsia" w:ascii="宋体" w:hAnsi="宋体" w:cs="宋体"/>
                <w:color w:val="000000"/>
                <w:sz w:val="18"/>
                <w:szCs w:val="18"/>
              </w:rPr>
              <w:t>举报案件处理及时率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580" w:lineRule="exact"/>
              <w:jc w:val="center"/>
              <w:rPr>
                <w:rFonts w:ascii="宋体" w:hAnsi="宋体" w:cs="宋体"/>
                <w:color w:val="000000"/>
                <w:sz w:val="18"/>
                <w:szCs w:val="18"/>
              </w:rPr>
            </w:pPr>
            <w:r>
              <w:rPr>
                <w:rFonts w:hint="eastAsia" w:ascii="宋体" w:hAnsi="宋体" w:cs="宋体"/>
                <w:color w:val="000000"/>
                <w:sz w:val="18"/>
                <w:szCs w:val="18"/>
              </w:rPr>
              <w:t>100%</w:t>
            </w:r>
          </w:p>
        </w:tc>
      </w:tr>
      <w:tr>
        <w:tblPrEx>
          <w:tblLayout w:type="fixed"/>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580" w:lineRule="exact"/>
              <w:jc w:val="center"/>
              <w:rPr>
                <w:rFonts w:ascii="宋体" w:hAnsi="宋体" w:cs="宋体"/>
                <w:color w:val="000000"/>
                <w:sz w:val="18"/>
                <w:szCs w:val="18"/>
              </w:rPr>
            </w:pPr>
          </w:p>
        </w:tc>
        <w:tc>
          <w:tcPr>
            <w:tcW w:w="14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580" w:lineRule="exact"/>
              <w:jc w:val="center"/>
              <w:rPr>
                <w:rFonts w:ascii="宋体" w:hAnsi="宋体" w:cs="宋体"/>
                <w:color w:val="000000"/>
                <w:sz w:val="18"/>
                <w:szCs w:val="18"/>
              </w:rP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580" w:lineRule="exact"/>
              <w:rPr>
                <w:rFonts w:ascii="宋体" w:hAnsi="宋体" w:cs="宋体"/>
                <w:color w:val="000000"/>
                <w:sz w:val="18"/>
                <w:szCs w:val="18"/>
              </w:rPr>
            </w:pPr>
            <w:r>
              <w:rPr>
                <w:rFonts w:hint="eastAsia" w:ascii="宋体" w:hAnsi="宋体" w:cs="宋体"/>
                <w:color w:val="000000"/>
                <w:sz w:val="18"/>
                <w:szCs w:val="18"/>
              </w:rPr>
              <w:t>项目开展时间</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580" w:lineRule="exact"/>
              <w:jc w:val="center"/>
              <w:rPr>
                <w:rFonts w:ascii="宋体" w:hAnsi="宋体" w:cs="宋体"/>
                <w:color w:val="000000"/>
                <w:sz w:val="18"/>
                <w:szCs w:val="18"/>
              </w:rPr>
            </w:pPr>
            <w:r>
              <w:rPr>
                <w:rFonts w:hint="eastAsia" w:ascii="宋体" w:hAnsi="宋体" w:cs="宋体"/>
                <w:color w:val="000000"/>
                <w:sz w:val="18"/>
                <w:szCs w:val="18"/>
              </w:rPr>
              <w:t>2021年1月-12月</w:t>
            </w:r>
          </w:p>
        </w:tc>
      </w:tr>
      <w:tr>
        <w:tblPrEx>
          <w:tblLayout w:type="fixed"/>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580" w:lineRule="exact"/>
              <w:jc w:val="center"/>
              <w:rPr>
                <w:rFonts w:ascii="宋体" w:hAnsi="宋体" w:cs="宋体"/>
                <w:color w:val="000000"/>
                <w:sz w:val="18"/>
                <w:szCs w:val="18"/>
              </w:rPr>
            </w:pP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5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成本指标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580" w:lineRule="exact"/>
              <w:rPr>
                <w:rFonts w:ascii="宋体" w:hAnsi="宋体" w:cs="宋体"/>
                <w:color w:val="000000"/>
                <w:sz w:val="18"/>
                <w:szCs w:val="18"/>
              </w:rPr>
            </w:pPr>
            <w:r>
              <w:rPr>
                <w:rFonts w:hint="eastAsia" w:ascii="宋体" w:hAnsi="宋体" w:cs="宋体"/>
                <w:color w:val="000000"/>
                <w:sz w:val="18"/>
                <w:szCs w:val="18"/>
              </w:rPr>
              <w:t>医保基金稽核、监管资金成本</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580" w:lineRule="exact"/>
              <w:jc w:val="center"/>
              <w:rPr>
                <w:rFonts w:ascii="宋体" w:hAnsi="宋体" w:cs="宋体"/>
                <w:color w:val="000000"/>
                <w:sz w:val="18"/>
                <w:szCs w:val="18"/>
              </w:rPr>
            </w:pPr>
            <w:r>
              <w:rPr>
                <w:rFonts w:hint="eastAsia" w:ascii="宋体" w:hAnsi="宋体" w:cs="宋体"/>
                <w:color w:val="000000"/>
                <w:sz w:val="18"/>
                <w:szCs w:val="18"/>
              </w:rPr>
              <w:t>≦30万元</w:t>
            </w:r>
          </w:p>
        </w:tc>
      </w:tr>
      <w:tr>
        <w:tblPrEx>
          <w:tblLayout w:type="fixed"/>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580" w:lineRule="exact"/>
              <w:jc w:val="center"/>
              <w:rPr>
                <w:rFonts w:ascii="宋体" w:hAnsi="宋体" w:cs="宋体"/>
                <w:color w:val="000000"/>
                <w:sz w:val="18"/>
                <w:szCs w:val="18"/>
              </w:rPr>
            </w:pP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5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社会效益指标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580" w:lineRule="exact"/>
              <w:jc w:val="left"/>
              <w:rPr>
                <w:rFonts w:ascii="宋体" w:hAnsi="宋体" w:cs="宋体"/>
                <w:color w:val="000000"/>
                <w:sz w:val="18"/>
                <w:szCs w:val="18"/>
              </w:rPr>
            </w:pPr>
            <w:r>
              <w:rPr>
                <w:rFonts w:hint="eastAsia" w:ascii="宋体" w:hAnsi="宋体" w:cs="宋体"/>
                <w:color w:val="000000"/>
                <w:sz w:val="18"/>
                <w:szCs w:val="18"/>
              </w:rPr>
              <w:t>加强基金监管队伍建设，提高基金监管质量,保障人民群众的切身利益。</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580" w:lineRule="exact"/>
              <w:jc w:val="center"/>
              <w:rPr>
                <w:rFonts w:ascii="宋体" w:hAnsi="宋体" w:cs="宋体"/>
                <w:color w:val="000000"/>
                <w:sz w:val="18"/>
                <w:szCs w:val="18"/>
              </w:rPr>
            </w:pPr>
            <w:r>
              <w:rPr>
                <w:rFonts w:hint="eastAsia" w:ascii="宋体" w:hAnsi="宋体" w:cs="宋体"/>
                <w:color w:val="000000"/>
                <w:sz w:val="18"/>
                <w:szCs w:val="18"/>
              </w:rPr>
              <w:t>100%</w:t>
            </w:r>
          </w:p>
        </w:tc>
      </w:tr>
      <w:tr>
        <w:tblPrEx>
          <w:tblLayout w:type="fixed"/>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580" w:lineRule="exact"/>
              <w:jc w:val="center"/>
              <w:rPr>
                <w:rFonts w:ascii="宋体" w:hAnsi="宋体" w:cs="宋体"/>
                <w:color w:val="000000"/>
                <w:sz w:val="18"/>
                <w:szCs w:val="18"/>
              </w:rPr>
            </w:pP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5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可持续影响指标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580" w:lineRule="exact"/>
              <w:rPr>
                <w:rFonts w:ascii="宋体" w:hAnsi="宋体" w:cs="宋体"/>
                <w:color w:val="000000"/>
                <w:sz w:val="18"/>
                <w:szCs w:val="18"/>
              </w:rPr>
            </w:pPr>
            <w:r>
              <w:rPr>
                <w:rFonts w:hint="eastAsia" w:ascii="宋体" w:hAnsi="宋体" w:cs="宋体"/>
                <w:color w:val="000000"/>
                <w:sz w:val="18"/>
                <w:szCs w:val="18"/>
              </w:rPr>
              <w:t>医保基金监管政策执行力</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580" w:lineRule="exact"/>
              <w:jc w:val="center"/>
              <w:rPr>
                <w:rFonts w:ascii="宋体" w:hAnsi="宋体" w:cs="宋体"/>
                <w:color w:val="000000"/>
                <w:sz w:val="18"/>
                <w:szCs w:val="18"/>
              </w:rPr>
            </w:pPr>
            <w:r>
              <w:rPr>
                <w:rFonts w:hint="eastAsia" w:ascii="宋体" w:hAnsi="宋体" w:cs="宋体"/>
                <w:color w:val="000000"/>
                <w:sz w:val="18"/>
                <w:szCs w:val="18"/>
              </w:rPr>
              <w:t>长期</w:t>
            </w:r>
          </w:p>
        </w:tc>
      </w:tr>
      <w:tr>
        <w:tblPrEx>
          <w:tblLayout w:type="fixed"/>
          <w:tblCellMar>
            <w:top w:w="0" w:type="dxa"/>
            <w:left w:w="0" w:type="dxa"/>
            <w:bottom w:w="0" w:type="dxa"/>
            <w:right w:w="0" w:type="dxa"/>
          </w:tblCellMar>
        </w:tblPrEx>
        <w:trPr>
          <w:trHeight w:val="440" w:hRule="atLeast"/>
        </w:trPr>
        <w:tc>
          <w:tcPr>
            <w:tcW w:w="96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5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145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5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580" w:lineRule="exact"/>
              <w:rPr>
                <w:rFonts w:ascii="宋体" w:hAnsi="宋体" w:cs="宋体"/>
                <w:color w:val="000000"/>
                <w:sz w:val="18"/>
                <w:szCs w:val="18"/>
              </w:rPr>
            </w:pPr>
            <w:r>
              <w:rPr>
                <w:rFonts w:hint="eastAsia" w:ascii="宋体" w:hAnsi="宋体" w:cs="宋体"/>
                <w:color w:val="000000"/>
                <w:sz w:val="18"/>
                <w:szCs w:val="18"/>
              </w:rPr>
              <w:t>欺诈骗保事件处理举报人满意度</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580" w:lineRule="exact"/>
              <w:jc w:val="center"/>
              <w:rPr>
                <w:rFonts w:ascii="宋体" w:hAnsi="宋体" w:cs="宋体"/>
                <w:color w:val="000000"/>
                <w:sz w:val="18"/>
                <w:szCs w:val="18"/>
              </w:rPr>
            </w:pPr>
            <w:r>
              <w:rPr>
                <w:rFonts w:hint="eastAsia" w:ascii="宋体" w:hAnsi="宋体" w:cs="宋体"/>
                <w:color w:val="000000"/>
                <w:sz w:val="18"/>
                <w:szCs w:val="18"/>
              </w:rPr>
              <w:t>90%</w:t>
            </w:r>
          </w:p>
        </w:tc>
      </w:tr>
      <w:tr>
        <w:tblPrEx>
          <w:tblLayout w:type="fixed"/>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580" w:lineRule="exact"/>
              <w:jc w:val="center"/>
              <w:rPr>
                <w:rFonts w:ascii="宋体" w:hAnsi="宋体" w:cs="宋体"/>
                <w:color w:val="000000"/>
                <w:sz w:val="18"/>
                <w:szCs w:val="18"/>
              </w:rPr>
            </w:pPr>
          </w:p>
        </w:tc>
        <w:tc>
          <w:tcPr>
            <w:tcW w:w="14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580" w:lineRule="exact"/>
              <w:jc w:val="center"/>
              <w:rPr>
                <w:rFonts w:ascii="宋体" w:hAnsi="宋体" w:cs="宋体"/>
                <w:color w:val="000000"/>
                <w:sz w:val="18"/>
                <w:szCs w:val="18"/>
              </w:rP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580" w:lineRule="exact"/>
              <w:rPr>
                <w:rFonts w:ascii="宋体" w:hAnsi="宋体" w:cs="宋体"/>
                <w:color w:val="000000"/>
                <w:sz w:val="18"/>
                <w:szCs w:val="18"/>
              </w:rPr>
            </w:pPr>
            <w:r>
              <w:rPr>
                <w:rFonts w:hint="eastAsia" w:ascii="宋体" w:hAnsi="宋体" w:cs="宋体"/>
                <w:color w:val="000000"/>
                <w:sz w:val="18"/>
                <w:szCs w:val="18"/>
              </w:rPr>
              <w:t>群众满意度</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580" w:lineRule="exact"/>
              <w:jc w:val="center"/>
              <w:rPr>
                <w:rFonts w:ascii="宋体" w:hAnsi="宋体" w:cs="宋体"/>
                <w:color w:val="000000"/>
                <w:sz w:val="18"/>
                <w:szCs w:val="18"/>
              </w:rPr>
            </w:pPr>
            <w:r>
              <w:rPr>
                <w:rFonts w:hint="eastAsia" w:ascii="宋体" w:hAnsi="宋体" w:cs="宋体"/>
                <w:color w:val="000000"/>
                <w:sz w:val="18"/>
                <w:szCs w:val="18"/>
              </w:rPr>
              <w:t>≧95%</w:t>
            </w:r>
          </w:p>
        </w:tc>
      </w:tr>
      <w:tr>
        <w:tblPrEx>
          <w:tblLayout w:type="fixed"/>
          <w:tblCellMar>
            <w:top w:w="0" w:type="dxa"/>
            <w:left w:w="0" w:type="dxa"/>
            <w:bottom w:w="0" w:type="dxa"/>
            <w:right w:w="0" w:type="dxa"/>
          </w:tblCellMar>
        </w:tblPrEx>
        <w:trPr>
          <w:trHeight w:val="480" w:hRule="atLeast"/>
        </w:trPr>
        <w:tc>
          <w:tcPr>
            <w:tcW w:w="8815" w:type="dxa"/>
            <w:gridSpan w:val="7"/>
            <w:tcBorders>
              <w:top w:val="nil"/>
              <w:left w:val="nil"/>
              <w:bottom w:val="nil"/>
              <w:right w:val="nil"/>
            </w:tcBorders>
            <w:noWrap/>
            <w:tcMar>
              <w:top w:w="12" w:type="dxa"/>
              <w:left w:w="12" w:type="dxa"/>
              <w:right w:w="12" w:type="dxa"/>
            </w:tcMar>
            <w:vAlign w:val="bottom"/>
          </w:tcPr>
          <w:p>
            <w:pPr>
              <w:widowControl/>
              <w:spacing w:line="480" w:lineRule="exact"/>
              <w:jc w:val="center"/>
              <w:textAlignment w:val="bottom"/>
              <w:rPr>
                <w:rFonts w:ascii="仿宋_GB2312" w:hAnsi="宋体" w:eastAsia="仿宋_GB2312" w:cs="仿宋_GB2312"/>
                <w:b/>
                <w:color w:val="000000"/>
                <w:kern w:val="0"/>
                <w:sz w:val="32"/>
                <w:szCs w:val="32"/>
                <w:lang w:bidi="ar"/>
              </w:rPr>
            </w:pPr>
          </w:p>
          <w:p>
            <w:pPr>
              <w:widowControl/>
              <w:spacing w:line="480" w:lineRule="exact"/>
              <w:ind w:firstLine="1606" w:firstLineChars="500"/>
              <w:textAlignment w:val="bottom"/>
              <w:rPr>
                <w:rFonts w:ascii="仿宋_GB2312" w:hAnsi="宋体" w:eastAsia="仿宋_GB2312" w:cs="仿宋_GB2312"/>
                <w:b/>
                <w:color w:val="000000"/>
                <w:kern w:val="0"/>
                <w:sz w:val="32"/>
                <w:szCs w:val="32"/>
                <w:lang w:bidi="ar"/>
              </w:rPr>
            </w:pPr>
          </w:p>
          <w:p>
            <w:pPr>
              <w:widowControl/>
              <w:spacing w:line="480" w:lineRule="exact"/>
              <w:ind w:firstLine="1606" w:firstLineChars="500"/>
              <w:textAlignment w:val="bottom"/>
              <w:rPr>
                <w:rFonts w:ascii="仿宋_GB2312" w:hAnsi="宋体" w:eastAsia="仿宋_GB2312" w:cs="仿宋_GB2312"/>
                <w:b/>
                <w:color w:val="000000"/>
                <w:kern w:val="0"/>
                <w:sz w:val="32"/>
                <w:szCs w:val="32"/>
                <w:lang w:bidi="ar"/>
              </w:rPr>
            </w:pPr>
          </w:p>
          <w:p>
            <w:pPr>
              <w:widowControl/>
              <w:spacing w:line="480" w:lineRule="exact"/>
              <w:ind w:firstLine="1606" w:firstLineChars="500"/>
              <w:textAlignment w:val="bottom"/>
              <w:rPr>
                <w:rFonts w:ascii="仿宋_GB2312" w:hAnsi="宋体" w:eastAsia="仿宋_GB2312" w:cs="仿宋_GB2312"/>
                <w:b/>
                <w:color w:val="000000"/>
                <w:kern w:val="0"/>
                <w:sz w:val="32"/>
                <w:szCs w:val="32"/>
                <w:lang w:bidi="ar"/>
              </w:rPr>
            </w:pPr>
          </w:p>
          <w:p>
            <w:pPr>
              <w:widowControl/>
              <w:spacing w:line="480" w:lineRule="exact"/>
              <w:ind w:firstLine="1606" w:firstLineChars="500"/>
              <w:textAlignment w:val="bottom"/>
              <w:rPr>
                <w:rFonts w:ascii="仿宋_GB2312" w:hAnsi="宋体" w:eastAsia="仿宋_GB2312" w:cs="仿宋_GB2312"/>
                <w:b/>
                <w:color w:val="000000"/>
                <w:kern w:val="0"/>
                <w:sz w:val="32"/>
                <w:szCs w:val="32"/>
                <w:lang w:bidi="ar"/>
              </w:rPr>
            </w:pPr>
          </w:p>
          <w:p>
            <w:pPr>
              <w:widowControl/>
              <w:spacing w:line="480" w:lineRule="exact"/>
              <w:ind w:firstLine="1606" w:firstLineChars="500"/>
              <w:textAlignment w:val="bottom"/>
              <w:rPr>
                <w:rFonts w:ascii="仿宋_GB2312" w:hAnsi="宋体" w:eastAsia="仿宋_GB2312" w:cs="仿宋_GB2312"/>
                <w:b/>
                <w:color w:val="000000"/>
                <w:kern w:val="0"/>
                <w:sz w:val="32"/>
                <w:szCs w:val="32"/>
                <w:lang w:bidi="ar"/>
              </w:rPr>
            </w:pPr>
          </w:p>
          <w:p>
            <w:pPr>
              <w:widowControl/>
              <w:spacing w:line="480" w:lineRule="exact"/>
              <w:jc w:val="center"/>
              <w:textAlignment w:val="bottom"/>
              <w:rPr>
                <w:rFonts w:ascii="仿宋_GB2312" w:hAnsi="宋体" w:eastAsia="仿宋_GB2312" w:cs="仿宋_GB2312"/>
                <w:b/>
                <w:color w:val="000000"/>
                <w:sz w:val="32"/>
                <w:szCs w:val="32"/>
              </w:rPr>
            </w:pPr>
            <w:r>
              <w:rPr>
                <w:rFonts w:hint="eastAsia" w:ascii="仿宋_GB2312" w:hAnsi="宋体" w:eastAsia="仿宋_GB2312" w:cs="仿宋_GB2312"/>
                <w:b/>
                <w:color w:val="000000"/>
                <w:kern w:val="0"/>
                <w:sz w:val="32"/>
                <w:szCs w:val="32"/>
                <w:lang w:bidi="ar"/>
              </w:rPr>
              <w:t>地州级退休人员医疗补助经费支出绩效目标表</w:t>
            </w:r>
          </w:p>
        </w:tc>
      </w:tr>
      <w:tr>
        <w:tblPrEx>
          <w:tblLayout w:type="fixed"/>
          <w:tblCellMar>
            <w:top w:w="0" w:type="dxa"/>
            <w:left w:w="0" w:type="dxa"/>
            <w:bottom w:w="0" w:type="dxa"/>
            <w:right w:w="0" w:type="dxa"/>
          </w:tblCellMar>
        </w:tblPrEx>
        <w:trPr>
          <w:trHeight w:val="380" w:hRule="atLeast"/>
        </w:trPr>
        <w:tc>
          <w:tcPr>
            <w:tcW w:w="8815" w:type="dxa"/>
            <w:gridSpan w:val="7"/>
            <w:tcBorders>
              <w:top w:val="nil"/>
              <w:left w:val="nil"/>
              <w:bottom w:val="nil"/>
              <w:right w:val="nil"/>
            </w:tcBorders>
            <w:noWrap/>
            <w:tcMar>
              <w:top w:w="12" w:type="dxa"/>
              <w:left w:w="12" w:type="dxa"/>
              <w:right w:w="12" w:type="dxa"/>
            </w:tcMar>
            <w:vAlign w:val="bottom"/>
          </w:tcPr>
          <w:p>
            <w:pPr>
              <w:widowControl/>
              <w:spacing w:line="480" w:lineRule="exact"/>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（2021年）</w:t>
            </w:r>
          </w:p>
        </w:tc>
      </w:tr>
      <w:tr>
        <w:tblPrEx>
          <w:tblLayout w:type="fixed"/>
          <w:tblCellMar>
            <w:top w:w="0" w:type="dxa"/>
            <w:left w:w="0" w:type="dxa"/>
            <w:bottom w:w="0" w:type="dxa"/>
            <w:right w:w="0" w:type="dxa"/>
          </w:tblCellMar>
        </w:tblPrEx>
        <w:trPr>
          <w:trHeight w:val="50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预算单位</w:t>
            </w:r>
          </w:p>
        </w:tc>
        <w:tc>
          <w:tcPr>
            <w:tcW w:w="4152" w:type="dxa"/>
            <w:gridSpan w:val="3"/>
            <w:tcBorders>
              <w:top w:val="single" w:color="000000" w:sz="4" w:space="0"/>
              <w:left w:val="single" w:color="000000" w:sz="4" w:space="0"/>
              <w:bottom w:val="single" w:color="000000" w:sz="4" w:space="0"/>
              <w:right w:val="nil"/>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昌吉回族自治州医疗保障局本级</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项目名称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地州级退休人员医疗补助经费</w:t>
            </w:r>
          </w:p>
        </w:tc>
      </w:tr>
      <w:tr>
        <w:tblPrEx>
          <w:tblLayout w:type="fixed"/>
          <w:tblCellMar>
            <w:top w:w="0" w:type="dxa"/>
            <w:left w:w="0" w:type="dxa"/>
            <w:bottom w:w="0" w:type="dxa"/>
            <w:right w:w="0" w:type="dxa"/>
          </w:tblCellMar>
        </w:tblPrEx>
        <w:trPr>
          <w:trHeight w:val="54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项目资金（万元）</w:t>
            </w: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年度资金总额：</w:t>
            </w:r>
          </w:p>
        </w:tc>
        <w:tc>
          <w:tcPr>
            <w:tcW w:w="12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265</w:t>
            </w:r>
          </w:p>
        </w:tc>
        <w:tc>
          <w:tcPr>
            <w:tcW w:w="14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其中：财政拨款</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265</w:t>
            </w:r>
          </w:p>
        </w:tc>
        <w:tc>
          <w:tcPr>
            <w:tcW w:w="1481"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其他资金</w:t>
            </w:r>
          </w:p>
        </w:tc>
        <w:tc>
          <w:tcPr>
            <w:tcW w:w="118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0</w:t>
            </w:r>
          </w:p>
        </w:tc>
      </w:tr>
      <w:tr>
        <w:tblPrEx>
          <w:tblLayout w:type="fixed"/>
          <w:tblCellMar>
            <w:top w:w="0" w:type="dxa"/>
            <w:left w:w="0" w:type="dxa"/>
            <w:bottom w:w="0" w:type="dxa"/>
            <w:right w:w="0" w:type="dxa"/>
          </w:tblCellMar>
        </w:tblPrEx>
        <w:trPr>
          <w:trHeight w:val="110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项目总体目标</w:t>
            </w:r>
          </w:p>
        </w:tc>
        <w:tc>
          <w:tcPr>
            <w:tcW w:w="7855" w:type="dxa"/>
            <w:gridSpan w:val="6"/>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spacing w:line="480" w:lineRule="exact"/>
              <w:jc w:val="left"/>
              <w:rPr>
                <w:rFonts w:ascii="宋体" w:hAnsi="宋体" w:cs="宋体"/>
                <w:color w:val="000000"/>
                <w:sz w:val="18"/>
                <w:szCs w:val="18"/>
              </w:rPr>
            </w:pPr>
            <w:r>
              <w:rPr>
                <w:rFonts w:hint="eastAsia" w:ascii="宋体" w:hAnsi="宋体" w:cs="宋体"/>
                <w:color w:val="000000"/>
                <w:sz w:val="18"/>
                <w:szCs w:val="18"/>
              </w:rPr>
              <w:t>单位职能：贯彻执行国家及区州社会保险法律、法规和政策，拟定全州基金管理办法和经办服务规程并组织实施；负责区、州统筹的社会保险基金的管理和运营，指导县市级统筹的社会保险基金的经办管理；项目目标：以建立社会保险全覆盖体系为目标，提高地州级退休人员生活质量，使参保人员的幸福感、获得感、安全感不断增强。</w:t>
            </w:r>
          </w:p>
        </w:tc>
      </w:tr>
      <w:tr>
        <w:tblPrEx>
          <w:tblLayout w:type="fixed"/>
          <w:tblCellMar>
            <w:top w:w="0" w:type="dxa"/>
            <w:left w:w="0" w:type="dxa"/>
            <w:bottom w:w="0" w:type="dxa"/>
            <w:right w:w="0" w:type="dxa"/>
          </w:tblCellMar>
        </w:tblPrEx>
        <w:trPr>
          <w:trHeight w:val="48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62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一级指标</w:t>
            </w: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62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二级指标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62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三级指标</w:t>
            </w:r>
          </w:p>
        </w:tc>
        <w:tc>
          <w:tcPr>
            <w:tcW w:w="2664"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62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指标值（包含数字及文字描述）</w:t>
            </w:r>
          </w:p>
        </w:tc>
      </w:tr>
      <w:tr>
        <w:tblPrEx>
          <w:tblLayout w:type="fixed"/>
          <w:tblCellMar>
            <w:top w:w="0" w:type="dxa"/>
            <w:left w:w="0" w:type="dxa"/>
            <w:bottom w:w="0" w:type="dxa"/>
            <w:right w:w="0" w:type="dxa"/>
          </w:tblCellMar>
        </w:tblPrEx>
        <w:trPr>
          <w:trHeight w:val="865" w:hRule="atLeast"/>
        </w:trPr>
        <w:tc>
          <w:tcPr>
            <w:tcW w:w="96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62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产出指标</w:t>
            </w: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62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620" w:lineRule="exact"/>
              <w:jc w:val="center"/>
              <w:rPr>
                <w:rFonts w:ascii="宋体" w:hAnsi="宋体" w:cs="宋体"/>
                <w:color w:val="000000"/>
                <w:sz w:val="18"/>
                <w:szCs w:val="18"/>
              </w:rPr>
            </w:pPr>
            <w:r>
              <w:rPr>
                <w:rFonts w:hint="eastAsia" w:ascii="宋体" w:hAnsi="宋体" w:cs="宋体"/>
                <w:color w:val="000000"/>
                <w:sz w:val="18"/>
                <w:szCs w:val="18"/>
              </w:rPr>
              <w:t>核定地州级退休人员医疗补助经费享受人数（人次）</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620" w:lineRule="exact"/>
              <w:jc w:val="center"/>
              <w:rPr>
                <w:rFonts w:ascii="宋体" w:hAnsi="宋体" w:cs="宋体"/>
                <w:color w:val="000000"/>
                <w:sz w:val="18"/>
                <w:szCs w:val="18"/>
              </w:rPr>
            </w:pPr>
            <w:r>
              <w:rPr>
                <w:rFonts w:hint="eastAsia" w:ascii="宋体" w:hAnsi="宋体" w:cs="宋体"/>
                <w:color w:val="000000"/>
                <w:sz w:val="18"/>
                <w:szCs w:val="18"/>
              </w:rPr>
              <w:t>=59人</w:t>
            </w:r>
          </w:p>
        </w:tc>
      </w:tr>
      <w:tr>
        <w:tblPrEx>
          <w:tblLayout w:type="fixed"/>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620" w:lineRule="exact"/>
              <w:jc w:val="center"/>
              <w:rPr>
                <w:rFonts w:ascii="宋体" w:hAnsi="宋体" w:cs="宋体"/>
                <w:color w:val="000000"/>
                <w:sz w:val="18"/>
                <w:szCs w:val="18"/>
              </w:rPr>
            </w:pP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62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质量指标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620" w:lineRule="exact"/>
              <w:rPr>
                <w:rFonts w:ascii="宋体" w:hAnsi="宋体" w:cs="宋体"/>
                <w:color w:val="000000"/>
                <w:sz w:val="18"/>
                <w:szCs w:val="18"/>
              </w:rPr>
            </w:pPr>
            <w:r>
              <w:rPr>
                <w:rFonts w:hint="eastAsia" w:ascii="宋体" w:hAnsi="宋体" w:cs="宋体"/>
                <w:color w:val="000000"/>
                <w:sz w:val="18"/>
                <w:szCs w:val="18"/>
              </w:rPr>
              <w:t>享受补助人员覆盖率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620" w:lineRule="exact"/>
              <w:jc w:val="center"/>
              <w:rPr>
                <w:rFonts w:ascii="宋体" w:hAnsi="宋体" w:cs="宋体"/>
                <w:color w:val="000000"/>
                <w:sz w:val="18"/>
                <w:szCs w:val="18"/>
              </w:rPr>
            </w:pPr>
            <w:r>
              <w:rPr>
                <w:rFonts w:hint="eastAsia" w:ascii="宋体" w:hAnsi="宋体" w:cs="宋体"/>
                <w:color w:val="000000"/>
                <w:sz w:val="18"/>
                <w:szCs w:val="18"/>
              </w:rPr>
              <w:t>=100%</w:t>
            </w:r>
          </w:p>
        </w:tc>
      </w:tr>
      <w:tr>
        <w:tblPrEx>
          <w:tblLayout w:type="fixed"/>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620" w:lineRule="exact"/>
              <w:jc w:val="center"/>
              <w:rPr>
                <w:rFonts w:ascii="宋体" w:hAnsi="宋体" w:cs="宋体"/>
                <w:color w:val="000000"/>
                <w:sz w:val="18"/>
                <w:szCs w:val="18"/>
              </w:rPr>
            </w:pPr>
          </w:p>
        </w:tc>
        <w:tc>
          <w:tcPr>
            <w:tcW w:w="145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62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时效指标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620" w:lineRule="exact"/>
              <w:rPr>
                <w:rFonts w:ascii="宋体" w:hAnsi="宋体" w:cs="宋体"/>
                <w:color w:val="000000"/>
                <w:sz w:val="18"/>
                <w:szCs w:val="18"/>
              </w:rPr>
            </w:pPr>
            <w:r>
              <w:rPr>
                <w:rFonts w:hint="eastAsia" w:ascii="宋体" w:hAnsi="宋体" w:cs="宋体"/>
                <w:color w:val="000000"/>
                <w:sz w:val="18"/>
                <w:szCs w:val="18"/>
              </w:rPr>
              <w:t>及时报销门诊、住院医疗费</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620" w:lineRule="exact"/>
              <w:jc w:val="center"/>
              <w:rPr>
                <w:rFonts w:ascii="宋体" w:hAnsi="宋体" w:cs="宋体"/>
                <w:color w:val="000000"/>
                <w:sz w:val="18"/>
                <w:szCs w:val="18"/>
              </w:rPr>
            </w:pPr>
            <w:r>
              <w:rPr>
                <w:rFonts w:hint="eastAsia" w:ascii="宋体" w:hAnsi="宋体" w:cs="宋体"/>
                <w:color w:val="000000"/>
                <w:sz w:val="18"/>
                <w:szCs w:val="18"/>
              </w:rPr>
              <w:t>=100%</w:t>
            </w:r>
          </w:p>
        </w:tc>
      </w:tr>
      <w:tr>
        <w:tblPrEx>
          <w:tblLayout w:type="fixed"/>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620" w:lineRule="exact"/>
              <w:jc w:val="center"/>
              <w:rPr>
                <w:rFonts w:ascii="宋体" w:hAnsi="宋体" w:cs="宋体"/>
                <w:color w:val="000000"/>
                <w:sz w:val="18"/>
                <w:szCs w:val="18"/>
              </w:rPr>
            </w:pPr>
          </w:p>
        </w:tc>
        <w:tc>
          <w:tcPr>
            <w:tcW w:w="14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620" w:lineRule="exact"/>
              <w:jc w:val="center"/>
              <w:rPr>
                <w:rFonts w:ascii="宋体" w:hAnsi="宋体" w:cs="宋体"/>
                <w:color w:val="000000"/>
                <w:sz w:val="18"/>
                <w:szCs w:val="18"/>
              </w:rP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620" w:lineRule="exact"/>
              <w:rPr>
                <w:rFonts w:ascii="宋体" w:hAnsi="宋体" w:cs="宋体"/>
                <w:color w:val="000000"/>
                <w:sz w:val="18"/>
                <w:szCs w:val="18"/>
              </w:rPr>
            </w:pPr>
            <w:r>
              <w:rPr>
                <w:rFonts w:hint="eastAsia" w:ascii="宋体" w:hAnsi="宋体" w:cs="宋体"/>
                <w:color w:val="000000"/>
                <w:sz w:val="18"/>
                <w:szCs w:val="18"/>
              </w:rPr>
              <w:t>全年补助发放时间</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620" w:lineRule="exact"/>
              <w:jc w:val="center"/>
              <w:rPr>
                <w:rFonts w:ascii="宋体" w:hAnsi="宋体" w:cs="宋体"/>
                <w:color w:val="000000"/>
                <w:sz w:val="18"/>
                <w:szCs w:val="18"/>
              </w:rPr>
            </w:pPr>
            <w:r>
              <w:rPr>
                <w:rFonts w:hint="eastAsia" w:ascii="宋体" w:hAnsi="宋体" w:cs="宋体"/>
                <w:color w:val="000000"/>
                <w:sz w:val="18"/>
                <w:szCs w:val="18"/>
              </w:rPr>
              <w:t>2021年1月-12月</w:t>
            </w:r>
          </w:p>
        </w:tc>
      </w:tr>
      <w:tr>
        <w:tblPrEx>
          <w:tblLayout w:type="fixed"/>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620" w:lineRule="exact"/>
              <w:jc w:val="center"/>
              <w:rPr>
                <w:rFonts w:ascii="宋体" w:hAnsi="宋体" w:cs="宋体"/>
                <w:color w:val="000000"/>
                <w:sz w:val="18"/>
                <w:szCs w:val="18"/>
              </w:rPr>
            </w:pP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62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成本指标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620" w:lineRule="exact"/>
              <w:rPr>
                <w:rFonts w:ascii="宋体" w:hAnsi="宋体" w:cs="宋体"/>
                <w:color w:val="000000"/>
                <w:sz w:val="18"/>
                <w:szCs w:val="18"/>
              </w:rPr>
            </w:pPr>
            <w:r>
              <w:rPr>
                <w:rFonts w:hint="eastAsia" w:ascii="宋体" w:hAnsi="宋体" w:cs="宋体"/>
                <w:color w:val="000000"/>
                <w:sz w:val="18"/>
                <w:szCs w:val="18"/>
              </w:rPr>
              <w:t>地州级退休人员医疗补助费（万元）</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620" w:lineRule="exact"/>
              <w:jc w:val="center"/>
              <w:rPr>
                <w:rFonts w:ascii="宋体" w:hAnsi="宋体" w:cs="宋体"/>
                <w:color w:val="000000"/>
                <w:sz w:val="18"/>
                <w:szCs w:val="18"/>
              </w:rPr>
            </w:pPr>
            <w:r>
              <w:rPr>
                <w:rFonts w:hint="eastAsia" w:ascii="宋体" w:hAnsi="宋体" w:cs="宋体"/>
                <w:color w:val="000000"/>
                <w:sz w:val="18"/>
                <w:szCs w:val="18"/>
              </w:rPr>
              <w:t>≦265万元</w:t>
            </w:r>
          </w:p>
        </w:tc>
      </w:tr>
      <w:tr>
        <w:tblPrEx>
          <w:tblLayout w:type="fixed"/>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620" w:lineRule="exact"/>
              <w:jc w:val="center"/>
              <w:rPr>
                <w:rFonts w:ascii="宋体" w:hAnsi="宋体" w:cs="宋体"/>
                <w:color w:val="000000"/>
                <w:sz w:val="18"/>
                <w:szCs w:val="18"/>
              </w:rPr>
            </w:pP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62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社会效益指标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620" w:lineRule="exact"/>
              <w:rPr>
                <w:rFonts w:ascii="宋体" w:hAnsi="宋体" w:cs="宋体"/>
                <w:color w:val="000000"/>
                <w:sz w:val="18"/>
                <w:szCs w:val="18"/>
              </w:rPr>
            </w:pPr>
            <w:r>
              <w:rPr>
                <w:rFonts w:hint="eastAsia" w:ascii="宋体" w:hAnsi="宋体" w:cs="宋体"/>
                <w:color w:val="000000"/>
                <w:sz w:val="18"/>
                <w:szCs w:val="18"/>
              </w:rPr>
              <w:t>提高地州级退休人员生活质量</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620" w:lineRule="exact"/>
              <w:jc w:val="center"/>
              <w:rPr>
                <w:rFonts w:ascii="宋体" w:hAnsi="宋体" w:cs="宋体"/>
                <w:color w:val="000000"/>
                <w:sz w:val="18"/>
                <w:szCs w:val="18"/>
              </w:rPr>
            </w:pPr>
            <w:r>
              <w:rPr>
                <w:rFonts w:hint="eastAsia" w:ascii="宋体" w:hAnsi="宋体" w:cs="宋体"/>
                <w:color w:val="000000"/>
                <w:sz w:val="18"/>
                <w:szCs w:val="18"/>
              </w:rPr>
              <w:t>提高</w:t>
            </w:r>
          </w:p>
        </w:tc>
      </w:tr>
      <w:tr>
        <w:tblPrEx>
          <w:tblLayout w:type="fixed"/>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620" w:lineRule="exact"/>
              <w:jc w:val="center"/>
              <w:rPr>
                <w:rFonts w:ascii="宋体" w:hAnsi="宋体" w:cs="宋体"/>
                <w:color w:val="000000"/>
                <w:sz w:val="18"/>
                <w:szCs w:val="18"/>
              </w:rPr>
            </w:pP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62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可持续影响指标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tabs>
                <w:tab w:val="left" w:pos="392"/>
              </w:tabs>
              <w:spacing w:line="620" w:lineRule="exact"/>
              <w:jc w:val="left"/>
              <w:rPr>
                <w:rFonts w:ascii="宋体" w:hAnsi="宋体" w:cs="宋体"/>
                <w:color w:val="000000"/>
                <w:sz w:val="18"/>
                <w:szCs w:val="18"/>
              </w:rPr>
            </w:pPr>
            <w:r>
              <w:rPr>
                <w:rFonts w:hint="eastAsia" w:ascii="宋体" w:hAnsi="宋体" w:cs="宋体"/>
                <w:color w:val="000000"/>
                <w:sz w:val="18"/>
                <w:szCs w:val="18"/>
              </w:rPr>
              <w:t>增强地州级退休人员的幸福感、获得感、安全感</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620" w:lineRule="exact"/>
              <w:jc w:val="center"/>
              <w:rPr>
                <w:rFonts w:ascii="宋体" w:hAnsi="宋体" w:cs="宋体"/>
                <w:color w:val="000000"/>
                <w:sz w:val="18"/>
                <w:szCs w:val="18"/>
              </w:rPr>
            </w:pPr>
            <w:r>
              <w:rPr>
                <w:rFonts w:hint="eastAsia" w:ascii="宋体" w:hAnsi="宋体" w:cs="宋体"/>
                <w:color w:val="000000"/>
                <w:sz w:val="18"/>
                <w:szCs w:val="18"/>
              </w:rPr>
              <w:t>长期</w:t>
            </w:r>
          </w:p>
        </w:tc>
      </w:tr>
      <w:tr>
        <w:tblPrEx>
          <w:tblLayout w:type="fixed"/>
          <w:tblCellMar>
            <w:top w:w="0" w:type="dxa"/>
            <w:left w:w="0" w:type="dxa"/>
            <w:bottom w:w="0" w:type="dxa"/>
            <w:right w:w="0" w:type="dxa"/>
          </w:tblCellMar>
        </w:tblPrEx>
        <w:trPr>
          <w:trHeight w:val="44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62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62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620" w:lineRule="exact"/>
              <w:rPr>
                <w:rFonts w:ascii="宋体" w:hAnsi="宋体" w:cs="宋体"/>
                <w:color w:val="000000"/>
                <w:sz w:val="18"/>
                <w:szCs w:val="18"/>
              </w:rPr>
            </w:pPr>
            <w:r>
              <w:rPr>
                <w:rFonts w:hint="eastAsia" w:ascii="宋体" w:hAnsi="宋体" w:cs="宋体"/>
                <w:color w:val="000000"/>
                <w:sz w:val="18"/>
                <w:szCs w:val="18"/>
              </w:rPr>
              <w:t>地州级退休人员满意度</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620" w:lineRule="exact"/>
              <w:jc w:val="center"/>
              <w:rPr>
                <w:rFonts w:ascii="宋体" w:hAnsi="宋体" w:cs="宋体"/>
                <w:color w:val="000000"/>
                <w:sz w:val="18"/>
                <w:szCs w:val="18"/>
              </w:rPr>
            </w:pPr>
            <w:r>
              <w:rPr>
                <w:rFonts w:hint="eastAsia" w:ascii="宋体" w:hAnsi="宋体" w:cs="宋体"/>
                <w:color w:val="000000"/>
                <w:sz w:val="18"/>
                <w:szCs w:val="18"/>
              </w:rPr>
              <w:t>≧95%</w:t>
            </w:r>
          </w:p>
        </w:tc>
      </w:tr>
      <w:tr>
        <w:tblPrEx>
          <w:tblLayout w:type="fixed"/>
          <w:tblCellMar>
            <w:top w:w="0" w:type="dxa"/>
            <w:left w:w="0" w:type="dxa"/>
            <w:bottom w:w="0" w:type="dxa"/>
            <w:right w:w="0" w:type="dxa"/>
          </w:tblCellMar>
        </w:tblPrEx>
        <w:trPr>
          <w:trHeight w:val="480" w:hRule="atLeast"/>
        </w:trPr>
        <w:tc>
          <w:tcPr>
            <w:tcW w:w="8815" w:type="dxa"/>
            <w:gridSpan w:val="7"/>
            <w:tcBorders>
              <w:top w:val="nil"/>
              <w:left w:val="nil"/>
              <w:bottom w:val="nil"/>
              <w:right w:val="nil"/>
            </w:tcBorders>
            <w:noWrap/>
            <w:tcMar>
              <w:top w:w="12" w:type="dxa"/>
              <w:left w:w="12" w:type="dxa"/>
              <w:right w:w="12" w:type="dxa"/>
            </w:tcMar>
            <w:vAlign w:val="bottom"/>
          </w:tcPr>
          <w:p>
            <w:pPr>
              <w:widowControl/>
              <w:spacing w:line="480" w:lineRule="exact"/>
              <w:jc w:val="center"/>
              <w:textAlignment w:val="bottom"/>
              <w:rPr>
                <w:rFonts w:ascii="仿宋_GB2312" w:hAnsi="宋体" w:eastAsia="仿宋_GB2312" w:cs="仿宋_GB2312"/>
                <w:b/>
                <w:color w:val="000000"/>
                <w:kern w:val="0"/>
                <w:sz w:val="32"/>
                <w:szCs w:val="32"/>
                <w:lang w:bidi="ar"/>
              </w:rPr>
            </w:pPr>
          </w:p>
          <w:p>
            <w:pPr>
              <w:widowControl/>
              <w:spacing w:line="480" w:lineRule="exact"/>
              <w:ind w:firstLine="1606" w:firstLineChars="500"/>
              <w:textAlignment w:val="bottom"/>
              <w:rPr>
                <w:rFonts w:ascii="仿宋_GB2312" w:hAnsi="宋体" w:eastAsia="仿宋_GB2312" w:cs="仿宋_GB2312"/>
                <w:b/>
                <w:color w:val="000000"/>
                <w:kern w:val="0"/>
                <w:sz w:val="32"/>
                <w:szCs w:val="32"/>
                <w:lang w:bidi="ar"/>
              </w:rPr>
            </w:pPr>
          </w:p>
          <w:p>
            <w:pPr>
              <w:widowControl/>
              <w:spacing w:line="480" w:lineRule="exact"/>
              <w:ind w:firstLine="1606" w:firstLineChars="500"/>
              <w:textAlignment w:val="bottom"/>
              <w:rPr>
                <w:rFonts w:ascii="仿宋_GB2312" w:hAnsi="宋体" w:eastAsia="仿宋_GB2312" w:cs="仿宋_GB2312"/>
                <w:b/>
                <w:color w:val="000000"/>
                <w:kern w:val="0"/>
                <w:sz w:val="32"/>
                <w:szCs w:val="32"/>
                <w:lang w:bidi="ar"/>
              </w:rPr>
            </w:pPr>
          </w:p>
          <w:p>
            <w:pPr>
              <w:widowControl/>
              <w:spacing w:line="480" w:lineRule="exact"/>
              <w:ind w:firstLine="1606" w:firstLineChars="500"/>
              <w:textAlignment w:val="bottom"/>
              <w:rPr>
                <w:rFonts w:ascii="仿宋_GB2312" w:hAnsi="宋体" w:eastAsia="仿宋_GB2312" w:cs="仿宋_GB2312"/>
                <w:b/>
                <w:color w:val="000000"/>
                <w:kern w:val="0"/>
                <w:sz w:val="32"/>
                <w:szCs w:val="32"/>
                <w:lang w:bidi="ar"/>
              </w:rPr>
            </w:pPr>
          </w:p>
          <w:p>
            <w:pPr>
              <w:widowControl/>
              <w:spacing w:line="480" w:lineRule="exact"/>
              <w:ind w:firstLine="1606" w:firstLineChars="500"/>
              <w:textAlignment w:val="bottom"/>
              <w:rPr>
                <w:rFonts w:ascii="仿宋_GB2312" w:hAnsi="宋体" w:eastAsia="仿宋_GB2312" w:cs="仿宋_GB2312"/>
                <w:b/>
                <w:color w:val="000000"/>
                <w:kern w:val="0"/>
                <w:sz w:val="32"/>
                <w:szCs w:val="32"/>
                <w:lang w:bidi="ar"/>
              </w:rPr>
            </w:pPr>
          </w:p>
          <w:p>
            <w:pPr>
              <w:widowControl/>
              <w:spacing w:line="480" w:lineRule="exact"/>
              <w:jc w:val="center"/>
              <w:textAlignment w:val="bottom"/>
              <w:rPr>
                <w:rFonts w:ascii="仿宋_GB2312" w:hAnsi="宋体" w:eastAsia="仿宋_GB2312" w:cs="仿宋_GB2312"/>
                <w:b/>
                <w:color w:val="000000"/>
                <w:sz w:val="32"/>
                <w:szCs w:val="32"/>
              </w:rPr>
            </w:pPr>
            <w:r>
              <w:rPr>
                <w:rFonts w:hint="eastAsia" w:ascii="仿宋_GB2312" w:hAnsi="宋体" w:eastAsia="仿宋_GB2312" w:cs="仿宋_GB2312"/>
                <w:b/>
                <w:color w:val="000000"/>
                <w:kern w:val="0"/>
                <w:sz w:val="32"/>
                <w:szCs w:val="32"/>
                <w:lang w:bidi="ar"/>
              </w:rPr>
              <w:t>医保局医保经办中心公共耗材及工作经费绩效目标表</w:t>
            </w:r>
          </w:p>
        </w:tc>
      </w:tr>
      <w:tr>
        <w:tblPrEx>
          <w:tblLayout w:type="fixed"/>
          <w:tblCellMar>
            <w:top w:w="0" w:type="dxa"/>
            <w:left w:w="0" w:type="dxa"/>
            <w:bottom w:w="0" w:type="dxa"/>
            <w:right w:w="0" w:type="dxa"/>
          </w:tblCellMar>
        </w:tblPrEx>
        <w:trPr>
          <w:trHeight w:val="380" w:hRule="atLeast"/>
        </w:trPr>
        <w:tc>
          <w:tcPr>
            <w:tcW w:w="8815" w:type="dxa"/>
            <w:gridSpan w:val="7"/>
            <w:tcBorders>
              <w:top w:val="nil"/>
              <w:left w:val="nil"/>
              <w:bottom w:val="nil"/>
              <w:right w:val="nil"/>
            </w:tcBorders>
            <w:noWrap/>
            <w:tcMar>
              <w:top w:w="12" w:type="dxa"/>
              <w:left w:w="12" w:type="dxa"/>
              <w:right w:w="12" w:type="dxa"/>
            </w:tcMar>
            <w:vAlign w:val="bottom"/>
          </w:tcPr>
          <w:p>
            <w:pPr>
              <w:widowControl/>
              <w:spacing w:line="480" w:lineRule="exact"/>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（2021年）</w:t>
            </w:r>
          </w:p>
        </w:tc>
      </w:tr>
      <w:tr>
        <w:tblPrEx>
          <w:tblLayout w:type="fixed"/>
          <w:tblCellMar>
            <w:top w:w="0" w:type="dxa"/>
            <w:left w:w="0" w:type="dxa"/>
            <w:bottom w:w="0" w:type="dxa"/>
            <w:right w:w="0" w:type="dxa"/>
          </w:tblCellMar>
        </w:tblPrEx>
        <w:trPr>
          <w:trHeight w:val="50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预算单位</w:t>
            </w:r>
          </w:p>
        </w:tc>
        <w:tc>
          <w:tcPr>
            <w:tcW w:w="4152" w:type="dxa"/>
            <w:gridSpan w:val="3"/>
            <w:tcBorders>
              <w:top w:val="single" w:color="000000" w:sz="4" w:space="0"/>
              <w:left w:val="single" w:color="000000" w:sz="4" w:space="0"/>
              <w:bottom w:val="single" w:color="000000" w:sz="4" w:space="0"/>
              <w:right w:val="nil"/>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昌吉州医疗保障局</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项目名称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医保局医保经办中心公共耗材及工作经费</w:t>
            </w:r>
          </w:p>
        </w:tc>
      </w:tr>
      <w:tr>
        <w:tblPrEx>
          <w:tblLayout w:type="fixed"/>
          <w:tblCellMar>
            <w:top w:w="0" w:type="dxa"/>
            <w:left w:w="0" w:type="dxa"/>
            <w:bottom w:w="0" w:type="dxa"/>
            <w:right w:w="0" w:type="dxa"/>
          </w:tblCellMar>
        </w:tblPrEx>
        <w:trPr>
          <w:trHeight w:val="54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项目资金（万元）</w:t>
            </w: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年度资金总额：</w:t>
            </w:r>
          </w:p>
        </w:tc>
        <w:tc>
          <w:tcPr>
            <w:tcW w:w="12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60</w:t>
            </w:r>
          </w:p>
        </w:tc>
        <w:tc>
          <w:tcPr>
            <w:tcW w:w="14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其中：财政拨款</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60</w:t>
            </w:r>
          </w:p>
        </w:tc>
        <w:tc>
          <w:tcPr>
            <w:tcW w:w="1481"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其他资金</w:t>
            </w:r>
          </w:p>
        </w:tc>
        <w:tc>
          <w:tcPr>
            <w:tcW w:w="118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0</w:t>
            </w:r>
          </w:p>
        </w:tc>
      </w:tr>
      <w:tr>
        <w:tblPrEx>
          <w:tblLayout w:type="fixed"/>
          <w:tblCellMar>
            <w:top w:w="0" w:type="dxa"/>
            <w:left w:w="0" w:type="dxa"/>
            <w:bottom w:w="0" w:type="dxa"/>
            <w:right w:w="0" w:type="dxa"/>
          </w:tblCellMar>
        </w:tblPrEx>
        <w:trPr>
          <w:trHeight w:val="110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项目总体目标</w:t>
            </w:r>
          </w:p>
        </w:tc>
        <w:tc>
          <w:tcPr>
            <w:tcW w:w="7855" w:type="dxa"/>
            <w:gridSpan w:val="6"/>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spacing w:line="480" w:lineRule="exact"/>
              <w:jc w:val="left"/>
              <w:rPr>
                <w:rFonts w:ascii="宋体" w:hAnsi="宋体" w:cs="宋体"/>
                <w:color w:val="000000"/>
                <w:sz w:val="18"/>
                <w:szCs w:val="18"/>
              </w:rPr>
            </w:pPr>
            <w:r>
              <w:rPr>
                <w:rFonts w:hint="eastAsia" w:ascii="宋体" w:hAnsi="宋体" w:cs="宋体"/>
                <w:color w:val="000000"/>
                <w:sz w:val="18"/>
                <w:szCs w:val="18"/>
              </w:rPr>
              <w:t>提升经办管理服务水平，全州统一的医保服务事项和办事指南，推进我州医保公共服务标准化规范化，确保服务更加便捷。积极推动建档立卡贫困人口参保，符合政策的建档立卡贫困人口均已参保，参保率达到100%。扎实有效推进医疗保障事业各项工作。全州范围内实现基本医疗保险、大病保险、医疗救助“一站式服务、一窗口办理、一单制结算”。</w:t>
            </w:r>
          </w:p>
        </w:tc>
      </w:tr>
      <w:tr>
        <w:tblPrEx>
          <w:tblLayout w:type="fixed"/>
          <w:tblCellMar>
            <w:top w:w="0" w:type="dxa"/>
            <w:left w:w="0" w:type="dxa"/>
            <w:bottom w:w="0" w:type="dxa"/>
            <w:right w:w="0" w:type="dxa"/>
          </w:tblCellMar>
        </w:tblPrEx>
        <w:trPr>
          <w:trHeight w:val="48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5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一级指标</w:t>
            </w: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5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二级指标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5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三级指标</w:t>
            </w:r>
          </w:p>
        </w:tc>
        <w:tc>
          <w:tcPr>
            <w:tcW w:w="2664"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5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指标值（包含数字及文字描述）</w:t>
            </w:r>
          </w:p>
        </w:tc>
      </w:tr>
      <w:tr>
        <w:tblPrEx>
          <w:tblLayout w:type="fixed"/>
          <w:tblCellMar>
            <w:top w:w="0" w:type="dxa"/>
            <w:left w:w="0" w:type="dxa"/>
            <w:bottom w:w="0" w:type="dxa"/>
            <w:right w:w="0" w:type="dxa"/>
          </w:tblCellMar>
        </w:tblPrEx>
        <w:trPr>
          <w:trHeight w:val="440" w:hRule="atLeast"/>
        </w:trPr>
        <w:tc>
          <w:tcPr>
            <w:tcW w:w="96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5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产出指标</w:t>
            </w: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5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580" w:lineRule="exact"/>
              <w:jc w:val="center"/>
              <w:rPr>
                <w:rFonts w:ascii="宋体" w:hAnsi="宋体" w:cs="宋体"/>
                <w:color w:val="000000"/>
                <w:sz w:val="18"/>
                <w:szCs w:val="18"/>
              </w:rPr>
            </w:pPr>
            <w:r>
              <w:rPr>
                <w:rFonts w:hint="eastAsia" w:ascii="宋体" w:hAnsi="宋体" w:cs="宋体"/>
                <w:color w:val="000000"/>
                <w:sz w:val="18"/>
                <w:szCs w:val="18"/>
              </w:rPr>
              <w:t>继续实施全民参保计划，巩固基本医疗保险参保覆盖面，确保企业职工应保尽保。2021年自治州城乡居民医疗保障参保率保持在96%以上。</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580" w:lineRule="exact"/>
              <w:jc w:val="center"/>
              <w:rPr>
                <w:rFonts w:ascii="宋体" w:hAnsi="宋体" w:cs="宋体"/>
                <w:color w:val="000000"/>
                <w:sz w:val="18"/>
                <w:szCs w:val="18"/>
              </w:rPr>
            </w:pPr>
            <w:r>
              <w:rPr>
                <w:rFonts w:hint="eastAsia" w:ascii="宋体" w:hAnsi="宋体" w:cs="宋体"/>
                <w:color w:val="000000"/>
                <w:sz w:val="18"/>
                <w:szCs w:val="18"/>
              </w:rPr>
              <w:t>≧107万人</w:t>
            </w:r>
          </w:p>
        </w:tc>
      </w:tr>
      <w:tr>
        <w:tblPrEx>
          <w:tblLayout w:type="fixed"/>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580" w:lineRule="exact"/>
              <w:jc w:val="center"/>
              <w:rPr>
                <w:rFonts w:ascii="宋体" w:hAnsi="宋体" w:cs="宋体"/>
                <w:color w:val="000000"/>
                <w:sz w:val="18"/>
                <w:szCs w:val="18"/>
              </w:rPr>
            </w:pPr>
          </w:p>
        </w:tc>
        <w:tc>
          <w:tcPr>
            <w:tcW w:w="145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5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质量指标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540" w:lineRule="exact"/>
              <w:rPr>
                <w:rFonts w:ascii="宋体" w:hAnsi="宋体" w:cs="宋体"/>
                <w:color w:val="000000"/>
                <w:sz w:val="18"/>
                <w:szCs w:val="18"/>
              </w:rPr>
            </w:pPr>
            <w:r>
              <w:rPr>
                <w:rFonts w:hint="eastAsia" w:ascii="宋体" w:hAnsi="宋体" w:cs="宋体"/>
                <w:color w:val="000000"/>
                <w:sz w:val="18"/>
                <w:szCs w:val="18"/>
              </w:rPr>
              <w:t>资金使用合规率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540" w:lineRule="exact"/>
              <w:jc w:val="center"/>
              <w:rPr>
                <w:rFonts w:ascii="宋体" w:hAnsi="宋体" w:cs="宋体"/>
                <w:color w:val="000000"/>
                <w:sz w:val="18"/>
                <w:szCs w:val="18"/>
              </w:rPr>
            </w:pPr>
            <w:r>
              <w:rPr>
                <w:rFonts w:hint="eastAsia" w:ascii="宋体" w:hAnsi="宋体" w:cs="宋体"/>
                <w:color w:val="000000"/>
                <w:sz w:val="18"/>
                <w:szCs w:val="18"/>
              </w:rPr>
              <w:t>100%</w:t>
            </w:r>
          </w:p>
        </w:tc>
      </w:tr>
      <w:tr>
        <w:tblPrEx>
          <w:tblLayout w:type="fixed"/>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580" w:lineRule="exact"/>
              <w:jc w:val="center"/>
              <w:rPr>
                <w:rFonts w:ascii="宋体" w:hAnsi="宋体" w:cs="宋体"/>
                <w:color w:val="000000"/>
                <w:sz w:val="18"/>
                <w:szCs w:val="18"/>
              </w:rPr>
            </w:pPr>
          </w:p>
        </w:tc>
        <w:tc>
          <w:tcPr>
            <w:tcW w:w="14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540" w:lineRule="exact"/>
              <w:jc w:val="center"/>
              <w:rPr>
                <w:rFonts w:ascii="宋体" w:hAnsi="宋体" w:cs="宋体"/>
                <w:color w:val="000000"/>
                <w:sz w:val="18"/>
                <w:szCs w:val="18"/>
              </w:rP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540" w:lineRule="exact"/>
              <w:rPr>
                <w:rFonts w:ascii="宋体" w:hAnsi="宋体" w:cs="宋体"/>
                <w:color w:val="000000"/>
                <w:sz w:val="18"/>
                <w:szCs w:val="18"/>
              </w:rPr>
            </w:pPr>
            <w:r>
              <w:rPr>
                <w:rFonts w:hint="eastAsia" w:ascii="宋体" w:hAnsi="宋体" w:cs="宋体"/>
                <w:color w:val="000000"/>
                <w:sz w:val="18"/>
                <w:szCs w:val="18"/>
              </w:rPr>
              <w:t>医疗费用报销合规性</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540" w:lineRule="exact"/>
              <w:jc w:val="center"/>
              <w:rPr>
                <w:rFonts w:ascii="宋体" w:hAnsi="宋体" w:cs="宋体"/>
                <w:color w:val="000000"/>
                <w:sz w:val="18"/>
                <w:szCs w:val="18"/>
              </w:rPr>
            </w:pPr>
            <w:r>
              <w:rPr>
                <w:rFonts w:hint="eastAsia" w:ascii="宋体" w:hAnsi="宋体" w:cs="宋体"/>
                <w:color w:val="000000"/>
                <w:sz w:val="18"/>
                <w:szCs w:val="18"/>
              </w:rPr>
              <w:t>100%</w:t>
            </w:r>
          </w:p>
        </w:tc>
      </w:tr>
      <w:tr>
        <w:tblPrEx>
          <w:tblLayout w:type="fixed"/>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580" w:lineRule="exact"/>
              <w:jc w:val="center"/>
              <w:rPr>
                <w:rFonts w:ascii="宋体" w:hAnsi="宋体" w:cs="宋体"/>
                <w:color w:val="000000"/>
                <w:sz w:val="18"/>
                <w:szCs w:val="18"/>
              </w:rPr>
            </w:pPr>
          </w:p>
        </w:tc>
        <w:tc>
          <w:tcPr>
            <w:tcW w:w="14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540" w:lineRule="exact"/>
              <w:jc w:val="center"/>
              <w:rPr>
                <w:rFonts w:ascii="宋体" w:hAnsi="宋体" w:cs="宋体"/>
                <w:color w:val="000000"/>
                <w:sz w:val="18"/>
                <w:szCs w:val="18"/>
              </w:rP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540" w:lineRule="exact"/>
              <w:rPr>
                <w:rFonts w:ascii="宋体" w:hAnsi="宋体" w:cs="宋体"/>
                <w:color w:val="000000"/>
                <w:sz w:val="18"/>
                <w:szCs w:val="18"/>
              </w:rPr>
            </w:pPr>
            <w:r>
              <w:rPr>
                <w:rFonts w:hint="eastAsia" w:ascii="宋体" w:hAnsi="宋体" w:cs="宋体"/>
                <w:color w:val="000000"/>
                <w:sz w:val="18"/>
                <w:szCs w:val="18"/>
              </w:rPr>
              <w:t xml:space="preserve">财务制度健全性 </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540" w:lineRule="exact"/>
              <w:jc w:val="center"/>
              <w:rPr>
                <w:rFonts w:ascii="宋体" w:hAnsi="宋体" w:cs="宋体"/>
                <w:color w:val="000000"/>
                <w:sz w:val="18"/>
                <w:szCs w:val="18"/>
              </w:rPr>
            </w:pPr>
            <w:r>
              <w:rPr>
                <w:rFonts w:hint="eastAsia" w:ascii="宋体" w:hAnsi="宋体" w:cs="宋体"/>
                <w:color w:val="000000"/>
                <w:sz w:val="18"/>
                <w:szCs w:val="18"/>
              </w:rPr>
              <w:t>100%</w:t>
            </w:r>
          </w:p>
        </w:tc>
      </w:tr>
      <w:tr>
        <w:tblPrEx>
          <w:tblLayout w:type="fixed"/>
          <w:tblCellMar>
            <w:top w:w="0" w:type="dxa"/>
            <w:left w:w="0" w:type="dxa"/>
            <w:bottom w:w="0" w:type="dxa"/>
            <w:right w:w="0" w:type="dxa"/>
          </w:tblCellMar>
        </w:tblPrEx>
        <w:trPr>
          <w:trHeight w:val="485"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580" w:lineRule="exact"/>
              <w:jc w:val="center"/>
              <w:rPr>
                <w:rFonts w:ascii="宋体" w:hAnsi="宋体" w:cs="宋体"/>
                <w:color w:val="000000"/>
                <w:sz w:val="18"/>
                <w:szCs w:val="18"/>
              </w:rPr>
            </w:pPr>
          </w:p>
        </w:tc>
        <w:tc>
          <w:tcPr>
            <w:tcW w:w="145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5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时效指标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540" w:lineRule="exact"/>
              <w:rPr>
                <w:rFonts w:ascii="宋体" w:hAnsi="宋体" w:cs="宋体"/>
                <w:color w:val="000000"/>
                <w:sz w:val="18"/>
                <w:szCs w:val="18"/>
              </w:rPr>
            </w:pPr>
            <w:r>
              <w:rPr>
                <w:rFonts w:hint="eastAsia" w:ascii="宋体" w:hAnsi="宋体" w:cs="宋体"/>
                <w:color w:val="000000"/>
                <w:sz w:val="18"/>
                <w:szCs w:val="18"/>
              </w:rPr>
              <w:t>医疗费用报销及时性</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540" w:lineRule="exact"/>
              <w:jc w:val="center"/>
              <w:rPr>
                <w:rFonts w:ascii="宋体" w:hAnsi="宋体" w:cs="宋体"/>
                <w:color w:val="000000"/>
                <w:sz w:val="18"/>
                <w:szCs w:val="18"/>
              </w:rPr>
            </w:pPr>
            <w:r>
              <w:rPr>
                <w:rFonts w:hint="eastAsia" w:ascii="宋体" w:hAnsi="宋体" w:cs="宋体"/>
                <w:color w:val="000000"/>
                <w:sz w:val="18"/>
                <w:szCs w:val="18"/>
              </w:rPr>
              <w:t>100%</w:t>
            </w:r>
          </w:p>
        </w:tc>
      </w:tr>
      <w:tr>
        <w:tblPrEx>
          <w:tblLayout w:type="fixed"/>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580" w:lineRule="exact"/>
              <w:jc w:val="center"/>
              <w:rPr>
                <w:rFonts w:ascii="宋体" w:hAnsi="宋体" w:cs="宋体"/>
                <w:color w:val="000000"/>
                <w:sz w:val="18"/>
                <w:szCs w:val="18"/>
              </w:rPr>
            </w:pPr>
          </w:p>
        </w:tc>
        <w:tc>
          <w:tcPr>
            <w:tcW w:w="14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540" w:lineRule="exact"/>
              <w:jc w:val="center"/>
              <w:rPr>
                <w:rFonts w:ascii="宋体" w:hAnsi="宋体" w:cs="宋体"/>
                <w:color w:val="000000"/>
                <w:sz w:val="18"/>
                <w:szCs w:val="18"/>
              </w:rP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540" w:lineRule="exact"/>
              <w:rPr>
                <w:rFonts w:ascii="宋体" w:hAnsi="宋体" w:cs="宋体"/>
                <w:color w:val="000000"/>
                <w:sz w:val="18"/>
                <w:szCs w:val="18"/>
              </w:rPr>
            </w:pPr>
            <w:r>
              <w:rPr>
                <w:rFonts w:hint="eastAsia" w:ascii="宋体" w:hAnsi="宋体" w:cs="宋体"/>
                <w:color w:val="000000"/>
                <w:sz w:val="18"/>
                <w:szCs w:val="18"/>
              </w:rPr>
              <w:t>项目开展时间</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540" w:lineRule="exact"/>
              <w:jc w:val="center"/>
              <w:rPr>
                <w:rFonts w:ascii="宋体" w:hAnsi="宋体" w:cs="宋体"/>
                <w:color w:val="000000"/>
                <w:sz w:val="18"/>
                <w:szCs w:val="18"/>
              </w:rPr>
            </w:pPr>
            <w:r>
              <w:rPr>
                <w:rFonts w:hint="eastAsia" w:ascii="宋体" w:hAnsi="宋体" w:cs="宋体"/>
                <w:color w:val="000000"/>
                <w:sz w:val="18"/>
                <w:szCs w:val="18"/>
              </w:rPr>
              <w:t>2021年1月-12月</w:t>
            </w:r>
          </w:p>
        </w:tc>
      </w:tr>
      <w:tr>
        <w:tblPrEx>
          <w:tblLayout w:type="fixed"/>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580" w:lineRule="exact"/>
              <w:jc w:val="center"/>
              <w:rPr>
                <w:rFonts w:ascii="宋体" w:hAnsi="宋体" w:cs="宋体"/>
                <w:color w:val="000000"/>
                <w:sz w:val="18"/>
                <w:szCs w:val="18"/>
              </w:rPr>
            </w:pP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5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成本指标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540" w:lineRule="exact"/>
              <w:jc w:val="center"/>
              <w:rPr>
                <w:rFonts w:ascii="宋体" w:hAnsi="宋体" w:cs="宋体"/>
                <w:color w:val="000000"/>
                <w:sz w:val="18"/>
                <w:szCs w:val="18"/>
              </w:rPr>
            </w:pPr>
            <w:r>
              <w:rPr>
                <w:rFonts w:hint="eastAsia" w:ascii="宋体" w:hAnsi="宋体" w:cs="宋体"/>
                <w:color w:val="000000"/>
                <w:sz w:val="18"/>
                <w:szCs w:val="18"/>
              </w:rPr>
              <w:t>完成医保经办中心正常工作，本年度支出不超预算收入</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540" w:lineRule="exact"/>
              <w:jc w:val="center"/>
              <w:rPr>
                <w:rFonts w:ascii="宋体" w:hAnsi="宋体" w:cs="宋体"/>
                <w:color w:val="000000"/>
                <w:sz w:val="18"/>
                <w:szCs w:val="18"/>
              </w:rPr>
            </w:pPr>
            <w:r>
              <w:rPr>
                <w:rFonts w:hint="eastAsia" w:ascii="宋体" w:hAnsi="宋体" w:cs="宋体"/>
                <w:color w:val="000000"/>
                <w:sz w:val="18"/>
                <w:szCs w:val="18"/>
              </w:rPr>
              <w:t>≦60万元</w:t>
            </w:r>
          </w:p>
        </w:tc>
      </w:tr>
      <w:tr>
        <w:tblPrEx>
          <w:tblLayout w:type="fixed"/>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580" w:lineRule="exact"/>
              <w:jc w:val="center"/>
              <w:rPr>
                <w:rFonts w:ascii="宋体" w:hAnsi="宋体" w:cs="宋体"/>
                <w:color w:val="000000"/>
                <w:sz w:val="18"/>
                <w:szCs w:val="18"/>
              </w:rPr>
            </w:pP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5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社会效益指标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540" w:lineRule="exact"/>
              <w:jc w:val="center"/>
              <w:rPr>
                <w:rFonts w:ascii="宋体" w:hAnsi="宋体" w:cs="宋体"/>
                <w:color w:val="000000"/>
                <w:sz w:val="18"/>
                <w:szCs w:val="18"/>
              </w:rPr>
            </w:pPr>
            <w:r>
              <w:rPr>
                <w:rFonts w:hint="eastAsia" w:ascii="宋体" w:hAnsi="宋体" w:cs="宋体"/>
                <w:color w:val="000000"/>
                <w:sz w:val="18"/>
                <w:szCs w:val="18"/>
              </w:rPr>
              <w:t>提高办事效率，办事程序公开，办事时间缩短</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540" w:lineRule="exact"/>
              <w:jc w:val="center"/>
              <w:rPr>
                <w:rFonts w:ascii="宋体" w:hAnsi="宋体" w:cs="宋体"/>
                <w:color w:val="000000"/>
                <w:sz w:val="18"/>
                <w:szCs w:val="18"/>
              </w:rPr>
            </w:pPr>
            <w:r>
              <w:rPr>
                <w:rFonts w:hint="eastAsia" w:ascii="宋体" w:hAnsi="宋体" w:cs="宋体"/>
                <w:color w:val="000000"/>
                <w:sz w:val="18"/>
                <w:szCs w:val="18"/>
              </w:rPr>
              <w:t>≧90%</w:t>
            </w:r>
          </w:p>
        </w:tc>
      </w:tr>
      <w:tr>
        <w:tblPrEx>
          <w:tblLayout w:type="fixed"/>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580" w:lineRule="exact"/>
              <w:jc w:val="center"/>
              <w:rPr>
                <w:rFonts w:ascii="宋体" w:hAnsi="宋体" w:cs="宋体"/>
                <w:color w:val="000000"/>
                <w:sz w:val="18"/>
                <w:szCs w:val="18"/>
              </w:rPr>
            </w:pP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5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可持续影响指标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540" w:lineRule="exact"/>
              <w:rPr>
                <w:rFonts w:ascii="宋体" w:hAnsi="宋体" w:cs="宋体"/>
                <w:color w:val="000000"/>
                <w:sz w:val="18"/>
                <w:szCs w:val="18"/>
              </w:rPr>
            </w:pPr>
            <w:r>
              <w:rPr>
                <w:rFonts w:hint="eastAsia" w:ascii="宋体" w:hAnsi="宋体" w:cs="宋体"/>
                <w:color w:val="000000"/>
                <w:sz w:val="18"/>
                <w:szCs w:val="18"/>
              </w:rPr>
              <w:t>经办中心服务事项一次性办结率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540" w:lineRule="exact"/>
              <w:jc w:val="center"/>
              <w:rPr>
                <w:rFonts w:ascii="宋体" w:hAnsi="宋体" w:cs="宋体"/>
                <w:color w:val="000000"/>
                <w:sz w:val="18"/>
                <w:szCs w:val="18"/>
              </w:rPr>
            </w:pPr>
            <w:r>
              <w:rPr>
                <w:rFonts w:hint="eastAsia" w:ascii="宋体" w:hAnsi="宋体" w:cs="宋体"/>
                <w:color w:val="000000"/>
                <w:sz w:val="18"/>
                <w:szCs w:val="18"/>
              </w:rPr>
              <w:t>≧90%</w:t>
            </w:r>
          </w:p>
        </w:tc>
      </w:tr>
      <w:tr>
        <w:tblPrEx>
          <w:tblLayout w:type="fixed"/>
          <w:tblCellMar>
            <w:top w:w="0" w:type="dxa"/>
            <w:left w:w="0" w:type="dxa"/>
            <w:bottom w:w="0" w:type="dxa"/>
            <w:right w:w="0" w:type="dxa"/>
          </w:tblCellMar>
        </w:tblPrEx>
        <w:trPr>
          <w:trHeight w:val="44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5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5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580" w:lineRule="exact"/>
              <w:rPr>
                <w:rFonts w:ascii="宋体" w:hAnsi="宋体" w:cs="宋体"/>
                <w:color w:val="000000"/>
                <w:sz w:val="18"/>
                <w:szCs w:val="18"/>
              </w:rPr>
            </w:pPr>
            <w:r>
              <w:rPr>
                <w:rFonts w:hint="eastAsia" w:ascii="宋体" w:hAnsi="宋体" w:cs="宋体"/>
                <w:color w:val="000000"/>
                <w:sz w:val="18"/>
                <w:szCs w:val="18"/>
              </w:rPr>
              <w:t>参保群众满意度</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580" w:lineRule="exact"/>
              <w:jc w:val="center"/>
              <w:rPr>
                <w:rFonts w:ascii="宋体" w:hAnsi="宋体" w:cs="宋体"/>
                <w:color w:val="000000"/>
                <w:sz w:val="18"/>
                <w:szCs w:val="18"/>
              </w:rPr>
            </w:pPr>
            <w:r>
              <w:rPr>
                <w:rFonts w:hint="eastAsia" w:ascii="宋体" w:hAnsi="宋体" w:cs="宋体"/>
                <w:color w:val="000000"/>
                <w:sz w:val="18"/>
                <w:szCs w:val="18"/>
              </w:rPr>
              <w:t>≧95%</w:t>
            </w:r>
          </w:p>
        </w:tc>
      </w:tr>
      <w:tr>
        <w:tblPrEx>
          <w:tblLayout w:type="fixed"/>
          <w:tblCellMar>
            <w:top w:w="0" w:type="dxa"/>
            <w:left w:w="0" w:type="dxa"/>
            <w:bottom w:w="0" w:type="dxa"/>
            <w:right w:w="0" w:type="dxa"/>
          </w:tblCellMar>
        </w:tblPrEx>
        <w:trPr>
          <w:trHeight w:val="480" w:hRule="atLeast"/>
        </w:trPr>
        <w:tc>
          <w:tcPr>
            <w:tcW w:w="8815" w:type="dxa"/>
            <w:gridSpan w:val="7"/>
            <w:tcBorders>
              <w:top w:val="nil"/>
              <w:left w:val="nil"/>
              <w:bottom w:val="nil"/>
              <w:right w:val="nil"/>
            </w:tcBorders>
            <w:noWrap/>
            <w:tcMar>
              <w:top w:w="12" w:type="dxa"/>
              <w:left w:w="12" w:type="dxa"/>
              <w:right w:w="12" w:type="dxa"/>
            </w:tcMar>
            <w:vAlign w:val="bottom"/>
          </w:tcPr>
          <w:p>
            <w:pPr>
              <w:widowControl/>
              <w:spacing w:line="480" w:lineRule="exact"/>
              <w:jc w:val="center"/>
              <w:textAlignment w:val="bottom"/>
              <w:rPr>
                <w:rFonts w:ascii="仿宋_GB2312" w:hAnsi="宋体" w:eastAsia="仿宋_GB2312" w:cs="仿宋_GB2312"/>
                <w:b/>
                <w:color w:val="000000"/>
                <w:kern w:val="0"/>
                <w:sz w:val="32"/>
                <w:szCs w:val="32"/>
                <w:lang w:bidi="ar"/>
              </w:rPr>
            </w:pPr>
          </w:p>
          <w:p>
            <w:pPr>
              <w:widowControl/>
              <w:spacing w:line="480" w:lineRule="exact"/>
              <w:ind w:firstLine="1606" w:firstLineChars="500"/>
              <w:textAlignment w:val="bottom"/>
              <w:rPr>
                <w:rFonts w:ascii="仿宋_GB2312" w:hAnsi="宋体" w:eastAsia="仿宋_GB2312" w:cs="仿宋_GB2312"/>
                <w:b/>
                <w:color w:val="000000"/>
                <w:kern w:val="0"/>
                <w:sz w:val="32"/>
                <w:szCs w:val="32"/>
                <w:lang w:bidi="ar"/>
              </w:rPr>
            </w:pPr>
          </w:p>
          <w:p>
            <w:pPr>
              <w:widowControl/>
              <w:spacing w:line="480" w:lineRule="exact"/>
              <w:jc w:val="center"/>
              <w:textAlignment w:val="bottom"/>
              <w:rPr>
                <w:rFonts w:ascii="仿宋_GB2312" w:hAnsi="宋体" w:eastAsia="仿宋_GB2312" w:cs="仿宋_GB2312"/>
                <w:b/>
                <w:color w:val="000000"/>
                <w:sz w:val="32"/>
                <w:szCs w:val="32"/>
              </w:rPr>
            </w:pPr>
            <w:r>
              <w:rPr>
                <w:rFonts w:hint="eastAsia" w:ascii="仿宋_GB2312" w:hAnsi="宋体" w:eastAsia="仿宋_GB2312" w:cs="仿宋_GB2312"/>
                <w:b/>
                <w:color w:val="000000"/>
                <w:kern w:val="0"/>
                <w:sz w:val="32"/>
                <w:szCs w:val="32"/>
                <w:lang w:bidi="ar"/>
              </w:rPr>
              <w:t>国务院特殊津贴专家保健医疗周转金支出绩效目标表</w:t>
            </w:r>
          </w:p>
        </w:tc>
      </w:tr>
      <w:tr>
        <w:tblPrEx>
          <w:tblLayout w:type="fixed"/>
          <w:tblCellMar>
            <w:top w:w="0" w:type="dxa"/>
            <w:left w:w="0" w:type="dxa"/>
            <w:bottom w:w="0" w:type="dxa"/>
            <w:right w:w="0" w:type="dxa"/>
          </w:tblCellMar>
        </w:tblPrEx>
        <w:trPr>
          <w:trHeight w:val="380" w:hRule="atLeast"/>
        </w:trPr>
        <w:tc>
          <w:tcPr>
            <w:tcW w:w="8815" w:type="dxa"/>
            <w:gridSpan w:val="7"/>
            <w:tcBorders>
              <w:top w:val="nil"/>
              <w:left w:val="nil"/>
              <w:bottom w:val="nil"/>
              <w:right w:val="nil"/>
            </w:tcBorders>
            <w:noWrap/>
            <w:tcMar>
              <w:top w:w="12" w:type="dxa"/>
              <w:left w:w="12" w:type="dxa"/>
              <w:right w:w="12" w:type="dxa"/>
            </w:tcMar>
            <w:vAlign w:val="bottom"/>
          </w:tcPr>
          <w:p>
            <w:pPr>
              <w:widowControl/>
              <w:spacing w:line="480" w:lineRule="exact"/>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（2021年）</w:t>
            </w:r>
          </w:p>
        </w:tc>
      </w:tr>
      <w:tr>
        <w:tblPrEx>
          <w:tblLayout w:type="fixed"/>
          <w:tblCellMar>
            <w:top w:w="0" w:type="dxa"/>
            <w:left w:w="0" w:type="dxa"/>
            <w:bottom w:w="0" w:type="dxa"/>
            <w:right w:w="0" w:type="dxa"/>
          </w:tblCellMar>
        </w:tblPrEx>
        <w:trPr>
          <w:trHeight w:val="50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预算单位</w:t>
            </w:r>
          </w:p>
        </w:tc>
        <w:tc>
          <w:tcPr>
            <w:tcW w:w="4152" w:type="dxa"/>
            <w:gridSpan w:val="3"/>
            <w:tcBorders>
              <w:top w:val="single" w:color="000000" w:sz="4" w:space="0"/>
              <w:left w:val="single" w:color="000000" w:sz="4" w:space="0"/>
              <w:bottom w:val="single" w:color="000000" w:sz="4" w:space="0"/>
              <w:right w:val="nil"/>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昌吉回族自治州医疗保障局本级</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项目名称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国务院特殊津贴专家保健医疗周转金</w:t>
            </w:r>
          </w:p>
        </w:tc>
      </w:tr>
      <w:tr>
        <w:tblPrEx>
          <w:tblLayout w:type="fixed"/>
          <w:tblCellMar>
            <w:top w:w="0" w:type="dxa"/>
            <w:left w:w="0" w:type="dxa"/>
            <w:bottom w:w="0" w:type="dxa"/>
            <w:right w:w="0" w:type="dxa"/>
          </w:tblCellMar>
        </w:tblPrEx>
        <w:trPr>
          <w:trHeight w:val="54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项目资金（万元）</w:t>
            </w: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年度资金总额：</w:t>
            </w:r>
          </w:p>
        </w:tc>
        <w:tc>
          <w:tcPr>
            <w:tcW w:w="12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8.5</w:t>
            </w:r>
          </w:p>
        </w:tc>
        <w:tc>
          <w:tcPr>
            <w:tcW w:w="14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其中：财政拨款</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8.5</w:t>
            </w:r>
          </w:p>
        </w:tc>
        <w:tc>
          <w:tcPr>
            <w:tcW w:w="1481"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其他资金</w:t>
            </w:r>
          </w:p>
        </w:tc>
        <w:tc>
          <w:tcPr>
            <w:tcW w:w="118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0</w:t>
            </w:r>
          </w:p>
        </w:tc>
      </w:tr>
      <w:tr>
        <w:tblPrEx>
          <w:tblLayout w:type="fixed"/>
          <w:tblCellMar>
            <w:top w:w="0" w:type="dxa"/>
            <w:left w:w="0" w:type="dxa"/>
            <w:bottom w:w="0" w:type="dxa"/>
            <w:right w:w="0" w:type="dxa"/>
          </w:tblCellMar>
        </w:tblPrEx>
        <w:trPr>
          <w:trHeight w:val="110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项目总体目标</w:t>
            </w:r>
          </w:p>
        </w:tc>
        <w:tc>
          <w:tcPr>
            <w:tcW w:w="7855" w:type="dxa"/>
            <w:gridSpan w:val="6"/>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spacing w:line="480" w:lineRule="exact"/>
              <w:jc w:val="left"/>
              <w:rPr>
                <w:rFonts w:ascii="宋体" w:hAnsi="宋体" w:cs="宋体"/>
                <w:color w:val="000000"/>
                <w:sz w:val="18"/>
                <w:szCs w:val="18"/>
              </w:rPr>
            </w:pPr>
            <w:r>
              <w:rPr>
                <w:rFonts w:hint="eastAsia" w:ascii="宋体" w:hAnsi="宋体" w:cs="宋体"/>
                <w:color w:val="000000"/>
                <w:sz w:val="18"/>
                <w:szCs w:val="18"/>
              </w:rPr>
              <w:t>单位职能：贯彻执行国家及区州社会保险法律、法规和政策，拟定全州基金管理办法和经办服务规程并组织实施；负责区、州统筹的社会保险基金的管理和运营，指导县市级统筹的社会保险基金的经办管理；项目目标：以建立社会保险全覆盖体系为目标，提高国务院特贴专家的生活质量，使特贴专家的幸福感、获得感、安全感不断增强。</w:t>
            </w:r>
          </w:p>
        </w:tc>
      </w:tr>
      <w:tr>
        <w:tblPrEx>
          <w:tblLayout w:type="fixed"/>
          <w:tblCellMar>
            <w:top w:w="0" w:type="dxa"/>
            <w:left w:w="0" w:type="dxa"/>
            <w:bottom w:w="0" w:type="dxa"/>
            <w:right w:w="0" w:type="dxa"/>
          </w:tblCellMar>
        </w:tblPrEx>
        <w:trPr>
          <w:trHeight w:val="48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62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一级指标</w:t>
            </w: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62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二级指标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62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三级指标</w:t>
            </w:r>
          </w:p>
        </w:tc>
        <w:tc>
          <w:tcPr>
            <w:tcW w:w="2664"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62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指标值（包含数字及文字描述）</w:t>
            </w:r>
          </w:p>
        </w:tc>
      </w:tr>
      <w:tr>
        <w:tblPrEx>
          <w:tblLayout w:type="fixed"/>
          <w:tblCellMar>
            <w:top w:w="0" w:type="dxa"/>
            <w:left w:w="0" w:type="dxa"/>
            <w:bottom w:w="0" w:type="dxa"/>
            <w:right w:w="0" w:type="dxa"/>
          </w:tblCellMar>
        </w:tblPrEx>
        <w:trPr>
          <w:trHeight w:val="440" w:hRule="atLeast"/>
        </w:trPr>
        <w:tc>
          <w:tcPr>
            <w:tcW w:w="96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62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产出指标</w:t>
            </w: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62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620" w:lineRule="exact"/>
              <w:jc w:val="center"/>
              <w:rPr>
                <w:rFonts w:ascii="宋体" w:hAnsi="宋体" w:cs="宋体"/>
                <w:color w:val="000000"/>
                <w:sz w:val="18"/>
                <w:szCs w:val="18"/>
              </w:rPr>
            </w:pPr>
            <w:r>
              <w:rPr>
                <w:rFonts w:hint="eastAsia" w:ascii="宋体" w:hAnsi="宋体" w:cs="宋体"/>
                <w:color w:val="000000"/>
                <w:sz w:val="18"/>
                <w:szCs w:val="18"/>
              </w:rPr>
              <w:t>核定国务院特殊津贴专家保健医疗周转金享受人数（人次）</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620" w:lineRule="exact"/>
              <w:jc w:val="center"/>
              <w:rPr>
                <w:rFonts w:ascii="宋体" w:hAnsi="宋体" w:cs="宋体"/>
                <w:color w:val="000000"/>
                <w:sz w:val="18"/>
                <w:szCs w:val="18"/>
              </w:rPr>
            </w:pPr>
            <w:r>
              <w:rPr>
                <w:rFonts w:hint="eastAsia" w:ascii="宋体" w:hAnsi="宋体" w:cs="宋体"/>
                <w:color w:val="000000"/>
                <w:sz w:val="18"/>
                <w:szCs w:val="18"/>
              </w:rPr>
              <w:t>=10人</w:t>
            </w:r>
          </w:p>
        </w:tc>
      </w:tr>
      <w:tr>
        <w:tblPrEx>
          <w:tblLayout w:type="fixed"/>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620" w:lineRule="exact"/>
              <w:jc w:val="center"/>
              <w:rPr>
                <w:rFonts w:ascii="宋体" w:hAnsi="宋体" w:cs="宋体"/>
                <w:color w:val="000000"/>
                <w:sz w:val="18"/>
                <w:szCs w:val="18"/>
              </w:rPr>
            </w:pP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62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质量指标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620" w:lineRule="exact"/>
              <w:rPr>
                <w:rFonts w:ascii="宋体" w:hAnsi="宋体" w:cs="宋体"/>
                <w:color w:val="000000"/>
                <w:sz w:val="18"/>
                <w:szCs w:val="18"/>
              </w:rPr>
            </w:pPr>
            <w:r>
              <w:rPr>
                <w:rFonts w:hint="eastAsia" w:ascii="宋体" w:hAnsi="宋体" w:cs="宋体"/>
                <w:color w:val="000000"/>
                <w:sz w:val="18"/>
                <w:szCs w:val="18"/>
              </w:rPr>
              <w:t>享受补助人员覆盖率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620" w:lineRule="exact"/>
              <w:jc w:val="center"/>
              <w:rPr>
                <w:rFonts w:ascii="宋体" w:hAnsi="宋体" w:cs="宋体"/>
                <w:color w:val="000000"/>
                <w:sz w:val="18"/>
                <w:szCs w:val="18"/>
              </w:rPr>
            </w:pPr>
            <w:r>
              <w:rPr>
                <w:rFonts w:hint="eastAsia" w:ascii="宋体" w:hAnsi="宋体" w:cs="宋体"/>
                <w:color w:val="000000"/>
                <w:sz w:val="18"/>
                <w:szCs w:val="18"/>
              </w:rPr>
              <w:t>=100%</w:t>
            </w:r>
          </w:p>
        </w:tc>
      </w:tr>
      <w:tr>
        <w:tblPrEx>
          <w:tblLayout w:type="fixed"/>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620" w:lineRule="exact"/>
              <w:jc w:val="center"/>
              <w:rPr>
                <w:rFonts w:ascii="宋体" w:hAnsi="宋体" w:cs="宋体"/>
                <w:color w:val="000000"/>
                <w:sz w:val="18"/>
                <w:szCs w:val="18"/>
              </w:rPr>
            </w:pPr>
          </w:p>
        </w:tc>
        <w:tc>
          <w:tcPr>
            <w:tcW w:w="145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62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时效指标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620" w:lineRule="exact"/>
              <w:rPr>
                <w:rFonts w:ascii="宋体" w:hAnsi="宋体" w:cs="宋体"/>
                <w:color w:val="000000"/>
                <w:sz w:val="18"/>
                <w:szCs w:val="18"/>
              </w:rPr>
            </w:pPr>
            <w:r>
              <w:rPr>
                <w:rFonts w:hint="eastAsia" w:ascii="宋体" w:hAnsi="宋体" w:cs="宋体"/>
                <w:color w:val="000000"/>
                <w:sz w:val="18"/>
                <w:szCs w:val="18"/>
              </w:rPr>
              <w:t>及时报销门诊、住院医疗费</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620" w:lineRule="exact"/>
              <w:jc w:val="center"/>
              <w:rPr>
                <w:rFonts w:ascii="宋体" w:hAnsi="宋体" w:cs="宋体"/>
                <w:color w:val="000000"/>
                <w:sz w:val="18"/>
                <w:szCs w:val="18"/>
              </w:rPr>
            </w:pPr>
            <w:r>
              <w:rPr>
                <w:rFonts w:hint="eastAsia" w:ascii="宋体" w:hAnsi="宋体" w:cs="宋体"/>
                <w:color w:val="000000"/>
                <w:sz w:val="18"/>
                <w:szCs w:val="18"/>
              </w:rPr>
              <w:t>=100%</w:t>
            </w:r>
          </w:p>
        </w:tc>
      </w:tr>
      <w:tr>
        <w:tblPrEx>
          <w:tblLayout w:type="fixed"/>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620" w:lineRule="exact"/>
              <w:jc w:val="center"/>
              <w:rPr>
                <w:rFonts w:ascii="宋体" w:hAnsi="宋体" w:cs="宋体"/>
                <w:color w:val="000000"/>
                <w:sz w:val="18"/>
                <w:szCs w:val="18"/>
              </w:rPr>
            </w:pPr>
          </w:p>
        </w:tc>
        <w:tc>
          <w:tcPr>
            <w:tcW w:w="14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620" w:lineRule="exact"/>
              <w:jc w:val="center"/>
              <w:rPr>
                <w:rFonts w:ascii="宋体" w:hAnsi="宋体" w:cs="宋体"/>
                <w:color w:val="000000"/>
                <w:sz w:val="18"/>
                <w:szCs w:val="18"/>
              </w:rP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620" w:lineRule="exact"/>
              <w:rPr>
                <w:rFonts w:ascii="宋体" w:hAnsi="宋体" w:cs="宋体"/>
                <w:color w:val="000000"/>
                <w:sz w:val="18"/>
                <w:szCs w:val="18"/>
              </w:rPr>
            </w:pPr>
            <w:r>
              <w:rPr>
                <w:rFonts w:hint="eastAsia" w:ascii="宋体" w:hAnsi="宋体" w:cs="宋体"/>
                <w:color w:val="000000"/>
                <w:sz w:val="18"/>
                <w:szCs w:val="18"/>
              </w:rPr>
              <w:t>全年补助发放时间</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620" w:lineRule="exact"/>
              <w:jc w:val="center"/>
              <w:rPr>
                <w:rFonts w:ascii="宋体" w:hAnsi="宋体" w:cs="宋体"/>
                <w:color w:val="000000"/>
                <w:sz w:val="18"/>
                <w:szCs w:val="18"/>
              </w:rPr>
            </w:pPr>
            <w:r>
              <w:rPr>
                <w:rFonts w:hint="eastAsia" w:ascii="宋体" w:hAnsi="宋体" w:cs="宋体"/>
                <w:color w:val="000000"/>
                <w:sz w:val="18"/>
                <w:szCs w:val="18"/>
              </w:rPr>
              <w:t>2021年1月-12月</w:t>
            </w:r>
          </w:p>
        </w:tc>
      </w:tr>
      <w:tr>
        <w:tblPrEx>
          <w:tblLayout w:type="fixed"/>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620" w:lineRule="exact"/>
              <w:jc w:val="center"/>
              <w:rPr>
                <w:rFonts w:ascii="宋体" w:hAnsi="宋体" w:cs="宋体"/>
                <w:color w:val="000000"/>
                <w:sz w:val="18"/>
                <w:szCs w:val="18"/>
              </w:rPr>
            </w:pP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62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成本指标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tabs>
                <w:tab w:val="left" w:pos="1018"/>
              </w:tabs>
              <w:spacing w:line="620" w:lineRule="exact"/>
              <w:jc w:val="left"/>
              <w:rPr>
                <w:rFonts w:ascii="宋体" w:hAnsi="宋体" w:cs="宋体"/>
                <w:color w:val="000000"/>
                <w:sz w:val="18"/>
                <w:szCs w:val="18"/>
              </w:rPr>
            </w:pPr>
            <w:r>
              <w:rPr>
                <w:rFonts w:hint="eastAsia" w:ascii="宋体" w:hAnsi="宋体" w:cs="宋体"/>
                <w:color w:val="000000"/>
                <w:sz w:val="18"/>
                <w:szCs w:val="18"/>
              </w:rPr>
              <w:t>国务院特殊津贴专家保健医疗周转金</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620" w:lineRule="exact"/>
              <w:jc w:val="center"/>
              <w:rPr>
                <w:rFonts w:ascii="宋体" w:hAnsi="宋体" w:cs="宋体"/>
                <w:color w:val="000000"/>
                <w:sz w:val="18"/>
                <w:szCs w:val="18"/>
              </w:rPr>
            </w:pPr>
            <w:r>
              <w:rPr>
                <w:rFonts w:hint="eastAsia" w:ascii="宋体" w:hAnsi="宋体" w:cs="宋体"/>
                <w:color w:val="000000"/>
                <w:sz w:val="18"/>
                <w:szCs w:val="18"/>
              </w:rPr>
              <w:t>≦8.5万元</w:t>
            </w:r>
          </w:p>
        </w:tc>
      </w:tr>
      <w:tr>
        <w:tblPrEx>
          <w:tblLayout w:type="fixed"/>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620" w:lineRule="exact"/>
              <w:jc w:val="center"/>
              <w:rPr>
                <w:rFonts w:ascii="宋体" w:hAnsi="宋体" w:cs="宋体"/>
                <w:color w:val="000000"/>
                <w:sz w:val="18"/>
                <w:szCs w:val="18"/>
              </w:rPr>
            </w:pP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62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社会效益指标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620" w:lineRule="exact"/>
              <w:rPr>
                <w:rFonts w:ascii="宋体" w:hAnsi="宋体" w:cs="宋体"/>
                <w:color w:val="000000"/>
                <w:sz w:val="18"/>
                <w:szCs w:val="18"/>
              </w:rPr>
            </w:pPr>
            <w:r>
              <w:rPr>
                <w:rFonts w:hint="eastAsia" w:ascii="宋体" w:hAnsi="宋体" w:cs="宋体"/>
                <w:color w:val="000000"/>
                <w:sz w:val="18"/>
                <w:szCs w:val="18"/>
              </w:rPr>
              <w:t>提高国务院特殊津贴专家生活质量</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620" w:lineRule="exact"/>
              <w:jc w:val="center"/>
              <w:rPr>
                <w:rFonts w:ascii="宋体" w:hAnsi="宋体" w:cs="宋体"/>
                <w:color w:val="000000"/>
                <w:sz w:val="18"/>
                <w:szCs w:val="18"/>
              </w:rPr>
            </w:pPr>
            <w:r>
              <w:rPr>
                <w:rFonts w:hint="eastAsia" w:ascii="宋体" w:hAnsi="宋体" w:cs="宋体"/>
                <w:color w:val="000000"/>
                <w:sz w:val="18"/>
                <w:szCs w:val="18"/>
              </w:rPr>
              <w:t>提高</w:t>
            </w:r>
          </w:p>
        </w:tc>
      </w:tr>
      <w:tr>
        <w:tblPrEx>
          <w:tblLayout w:type="fixed"/>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620" w:lineRule="exact"/>
              <w:jc w:val="center"/>
              <w:rPr>
                <w:rFonts w:ascii="宋体" w:hAnsi="宋体" w:cs="宋体"/>
                <w:color w:val="000000"/>
                <w:sz w:val="18"/>
                <w:szCs w:val="18"/>
              </w:rPr>
            </w:pP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62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可持续影响指标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620" w:lineRule="exact"/>
              <w:rPr>
                <w:rFonts w:ascii="宋体" w:hAnsi="宋体" w:cs="宋体"/>
                <w:color w:val="000000"/>
                <w:sz w:val="18"/>
                <w:szCs w:val="18"/>
              </w:rPr>
            </w:pPr>
            <w:r>
              <w:rPr>
                <w:rFonts w:hint="eastAsia" w:ascii="宋体" w:hAnsi="宋体" w:cs="宋体"/>
                <w:color w:val="000000"/>
                <w:sz w:val="18"/>
                <w:szCs w:val="18"/>
              </w:rPr>
              <w:t>增强特贴专家的幸福感、获得感、安全感</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620" w:lineRule="exact"/>
              <w:jc w:val="center"/>
              <w:rPr>
                <w:rFonts w:ascii="宋体" w:hAnsi="宋体" w:cs="宋体"/>
                <w:color w:val="000000"/>
                <w:sz w:val="18"/>
                <w:szCs w:val="18"/>
              </w:rPr>
            </w:pPr>
            <w:r>
              <w:rPr>
                <w:rFonts w:hint="eastAsia" w:ascii="宋体" w:hAnsi="宋体" w:cs="宋体"/>
                <w:color w:val="000000"/>
                <w:sz w:val="18"/>
                <w:szCs w:val="18"/>
              </w:rPr>
              <w:t>长期</w:t>
            </w:r>
          </w:p>
        </w:tc>
      </w:tr>
      <w:tr>
        <w:tblPrEx>
          <w:tblLayout w:type="fixed"/>
          <w:tblCellMar>
            <w:top w:w="0" w:type="dxa"/>
            <w:left w:w="0" w:type="dxa"/>
            <w:bottom w:w="0" w:type="dxa"/>
            <w:right w:w="0" w:type="dxa"/>
          </w:tblCellMar>
        </w:tblPrEx>
        <w:trPr>
          <w:trHeight w:val="44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62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62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620" w:lineRule="exact"/>
              <w:rPr>
                <w:rFonts w:ascii="宋体" w:hAnsi="宋体" w:cs="宋体"/>
                <w:color w:val="000000"/>
                <w:sz w:val="18"/>
                <w:szCs w:val="18"/>
              </w:rPr>
            </w:pPr>
            <w:r>
              <w:rPr>
                <w:rFonts w:hint="eastAsia" w:ascii="宋体" w:hAnsi="宋体" w:cs="宋体"/>
                <w:color w:val="000000"/>
                <w:sz w:val="18"/>
                <w:szCs w:val="18"/>
              </w:rPr>
              <w:t>国务院特殊津贴专家满意度</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620" w:lineRule="exact"/>
              <w:jc w:val="center"/>
              <w:rPr>
                <w:rFonts w:ascii="宋体" w:hAnsi="宋体" w:cs="宋体"/>
                <w:color w:val="000000"/>
                <w:sz w:val="18"/>
                <w:szCs w:val="18"/>
              </w:rPr>
            </w:pPr>
            <w:r>
              <w:rPr>
                <w:rFonts w:hint="eastAsia" w:ascii="宋体" w:hAnsi="宋体" w:cs="宋体"/>
                <w:color w:val="000000"/>
                <w:sz w:val="18"/>
                <w:szCs w:val="18"/>
              </w:rPr>
              <w:t>≧95%</w:t>
            </w:r>
          </w:p>
        </w:tc>
      </w:tr>
    </w:tbl>
    <w:p>
      <w:pPr>
        <w:widowControl/>
        <w:spacing w:line="480" w:lineRule="exact"/>
        <w:jc w:val="left"/>
        <w:rPr>
          <w:rFonts w:ascii="楷体_GB2312" w:hAnsi="宋体" w:eastAsia="楷体_GB2312" w:cs="宋体"/>
          <w:b/>
          <w:kern w:val="0"/>
          <w:sz w:val="32"/>
          <w:szCs w:val="32"/>
        </w:rPr>
      </w:pPr>
    </w:p>
    <w:p>
      <w:pPr>
        <w:pStyle w:val="2"/>
        <w:jc w:val="both"/>
      </w:pPr>
    </w:p>
    <w:p>
      <w:pPr>
        <w:widowControl/>
        <w:spacing w:line="480" w:lineRule="exact"/>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widowControl/>
        <w:spacing w:line="52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无其他需要说明的事项。</w:t>
      </w:r>
    </w:p>
    <w:p>
      <w:pPr>
        <w:widowControl/>
        <w:spacing w:line="520" w:lineRule="exact"/>
        <w:jc w:val="left"/>
        <w:rPr>
          <w:rFonts w:ascii="仿宋_GB2312" w:hAnsi="宋体" w:eastAsia="仿宋_GB2312" w:cs="宋体"/>
          <w:kern w:val="0"/>
          <w:sz w:val="32"/>
          <w:szCs w:val="32"/>
        </w:rPr>
      </w:pPr>
    </w:p>
    <w:p>
      <w:pPr>
        <w:widowControl/>
        <w:spacing w:before="156" w:beforeLines="50" w:line="520" w:lineRule="exact"/>
        <w:jc w:val="center"/>
        <w:outlineLvl w:val="1"/>
        <w:rPr>
          <w:rFonts w:ascii="黑体" w:hAnsi="黑体" w:eastAsia="黑体"/>
          <w:kern w:val="0"/>
          <w:sz w:val="32"/>
          <w:szCs w:val="32"/>
        </w:rPr>
      </w:pPr>
      <w:r>
        <w:rPr>
          <w:rFonts w:hint="eastAsia" w:ascii="黑体" w:hAnsi="黑体" w:eastAsia="黑体"/>
          <w:kern w:val="0"/>
          <w:sz w:val="32"/>
          <w:szCs w:val="32"/>
        </w:rPr>
        <w:t>第四部分  名词解释</w:t>
      </w:r>
    </w:p>
    <w:p>
      <w:pPr>
        <w:widowControl/>
        <w:spacing w:before="156" w:beforeLines="50" w:line="520" w:lineRule="exact"/>
        <w:jc w:val="center"/>
        <w:outlineLvl w:val="1"/>
        <w:rPr>
          <w:rFonts w:ascii="黑体" w:hAnsi="黑体" w:eastAsia="黑体"/>
          <w:kern w:val="0"/>
          <w:sz w:val="32"/>
          <w:szCs w:val="32"/>
        </w:rPr>
      </w:pPr>
    </w:p>
    <w:p>
      <w:pPr>
        <w:widowControl/>
        <w:spacing w:line="52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名词解释：</w:t>
      </w:r>
    </w:p>
    <w:p>
      <w:pPr>
        <w:spacing w:line="520" w:lineRule="exact"/>
        <w:ind w:firstLine="642"/>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指由一般公共预算、政府性基金预算安排的财政拨款数。</w:t>
      </w:r>
    </w:p>
    <w:p>
      <w:pPr>
        <w:spacing w:line="520" w:lineRule="exact"/>
        <w:ind w:firstLine="642"/>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pacing w:val="-6"/>
          <w:sz w:val="32"/>
          <w:szCs w:val="32"/>
        </w:rPr>
        <w:t>包括公共财政拨款（补助）资金、专项收入。</w:t>
      </w:r>
    </w:p>
    <w:p>
      <w:pPr>
        <w:spacing w:line="520" w:lineRule="exact"/>
        <w:ind w:firstLine="642"/>
        <w:rPr>
          <w:rFonts w:ascii="仿宋_GB2312" w:eastAsia="仿宋_GB2312"/>
          <w:sz w:val="32"/>
          <w:szCs w:val="32"/>
        </w:rPr>
      </w:pPr>
      <w:r>
        <w:rPr>
          <w:rFonts w:hint="eastAsia" w:ascii="黑体" w:hAnsi="黑体" w:eastAsia="黑体"/>
          <w:sz w:val="32"/>
          <w:szCs w:val="32"/>
        </w:rPr>
        <w:t>三、财政专户管理资金：</w:t>
      </w:r>
      <w:r>
        <w:rPr>
          <w:rFonts w:hint="eastAsia" w:ascii="仿宋_GB2312" w:eastAsia="仿宋_GB2312"/>
          <w:sz w:val="32"/>
          <w:szCs w:val="32"/>
        </w:rPr>
        <w:t>包括专户管理行政事业性收费（主要是教育收费）、其他非税收入。</w:t>
      </w:r>
    </w:p>
    <w:p>
      <w:pPr>
        <w:spacing w:line="520" w:lineRule="exact"/>
        <w:ind w:firstLine="642"/>
        <w:rPr>
          <w:rFonts w:ascii="仿宋_GB2312" w:eastAsia="仿宋_GB2312"/>
          <w:sz w:val="32"/>
          <w:szCs w:val="32"/>
        </w:rPr>
      </w:pPr>
      <w:r>
        <w:rPr>
          <w:rFonts w:hint="eastAsia" w:ascii="黑体" w:hAnsi="黑体" w:eastAsia="黑体"/>
          <w:sz w:val="32"/>
          <w:szCs w:val="32"/>
        </w:rPr>
        <w:t>四、其他资金：</w:t>
      </w:r>
      <w:r>
        <w:rPr>
          <w:rFonts w:hint="eastAsia" w:ascii="仿宋_GB2312" w:eastAsia="仿宋_GB2312"/>
          <w:sz w:val="32"/>
          <w:szCs w:val="32"/>
        </w:rPr>
        <w:t>包括事业收入、事业经营收入、其他收入等。</w:t>
      </w:r>
    </w:p>
    <w:p>
      <w:pPr>
        <w:spacing w:line="520" w:lineRule="exact"/>
        <w:ind w:firstLine="642"/>
        <w:rPr>
          <w:rFonts w:ascii="仿宋_GB2312" w:eastAsia="仿宋_GB2312"/>
          <w:sz w:val="32"/>
          <w:szCs w:val="32"/>
        </w:rPr>
      </w:pPr>
      <w:r>
        <w:rPr>
          <w:rFonts w:hint="eastAsia" w:ascii="黑体" w:hAnsi="黑体" w:eastAsia="黑体"/>
          <w:sz w:val="32"/>
          <w:szCs w:val="32"/>
        </w:rPr>
        <w:t>五、基本支出：</w:t>
      </w:r>
      <w:r>
        <w:rPr>
          <w:rFonts w:hint="eastAsia" w:ascii="仿宋_GB2312" w:eastAsia="仿宋_GB2312"/>
          <w:sz w:val="32"/>
          <w:szCs w:val="32"/>
        </w:rPr>
        <w:t>包括人员经费、商品和服务支出（定额）。其中，人员经费包括工资福利支出、对个人和家庭的补助。</w:t>
      </w:r>
    </w:p>
    <w:p>
      <w:pPr>
        <w:spacing w:line="520" w:lineRule="exact"/>
        <w:ind w:firstLine="642"/>
        <w:rPr>
          <w:rFonts w:ascii="仿宋_GB2312" w:eastAsia="仿宋_GB2312"/>
          <w:sz w:val="32"/>
          <w:szCs w:val="32"/>
        </w:rPr>
      </w:pPr>
      <w:r>
        <w:rPr>
          <w:rFonts w:hint="eastAsia" w:ascii="黑体" w:hAnsi="黑体" w:eastAsia="黑体"/>
          <w:sz w:val="32"/>
          <w:szCs w:val="32"/>
        </w:rPr>
        <w:t>六、项目支出：</w:t>
      </w:r>
      <w:r>
        <w:rPr>
          <w:rFonts w:hint="eastAsia" w:ascii="仿宋_GB2312" w:eastAsia="仿宋_GB2312"/>
          <w:sz w:val="32"/>
          <w:szCs w:val="32"/>
        </w:rPr>
        <w:t>部门（单位）支出预算的组成部分，是州本级部门（单位）为完成其特定的行政任务或事业发展目标，在基本支出预算之外编制的年度项目支出计划。</w:t>
      </w:r>
    </w:p>
    <w:p>
      <w:pPr>
        <w:spacing w:line="520" w:lineRule="exact"/>
        <w:ind w:firstLine="642"/>
        <w:rPr>
          <w:rFonts w:ascii="仿宋_GB2312" w:eastAsia="仿宋_GB2312"/>
          <w:sz w:val="32"/>
          <w:szCs w:val="32"/>
        </w:rPr>
      </w:pPr>
      <w:r>
        <w:rPr>
          <w:rFonts w:hint="eastAsia" w:ascii="黑体" w:hAnsi="黑体" w:eastAsia="黑体"/>
          <w:sz w:val="32"/>
          <w:szCs w:val="32"/>
        </w:rPr>
        <w:t>七、“三公”经费：</w:t>
      </w:r>
      <w:r>
        <w:rPr>
          <w:rFonts w:hint="eastAsia" w:ascii="仿宋_GB2312" w:eastAsia="仿宋_GB2312"/>
          <w:sz w:val="32"/>
          <w:szCs w:val="32"/>
        </w:rPr>
        <w:t>指州本级部门（单位）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spacing w:line="520" w:lineRule="exact"/>
        <w:ind w:firstLine="642"/>
        <w:rPr>
          <w:rFonts w:ascii="仿宋_GB2312" w:eastAsia="仿宋_GB2312"/>
          <w:sz w:val="32"/>
          <w:szCs w:val="32"/>
        </w:rPr>
      </w:pPr>
      <w:r>
        <w:rPr>
          <w:rFonts w:hint="eastAsia" w:ascii="黑体" w:hAnsi="黑体" w:eastAsia="黑体"/>
          <w:sz w:val="32"/>
          <w:szCs w:val="32"/>
        </w:rPr>
        <w:t>八、机关运行经费：</w:t>
      </w:r>
      <w:r>
        <w:rPr>
          <w:rFonts w:hint="eastAsia" w:ascii="仿宋_GB2312" w:eastAsia="仿宋_GB2312"/>
          <w:sz w:val="32"/>
          <w:szCs w:val="32"/>
        </w:rPr>
        <w:t>指各部门（单位）的公用经费，包括办公及印刷费、邮电费、差旅费、会议费、福利费、日常维修费、专用材料及一般设备购置费、办公用房水电费、办公用房取暖费、办公用房物业管理费、公务用车运行维护费及其他费用。</w:t>
      </w: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ind w:left="5760" w:hanging="5760" w:hangingChars="18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昌吉州医疗保障局                            2021</w:t>
      </w:r>
      <w:r>
        <w:rPr>
          <w:rFonts w:ascii="仿宋_GB2312" w:hAnsi="宋体" w:eastAsia="仿宋_GB2312" w:cs="宋体"/>
          <w:kern w:val="0"/>
          <w:sz w:val="32"/>
          <w:szCs w:val="32"/>
        </w:rPr>
        <w:t>年</w:t>
      </w:r>
      <w:r>
        <w:rPr>
          <w:rFonts w:hint="eastAsia" w:ascii="仿宋_GB2312" w:hAnsi="宋体" w:eastAsia="仿宋_GB2312" w:cs="宋体"/>
          <w:kern w:val="0"/>
          <w:sz w:val="32"/>
          <w:szCs w:val="32"/>
        </w:rPr>
        <w:t>2</w:t>
      </w:r>
      <w:r>
        <w:rPr>
          <w:rFonts w:ascii="仿宋_GB2312" w:hAnsi="宋体" w:eastAsia="仿宋_GB2312" w:cs="宋体"/>
          <w:kern w:val="0"/>
          <w:sz w:val="32"/>
          <w:szCs w:val="32"/>
        </w:rPr>
        <w:t>月</w:t>
      </w:r>
      <w:r>
        <w:rPr>
          <w:rFonts w:hint="eastAsia" w:ascii="仿宋_GB2312" w:hAnsi="宋体" w:eastAsia="仿宋_GB2312" w:cs="宋体"/>
          <w:kern w:val="0"/>
          <w:sz w:val="32"/>
          <w:szCs w:val="32"/>
        </w:rPr>
        <w:t>2</w:t>
      </w:r>
      <w:r>
        <w:rPr>
          <w:rFonts w:ascii="仿宋_GB2312" w:hAnsi="宋体" w:eastAsia="仿宋_GB2312" w:cs="宋体"/>
          <w:kern w:val="0"/>
          <w:sz w:val="32"/>
          <w:szCs w:val="32"/>
        </w:rPr>
        <w:t>日</w:t>
      </w:r>
    </w:p>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9 -</w:t>
    </w:r>
    <w:r>
      <w:rPr>
        <w:rFonts w:ascii="宋体" w:hAnsi="宋体" w:eastAsia="宋体"/>
        <w:sz w:val="28"/>
        <w:szCs w:val="28"/>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3FDFFE"/>
    <w:multiLevelType w:val="singleLevel"/>
    <w:tmpl w:val="4A3FDFFE"/>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575"/>
    <w:rsid w:val="00031E76"/>
    <w:rsid w:val="000C6FBF"/>
    <w:rsid w:val="000D531A"/>
    <w:rsid w:val="000F3B60"/>
    <w:rsid w:val="0011450F"/>
    <w:rsid w:val="001747C9"/>
    <w:rsid w:val="001B2B92"/>
    <w:rsid w:val="00223EA5"/>
    <w:rsid w:val="00261065"/>
    <w:rsid w:val="00267D58"/>
    <w:rsid w:val="002E7530"/>
    <w:rsid w:val="00321E8A"/>
    <w:rsid w:val="003679D2"/>
    <w:rsid w:val="00387434"/>
    <w:rsid w:val="00452A86"/>
    <w:rsid w:val="005320EE"/>
    <w:rsid w:val="005602EA"/>
    <w:rsid w:val="00567073"/>
    <w:rsid w:val="0059125F"/>
    <w:rsid w:val="006B2417"/>
    <w:rsid w:val="006E145A"/>
    <w:rsid w:val="00760458"/>
    <w:rsid w:val="007D7119"/>
    <w:rsid w:val="007E5ACA"/>
    <w:rsid w:val="008910BE"/>
    <w:rsid w:val="008A4B03"/>
    <w:rsid w:val="008E4F9E"/>
    <w:rsid w:val="00944B81"/>
    <w:rsid w:val="00951A65"/>
    <w:rsid w:val="00977253"/>
    <w:rsid w:val="00997CE4"/>
    <w:rsid w:val="009B654C"/>
    <w:rsid w:val="009B6FA3"/>
    <w:rsid w:val="00A13D75"/>
    <w:rsid w:val="00A57575"/>
    <w:rsid w:val="00AB1984"/>
    <w:rsid w:val="00B94A73"/>
    <w:rsid w:val="00D85033"/>
    <w:rsid w:val="00DA2829"/>
    <w:rsid w:val="00E51C21"/>
    <w:rsid w:val="00F105A9"/>
    <w:rsid w:val="01422D7D"/>
    <w:rsid w:val="0193094D"/>
    <w:rsid w:val="01CF6A3F"/>
    <w:rsid w:val="02A532F0"/>
    <w:rsid w:val="02CD384A"/>
    <w:rsid w:val="0327480E"/>
    <w:rsid w:val="032D6184"/>
    <w:rsid w:val="038341A2"/>
    <w:rsid w:val="04255CA5"/>
    <w:rsid w:val="04332BF4"/>
    <w:rsid w:val="04A54C62"/>
    <w:rsid w:val="055D479D"/>
    <w:rsid w:val="07466F51"/>
    <w:rsid w:val="07681C3D"/>
    <w:rsid w:val="079C5EEB"/>
    <w:rsid w:val="07BC07FF"/>
    <w:rsid w:val="07E379B5"/>
    <w:rsid w:val="07E5131B"/>
    <w:rsid w:val="08B16669"/>
    <w:rsid w:val="08FE2158"/>
    <w:rsid w:val="096F01C4"/>
    <w:rsid w:val="097544E7"/>
    <w:rsid w:val="09886BF9"/>
    <w:rsid w:val="09967B52"/>
    <w:rsid w:val="0A95318D"/>
    <w:rsid w:val="0A9A62A4"/>
    <w:rsid w:val="0AC43EF2"/>
    <w:rsid w:val="0C954ED0"/>
    <w:rsid w:val="0CE9323D"/>
    <w:rsid w:val="0D5503B2"/>
    <w:rsid w:val="0DB00DE7"/>
    <w:rsid w:val="0EA34686"/>
    <w:rsid w:val="0F661793"/>
    <w:rsid w:val="0FF22B3D"/>
    <w:rsid w:val="108246CA"/>
    <w:rsid w:val="10A03B54"/>
    <w:rsid w:val="121C2EE3"/>
    <w:rsid w:val="129E6E29"/>
    <w:rsid w:val="130C613F"/>
    <w:rsid w:val="136C6FCE"/>
    <w:rsid w:val="159171FF"/>
    <w:rsid w:val="173F2754"/>
    <w:rsid w:val="17D33F93"/>
    <w:rsid w:val="180D6D7D"/>
    <w:rsid w:val="185013CC"/>
    <w:rsid w:val="18624A52"/>
    <w:rsid w:val="189E48D4"/>
    <w:rsid w:val="19DF2FFB"/>
    <w:rsid w:val="1A163881"/>
    <w:rsid w:val="1A192F62"/>
    <w:rsid w:val="1A250823"/>
    <w:rsid w:val="1A362F15"/>
    <w:rsid w:val="1AC44BB1"/>
    <w:rsid w:val="1AD76885"/>
    <w:rsid w:val="1AF713B0"/>
    <w:rsid w:val="1B7862A7"/>
    <w:rsid w:val="1BC0574A"/>
    <w:rsid w:val="1C2A0013"/>
    <w:rsid w:val="1CBB3C8A"/>
    <w:rsid w:val="1E16498B"/>
    <w:rsid w:val="1E812E9C"/>
    <w:rsid w:val="1EB941CA"/>
    <w:rsid w:val="1FEB1313"/>
    <w:rsid w:val="20387E12"/>
    <w:rsid w:val="20DF60EE"/>
    <w:rsid w:val="21415649"/>
    <w:rsid w:val="223626F4"/>
    <w:rsid w:val="223A53FA"/>
    <w:rsid w:val="226E100D"/>
    <w:rsid w:val="23540160"/>
    <w:rsid w:val="240F267D"/>
    <w:rsid w:val="24107C46"/>
    <w:rsid w:val="24881379"/>
    <w:rsid w:val="254F63D9"/>
    <w:rsid w:val="27197B4E"/>
    <w:rsid w:val="274E5AEF"/>
    <w:rsid w:val="27DF31FA"/>
    <w:rsid w:val="27F93F12"/>
    <w:rsid w:val="28971890"/>
    <w:rsid w:val="28FE6A81"/>
    <w:rsid w:val="29225EE9"/>
    <w:rsid w:val="294043DD"/>
    <w:rsid w:val="296A54FD"/>
    <w:rsid w:val="2A2A4126"/>
    <w:rsid w:val="2A4D562A"/>
    <w:rsid w:val="2A917406"/>
    <w:rsid w:val="2AE56429"/>
    <w:rsid w:val="2B123696"/>
    <w:rsid w:val="2BDE0EF6"/>
    <w:rsid w:val="2D887CA9"/>
    <w:rsid w:val="2DB70B11"/>
    <w:rsid w:val="2DC85CD9"/>
    <w:rsid w:val="2ED13BBB"/>
    <w:rsid w:val="2F547448"/>
    <w:rsid w:val="2FE04B4C"/>
    <w:rsid w:val="2FED6977"/>
    <w:rsid w:val="303161C5"/>
    <w:rsid w:val="30E57618"/>
    <w:rsid w:val="310C6DFF"/>
    <w:rsid w:val="336E34EC"/>
    <w:rsid w:val="33AC48F2"/>
    <w:rsid w:val="3400297A"/>
    <w:rsid w:val="34190641"/>
    <w:rsid w:val="35492CE1"/>
    <w:rsid w:val="357B6B39"/>
    <w:rsid w:val="35C77FBA"/>
    <w:rsid w:val="36A03907"/>
    <w:rsid w:val="37D96638"/>
    <w:rsid w:val="381F7F0D"/>
    <w:rsid w:val="38615551"/>
    <w:rsid w:val="38D141DD"/>
    <w:rsid w:val="399B4463"/>
    <w:rsid w:val="3A793E61"/>
    <w:rsid w:val="3AE45031"/>
    <w:rsid w:val="3B120F77"/>
    <w:rsid w:val="3C1830DA"/>
    <w:rsid w:val="3CD36398"/>
    <w:rsid w:val="3D2E71B2"/>
    <w:rsid w:val="3D5F5380"/>
    <w:rsid w:val="3DCD39EE"/>
    <w:rsid w:val="3E4E189C"/>
    <w:rsid w:val="3F0A655D"/>
    <w:rsid w:val="3FAD2132"/>
    <w:rsid w:val="40456FE0"/>
    <w:rsid w:val="40950B6B"/>
    <w:rsid w:val="40A81B71"/>
    <w:rsid w:val="41D66CD3"/>
    <w:rsid w:val="41E90F12"/>
    <w:rsid w:val="435834B9"/>
    <w:rsid w:val="43655CC1"/>
    <w:rsid w:val="462D0280"/>
    <w:rsid w:val="467443B8"/>
    <w:rsid w:val="4678116D"/>
    <w:rsid w:val="46B54536"/>
    <w:rsid w:val="475020C9"/>
    <w:rsid w:val="47AC470B"/>
    <w:rsid w:val="481C2CD0"/>
    <w:rsid w:val="483B67B1"/>
    <w:rsid w:val="489D2EB6"/>
    <w:rsid w:val="493145B3"/>
    <w:rsid w:val="4A8C7E86"/>
    <w:rsid w:val="4AC20472"/>
    <w:rsid w:val="4AC7040A"/>
    <w:rsid w:val="4BD10464"/>
    <w:rsid w:val="4BD77D40"/>
    <w:rsid w:val="4C2E1FC2"/>
    <w:rsid w:val="4C3C6194"/>
    <w:rsid w:val="4C5B0302"/>
    <w:rsid w:val="4D7249AE"/>
    <w:rsid w:val="4D990101"/>
    <w:rsid w:val="4EEA15D4"/>
    <w:rsid w:val="4F6C22A9"/>
    <w:rsid w:val="4F6F7D29"/>
    <w:rsid w:val="4F8E7B57"/>
    <w:rsid w:val="509F678F"/>
    <w:rsid w:val="510C0A5B"/>
    <w:rsid w:val="51234D4E"/>
    <w:rsid w:val="519D5631"/>
    <w:rsid w:val="522C4686"/>
    <w:rsid w:val="53862D69"/>
    <w:rsid w:val="53A80380"/>
    <w:rsid w:val="54063995"/>
    <w:rsid w:val="55DF7FCB"/>
    <w:rsid w:val="56463646"/>
    <w:rsid w:val="566C5DCD"/>
    <w:rsid w:val="5690648B"/>
    <w:rsid w:val="569A45F4"/>
    <w:rsid w:val="56C44A24"/>
    <w:rsid w:val="57B208F6"/>
    <w:rsid w:val="580F7739"/>
    <w:rsid w:val="59B85D3C"/>
    <w:rsid w:val="5AA43951"/>
    <w:rsid w:val="5AB06EA0"/>
    <w:rsid w:val="5ABA0800"/>
    <w:rsid w:val="5B4948AD"/>
    <w:rsid w:val="5C2624A0"/>
    <w:rsid w:val="5C351ED6"/>
    <w:rsid w:val="5CBF6497"/>
    <w:rsid w:val="5D4C611A"/>
    <w:rsid w:val="5D736021"/>
    <w:rsid w:val="5DA21939"/>
    <w:rsid w:val="5DAD1D41"/>
    <w:rsid w:val="5E057B9E"/>
    <w:rsid w:val="5E431026"/>
    <w:rsid w:val="5FBA635E"/>
    <w:rsid w:val="5FFF2EE9"/>
    <w:rsid w:val="60CD319B"/>
    <w:rsid w:val="61C430F6"/>
    <w:rsid w:val="61D409C0"/>
    <w:rsid w:val="620845D5"/>
    <w:rsid w:val="633C4701"/>
    <w:rsid w:val="63753B51"/>
    <w:rsid w:val="64066FED"/>
    <w:rsid w:val="64FF26F3"/>
    <w:rsid w:val="65065764"/>
    <w:rsid w:val="6654267E"/>
    <w:rsid w:val="666608E2"/>
    <w:rsid w:val="66D0564B"/>
    <w:rsid w:val="67536469"/>
    <w:rsid w:val="67B42B8A"/>
    <w:rsid w:val="6842519C"/>
    <w:rsid w:val="68462DA5"/>
    <w:rsid w:val="685559CD"/>
    <w:rsid w:val="689B4A64"/>
    <w:rsid w:val="696E3E5B"/>
    <w:rsid w:val="699A767C"/>
    <w:rsid w:val="6B5A409D"/>
    <w:rsid w:val="6B825C96"/>
    <w:rsid w:val="6BD9166B"/>
    <w:rsid w:val="6BF15C32"/>
    <w:rsid w:val="6BFE4E11"/>
    <w:rsid w:val="6C024528"/>
    <w:rsid w:val="6C73133A"/>
    <w:rsid w:val="6C9D1931"/>
    <w:rsid w:val="6D8B6381"/>
    <w:rsid w:val="6E510197"/>
    <w:rsid w:val="6EB15A13"/>
    <w:rsid w:val="6EC50976"/>
    <w:rsid w:val="6ECB4DCA"/>
    <w:rsid w:val="700D6CB3"/>
    <w:rsid w:val="702A5152"/>
    <w:rsid w:val="70F90330"/>
    <w:rsid w:val="712B038E"/>
    <w:rsid w:val="7149438E"/>
    <w:rsid w:val="71A049DD"/>
    <w:rsid w:val="71E55ABE"/>
    <w:rsid w:val="7278105F"/>
    <w:rsid w:val="72916236"/>
    <w:rsid w:val="72EB3C6E"/>
    <w:rsid w:val="74085C56"/>
    <w:rsid w:val="74690622"/>
    <w:rsid w:val="75B07331"/>
    <w:rsid w:val="763E44EA"/>
    <w:rsid w:val="77102F25"/>
    <w:rsid w:val="77594E3E"/>
    <w:rsid w:val="78190C80"/>
    <w:rsid w:val="782B012B"/>
    <w:rsid w:val="79963F24"/>
    <w:rsid w:val="7A5D49AA"/>
    <w:rsid w:val="7A6E4130"/>
    <w:rsid w:val="7A6F587C"/>
    <w:rsid w:val="7A780336"/>
    <w:rsid w:val="7CBC3F02"/>
    <w:rsid w:val="7D1008ED"/>
    <w:rsid w:val="7D3B12DC"/>
    <w:rsid w:val="7DB762D7"/>
    <w:rsid w:val="7DE60D22"/>
    <w:rsid w:val="7F342539"/>
    <w:rsid w:val="7F3F7C74"/>
    <w:rsid w:val="7F8410ED"/>
    <w:rsid w:val="7FD61E01"/>
    <w:rsid w:val="7FE8148A"/>
    <w:rsid w:val="7FFA5E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9"/>
    <w:pPr>
      <w:spacing w:line="0" w:lineRule="atLeast"/>
      <w:jc w:val="center"/>
      <w:outlineLvl w:val="1"/>
    </w:pPr>
    <w:rPr>
      <w:sz w:val="28"/>
    </w:rPr>
  </w:style>
  <w:style w:type="character" w:default="1" w:styleId="8">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qFormat/>
    <w:uiPriority w:val="99"/>
    <w:rPr>
      <w:sz w:val="32"/>
      <w:szCs w:val="32"/>
    </w:rPr>
  </w:style>
  <w:style w:type="paragraph" w:styleId="4">
    <w:name w:val="Balloon Text"/>
    <w:basedOn w:val="1"/>
    <w:link w:val="12"/>
    <w:semiHidden/>
    <w:qFormat/>
    <w:uiPriority w:val="0"/>
    <w:rPr>
      <w:rFonts w:asciiTheme="minorHAnsi" w:hAnsiTheme="minorHAnsi" w:eastAsiaTheme="minorEastAsia" w:cstheme="minorBidi"/>
      <w:sz w:val="18"/>
      <w:szCs w:val="18"/>
    </w:rPr>
  </w:style>
  <w:style w:type="paragraph" w:styleId="5">
    <w:name w:val="footer"/>
    <w:basedOn w:val="1"/>
    <w:link w:val="11"/>
    <w:qFormat/>
    <w:uiPriority w:val="99"/>
    <w:pPr>
      <w:tabs>
        <w:tab w:val="center" w:pos="4153"/>
        <w:tab w:val="right" w:pos="8306"/>
      </w:tabs>
      <w:snapToGrid w:val="0"/>
      <w:jc w:val="left"/>
    </w:pPr>
    <w:rPr>
      <w:rFonts w:eastAsia="黑体" w:asciiTheme="minorHAnsi" w:hAnsiTheme="minorHAnsi" w:cstheme="minorBidi"/>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Body Text Indent 3"/>
    <w:basedOn w:val="1"/>
    <w:link w:val="10"/>
    <w:qFormat/>
    <w:uiPriority w:val="0"/>
    <w:pPr>
      <w:pBdr>
        <w:top w:val="single" w:color="auto" w:sz="12" w:space="1"/>
        <w:bottom w:val="single" w:color="auto" w:sz="12" w:space="1"/>
      </w:pBdr>
      <w:spacing w:line="600" w:lineRule="exact"/>
      <w:ind w:left="1280" w:hanging="1280" w:hangingChars="400"/>
    </w:pPr>
    <w:rPr>
      <w:rFonts w:eastAsia="仿宋_GB2312" w:asciiTheme="minorHAnsi" w:hAnsiTheme="minorHAnsi" w:cstheme="minorBidi"/>
      <w:sz w:val="32"/>
    </w:rPr>
  </w:style>
  <w:style w:type="character" w:customStyle="1" w:styleId="10">
    <w:name w:val="正文文本缩进 3 Char"/>
    <w:link w:val="7"/>
    <w:qFormat/>
    <w:uiPriority w:val="0"/>
    <w:rPr>
      <w:rFonts w:eastAsia="仿宋_GB2312"/>
      <w:sz w:val="32"/>
      <w:szCs w:val="24"/>
    </w:rPr>
  </w:style>
  <w:style w:type="character" w:customStyle="1" w:styleId="11">
    <w:name w:val="页脚 Char"/>
    <w:link w:val="5"/>
    <w:qFormat/>
    <w:uiPriority w:val="99"/>
    <w:rPr>
      <w:rFonts w:eastAsia="黑体"/>
      <w:sz w:val="18"/>
      <w:szCs w:val="18"/>
    </w:rPr>
  </w:style>
  <w:style w:type="character" w:customStyle="1" w:styleId="12">
    <w:name w:val="批注框文本 Char"/>
    <w:link w:val="4"/>
    <w:semiHidden/>
    <w:qFormat/>
    <w:uiPriority w:val="0"/>
    <w:rPr>
      <w:sz w:val="18"/>
      <w:szCs w:val="18"/>
    </w:rPr>
  </w:style>
  <w:style w:type="character" w:customStyle="1" w:styleId="13">
    <w:name w:val="页眉 Char"/>
    <w:link w:val="6"/>
    <w:qFormat/>
    <w:uiPriority w:val="0"/>
    <w:rPr>
      <w:sz w:val="18"/>
      <w:szCs w:val="18"/>
    </w:rPr>
  </w:style>
  <w:style w:type="character" w:customStyle="1" w:styleId="14">
    <w:name w:val="页眉 Char1"/>
    <w:basedOn w:val="8"/>
    <w:semiHidden/>
    <w:qFormat/>
    <w:uiPriority w:val="99"/>
    <w:rPr>
      <w:rFonts w:ascii="Times New Roman" w:hAnsi="Times New Roman" w:eastAsia="宋体" w:cs="Times New Roman"/>
      <w:sz w:val="18"/>
      <w:szCs w:val="18"/>
    </w:rPr>
  </w:style>
  <w:style w:type="character" w:customStyle="1" w:styleId="15">
    <w:name w:val="正文文本缩进 3 Char1"/>
    <w:basedOn w:val="8"/>
    <w:semiHidden/>
    <w:qFormat/>
    <w:uiPriority w:val="99"/>
    <w:rPr>
      <w:rFonts w:ascii="Times New Roman" w:hAnsi="Times New Roman" w:eastAsia="宋体" w:cs="Times New Roman"/>
      <w:sz w:val="16"/>
      <w:szCs w:val="16"/>
    </w:rPr>
  </w:style>
  <w:style w:type="character" w:customStyle="1" w:styleId="16">
    <w:name w:val="页脚 Char1"/>
    <w:basedOn w:val="8"/>
    <w:semiHidden/>
    <w:qFormat/>
    <w:uiPriority w:val="99"/>
    <w:rPr>
      <w:rFonts w:ascii="Times New Roman" w:hAnsi="Times New Roman" w:eastAsia="宋体" w:cs="Times New Roman"/>
      <w:sz w:val="18"/>
      <w:szCs w:val="18"/>
    </w:rPr>
  </w:style>
  <w:style w:type="character" w:customStyle="1" w:styleId="17">
    <w:name w:val="批注框文本 Char1"/>
    <w:basedOn w:val="8"/>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881A8B-20E5-4EDA-A9D8-1F134C63DEB6}">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35</Pages>
  <Words>2592</Words>
  <Characters>14778</Characters>
  <Lines>123</Lines>
  <Paragraphs>34</Paragraphs>
  <TotalTime>0</TotalTime>
  <ScaleCrop>false</ScaleCrop>
  <LinksUpToDate>false</LinksUpToDate>
  <CharactersWithSpaces>17336</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2021-02-07T02:26:00Z</dcterms:created>
  <dc:creator>闫超</dc:creator>
  <cp:lastModifiedBy>1</cp:lastModifiedBy>
  <cp:lastPrinted>2021-04-06T03:46:00Z</cp:lastPrinted>
  <dcterms:modified xsi:type="dcterms:W3CDTF">2022-04-08T08:28:27Z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